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E731F4">
      <w:pPr>
        <w:spacing w:line="360" w:lineRule="auto"/>
        <w:jc w:val="center"/>
        <w:rPr>
          <w:rFonts w:ascii="方正小标宋简体" w:hAnsi="宋体" w:eastAsia="方正小标宋简体"/>
          <w:color w:val="auto"/>
          <w:sz w:val="52"/>
          <w:szCs w:val="52"/>
          <w:highlight w:val="none"/>
        </w:rPr>
      </w:pPr>
    </w:p>
    <w:p w14:paraId="5D74439E">
      <w:pPr>
        <w:spacing w:line="360" w:lineRule="auto"/>
        <w:jc w:val="center"/>
        <w:rPr>
          <w:rFonts w:ascii="方正小标宋简体" w:hAnsi="方正小标宋简体" w:eastAsia="方正小标宋简体" w:cs="方正小标宋简体"/>
          <w:color w:val="auto"/>
          <w:sz w:val="52"/>
          <w:szCs w:val="52"/>
          <w:highlight w:val="none"/>
        </w:rPr>
      </w:pPr>
      <w:r>
        <w:rPr>
          <w:rFonts w:hint="eastAsia" w:ascii="方正小标宋简体" w:hAnsi="宋体" w:eastAsia="方正小标宋简体"/>
          <w:color w:val="auto"/>
          <w:sz w:val="52"/>
          <w:szCs w:val="52"/>
          <w:highlight w:val="none"/>
        </w:rPr>
        <w:t>云之龙咨询集团有限公司</w:t>
      </w:r>
    </w:p>
    <w:p w14:paraId="5052E667">
      <w:pPr>
        <w:spacing w:line="360" w:lineRule="auto"/>
        <w:jc w:val="center"/>
        <w:rPr>
          <w:rFonts w:ascii="方正小标宋简体" w:hAnsi="方正小标宋简体" w:eastAsia="方正小标宋简体" w:cs="方正小标宋简体"/>
          <w:b/>
          <w:color w:val="auto"/>
          <w:sz w:val="44"/>
          <w:szCs w:val="44"/>
          <w:highlight w:val="none"/>
        </w:rPr>
      </w:pPr>
    </w:p>
    <w:p w14:paraId="175DEDBD">
      <w:pPr>
        <w:spacing w:line="360" w:lineRule="auto"/>
        <w:jc w:val="center"/>
        <w:rPr>
          <w:rFonts w:ascii="方正小标宋简体" w:hAnsi="方正小标宋简体" w:eastAsia="方正小标宋简体" w:cs="方正小标宋简体"/>
          <w:b/>
          <w:color w:val="auto"/>
          <w:sz w:val="44"/>
          <w:szCs w:val="44"/>
          <w:highlight w:val="none"/>
        </w:rPr>
      </w:pPr>
    </w:p>
    <w:p w14:paraId="097629DB">
      <w:pPr>
        <w:snapToGrid w:val="0"/>
        <w:spacing w:before="156" w:beforeLines="50" w:line="360" w:lineRule="auto"/>
        <w:jc w:val="center"/>
        <w:rPr>
          <w:rFonts w:ascii="华文新魏" w:hAnsi="宋体" w:eastAsia="华文新魏"/>
          <w:color w:val="auto"/>
          <w:sz w:val="120"/>
          <w:szCs w:val="120"/>
          <w:highlight w:val="none"/>
        </w:rPr>
      </w:pPr>
      <w:r>
        <w:rPr>
          <w:rFonts w:hint="eastAsia" w:ascii="华文新魏" w:hAnsi="宋体" w:eastAsia="华文新魏"/>
          <w:color w:val="auto"/>
          <w:sz w:val="120"/>
          <w:szCs w:val="120"/>
          <w:highlight w:val="none"/>
        </w:rPr>
        <w:t>竞争性磋商文件</w:t>
      </w:r>
    </w:p>
    <w:p w14:paraId="153060E5">
      <w:pPr>
        <w:snapToGrid w:val="0"/>
        <w:spacing w:before="156" w:beforeLines="50" w:line="360" w:lineRule="auto"/>
        <w:jc w:val="center"/>
        <w:rPr>
          <w:rFonts w:ascii="仿宋_GB2312" w:hAnsi="宋体" w:eastAsia="仿宋_GB2312"/>
          <w:b/>
          <w:color w:val="auto"/>
          <w:sz w:val="30"/>
          <w:szCs w:val="72"/>
          <w:highlight w:val="none"/>
        </w:rPr>
      </w:pPr>
      <w:r>
        <w:rPr>
          <w:rFonts w:hint="eastAsia" w:ascii="仿宋_GB2312" w:hAnsi="宋体" w:eastAsia="仿宋_GB2312"/>
          <w:b/>
          <w:color w:val="auto"/>
          <w:sz w:val="48"/>
          <w:szCs w:val="48"/>
          <w:highlight w:val="none"/>
        </w:rPr>
        <w:t>（全流程电子化采购）</w:t>
      </w:r>
    </w:p>
    <w:p w14:paraId="7C01FCB7">
      <w:pPr>
        <w:snapToGrid w:val="0"/>
        <w:spacing w:line="360" w:lineRule="auto"/>
        <w:rPr>
          <w:rFonts w:ascii="仿宋_GB2312" w:hAnsi="宋体" w:eastAsia="仿宋_GB2312"/>
          <w:color w:val="auto"/>
          <w:sz w:val="30"/>
          <w:szCs w:val="72"/>
          <w:highlight w:val="none"/>
        </w:rPr>
      </w:pPr>
    </w:p>
    <w:p w14:paraId="7348FC47">
      <w:pPr>
        <w:pStyle w:val="18"/>
        <w:snapToGrid w:val="0"/>
        <w:spacing w:line="360" w:lineRule="auto"/>
        <w:ind w:left="708" w:leftChars="337" w:firstLine="852" w:firstLineChars="283"/>
        <w:rPr>
          <w:rFonts w:ascii="仿宋_GB2312" w:hAnsi="宋体" w:eastAsia="仿宋_GB2312"/>
          <w:b/>
          <w:bCs/>
          <w:color w:val="auto"/>
          <w:sz w:val="30"/>
          <w:szCs w:val="30"/>
          <w:highlight w:val="none"/>
        </w:rPr>
      </w:pPr>
      <w:r>
        <w:rPr>
          <w:rFonts w:hint="eastAsia" w:ascii="仿宋_GB2312" w:hAnsi="宋体" w:eastAsia="仿宋_GB2312"/>
          <w:b/>
          <w:bCs/>
          <w:color w:val="auto"/>
          <w:sz w:val="30"/>
          <w:szCs w:val="30"/>
          <w:highlight w:val="none"/>
        </w:rPr>
        <w:t>项目</w:t>
      </w:r>
      <w:r>
        <w:rPr>
          <w:rFonts w:hint="eastAsia" w:ascii="仿宋_GB2312" w:hAnsi="宋体" w:eastAsia="仿宋_GB2312" w:cs="Courier New"/>
          <w:b/>
          <w:bCs/>
          <w:color w:val="auto"/>
          <w:w w:val="95"/>
          <w:sz w:val="30"/>
          <w:szCs w:val="30"/>
          <w:highlight w:val="none"/>
        </w:rPr>
        <w:t>名称</w:t>
      </w:r>
      <w:r>
        <w:rPr>
          <w:rFonts w:hint="eastAsia" w:ascii="仿宋_GB2312" w:hAnsi="宋体" w:eastAsia="仿宋_GB2312"/>
          <w:bCs/>
          <w:color w:val="auto"/>
          <w:sz w:val="30"/>
          <w:szCs w:val="30"/>
          <w:highlight w:val="none"/>
        </w:rPr>
        <w:t>：</w:t>
      </w:r>
      <w:r>
        <w:rPr>
          <w:rFonts w:hint="eastAsia" w:ascii="仿宋_GB2312" w:hAnsi="宋体" w:eastAsia="仿宋_GB2312"/>
          <w:b/>
          <w:bCs/>
          <w:color w:val="auto"/>
          <w:sz w:val="30"/>
          <w:szCs w:val="30"/>
          <w:highlight w:val="none"/>
        </w:rPr>
        <w:t>海城区廉州湾沙脚对出海域非法养殖占海设施清理整治项目</w:t>
      </w:r>
    </w:p>
    <w:p w14:paraId="52031D1D">
      <w:pPr>
        <w:snapToGrid w:val="0"/>
        <w:spacing w:line="360" w:lineRule="auto"/>
        <w:ind w:firstLine="1482" w:firstLineChars="518"/>
        <w:rPr>
          <w:rFonts w:hint="eastAsia" w:ascii="仿宋_GB2312" w:hAnsi="宋体" w:eastAsia="仿宋_GB2312"/>
          <w:color w:val="auto"/>
          <w:sz w:val="30"/>
          <w:szCs w:val="72"/>
          <w:highlight w:val="none"/>
          <w:lang w:eastAsia="zh-CN"/>
        </w:rPr>
      </w:pPr>
      <w:r>
        <w:rPr>
          <w:rFonts w:hint="eastAsia" w:ascii="仿宋_GB2312" w:hAnsi="宋体" w:eastAsia="仿宋_GB2312" w:cs="Courier New"/>
          <w:b/>
          <w:bCs/>
          <w:color w:val="auto"/>
          <w:w w:val="95"/>
          <w:sz w:val="30"/>
          <w:szCs w:val="30"/>
          <w:highlight w:val="none"/>
        </w:rPr>
        <w:t>项目</w:t>
      </w:r>
      <w:r>
        <w:rPr>
          <w:rFonts w:hint="eastAsia" w:ascii="仿宋_GB2312" w:hAnsi="宋体" w:eastAsia="仿宋_GB2312"/>
          <w:b/>
          <w:bCs/>
          <w:color w:val="auto"/>
          <w:sz w:val="30"/>
          <w:szCs w:val="30"/>
          <w:highlight w:val="none"/>
        </w:rPr>
        <w:t>编号</w:t>
      </w:r>
      <w:r>
        <w:rPr>
          <w:rFonts w:hint="eastAsia" w:ascii="仿宋_GB2312" w:hAnsi="宋体" w:eastAsia="仿宋_GB2312" w:cs="Courier New"/>
          <w:bCs/>
          <w:color w:val="auto"/>
          <w:w w:val="95"/>
          <w:sz w:val="30"/>
          <w:szCs w:val="30"/>
          <w:highlight w:val="none"/>
        </w:rPr>
        <w:t>：</w:t>
      </w:r>
      <w:r>
        <w:rPr>
          <w:rFonts w:hint="eastAsia" w:ascii="仿宋_GB2312" w:hAnsi="宋体" w:eastAsia="仿宋_GB2312"/>
          <w:b/>
          <w:bCs/>
          <w:color w:val="auto"/>
          <w:w w:val="95"/>
          <w:kern w:val="0"/>
          <w:sz w:val="30"/>
          <w:szCs w:val="30"/>
          <w:highlight w:val="none"/>
          <w:lang w:eastAsia="zh-CN"/>
        </w:rPr>
        <w:t>BHZC2025-C3-020021-YZLZ</w:t>
      </w:r>
    </w:p>
    <w:p w14:paraId="5C80BBF9">
      <w:pPr>
        <w:pStyle w:val="18"/>
        <w:snapToGrid w:val="0"/>
        <w:spacing w:line="360" w:lineRule="auto"/>
        <w:ind w:firstLine="1482" w:firstLineChars="518"/>
        <w:rPr>
          <w:rFonts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 购 人</w:t>
      </w:r>
      <w:r>
        <w:rPr>
          <w:rFonts w:hint="eastAsia" w:ascii="仿宋_GB2312" w:hAnsi="宋体" w:eastAsia="仿宋_GB2312"/>
          <w:bCs/>
          <w:color w:val="auto"/>
          <w:w w:val="95"/>
          <w:sz w:val="30"/>
          <w:szCs w:val="30"/>
          <w:highlight w:val="none"/>
        </w:rPr>
        <w:t>：</w:t>
      </w:r>
      <w:r>
        <w:rPr>
          <w:rFonts w:hint="eastAsia" w:ascii="仿宋_GB2312" w:hAnsi="宋体" w:eastAsia="仿宋_GB2312"/>
          <w:b/>
          <w:bCs/>
          <w:color w:val="auto"/>
          <w:w w:val="95"/>
          <w:sz w:val="30"/>
          <w:szCs w:val="30"/>
          <w:highlight w:val="none"/>
        </w:rPr>
        <w:t>北海市海城区海洋局</w:t>
      </w:r>
    </w:p>
    <w:p w14:paraId="51B82283">
      <w:pPr>
        <w:pStyle w:val="18"/>
        <w:snapToGrid w:val="0"/>
        <w:spacing w:line="360" w:lineRule="auto"/>
        <w:ind w:firstLine="1482" w:firstLineChars="518"/>
        <w:rPr>
          <w:rFonts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采购代理机构</w:t>
      </w:r>
      <w:r>
        <w:rPr>
          <w:rFonts w:hint="eastAsia" w:ascii="仿宋_GB2312" w:hAnsi="宋体" w:eastAsia="仿宋_GB2312"/>
          <w:bCs/>
          <w:color w:val="auto"/>
          <w:w w:val="95"/>
          <w:sz w:val="30"/>
          <w:szCs w:val="30"/>
          <w:highlight w:val="none"/>
        </w:rPr>
        <w:t>：</w:t>
      </w:r>
      <w:r>
        <w:rPr>
          <w:rFonts w:hint="eastAsia" w:ascii="仿宋_GB2312" w:hAnsi="宋体" w:eastAsia="仿宋_GB2312"/>
          <w:b/>
          <w:bCs/>
          <w:color w:val="auto"/>
          <w:w w:val="95"/>
          <w:sz w:val="30"/>
          <w:szCs w:val="30"/>
          <w:highlight w:val="none"/>
        </w:rPr>
        <w:t>云之龙</w:t>
      </w:r>
      <w:r>
        <w:rPr>
          <w:rFonts w:ascii="仿宋_GB2312" w:hAnsi="宋体" w:eastAsia="仿宋_GB2312"/>
          <w:b/>
          <w:bCs/>
          <w:color w:val="auto"/>
          <w:w w:val="95"/>
          <w:sz w:val="30"/>
          <w:szCs w:val="30"/>
          <w:highlight w:val="none"/>
        </w:rPr>
        <w:t>咨询集团有限公司</w:t>
      </w:r>
    </w:p>
    <w:p w14:paraId="2010DA60">
      <w:pPr>
        <w:pStyle w:val="18"/>
        <w:snapToGrid w:val="0"/>
        <w:spacing w:line="360" w:lineRule="auto"/>
        <w:ind w:firstLine="1125" w:firstLineChars="393"/>
        <w:rPr>
          <w:rFonts w:ascii="仿宋_GB2312" w:hAnsi="宋体" w:eastAsia="仿宋_GB2312"/>
          <w:b/>
          <w:bCs/>
          <w:color w:val="auto"/>
          <w:w w:val="95"/>
          <w:sz w:val="30"/>
          <w:szCs w:val="30"/>
          <w:highlight w:val="none"/>
        </w:rPr>
      </w:pPr>
    </w:p>
    <w:p w14:paraId="41966619">
      <w:pPr>
        <w:pStyle w:val="18"/>
        <w:snapToGrid w:val="0"/>
        <w:spacing w:line="360" w:lineRule="auto"/>
        <w:ind w:firstLine="1125" w:firstLineChars="393"/>
        <w:rPr>
          <w:rFonts w:ascii="仿宋_GB2312" w:hAnsi="宋体" w:eastAsia="仿宋_GB2312"/>
          <w:b/>
          <w:bCs/>
          <w:color w:val="auto"/>
          <w:w w:val="95"/>
          <w:sz w:val="30"/>
          <w:szCs w:val="30"/>
          <w:highlight w:val="none"/>
        </w:rPr>
      </w:pPr>
    </w:p>
    <w:p w14:paraId="41D7A306">
      <w:pPr>
        <w:pStyle w:val="18"/>
        <w:snapToGrid w:val="0"/>
        <w:spacing w:line="360" w:lineRule="auto"/>
        <w:ind w:left="420" w:firstLine="841" w:firstLineChars="294"/>
        <w:rPr>
          <w:rFonts w:hAnsi="宋体" w:eastAsia="仿宋_GB2312" w:cs="宋体"/>
          <w:b/>
          <w:bCs/>
          <w:color w:val="auto"/>
          <w:sz w:val="32"/>
          <w:szCs w:val="32"/>
          <w:highlight w:val="none"/>
        </w:rPr>
      </w:pPr>
      <w:r>
        <w:rPr>
          <w:rFonts w:hint="eastAsia" w:ascii="仿宋_GB2312" w:hAnsi="宋体" w:eastAsia="仿宋_GB2312"/>
          <w:b/>
          <w:bCs/>
          <w:color w:val="auto"/>
          <w:w w:val="95"/>
          <w:sz w:val="30"/>
          <w:szCs w:val="30"/>
          <w:highlight w:val="none"/>
        </w:rPr>
        <w:t xml:space="preserve">               2025年6月13日</w:t>
      </w:r>
    </w:p>
    <w:p w14:paraId="08960423">
      <w:pPr>
        <w:spacing w:line="360" w:lineRule="auto"/>
        <w:jc w:val="center"/>
        <w:rPr>
          <w:rFonts w:ascii="宋体" w:hAnsi="宋体" w:cs="宋体"/>
          <w:b/>
          <w:bCs/>
          <w:color w:val="auto"/>
          <w:kern w:val="0"/>
          <w:sz w:val="32"/>
          <w:szCs w:val="32"/>
          <w:highlight w:val="none"/>
        </w:rPr>
      </w:pPr>
    </w:p>
    <w:p w14:paraId="7E2955DA">
      <w:pPr>
        <w:spacing w:line="360" w:lineRule="auto"/>
        <w:jc w:val="center"/>
        <w:rPr>
          <w:rFonts w:ascii="宋体" w:hAnsi="宋体" w:cs="宋体"/>
          <w:b/>
          <w:bCs/>
          <w:color w:val="auto"/>
          <w:kern w:val="0"/>
          <w:sz w:val="32"/>
          <w:szCs w:val="32"/>
          <w:highlight w:val="none"/>
        </w:rPr>
      </w:pPr>
    </w:p>
    <w:p w14:paraId="12CF93AB">
      <w:pPr>
        <w:spacing w:line="360" w:lineRule="auto"/>
        <w:jc w:val="center"/>
        <w:rPr>
          <w:rFonts w:ascii="宋体" w:hAnsi="宋体"/>
          <w:b/>
          <w:color w:val="auto"/>
          <w:sz w:val="44"/>
          <w:szCs w:val="44"/>
          <w:highlight w:val="none"/>
        </w:rPr>
      </w:pPr>
    </w:p>
    <w:p w14:paraId="4060CA2F">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目  录</w:t>
      </w:r>
    </w:p>
    <w:p w14:paraId="5C39365A">
      <w:pPr>
        <w:spacing w:line="400" w:lineRule="exact"/>
        <w:jc w:val="center"/>
        <w:rPr>
          <w:rFonts w:ascii="宋体" w:hAnsi="宋体"/>
          <w:b/>
          <w:color w:val="auto"/>
          <w:sz w:val="44"/>
          <w:szCs w:val="44"/>
          <w:highlight w:val="none"/>
        </w:rPr>
      </w:pPr>
    </w:p>
    <w:p w14:paraId="19E70D43">
      <w:pPr>
        <w:pStyle w:val="23"/>
        <w:tabs>
          <w:tab w:val="right" w:leader="dot" w:pos="8879"/>
        </w:tabs>
        <w:rPr>
          <w:rFonts w:ascii="宋体" w:hAnsi="宋体" w:cs="宋体"/>
          <w:b/>
          <w:bCs/>
          <w:color w:val="auto"/>
          <w:sz w:val="24"/>
          <w:szCs w:val="32"/>
          <w:highlight w:val="none"/>
        </w:rPr>
      </w:pPr>
      <w:r>
        <w:rPr>
          <w:rFonts w:ascii="宋体" w:hAnsi="宋体"/>
          <w:b/>
          <w:bCs/>
          <w:color w:val="auto"/>
          <w:sz w:val="24"/>
          <w:highlight w:val="none"/>
        </w:rPr>
        <w:fldChar w:fldCharType="begin"/>
      </w:r>
      <w:r>
        <w:rPr>
          <w:rFonts w:hint="eastAsia" w:ascii="宋体" w:hAnsi="宋体"/>
          <w:b/>
          <w:bCs/>
          <w:color w:val="auto"/>
          <w:sz w:val="24"/>
          <w:highlight w:val="none"/>
        </w:rPr>
        <w:instrText xml:space="preserve">TOC \o "1-3" \h \z \u</w:instrText>
      </w:r>
      <w:r>
        <w:rPr>
          <w:rFonts w:ascii="宋体" w:hAnsi="宋体"/>
          <w:b/>
          <w:bCs/>
          <w:color w:val="auto"/>
          <w:sz w:val="24"/>
          <w:highlight w:val="none"/>
        </w:rPr>
        <w:fldChar w:fldCharType="separate"/>
      </w:r>
      <w:r>
        <w:rPr>
          <w:color w:val="auto"/>
          <w:highlight w:val="none"/>
        </w:rPr>
        <w:fldChar w:fldCharType="begin"/>
      </w:r>
      <w:r>
        <w:rPr>
          <w:color w:val="auto"/>
          <w:highlight w:val="none"/>
        </w:rPr>
        <w:instrText xml:space="preserve"> HYPERLINK \l "_Toc21591" </w:instrText>
      </w:r>
      <w:r>
        <w:rPr>
          <w:color w:val="auto"/>
          <w:highlight w:val="none"/>
        </w:rPr>
        <w:fldChar w:fldCharType="separate"/>
      </w:r>
      <w:r>
        <w:rPr>
          <w:rFonts w:hint="eastAsia" w:ascii="宋体" w:hAnsi="宋体" w:cs="宋体"/>
          <w:b/>
          <w:bCs/>
          <w:color w:val="auto"/>
          <w:sz w:val="24"/>
          <w:szCs w:val="32"/>
          <w:highlight w:val="none"/>
        </w:rPr>
        <w:t>第一章 竞争性磋商公告</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rPr>
        <w:fldChar w:fldCharType="begin"/>
      </w:r>
      <w:r>
        <w:rPr>
          <w:rFonts w:hint="eastAsia" w:ascii="宋体" w:hAnsi="宋体" w:cs="宋体"/>
          <w:b/>
          <w:bCs/>
          <w:color w:val="auto"/>
          <w:sz w:val="24"/>
          <w:szCs w:val="32"/>
          <w:highlight w:val="none"/>
        </w:rPr>
        <w:instrText xml:space="preserve"> PAGEREF _Toc21591 \h </w:instrText>
      </w:r>
      <w:r>
        <w:rPr>
          <w:rFonts w:hint="eastAsia" w:ascii="宋体" w:hAnsi="宋体" w:cs="宋体"/>
          <w:b/>
          <w:bCs/>
          <w:color w:val="auto"/>
          <w:sz w:val="24"/>
          <w:szCs w:val="32"/>
          <w:highlight w:val="none"/>
        </w:rPr>
        <w:fldChar w:fldCharType="separate"/>
      </w:r>
      <w:r>
        <w:rPr>
          <w:rFonts w:hint="eastAsia" w:ascii="宋体" w:hAnsi="宋体" w:cs="宋体"/>
          <w:b/>
          <w:bCs/>
          <w:color w:val="auto"/>
          <w:sz w:val="24"/>
          <w:szCs w:val="32"/>
          <w:highlight w:val="none"/>
        </w:rPr>
        <w:t>2</w:t>
      </w:r>
      <w:r>
        <w:rPr>
          <w:rFonts w:hint="eastAsia" w:ascii="宋体" w:hAnsi="宋体" w:cs="宋体"/>
          <w:b/>
          <w:bCs/>
          <w:color w:val="auto"/>
          <w:sz w:val="24"/>
          <w:szCs w:val="32"/>
          <w:highlight w:val="none"/>
        </w:rPr>
        <w:fldChar w:fldCharType="end"/>
      </w:r>
      <w:r>
        <w:rPr>
          <w:rFonts w:hint="eastAsia" w:ascii="宋体" w:hAnsi="宋体" w:cs="宋体"/>
          <w:b/>
          <w:bCs/>
          <w:color w:val="auto"/>
          <w:sz w:val="24"/>
          <w:szCs w:val="32"/>
          <w:highlight w:val="none"/>
        </w:rPr>
        <w:fldChar w:fldCharType="end"/>
      </w:r>
    </w:p>
    <w:p w14:paraId="4FF492C3">
      <w:pPr>
        <w:pStyle w:val="23"/>
        <w:tabs>
          <w:tab w:val="right" w:leader="dot" w:pos="8879"/>
        </w:tabs>
        <w:rPr>
          <w:rFonts w:ascii="宋体" w:hAnsi="宋体" w:cs="宋体"/>
          <w:b/>
          <w:bCs/>
          <w:color w:val="auto"/>
          <w:sz w:val="24"/>
          <w:szCs w:val="32"/>
          <w:highlight w:val="none"/>
        </w:rPr>
      </w:pPr>
      <w:r>
        <w:rPr>
          <w:color w:val="auto"/>
          <w:highlight w:val="none"/>
        </w:rPr>
        <w:fldChar w:fldCharType="begin"/>
      </w:r>
      <w:r>
        <w:rPr>
          <w:color w:val="auto"/>
          <w:highlight w:val="none"/>
        </w:rPr>
        <w:instrText xml:space="preserve"> HYPERLINK \l "_Toc29576" </w:instrText>
      </w:r>
      <w:r>
        <w:rPr>
          <w:color w:val="auto"/>
          <w:highlight w:val="none"/>
        </w:rPr>
        <w:fldChar w:fldCharType="separate"/>
      </w:r>
      <w:r>
        <w:rPr>
          <w:rFonts w:hint="eastAsia" w:ascii="宋体" w:hAnsi="宋体" w:cs="宋体"/>
          <w:b/>
          <w:bCs/>
          <w:color w:val="auto"/>
          <w:sz w:val="24"/>
          <w:szCs w:val="32"/>
          <w:highlight w:val="none"/>
        </w:rPr>
        <w:t>第二章 供应商须知</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rPr>
        <w:fldChar w:fldCharType="begin"/>
      </w:r>
      <w:r>
        <w:rPr>
          <w:rFonts w:hint="eastAsia" w:ascii="宋体" w:hAnsi="宋体" w:cs="宋体"/>
          <w:b/>
          <w:bCs/>
          <w:color w:val="auto"/>
          <w:sz w:val="24"/>
          <w:szCs w:val="32"/>
          <w:highlight w:val="none"/>
        </w:rPr>
        <w:instrText xml:space="preserve"> PAGEREF _Toc29576 \h </w:instrText>
      </w:r>
      <w:r>
        <w:rPr>
          <w:rFonts w:hint="eastAsia" w:ascii="宋体" w:hAnsi="宋体" w:cs="宋体"/>
          <w:b/>
          <w:bCs/>
          <w:color w:val="auto"/>
          <w:sz w:val="24"/>
          <w:szCs w:val="32"/>
          <w:highlight w:val="none"/>
        </w:rPr>
        <w:fldChar w:fldCharType="separate"/>
      </w:r>
      <w:r>
        <w:rPr>
          <w:rFonts w:hint="eastAsia" w:ascii="宋体" w:hAnsi="宋体" w:cs="宋体"/>
          <w:b/>
          <w:bCs/>
          <w:color w:val="auto"/>
          <w:sz w:val="24"/>
          <w:szCs w:val="32"/>
          <w:highlight w:val="none"/>
        </w:rPr>
        <w:t>5</w:t>
      </w:r>
      <w:r>
        <w:rPr>
          <w:rFonts w:hint="eastAsia" w:ascii="宋体" w:hAnsi="宋体" w:cs="宋体"/>
          <w:b/>
          <w:bCs/>
          <w:color w:val="auto"/>
          <w:sz w:val="24"/>
          <w:szCs w:val="32"/>
          <w:highlight w:val="none"/>
        </w:rPr>
        <w:fldChar w:fldCharType="end"/>
      </w:r>
      <w:r>
        <w:rPr>
          <w:rFonts w:hint="eastAsia" w:ascii="宋体" w:hAnsi="宋体" w:cs="宋体"/>
          <w:b/>
          <w:bCs/>
          <w:color w:val="auto"/>
          <w:sz w:val="24"/>
          <w:szCs w:val="32"/>
          <w:highlight w:val="none"/>
        </w:rPr>
        <w:fldChar w:fldCharType="end"/>
      </w:r>
    </w:p>
    <w:p w14:paraId="74AF315B">
      <w:pPr>
        <w:pStyle w:val="23"/>
        <w:tabs>
          <w:tab w:val="right" w:leader="dot" w:pos="8879"/>
        </w:tabs>
        <w:rPr>
          <w:rFonts w:ascii="宋体" w:hAnsi="宋体" w:cs="宋体"/>
          <w:b/>
          <w:bCs/>
          <w:color w:val="auto"/>
          <w:sz w:val="24"/>
          <w:szCs w:val="32"/>
          <w:highlight w:val="none"/>
        </w:rPr>
      </w:pPr>
      <w:r>
        <w:rPr>
          <w:color w:val="auto"/>
          <w:highlight w:val="none"/>
        </w:rPr>
        <w:fldChar w:fldCharType="begin"/>
      </w:r>
      <w:r>
        <w:rPr>
          <w:color w:val="auto"/>
          <w:highlight w:val="none"/>
        </w:rPr>
        <w:instrText xml:space="preserve"> HYPERLINK \l "_Toc20857" </w:instrText>
      </w:r>
      <w:r>
        <w:rPr>
          <w:color w:val="auto"/>
          <w:highlight w:val="none"/>
        </w:rPr>
        <w:fldChar w:fldCharType="separate"/>
      </w:r>
      <w:r>
        <w:rPr>
          <w:rFonts w:hint="eastAsia" w:ascii="宋体" w:hAnsi="宋体" w:cs="宋体"/>
          <w:b/>
          <w:bCs/>
          <w:color w:val="auto"/>
          <w:sz w:val="24"/>
          <w:szCs w:val="32"/>
          <w:highlight w:val="none"/>
        </w:rPr>
        <w:t>第三章 采购需求</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rPr>
        <w:fldChar w:fldCharType="begin"/>
      </w:r>
      <w:r>
        <w:rPr>
          <w:rFonts w:hint="eastAsia" w:ascii="宋体" w:hAnsi="宋体" w:cs="宋体"/>
          <w:b/>
          <w:bCs/>
          <w:color w:val="auto"/>
          <w:sz w:val="24"/>
          <w:szCs w:val="32"/>
          <w:highlight w:val="none"/>
        </w:rPr>
        <w:instrText xml:space="preserve"> PAGEREF _Toc20857 \h </w:instrText>
      </w:r>
      <w:r>
        <w:rPr>
          <w:rFonts w:hint="eastAsia" w:ascii="宋体" w:hAnsi="宋体" w:cs="宋体"/>
          <w:b/>
          <w:bCs/>
          <w:color w:val="auto"/>
          <w:sz w:val="24"/>
          <w:szCs w:val="32"/>
          <w:highlight w:val="none"/>
        </w:rPr>
        <w:fldChar w:fldCharType="separate"/>
      </w:r>
      <w:r>
        <w:rPr>
          <w:rFonts w:hint="eastAsia" w:ascii="宋体" w:hAnsi="宋体" w:cs="宋体"/>
          <w:b/>
          <w:bCs/>
          <w:color w:val="auto"/>
          <w:sz w:val="24"/>
          <w:szCs w:val="32"/>
          <w:highlight w:val="none"/>
        </w:rPr>
        <w:t>26</w:t>
      </w:r>
      <w:r>
        <w:rPr>
          <w:rFonts w:hint="eastAsia" w:ascii="宋体" w:hAnsi="宋体" w:cs="宋体"/>
          <w:b/>
          <w:bCs/>
          <w:color w:val="auto"/>
          <w:sz w:val="24"/>
          <w:szCs w:val="32"/>
          <w:highlight w:val="none"/>
        </w:rPr>
        <w:fldChar w:fldCharType="end"/>
      </w:r>
      <w:r>
        <w:rPr>
          <w:rFonts w:hint="eastAsia" w:ascii="宋体" w:hAnsi="宋体" w:cs="宋体"/>
          <w:b/>
          <w:bCs/>
          <w:color w:val="auto"/>
          <w:sz w:val="24"/>
          <w:szCs w:val="32"/>
          <w:highlight w:val="none"/>
        </w:rPr>
        <w:fldChar w:fldCharType="end"/>
      </w:r>
    </w:p>
    <w:p w14:paraId="00056D31">
      <w:pPr>
        <w:pStyle w:val="23"/>
        <w:tabs>
          <w:tab w:val="right" w:leader="dot" w:pos="8879"/>
        </w:tabs>
        <w:rPr>
          <w:rFonts w:ascii="宋体" w:hAnsi="宋体" w:cs="宋体"/>
          <w:b/>
          <w:bCs/>
          <w:color w:val="auto"/>
          <w:sz w:val="24"/>
          <w:szCs w:val="32"/>
          <w:highlight w:val="none"/>
        </w:rPr>
      </w:pPr>
      <w:r>
        <w:rPr>
          <w:color w:val="auto"/>
          <w:highlight w:val="none"/>
        </w:rPr>
        <w:fldChar w:fldCharType="begin"/>
      </w:r>
      <w:r>
        <w:rPr>
          <w:color w:val="auto"/>
          <w:highlight w:val="none"/>
        </w:rPr>
        <w:instrText xml:space="preserve"> HYPERLINK \l "_Toc4095" </w:instrText>
      </w:r>
      <w:r>
        <w:rPr>
          <w:color w:val="auto"/>
          <w:highlight w:val="none"/>
        </w:rPr>
        <w:fldChar w:fldCharType="separate"/>
      </w:r>
      <w:r>
        <w:rPr>
          <w:rFonts w:hint="eastAsia" w:ascii="宋体" w:hAnsi="宋体" w:cs="宋体"/>
          <w:b/>
          <w:bCs/>
          <w:color w:val="auto"/>
          <w:sz w:val="24"/>
          <w:szCs w:val="32"/>
          <w:highlight w:val="none"/>
        </w:rPr>
        <w:t>第四章 评审程序、评审方法和评审标准</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rPr>
        <w:fldChar w:fldCharType="begin"/>
      </w:r>
      <w:r>
        <w:rPr>
          <w:rFonts w:hint="eastAsia" w:ascii="宋体" w:hAnsi="宋体" w:cs="宋体"/>
          <w:b/>
          <w:bCs/>
          <w:color w:val="auto"/>
          <w:sz w:val="24"/>
          <w:szCs w:val="32"/>
          <w:highlight w:val="none"/>
        </w:rPr>
        <w:instrText xml:space="preserve"> PAGEREF _Toc4095 \h </w:instrText>
      </w:r>
      <w:r>
        <w:rPr>
          <w:rFonts w:hint="eastAsia" w:ascii="宋体" w:hAnsi="宋体" w:cs="宋体"/>
          <w:b/>
          <w:bCs/>
          <w:color w:val="auto"/>
          <w:sz w:val="24"/>
          <w:szCs w:val="32"/>
          <w:highlight w:val="none"/>
        </w:rPr>
        <w:fldChar w:fldCharType="separate"/>
      </w:r>
      <w:r>
        <w:rPr>
          <w:rFonts w:hint="eastAsia" w:ascii="宋体" w:hAnsi="宋体" w:cs="宋体"/>
          <w:b/>
          <w:bCs/>
          <w:color w:val="auto"/>
          <w:sz w:val="24"/>
          <w:szCs w:val="32"/>
          <w:highlight w:val="none"/>
        </w:rPr>
        <w:t>34</w:t>
      </w:r>
      <w:r>
        <w:rPr>
          <w:rFonts w:hint="eastAsia" w:ascii="宋体" w:hAnsi="宋体" w:cs="宋体"/>
          <w:b/>
          <w:bCs/>
          <w:color w:val="auto"/>
          <w:sz w:val="24"/>
          <w:szCs w:val="32"/>
          <w:highlight w:val="none"/>
        </w:rPr>
        <w:fldChar w:fldCharType="end"/>
      </w:r>
      <w:r>
        <w:rPr>
          <w:rFonts w:hint="eastAsia" w:ascii="宋体" w:hAnsi="宋体" w:cs="宋体"/>
          <w:b/>
          <w:bCs/>
          <w:color w:val="auto"/>
          <w:sz w:val="24"/>
          <w:szCs w:val="32"/>
          <w:highlight w:val="none"/>
        </w:rPr>
        <w:fldChar w:fldCharType="end"/>
      </w:r>
    </w:p>
    <w:p w14:paraId="6B3AB176">
      <w:pPr>
        <w:pStyle w:val="23"/>
        <w:tabs>
          <w:tab w:val="right" w:leader="dot" w:pos="8879"/>
        </w:tabs>
        <w:rPr>
          <w:rFonts w:ascii="宋体" w:hAnsi="宋体" w:cs="宋体"/>
          <w:b/>
          <w:bCs/>
          <w:color w:val="auto"/>
          <w:sz w:val="24"/>
          <w:szCs w:val="32"/>
          <w:highlight w:val="none"/>
        </w:rPr>
      </w:pPr>
      <w:r>
        <w:rPr>
          <w:color w:val="auto"/>
          <w:highlight w:val="none"/>
        </w:rPr>
        <w:fldChar w:fldCharType="begin"/>
      </w:r>
      <w:r>
        <w:rPr>
          <w:color w:val="auto"/>
          <w:highlight w:val="none"/>
        </w:rPr>
        <w:instrText xml:space="preserve"> HYPERLINK \l "_Toc3198" </w:instrText>
      </w:r>
      <w:r>
        <w:rPr>
          <w:color w:val="auto"/>
          <w:highlight w:val="none"/>
        </w:rPr>
        <w:fldChar w:fldCharType="separate"/>
      </w:r>
      <w:r>
        <w:rPr>
          <w:rFonts w:hint="eastAsia" w:ascii="宋体" w:hAnsi="宋体" w:cs="宋体"/>
          <w:b/>
          <w:bCs/>
          <w:color w:val="auto"/>
          <w:sz w:val="24"/>
          <w:szCs w:val="32"/>
          <w:highlight w:val="none"/>
        </w:rPr>
        <w:t>第五章 响应文件格式</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rPr>
        <w:fldChar w:fldCharType="begin"/>
      </w:r>
      <w:r>
        <w:rPr>
          <w:rFonts w:hint="eastAsia" w:ascii="宋体" w:hAnsi="宋体" w:cs="宋体"/>
          <w:b/>
          <w:bCs/>
          <w:color w:val="auto"/>
          <w:sz w:val="24"/>
          <w:szCs w:val="32"/>
          <w:highlight w:val="none"/>
        </w:rPr>
        <w:instrText xml:space="preserve"> PAGEREF _Toc3198 \h </w:instrText>
      </w:r>
      <w:r>
        <w:rPr>
          <w:rFonts w:hint="eastAsia" w:ascii="宋体" w:hAnsi="宋体" w:cs="宋体"/>
          <w:b/>
          <w:bCs/>
          <w:color w:val="auto"/>
          <w:sz w:val="24"/>
          <w:szCs w:val="32"/>
          <w:highlight w:val="none"/>
        </w:rPr>
        <w:fldChar w:fldCharType="separate"/>
      </w:r>
      <w:r>
        <w:rPr>
          <w:rFonts w:hint="eastAsia" w:ascii="宋体" w:hAnsi="宋体" w:cs="宋体"/>
          <w:b/>
          <w:bCs/>
          <w:color w:val="auto"/>
          <w:sz w:val="24"/>
          <w:szCs w:val="32"/>
          <w:highlight w:val="none"/>
        </w:rPr>
        <w:t>42</w:t>
      </w:r>
      <w:r>
        <w:rPr>
          <w:rFonts w:hint="eastAsia" w:ascii="宋体" w:hAnsi="宋体" w:cs="宋体"/>
          <w:b/>
          <w:bCs/>
          <w:color w:val="auto"/>
          <w:sz w:val="24"/>
          <w:szCs w:val="32"/>
          <w:highlight w:val="none"/>
        </w:rPr>
        <w:fldChar w:fldCharType="end"/>
      </w:r>
      <w:r>
        <w:rPr>
          <w:rFonts w:hint="eastAsia" w:ascii="宋体" w:hAnsi="宋体" w:cs="宋体"/>
          <w:b/>
          <w:bCs/>
          <w:color w:val="auto"/>
          <w:sz w:val="24"/>
          <w:szCs w:val="32"/>
          <w:highlight w:val="none"/>
        </w:rPr>
        <w:fldChar w:fldCharType="end"/>
      </w:r>
    </w:p>
    <w:p w14:paraId="45B6F2B4">
      <w:pPr>
        <w:pStyle w:val="23"/>
        <w:tabs>
          <w:tab w:val="right" w:leader="dot" w:pos="8879"/>
        </w:tabs>
        <w:rPr>
          <w:b/>
          <w:bCs/>
          <w:color w:val="auto"/>
          <w:highlight w:val="none"/>
        </w:rPr>
      </w:pPr>
      <w:r>
        <w:rPr>
          <w:color w:val="auto"/>
          <w:highlight w:val="none"/>
        </w:rPr>
        <w:fldChar w:fldCharType="begin"/>
      </w:r>
      <w:r>
        <w:rPr>
          <w:color w:val="auto"/>
          <w:highlight w:val="none"/>
        </w:rPr>
        <w:instrText xml:space="preserve"> HYPERLINK \l "_Toc10542" </w:instrText>
      </w:r>
      <w:r>
        <w:rPr>
          <w:color w:val="auto"/>
          <w:highlight w:val="none"/>
        </w:rPr>
        <w:fldChar w:fldCharType="separate"/>
      </w:r>
      <w:r>
        <w:rPr>
          <w:rFonts w:hint="eastAsia" w:ascii="宋体" w:hAnsi="宋体" w:cs="宋体"/>
          <w:b/>
          <w:bCs/>
          <w:color w:val="auto"/>
          <w:sz w:val="24"/>
          <w:szCs w:val="32"/>
          <w:highlight w:val="none"/>
        </w:rPr>
        <w:t>第六章 合同文本</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rPr>
        <w:fldChar w:fldCharType="begin"/>
      </w:r>
      <w:r>
        <w:rPr>
          <w:rFonts w:hint="eastAsia" w:ascii="宋体" w:hAnsi="宋体" w:cs="宋体"/>
          <w:b/>
          <w:bCs/>
          <w:color w:val="auto"/>
          <w:sz w:val="24"/>
          <w:szCs w:val="32"/>
          <w:highlight w:val="none"/>
        </w:rPr>
        <w:instrText xml:space="preserve"> PAGEREF _Toc10542 \h </w:instrText>
      </w:r>
      <w:r>
        <w:rPr>
          <w:rFonts w:hint="eastAsia" w:ascii="宋体" w:hAnsi="宋体" w:cs="宋体"/>
          <w:b/>
          <w:bCs/>
          <w:color w:val="auto"/>
          <w:sz w:val="24"/>
          <w:szCs w:val="32"/>
          <w:highlight w:val="none"/>
        </w:rPr>
        <w:fldChar w:fldCharType="separate"/>
      </w:r>
      <w:r>
        <w:rPr>
          <w:rFonts w:hint="eastAsia" w:ascii="宋体" w:hAnsi="宋体" w:cs="宋体"/>
          <w:b/>
          <w:bCs/>
          <w:color w:val="auto"/>
          <w:sz w:val="24"/>
          <w:szCs w:val="32"/>
          <w:highlight w:val="none"/>
        </w:rPr>
        <w:t>70</w:t>
      </w:r>
      <w:r>
        <w:rPr>
          <w:rFonts w:hint="eastAsia" w:ascii="宋体" w:hAnsi="宋体" w:cs="宋体"/>
          <w:b/>
          <w:bCs/>
          <w:color w:val="auto"/>
          <w:sz w:val="24"/>
          <w:szCs w:val="32"/>
          <w:highlight w:val="none"/>
        </w:rPr>
        <w:fldChar w:fldCharType="end"/>
      </w:r>
      <w:r>
        <w:rPr>
          <w:rFonts w:hint="eastAsia" w:ascii="宋体" w:hAnsi="宋体" w:cs="宋体"/>
          <w:b/>
          <w:bCs/>
          <w:color w:val="auto"/>
          <w:sz w:val="24"/>
          <w:szCs w:val="32"/>
          <w:highlight w:val="none"/>
        </w:rPr>
        <w:fldChar w:fldCharType="end"/>
      </w:r>
    </w:p>
    <w:p w14:paraId="1689CE51">
      <w:pPr>
        <w:pStyle w:val="24"/>
        <w:tabs>
          <w:tab w:val="right" w:leader="dot" w:pos="8931"/>
          <w:tab w:val="clear" w:pos="8296"/>
        </w:tabs>
        <w:snapToGrid w:val="0"/>
        <w:spacing w:line="500" w:lineRule="atLeast"/>
        <w:ind w:left="0" w:leftChars="0"/>
        <w:rPr>
          <w:rFonts w:ascii="宋体" w:hAnsi="宋体"/>
          <w:b/>
          <w:color w:val="auto"/>
          <w:sz w:val="24"/>
          <w:highlight w:val="none"/>
        </w:rPr>
      </w:pPr>
      <w:r>
        <w:rPr>
          <w:rFonts w:ascii="宋体" w:hAnsi="宋体"/>
          <w:b/>
          <w:bCs/>
          <w:color w:val="auto"/>
          <w:highlight w:val="none"/>
        </w:rPr>
        <w:fldChar w:fldCharType="end"/>
      </w:r>
    </w:p>
    <w:p w14:paraId="3FBCB49F">
      <w:pPr>
        <w:spacing w:line="400" w:lineRule="exact"/>
        <w:jc w:val="left"/>
        <w:rPr>
          <w:rFonts w:ascii="宋体" w:hAnsi="宋体"/>
          <w:b/>
          <w:color w:val="auto"/>
          <w:sz w:val="32"/>
          <w:szCs w:val="32"/>
          <w:highlight w:val="none"/>
        </w:rPr>
      </w:pPr>
    </w:p>
    <w:p w14:paraId="4569FE45">
      <w:pPr>
        <w:spacing w:line="400" w:lineRule="exact"/>
        <w:jc w:val="center"/>
        <w:rPr>
          <w:rFonts w:ascii="宋体" w:hAnsi="宋体"/>
          <w:b/>
          <w:color w:val="auto"/>
          <w:sz w:val="32"/>
          <w:szCs w:val="32"/>
          <w:highlight w:val="none"/>
        </w:rPr>
      </w:pPr>
    </w:p>
    <w:p w14:paraId="0E4C73FD">
      <w:pPr>
        <w:spacing w:line="400" w:lineRule="exact"/>
        <w:jc w:val="center"/>
        <w:rPr>
          <w:rFonts w:ascii="宋体" w:hAnsi="宋体"/>
          <w:b/>
          <w:color w:val="auto"/>
          <w:sz w:val="32"/>
          <w:szCs w:val="32"/>
          <w:highlight w:val="none"/>
        </w:rPr>
      </w:pPr>
    </w:p>
    <w:p w14:paraId="260A5900">
      <w:pPr>
        <w:spacing w:line="400" w:lineRule="exact"/>
        <w:jc w:val="center"/>
        <w:rPr>
          <w:rFonts w:ascii="宋体" w:hAnsi="宋体"/>
          <w:b/>
          <w:color w:val="auto"/>
          <w:sz w:val="32"/>
          <w:szCs w:val="32"/>
          <w:highlight w:val="none"/>
        </w:rPr>
      </w:pPr>
      <w:bookmarkStart w:id="179" w:name="_GoBack"/>
      <w:bookmarkEnd w:id="179"/>
    </w:p>
    <w:p w14:paraId="76050F4B">
      <w:pPr>
        <w:spacing w:line="400" w:lineRule="exact"/>
        <w:jc w:val="center"/>
        <w:rPr>
          <w:rFonts w:ascii="宋体" w:hAnsi="宋体"/>
          <w:b/>
          <w:color w:val="auto"/>
          <w:sz w:val="32"/>
          <w:szCs w:val="32"/>
          <w:highlight w:val="none"/>
        </w:rPr>
      </w:pPr>
    </w:p>
    <w:p w14:paraId="3B289639">
      <w:pPr>
        <w:spacing w:line="400" w:lineRule="exact"/>
        <w:rPr>
          <w:rFonts w:ascii="宋体" w:hAnsi="宋体"/>
          <w:b/>
          <w:color w:val="auto"/>
          <w:sz w:val="32"/>
          <w:szCs w:val="32"/>
          <w:highlight w:val="none"/>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p>
    <w:p w14:paraId="1F17EACA">
      <w:pPr>
        <w:pStyle w:val="5"/>
        <w:jc w:val="center"/>
        <w:rPr>
          <w:color w:val="auto"/>
          <w:highlight w:val="none"/>
        </w:rPr>
      </w:pPr>
      <w:bookmarkStart w:id="0" w:name="_Toc21591"/>
      <w:r>
        <w:rPr>
          <w:rFonts w:hint="eastAsia"/>
          <w:color w:val="auto"/>
          <w:highlight w:val="none"/>
        </w:rPr>
        <w:t>第一章竞争性磋商公告</w:t>
      </w:r>
      <w:bookmarkEnd w:id="0"/>
    </w:p>
    <w:p w14:paraId="7397184D">
      <w:pPr>
        <w:spacing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竞争性磋商公告</w:t>
      </w:r>
    </w:p>
    <w:p w14:paraId="068C48C6">
      <w:pPr>
        <w:pBdr>
          <w:top w:val="single" w:color="auto" w:sz="4" w:space="1"/>
          <w:left w:val="single" w:color="auto" w:sz="4" w:space="4"/>
          <w:bottom w:val="single" w:color="auto" w:sz="4" w:space="1"/>
          <w:right w:val="single" w:color="auto" w:sz="4" w:space="4"/>
        </w:pBdr>
        <w:spacing w:line="360" w:lineRule="exact"/>
        <w:ind w:firstLine="420" w:firstLineChars="200"/>
        <w:rPr>
          <w:rFonts w:ascii="宋体" w:hAnsi="宋体"/>
          <w:color w:val="auto"/>
          <w:szCs w:val="21"/>
          <w:highlight w:val="none"/>
        </w:rPr>
      </w:pPr>
      <w:bookmarkStart w:id="1" w:name="_Hlk37430271"/>
      <w:r>
        <w:rPr>
          <w:rFonts w:hint="eastAsia" w:ascii="宋体" w:hAnsi="宋体"/>
          <w:color w:val="auto"/>
          <w:szCs w:val="21"/>
          <w:highlight w:val="none"/>
        </w:rPr>
        <w:t>项目概况</w:t>
      </w:r>
    </w:p>
    <w:p w14:paraId="4ED07EB7">
      <w:pPr>
        <w:pBdr>
          <w:top w:val="single" w:color="auto" w:sz="4" w:space="1"/>
          <w:left w:val="single" w:color="auto" w:sz="4" w:space="4"/>
          <w:bottom w:val="single" w:color="auto" w:sz="4" w:space="1"/>
          <w:right w:val="single" w:color="auto" w:sz="4" w:space="4"/>
        </w:pBdr>
        <w:wordWrap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u w:val="single"/>
        </w:rPr>
        <w:t>海城区廉州湾沙脚对出海域非法养殖占海设施清理整治项目</w:t>
      </w:r>
      <w:r>
        <w:rPr>
          <w:rFonts w:hint="eastAsia" w:ascii="宋体" w:hAnsi="宋体"/>
          <w:color w:val="auto"/>
          <w:szCs w:val="21"/>
          <w:highlight w:val="none"/>
        </w:rPr>
        <w:t>采购项目的潜在供应商应在广西政府采购云平台（https：//www.gcy.zfcg.gxzf.gov.cn/）获取（下载）竞争磋商文件，并于</w:t>
      </w:r>
      <w:r>
        <w:rPr>
          <w:rFonts w:hint="eastAsia" w:ascii="宋体" w:hAnsi="宋体"/>
          <w:color w:val="auto"/>
          <w:szCs w:val="21"/>
          <w:highlight w:val="none"/>
          <w:u w:val="single"/>
        </w:rPr>
        <w:t>2025年6月24日9时00分</w:t>
      </w:r>
      <w:r>
        <w:rPr>
          <w:rFonts w:hint="eastAsia" w:ascii="宋体" w:hAnsi="宋体"/>
          <w:bCs/>
          <w:color w:val="auto"/>
          <w:szCs w:val="21"/>
          <w:highlight w:val="none"/>
          <w:u w:val="single"/>
        </w:rPr>
        <w:t>（</w:t>
      </w:r>
      <w:r>
        <w:rPr>
          <w:rFonts w:hint="eastAsia" w:ascii="宋体" w:hAnsi="宋体"/>
          <w:bCs/>
          <w:color w:val="auto"/>
          <w:szCs w:val="21"/>
          <w:highlight w:val="none"/>
        </w:rPr>
        <w:t>北京时间）前提交（上传）</w:t>
      </w:r>
      <w:r>
        <w:rPr>
          <w:rFonts w:hint="eastAsia" w:ascii="宋体" w:hAnsi="宋体"/>
          <w:color w:val="auto"/>
          <w:szCs w:val="21"/>
          <w:highlight w:val="none"/>
        </w:rPr>
        <w:t>响应</w:t>
      </w:r>
      <w:r>
        <w:rPr>
          <w:rFonts w:hint="eastAsia" w:ascii="宋体" w:hAnsi="宋体"/>
          <w:bCs/>
          <w:color w:val="auto"/>
          <w:szCs w:val="21"/>
          <w:highlight w:val="none"/>
        </w:rPr>
        <w:t>文件</w:t>
      </w:r>
      <w:r>
        <w:rPr>
          <w:rFonts w:hint="eastAsia" w:ascii="宋体" w:hAnsi="宋体"/>
          <w:color w:val="auto"/>
          <w:szCs w:val="21"/>
          <w:highlight w:val="none"/>
        </w:rPr>
        <w:t>。</w:t>
      </w:r>
    </w:p>
    <w:p w14:paraId="2F9A0175">
      <w:pPr>
        <w:spacing w:line="360" w:lineRule="exact"/>
        <w:ind w:firstLine="354" w:firstLineChars="147"/>
        <w:rPr>
          <w:rFonts w:ascii="黑体" w:hAnsi="黑体" w:eastAsia="黑体"/>
          <w:b/>
          <w:color w:val="auto"/>
          <w:sz w:val="24"/>
          <w:highlight w:val="none"/>
        </w:rPr>
      </w:pPr>
      <w:bookmarkStart w:id="2" w:name="_Toc35393798"/>
      <w:bookmarkStart w:id="3" w:name="_Toc28359012"/>
      <w:bookmarkStart w:id="4" w:name="_Toc71365905"/>
      <w:bookmarkStart w:id="5" w:name="_Toc35393629"/>
      <w:bookmarkStart w:id="6" w:name="_Toc28359089"/>
      <w:bookmarkStart w:id="7" w:name="_Toc44229878"/>
      <w:r>
        <w:rPr>
          <w:rFonts w:hint="eastAsia" w:ascii="黑体" w:hAnsi="黑体" w:eastAsia="黑体"/>
          <w:b/>
          <w:color w:val="auto"/>
          <w:sz w:val="24"/>
          <w:highlight w:val="none"/>
        </w:rPr>
        <w:t>一、项目基本情况</w:t>
      </w:r>
      <w:bookmarkEnd w:id="2"/>
      <w:bookmarkEnd w:id="3"/>
      <w:bookmarkEnd w:id="4"/>
      <w:bookmarkEnd w:id="5"/>
      <w:bookmarkEnd w:id="6"/>
      <w:bookmarkEnd w:id="7"/>
    </w:p>
    <w:p w14:paraId="4236AA37">
      <w:pPr>
        <w:spacing w:line="36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BHZC2025-C3-020021-YZLZ</w:t>
      </w:r>
    </w:p>
    <w:p w14:paraId="462CC91C">
      <w:pPr>
        <w:spacing w:line="360" w:lineRule="exact"/>
        <w:ind w:firstLine="420" w:firstLineChars="200"/>
        <w:rPr>
          <w:rFonts w:ascii="宋体" w:hAnsi="宋体"/>
          <w:color w:val="auto"/>
          <w:szCs w:val="21"/>
          <w:highlight w:val="none"/>
          <w:u w:val="single"/>
        </w:rPr>
      </w:pPr>
      <w:r>
        <w:rPr>
          <w:rFonts w:hint="eastAsia" w:ascii="宋体" w:hAnsi="宋体"/>
          <w:color w:val="auto"/>
          <w:szCs w:val="21"/>
          <w:highlight w:val="none"/>
        </w:rPr>
        <w:t>项目名称：海城区廉州湾沙脚对出海域非法养殖占海设施清理整治项目</w:t>
      </w:r>
    </w:p>
    <w:p w14:paraId="3F2C1BCD">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采购方式：竞争性磋商</w:t>
      </w:r>
    </w:p>
    <w:p w14:paraId="1A335F24">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预算金额：2935000.00元</w:t>
      </w:r>
    </w:p>
    <w:p w14:paraId="3FD5AF7C">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最高限价（如有）：</w:t>
      </w:r>
      <w:r>
        <w:rPr>
          <w:rFonts w:ascii="宋体" w:hAnsi="宋体"/>
          <w:color w:val="auto"/>
          <w:szCs w:val="21"/>
          <w:highlight w:val="none"/>
        </w:rPr>
        <w:t>/</w:t>
      </w:r>
    </w:p>
    <w:p w14:paraId="03BA05DC">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采购需求： </w:t>
      </w:r>
    </w:p>
    <w:tbl>
      <w:tblPr>
        <w:tblStyle w:val="2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160"/>
        <w:gridCol w:w="1295"/>
        <w:gridCol w:w="4625"/>
      </w:tblGrid>
      <w:tr w14:paraId="42358B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5" w:type="dxa"/>
            <w:gridSpan w:val="4"/>
            <w:tcBorders>
              <w:top w:val="single" w:color="auto" w:sz="4" w:space="0"/>
              <w:left w:val="single" w:color="auto" w:sz="4" w:space="0"/>
              <w:bottom w:val="single" w:color="auto" w:sz="4" w:space="0"/>
              <w:right w:val="single" w:color="auto" w:sz="4" w:space="0"/>
            </w:tcBorders>
            <w:vAlign w:val="center"/>
          </w:tcPr>
          <w:p w14:paraId="127F8C49">
            <w:pPr>
              <w:spacing w:line="360" w:lineRule="exact"/>
              <w:jc w:val="left"/>
              <w:rPr>
                <w:rFonts w:ascii="宋体" w:hAnsi="宋体"/>
                <w:color w:val="auto"/>
                <w:szCs w:val="21"/>
                <w:highlight w:val="none"/>
              </w:rPr>
            </w:pPr>
            <w:r>
              <w:rPr>
                <w:rFonts w:hint="eastAsia" w:ascii="宋体" w:hAnsi="宋体"/>
                <w:color w:val="auto"/>
                <w:szCs w:val="21"/>
                <w:highlight w:val="none"/>
              </w:rPr>
              <w:t>预算金额：人民币2935000.00元</w:t>
            </w:r>
          </w:p>
        </w:tc>
      </w:tr>
      <w:tr w14:paraId="65862E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B2E37C8">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571EC494">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标的的名称</w:t>
            </w:r>
          </w:p>
        </w:tc>
        <w:tc>
          <w:tcPr>
            <w:tcW w:w="1295" w:type="dxa"/>
            <w:tcBorders>
              <w:top w:val="single" w:color="auto" w:sz="4" w:space="0"/>
              <w:left w:val="single" w:color="auto" w:sz="4" w:space="0"/>
              <w:bottom w:val="single" w:color="auto" w:sz="4" w:space="0"/>
              <w:right w:val="single" w:color="auto" w:sz="4" w:space="0"/>
            </w:tcBorders>
            <w:vAlign w:val="center"/>
          </w:tcPr>
          <w:p w14:paraId="52684233">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数量及单位</w:t>
            </w:r>
          </w:p>
        </w:tc>
        <w:tc>
          <w:tcPr>
            <w:tcW w:w="4625" w:type="dxa"/>
            <w:tcBorders>
              <w:top w:val="single" w:color="auto" w:sz="4" w:space="0"/>
              <w:left w:val="single" w:color="auto" w:sz="4" w:space="0"/>
              <w:bottom w:val="single" w:color="auto" w:sz="4" w:space="0"/>
              <w:right w:val="single" w:color="auto" w:sz="4" w:space="0"/>
            </w:tcBorders>
            <w:vAlign w:val="center"/>
          </w:tcPr>
          <w:p w14:paraId="04C06F9B">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简要技术需求或者服务要求</w:t>
            </w:r>
          </w:p>
        </w:tc>
      </w:tr>
      <w:tr w14:paraId="34C557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7C40F78">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1</w:t>
            </w:r>
          </w:p>
        </w:tc>
        <w:tc>
          <w:tcPr>
            <w:tcW w:w="2160" w:type="dxa"/>
            <w:tcBorders>
              <w:top w:val="single" w:color="auto" w:sz="4" w:space="0"/>
              <w:left w:val="single" w:color="auto" w:sz="4" w:space="0"/>
              <w:bottom w:val="single" w:color="auto" w:sz="4" w:space="0"/>
              <w:right w:val="single" w:color="auto" w:sz="4" w:space="0"/>
            </w:tcBorders>
            <w:vAlign w:val="center"/>
          </w:tcPr>
          <w:p w14:paraId="67925DB6">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海城区廉州湾沙脚对出海域非法养殖占海设施清理整治项目</w:t>
            </w:r>
          </w:p>
        </w:tc>
        <w:tc>
          <w:tcPr>
            <w:tcW w:w="1295" w:type="dxa"/>
            <w:tcBorders>
              <w:top w:val="single" w:color="auto" w:sz="4" w:space="0"/>
              <w:left w:val="single" w:color="auto" w:sz="4" w:space="0"/>
              <w:bottom w:val="single" w:color="auto" w:sz="4" w:space="0"/>
              <w:right w:val="single" w:color="auto" w:sz="4" w:space="0"/>
            </w:tcBorders>
            <w:vAlign w:val="center"/>
          </w:tcPr>
          <w:p w14:paraId="7521F744">
            <w:pPr>
              <w:snapToGrid w:val="0"/>
              <w:spacing w:line="360" w:lineRule="exact"/>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项</w:t>
            </w:r>
          </w:p>
        </w:tc>
        <w:tc>
          <w:tcPr>
            <w:tcW w:w="4625" w:type="dxa"/>
            <w:tcBorders>
              <w:top w:val="single" w:color="auto" w:sz="4" w:space="0"/>
              <w:left w:val="single" w:color="auto" w:sz="4" w:space="0"/>
              <w:bottom w:val="single" w:color="auto" w:sz="4" w:space="0"/>
              <w:right w:val="single" w:color="auto" w:sz="4" w:space="0"/>
            </w:tcBorders>
            <w:vAlign w:val="center"/>
          </w:tcPr>
          <w:p w14:paraId="3317D7FA">
            <w:pPr>
              <w:snapToGrid w:val="0"/>
              <w:spacing w:line="360" w:lineRule="exact"/>
              <w:rPr>
                <w:rFonts w:ascii="宋体" w:hAnsi="宋体"/>
                <w:color w:val="auto"/>
                <w:szCs w:val="21"/>
                <w:highlight w:val="none"/>
              </w:rPr>
            </w:pPr>
            <w:r>
              <w:rPr>
                <w:rFonts w:hint="eastAsia" w:ascii="宋体" w:hAnsi="宋体"/>
                <w:color w:val="auto"/>
                <w:szCs w:val="21"/>
                <w:highlight w:val="none"/>
              </w:rPr>
              <w:t>包含水泥蚝桩拆除、废弃蚝堆拆除、渔箔拆除等；具体内容</w:t>
            </w:r>
            <w:r>
              <w:rPr>
                <w:rFonts w:ascii="宋体" w:hAnsi="宋体"/>
                <w:color w:val="auto"/>
                <w:szCs w:val="21"/>
                <w:highlight w:val="none"/>
              </w:rPr>
              <w:t>详见竞争性磋商文件</w:t>
            </w:r>
            <w:r>
              <w:rPr>
                <w:rFonts w:hint="eastAsia" w:ascii="宋体" w:hAnsi="宋体"/>
                <w:color w:val="auto"/>
                <w:szCs w:val="21"/>
                <w:highlight w:val="none"/>
              </w:rPr>
              <w:t>。</w:t>
            </w:r>
          </w:p>
        </w:tc>
      </w:tr>
    </w:tbl>
    <w:p w14:paraId="11B7E6FD">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合同履行期限：自合同签订之日起</w:t>
      </w:r>
      <w:r>
        <w:rPr>
          <w:rFonts w:hint="eastAsia" w:ascii="宋体" w:hAnsi="宋体"/>
          <w:color w:val="auto"/>
          <w:szCs w:val="21"/>
          <w:highlight w:val="none"/>
          <w:lang w:eastAsia="zh-CN"/>
        </w:rPr>
        <w:t>3个月</w:t>
      </w:r>
      <w:r>
        <w:rPr>
          <w:rFonts w:hint="eastAsia" w:ascii="宋体" w:hAnsi="宋体"/>
          <w:color w:val="auto"/>
          <w:szCs w:val="21"/>
          <w:highlight w:val="none"/>
        </w:rPr>
        <w:t>内完成整治工作，并达到验收条件。</w:t>
      </w:r>
    </w:p>
    <w:p w14:paraId="57252B16">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本项目否接受联合体。</w:t>
      </w:r>
    </w:p>
    <w:p w14:paraId="47F2C727">
      <w:pPr>
        <w:spacing w:line="360" w:lineRule="exact"/>
        <w:ind w:firstLine="354" w:firstLineChars="147"/>
        <w:rPr>
          <w:rFonts w:ascii="黑体" w:hAnsi="黑体" w:eastAsia="黑体"/>
          <w:b/>
          <w:color w:val="auto"/>
          <w:sz w:val="24"/>
          <w:highlight w:val="none"/>
        </w:rPr>
      </w:pPr>
      <w:bookmarkStart w:id="8" w:name="_Toc35393799"/>
      <w:bookmarkStart w:id="9" w:name="_Toc44229879"/>
      <w:bookmarkStart w:id="10" w:name="_Toc35393630"/>
      <w:bookmarkStart w:id="11" w:name="_Toc71365906"/>
      <w:bookmarkStart w:id="12" w:name="_Toc28359013"/>
      <w:bookmarkStart w:id="13" w:name="_Toc28359090"/>
      <w:r>
        <w:rPr>
          <w:rFonts w:hint="eastAsia" w:ascii="黑体" w:hAnsi="黑体" w:eastAsia="黑体"/>
          <w:b/>
          <w:color w:val="auto"/>
          <w:sz w:val="24"/>
          <w:highlight w:val="none"/>
        </w:rPr>
        <w:t>二、申请人的资格条件</w:t>
      </w:r>
      <w:bookmarkEnd w:id="8"/>
      <w:bookmarkEnd w:id="9"/>
      <w:bookmarkEnd w:id="10"/>
      <w:bookmarkEnd w:id="11"/>
      <w:bookmarkEnd w:id="12"/>
      <w:bookmarkEnd w:id="13"/>
      <w:r>
        <w:rPr>
          <w:rFonts w:hint="eastAsia" w:ascii="黑体" w:hAnsi="黑体" w:eastAsia="黑体"/>
          <w:color w:val="auto"/>
          <w:sz w:val="24"/>
          <w:highlight w:val="none"/>
        </w:rPr>
        <w:t>：</w:t>
      </w:r>
    </w:p>
    <w:p w14:paraId="47CF0D0B">
      <w:pPr>
        <w:spacing w:line="360" w:lineRule="exact"/>
        <w:ind w:firstLine="420" w:firstLineChars="200"/>
        <w:rPr>
          <w:rFonts w:ascii="宋体" w:hAnsi="宋体"/>
          <w:color w:val="auto"/>
          <w:szCs w:val="21"/>
          <w:highlight w:val="none"/>
        </w:rPr>
      </w:pPr>
      <w:bookmarkStart w:id="14" w:name="_Toc28359091"/>
      <w:bookmarkStart w:id="15" w:name="_Toc35393800"/>
      <w:bookmarkStart w:id="16" w:name="_Toc44229880"/>
      <w:bookmarkStart w:id="17" w:name="_Toc28359014"/>
      <w:bookmarkStart w:id="18" w:name="_Toc35393631"/>
      <w:r>
        <w:rPr>
          <w:rFonts w:hint="eastAsia" w:ascii="宋体" w:hAnsi="宋体"/>
          <w:color w:val="auto"/>
          <w:szCs w:val="21"/>
          <w:highlight w:val="none"/>
        </w:rPr>
        <w:t>1.满足《中华人民共和国政府采购法》第二十二条规定；</w:t>
      </w:r>
    </w:p>
    <w:p w14:paraId="6D342BB8">
      <w:pPr>
        <w:spacing w:line="36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w:t>
      </w:r>
      <w:r>
        <w:rPr>
          <w:rFonts w:hint="eastAsia" w:ascii="宋体" w:hAnsi="宋体"/>
          <w:color w:val="auto"/>
          <w:szCs w:val="21"/>
          <w:highlight w:val="none"/>
          <w:u w:val="single"/>
        </w:rPr>
        <w:t>本项目为专门面向中小企业采购的项目,供应商应为中小微企业、监狱企业、残疾人福利性单位；</w:t>
      </w:r>
    </w:p>
    <w:p w14:paraId="057E320D">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3.本项目的特定资格要求：</w:t>
      </w:r>
      <w:r>
        <w:rPr>
          <w:rFonts w:hint="eastAsia" w:ascii="宋体" w:hAnsi="宋体"/>
          <w:color w:val="auto"/>
          <w:szCs w:val="21"/>
          <w:highlight w:val="none"/>
          <w:u w:val="single"/>
        </w:rPr>
        <w:t>无。</w:t>
      </w:r>
    </w:p>
    <w:p w14:paraId="5552C81B">
      <w:pPr>
        <w:spacing w:line="360" w:lineRule="exact"/>
        <w:ind w:firstLine="354" w:firstLineChars="147"/>
        <w:rPr>
          <w:rFonts w:ascii="黑体" w:hAnsi="黑体" w:eastAsia="黑体"/>
          <w:b/>
          <w:color w:val="auto"/>
          <w:sz w:val="24"/>
          <w:highlight w:val="none"/>
        </w:rPr>
      </w:pPr>
      <w:bookmarkStart w:id="19" w:name="_Toc71365907"/>
      <w:r>
        <w:rPr>
          <w:rFonts w:hint="eastAsia" w:ascii="黑体" w:hAnsi="黑体" w:eastAsia="黑体"/>
          <w:b/>
          <w:color w:val="auto"/>
          <w:sz w:val="24"/>
          <w:highlight w:val="none"/>
        </w:rPr>
        <w:t>三、获取竞争性磋商文件</w:t>
      </w:r>
      <w:bookmarkEnd w:id="14"/>
      <w:bookmarkEnd w:id="15"/>
      <w:bookmarkEnd w:id="16"/>
      <w:bookmarkEnd w:id="17"/>
      <w:bookmarkEnd w:id="18"/>
      <w:bookmarkEnd w:id="19"/>
    </w:p>
    <w:p w14:paraId="63D3942A">
      <w:pPr>
        <w:spacing w:line="360" w:lineRule="exact"/>
        <w:ind w:firstLine="420" w:firstLineChars="200"/>
        <w:rPr>
          <w:rFonts w:ascii="宋体" w:hAnsi="宋体" w:cs="宋体"/>
          <w:bCs/>
          <w:color w:val="auto"/>
          <w:kern w:val="0"/>
          <w:szCs w:val="21"/>
          <w:highlight w:val="none"/>
        </w:rPr>
      </w:pPr>
      <w:bookmarkStart w:id="20" w:name="_Toc35393801"/>
      <w:bookmarkStart w:id="21" w:name="_Toc28359015"/>
      <w:bookmarkStart w:id="22" w:name="_Toc35393632"/>
      <w:bookmarkStart w:id="23" w:name="_Toc28359092"/>
      <w:bookmarkStart w:id="24" w:name="_Toc44229881"/>
      <w:r>
        <w:rPr>
          <w:rFonts w:hint="eastAsia" w:ascii="宋体" w:hAnsi="宋体" w:cs="宋体"/>
          <w:bCs/>
          <w:color w:val="auto"/>
          <w:kern w:val="0"/>
          <w:szCs w:val="21"/>
          <w:highlight w:val="none"/>
        </w:rPr>
        <w:t>时间：</w:t>
      </w:r>
      <w:r>
        <w:rPr>
          <w:rFonts w:hint="eastAsia" w:ascii="宋体" w:hAnsi="宋体" w:cs="宋体"/>
          <w:bCs/>
          <w:color w:val="auto"/>
          <w:kern w:val="0"/>
          <w:szCs w:val="21"/>
          <w:highlight w:val="none"/>
          <w:u w:val="single"/>
        </w:rPr>
        <w:t>2025年6月13日至</w:t>
      </w:r>
      <w:r>
        <w:rPr>
          <w:rFonts w:hint="eastAsia" w:ascii="宋体" w:hAnsi="宋体"/>
          <w:bCs/>
          <w:color w:val="auto"/>
          <w:szCs w:val="21"/>
          <w:highlight w:val="none"/>
          <w:u w:val="single"/>
        </w:rPr>
        <w:t>2025年6月20日</w:t>
      </w:r>
      <w:r>
        <w:rPr>
          <w:rFonts w:hint="eastAsia" w:ascii="宋体" w:hAnsi="宋体" w:cs="宋体"/>
          <w:bCs/>
          <w:color w:val="auto"/>
          <w:kern w:val="0"/>
          <w:szCs w:val="21"/>
          <w:highlight w:val="none"/>
        </w:rPr>
        <w:t>，每天上午</w:t>
      </w:r>
      <w:r>
        <w:rPr>
          <w:rFonts w:hint="eastAsia" w:ascii="宋体" w:hAnsi="宋体" w:cs="宋体"/>
          <w:bCs/>
          <w:color w:val="auto"/>
          <w:kern w:val="0"/>
          <w:szCs w:val="21"/>
          <w:highlight w:val="none"/>
          <w:u w:val="single"/>
        </w:rPr>
        <w:t>00：00</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1</w:t>
      </w:r>
      <w:r>
        <w:rPr>
          <w:rFonts w:ascii="宋体" w:hAnsi="宋体" w:cs="宋体"/>
          <w:bCs/>
          <w:color w:val="auto"/>
          <w:kern w:val="0"/>
          <w:szCs w:val="21"/>
          <w:highlight w:val="none"/>
          <w:u w:val="single"/>
        </w:rPr>
        <w:t>2</w:t>
      </w:r>
      <w:r>
        <w:rPr>
          <w:rFonts w:hint="eastAsia" w:ascii="宋体" w:hAnsi="宋体" w:cs="宋体"/>
          <w:bCs/>
          <w:color w:val="auto"/>
          <w:kern w:val="0"/>
          <w:szCs w:val="21"/>
          <w:highlight w:val="none"/>
          <w:u w:val="single"/>
        </w:rPr>
        <w:t>：00</w:t>
      </w:r>
      <w:r>
        <w:rPr>
          <w:rFonts w:hint="eastAsia" w:ascii="宋体" w:hAnsi="宋体" w:cs="宋体"/>
          <w:bCs/>
          <w:color w:val="auto"/>
          <w:kern w:val="0"/>
          <w:szCs w:val="21"/>
          <w:highlight w:val="none"/>
        </w:rPr>
        <w:t>，下午</w:t>
      </w:r>
      <w:r>
        <w:rPr>
          <w:rFonts w:hint="eastAsia" w:ascii="宋体" w:hAnsi="宋体" w:cs="宋体"/>
          <w:bCs/>
          <w:color w:val="auto"/>
          <w:kern w:val="0"/>
          <w:szCs w:val="21"/>
          <w:highlight w:val="none"/>
          <w:u w:val="single"/>
        </w:rPr>
        <w:t>12：00</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23：59</w:t>
      </w:r>
      <w:r>
        <w:rPr>
          <w:rFonts w:hint="eastAsia" w:ascii="宋体" w:hAnsi="宋体" w:cs="宋体"/>
          <w:bCs/>
          <w:color w:val="auto"/>
          <w:kern w:val="0"/>
          <w:szCs w:val="21"/>
          <w:highlight w:val="none"/>
        </w:rPr>
        <w:t>（北京时间，</w:t>
      </w:r>
      <w:r>
        <w:rPr>
          <w:rFonts w:ascii="宋体" w:hAnsi="宋体" w:cs="宋体"/>
          <w:bCs/>
          <w:color w:val="auto"/>
          <w:kern w:val="0"/>
          <w:szCs w:val="21"/>
          <w:highlight w:val="none"/>
        </w:rPr>
        <w:t>法定节假日</w:t>
      </w:r>
      <w:r>
        <w:rPr>
          <w:rFonts w:hint="eastAsia" w:ascii="宋体" w:hAnsi="宋体" w:cs="宋体"/>
          <w:bCs/>
          <w:color w:val="auto"/>
          <w:kern w:val="0"/>
          <w:szCs w:val="21"/>
          <w:highlight w:val="none"/>
        </w:rPr>
        <w:t>除外）</w:t>
      </w:r>
    </w:p>
    <w:p w14:paraId="46E7FFBA">
      <w:pPr>
        <w:spacing w:line="36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地点：广西政府采购云平台（https：//www.gcy.zfcg.gxzf.gov.cn/）</w:t>
      </w:r>
    </w:p>
    <w:p w14:paraId="4D4A4EB2">
      <w:pPr>
        <w:spacing w:line="36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提供纸质文件，潜在供应商需使用账号登录或者使用CA登录广西政府采购云平台（https：//www.gcy.zfcg.gxzf.gov.cn/）-进入“项目采购”应用，在获取采购文件菜单中选择项目，获取竞争性磋商文件。</w:t>
      </w:r>
      <w:r>
        <w:rPr>
          <w:rFonts w:hint="eastAsia" w:ascii="宋体" w:hAnsi="宋体"/>
          <w:color w:val="auto"/>
          <w:szCs w:val="21"/>
          <w:highlight w:val="none"/>
        </w:rPr>
        <w:t>电子</w:t>
      </w:r>
      <w:r>
        <w:rPr>
          <w:rFonts w:hint="eastAsia"/>
          <w:color w:val="auto"/>
          <w:highlight w:val="none"/>
        </w:rPr>
        <w:t>响应文件</w:t>
      </w:r>
      <w:r>
        <w:rPr>
          <w:rFonts w:hint="eastAsia" w:ascii="宋体" w:hAnsi="宋体"/>
          <w:color w:val="auto"/>
          <w:szCs w:val="21"/>
          <w:highlight w:val="none"/>
        </w:rPr>
        <w:t>制作需要基于广西政府采购云平台获取的磋商文件编制，</w:t>
      </w:r>
      <w:r>
        <w:rPr>
          <w:rFonts w:hint="eastAsia" w:ascii="宋体" w:hAnsi="宋体" w:cs="宋体"/>
          <w:bCs/>
          <w:color w:val="auto"/>
          <w:kern w:val="0"/>
          <w:szCs w:val="21"/>
          <w:highlight w:val="none"/>
        </w:rPr>
        <w:t>通过其他方式获取磋商文件的，将有可能导致供应商无法在广西政府采购云平台编制及上传响应文件。</w:t>
      </w:r>
    </w:p>
    <w:p w14:paraId="36B9F17C">
      <w:pPr>
        <w:spacing w:line="360" w:lineRule="exact"/>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售价：</w:t>
      </w:r>
      <w:r>
        <w:rPr>
          <w:rFonts w:hint="eastAsia" w:ascii="宋体" w:hAnsi="宋体" w:cs="宋体"/>
          <w:color w:val="auto"/>
          <w:szCs w:val="21"/>
          <w:highlight w:val="none"/>
          <w:u w:val="single"/>
        </w:rPr>
        <w:t>0</w:t>
      </w:r>
      <w:r>
        <w:rPr>
          <w:rFonts w:hint="eastAsia" w:ascii="宋体" w:hAnsi="宋体" w:cs="宋体"/>
          <w:color w:val="auto"/>
          <w:szCs w:val="21"/>
          <w:highlight w:val="none"/>
        </w:rPr>
        <w:t>元</w:t>
      </w:r>
    </w:p>
    <w:p w14:paraId="1671EE54">
      <w:pPr>
        <w:spacing w:line="360" w:lineRule="exact"/>
        <w:ind w:firstLine="354" w:firstLineChars="147"/>
        <w:rPr>
          <w:rFonts w:ascii="黑体" w:hAnsi="黑体" w:eastAsia="黑体"/>
          <w:b/>
          <w:color w:val="auto"/>
          <w:sz w:val="24"/>
          <w:highlight w:val="none"/>
        </w:rPr>
      </w:pPr>
      <w:bookmarkStart w:id="25" w:name="_Toc71365908"/>
      <w:r>
        <w:rPr>
          <w:rFonts w:hint="eastAsia" w:ascii="黑体" w:hAnsi="黑体" w:eastAsia="黑体"/>
          <w:b/>
          <w:color w:val="auto"/>
          <w:sz w:val="24"/>
          <w:highlight w:val="none"/>
        </w:rPr>
        <w:t>四、响应文件提交</w:t>
      </w:r>
      <w:bookmarkEnd w:id="20"/>
      <w:bookmarkEnd w:id="21"/>
      <w:bookmarkEnd w:id="22"/>
      <w:bookmarkEnd w:id="23"/>
      <w:bookmarkEnd w:id="24"/>
      <w:bookmarkEnd w:id="25"/>
    </w:p>
    <w:p w14:paraId="2BD0BC8C">
      <w:pPr>
        <w:spacing w:line="360" w:lineRule="exact"/>
        <w:ind w:firstLine="420" w:firstLineChars="200"/>
        <w:rPr>
          <w:rFonts w:ascii="宋体" w:hAnsi="宋体" w:cs="宋体"/>
          <w:color w:val="auto"/>
          <w:szCs w:val="21"/>
          <w:highlight w:val="none"/>
          <w:u w:val="single"/>
        </w:rPr>
      </w:pPr>
      <w:bookmarkStart w:id="26" w:name="_Toc28359016"/>
      <w:bookmarkStart w:id="27" w:name="_Toc35393633"/>
      <w:bookmarkStart w:id="28" w:name="_Toc28359093"/>
      <w:bookmarkStart w:id="29" w:name="_Toc35393802"/>
      <w:bookmarkStart w:id="30" w:name="_Toc44229882"/>
      <w:r>
        <w:rPr>
          <w:rFonts w:hint="eastAsia" w:ascii="宋体" w:hAnsi="宋体"/>
          <w:color w:val="auto"/>
          <w:szCs w:val="21"/>
          <w:highlight w:val="none"/>
        </w:rPr>
        <w:t>截止时间：</w:t>
      </w:r>
      <w:r>
        <w:rPr>
          <w:rFonts w:hint="eastAsia" w:ascii="宋体" w:hAnsi="宋体"/>
          <w:bCs/>
          <w:color w:val="auto"/>
          <w:szCs w:val="21"/>
          <w:highlight w:val="none"/>
          <w:u w:val="single"/>
        </w:rPr>
        <w:t>2025年6月24日9时00分</w:t>
      </w:r>
      <w:r>
        <w:rPr>
          <w:rFonts w:hint="eastAsia" w:ascii="宋体" w:hAnsi="宋体"/>
          <w:bCs/>
          <w:color w:val="auto"/>
          <w:szCs w:val="21"/>
          <w:highlight w:val="none"/>
        </w:rPr>
        <w:t>（北京时间）</w:t>
      </w:r>
    </w:p>
    <w:p w14:paraId="01DE0AE6">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地点：广西政府采购云平台</w:t>
      </w:r>
      <w:r>
        <w:rPr>
          <w:rFonts w:hint="eastAsia" w:ascii="宋体" w:hAnsi="宋体" w:cs="宋体"/>
          <w:bCs/>
          <w:color w:val="auto"/>
          <w:kern w:val="0"/>
          <w:szCs w:val="21"/>
          <w:highlight w:val="none"/>
        </w:rPr>
        <w:t>（https：//www.gcy.zfcg.gxzf.gov.cn/）</w:t>
      </w:r>
    </w:p>
    <w:p w14:paraId="3E54CA55">
      <w:pPr>
        <w:spacing w:line="360" w:lineRule="exact"/>
        <w:ind w:firstLine="354" w:firstLineChars="147"/>
        <w:rPr>
          <w:rFonts w:ascii="黑体" w:hAnsi="黑体" w:eastAsia="黑体"/>
          <w:b/>
          <w:color w:val="auto"/>
          <w:sz w:val="24"/>
          <w:highlight w:val="none"/>
        </w:rPr>
      </w:pPr>
      <w:bookmarkStart w:id="31" w:name="_Toc71365909"/>
      <w:r>
        <w:rPr>
          <w:rFonts w:hint="eastAsia" w:ascii="黑体" w:hAnsi="黑体" w:eastAsia="黑体"/>
          <w:b/>
          <w:color w:val="auto"/>
          <w:sz w:val="24"/>
          <w:highlight w:val="none"/>
        </w:rPr>
        <w:t>五、开启</w:t>
      </w:r>
      <w:bookmarkEnd w:id="26"/>
      <w:bookmarkEnd w:id="27"/>
      <w:bookmarkEnd w:id="28"/>
      <w:bookmarkEnd w:id="29"/>
      <w:bookmarkEnd w:id="30"/>
      <w:bookmarkEnd w:id="31"/>
    </w:p>
    <w:p w14:paraId="55E3023C">
      <w:pPr>
        <w:spacing w:line="360" w:lineRule="exact"/>
        <w:ind w:firstLine="420" w:firstLineChars="200"/>
        <w:rPr>
          <w:rFonts w:ascii="宋体" w:hAnsi="宋体"/>
          <w:bCs/>
          <w:color w:val="auto"/>
          <w:szCs w:val="21"/>
          <w:highlight w:val="none"/>
          <w:u w:val="singl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时间：</w:t>
      </w:r>
      <w:r>
        <w:rPr>
          <w:rFonts w:hint="eastAsia" w:ascii="宋体" w:hAnsi="宋体"/>
          <w:color w:val="auto"/>
          <w:szCs w:val="21"/>
          <w:highlight w:val="none"/>
          <w:u w:val="single"/>
        </w:rPr>
        <w:t>2025年6月24日9时00分</w:t>
      </w:r>
      <w:r>
        <w:rPr>
          <w:rFonts w:hint="eastAsia" w:ascii="宋体" w:hAnsi="宋体"/>
          <w:bCs/>
          <w:color w:val="auto"/>
          <w:szCs w:val="21"/>
          <w:highlight w:val="none"/>
        </w:rPr>
        <w:t>（北京时间）</w:t>
      </w:r>
    </w:p>
    <w:p w14:paraId="00D9A319">
      <w:pPr>
        <w:spacing w:line="360" w:lineRule="exact"/>
        <w:ind w:firstLine="420" w:firstLineChars="200"/>
        <w:rPr>
          <w:rFonts w:ascii="宋体" w:hAnsi="宋体"/>
          <w:bCs/>
          <w:color w:val="auto"/>
          <w:szCs w:val="21"/>
          <w:highlight w:val="none"/>
          <w:u w:val="singl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地点：广西政府采购云平台</w:t>
      </w:r>
      <w:r>
        <w:rPr>
          <w:rFonts w:hint="eastAsia" w:ascii="宋体" w:hAnsi="宋体" w:cs="宋体"/>
          <w:bCs/>
          <w:color w:val="auto"/>
          <w:kern w:val="0"/>
          <w:szCs w:val="21"/>
          <w:highlight w:val="none"/>
        </w:rPr>
        <w:t>（https：//www.gcy.zfcg.gxzf.gov.cn/）</w:t>
      </w:r>
    </w:p>
    <w:p w14:paraId="3852ADC1">
      <w:pPr>
        <w:spacing w:line="360" w:lineRule="exact"/>
        <w:ind w:firstLine="354" w:firstLineChars="147"/>
        <w:rPr>
          <w:rFonts w:ascii="黑体" w:hAnsi="黑体" w:eastAsia="黑体"/>
          <w:b/>
          <w:color w:val="auto"/>
          <w:sz w:val="24"/>
          <w:highlight w:val="none"/>
        </w:rPr>
      </w:pPr>
      <w:bookmarkStart w:id="32" w:name="_Toc28359094"/>
      <w:bookmarkStart w:id="33" w:name="_Toc71365910"/>
      <w:bookmarkStart w:id="34" w:name="_Toc28359017"/>
      <w:bookmarkStart w:id="35" w:name="_Toc35393803"/>
      <w:bookmarkStart w:id="36" w:name="_Toc35393634"/>
      <w:bookmarkStart w:id="37" w:name="_Toc44229883"/>
      <w:r>
        <w:rPr>
          <w:rFonts w:hint="eastAsia" w:ascii="黑体" w:hAnsi="黑体" w:eastAsia="黑体"/>
          <w:b/>
          <w:color w:val="auto"/>
          <w:sz w:val="24"/>
          <w:highlight w:val="none"/>
        </w:rPr>
        <w:t>六、公告期限</w:t>
      </w:r>
      <w:bookmarkEnd w:id="32"/>
      <w:bookmarkEnd w:id="33"/>
      <w:bookmarkEnd w:id="34"/>
      <w:bookmarkEnd w:id="35"/>
      <w:bookmarkEnd w:id="36"/>
      <w:bookmarkEnd w:id="37"/>
    </w:p>
    <w:p w14:paraId="56E09D61">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0202767F">
      <w:pPr>
        <w:spacing w:line="360" w:lineRule="exact"/>
        <w:ind w:firstLine="354" w:firstLineChars="147"/>
        <w:rPr>
          <w:rFonts w:ascii="黑体" w:hAnsi="黑体" w:eastAsia="黑体"/>
          <w:b/>
          <w:color w:val="auto"/>
          <w:sz w:val="24"/>
          <w:highlight w:val="none"/>
        </w:rPr>
      </w:pPr>
      <w:bookmarkStart w:id="38" w:name="_Toc44229884"/>
      <w:bookmarkStart w:id="39" w:name="_Toc71365911"/>
      <w:bookmarkStart w:id="40" w:name="_Toc35393804"/>
      <w:bookmarkStart w:id="41" w:name="_Toc35393635"/>
      <w:r>
        <w:rPr>
          <w:rFonts w:hint="eastAsia" w:ascii="黑体" w:hAnsi="黑体" w:eastAsia="黑体"/>
          <w:b/>
          <w:color w:val="auto"/>
          <w:sz w:val="24"/>
          <w:highlight w:val="none"/>
        </w:rPr>
        <w:t>七、其他补充事宜</w:t>
      </w:r>
      <w:bookmarkEnd w:id="38"/>
      <w:bookmarkEnd w:id="39"/>
      <w:bookmarkEnd w:id="40"/>
      <w:bookmarkEnd w:id="41"/>
    </w:p>
    <w:p w14:paraId="33889AF6">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w:t>
      </w:r>
      <w:r>
        <w:rPr>
          <w:rFonts w:hint="eastAsia" w:ascii="宋体" w:hAnsi="宋体" w:cs="宋体"/>
          <w:color w:val="auto"/>
          <w:kern w:val="0"/>
          <w:szCs w:val="21"/>
          <w:highlight w:val="none"/>
        </w:rPr>
        <w:t>网上查询地址</w:t>
      </w:r>
    </w:p>
    <w:p w14:paraId="1AADAB62">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www.ccgp.gov.cn（中国政府采购网）、zfcg.gxzf.gov.cn（广西壮族自治区政府采购网）</w:t>
      </w:r>
    </w:p>
    <w:p w14:paraId="13949B2E">
      <w:pPr>
        <w:spacing w:line="360" w:lineRule="exact"/>
        <w:ind w:firstLine="424" w:firstLineChars="202"/>
        <w:rPr>
          <w:rFonts w:ascii="宋体" w:hAnsi="宋体" w:cs="宋体"/>
          <w:color w:val="auto"/>
          <w:kern w:val="0"/>
          <w:szCs w:val="21"/>
          <w:highlight w:val="none"/>
        </w:rPr>
      </w:pPr>
      <w:bookmarkStart w:id="42" w:name="_Hlk37429674"/>
      <w:bookmarkStart w:id="43" w:name="_Toc28359095"/>
      <w:bookmarkStart w:id="44" w:name="_Toc44229885"/>
      <w:bookmarkStart w:id="45" w:name="_Toc35393636"/>
      <w:bookmarkStart w:id="46" w:name="_Toc28359018"/>
      <w:bookmarkStart w:id="47" w:name="_Toc35393805"/>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s="宋体"/>
          <w:color w:val="auto"/>
          <w:kern w:val="0"/>
          <w:szCs w:val="21"/>
          <w:highlight w:val="none"/>
        </w:rPr>
        <w:t>本项目需要落实的政府采购政策</w:t>
      </w:r>
    </w:p>
    <w:p w14:paraId="4711FF9D">
      <w:pPr>
        <w:spacing w:line="360" w:lineRule="exact"/>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（1）政府采购促进中小企业发展。</w:t>
      </w:r>
    </w:p>
    <w:p w14:paraId="188803F4">
      <w:pPr>
        <w:spacing w:line="360" w:lineRule="exact"/>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（2）政府采购支持采用本国产品的政策。</w:t>
      </w:r>
    </w:p>
    <w:p w14:paraId="350C59EB">
      <w:pPr>
        <w:spacing w:line="360" w:lineRule="exact"/>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（3）强制采购节能产品；优先采购节能产品、环境标志产品。</w:t>
      </w:r>
    </w:p>
    <w:p w14:paraId="35E261A4">
      <w:pPr>
        <w:spacing w:line="360" w:lineRule="exact"/>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（4）政府采购促进残疾人就业政策。</w:t>
      </w:r>
    </w:p>
    <w:p w14:paraId="48C89F2D">
      <w:pPr>
        <w:spacing w:line="360" w:lineRule="exact"/>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（5）政府采购支持监狱企业发展。</w:t>
      </w:r>
    </w:p>
    <w:bookmarkEnd w:id="42"/>
    <w:p w14:paraId="538F6FF1">
      <w:pPr>
        <w:widowControl/>
        <w:spacing w:line="360" w:lineRule="exact"/>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3.供应商</w:t>
      </w:r>
      <w:r>
        <w:rPr>
          <w:rFonts w:hint="eastAsia" w:ascii="宋体" w:hAnsi="宋体"/>
          <w:color w:val="auto"/>
          <w:szCs w:val="21"/>
          <w:highlight w:val="none"/>
        </w:rPr>
        <w:t>竞标注意事项</w:t>
      </w:r>
    </w:p>
    <w:p w14:paraId="40C64E49">
      <w:pPr>
        <w:widowControl/>
        <w:wordWrap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广西政府采购云平台（加密的电子响应文件是指</w:t>
      </w:r>
      <w:r>
        <w:rPr>
          <w:rFonts w:hint="eastAsia"/>
          <w:color w:val="auto"/>
          <w:highlight w:val="none"/>
        </w:rPr>
        <w:t>后缀名为“jm</w:t>
      </w:r>
      <w:r>
        <w:rPr>
          <w:color w:val="auto"/>
          <w:highlight w:val="none"/>
        </w:rPr>
        <w:t>bs</w:t>
      </w:r>
      <w:r>
        <w:rPr>
          <w:rFonts w:hint="eastAsia"/>
          <w:color w:val="auto"/>
          <w:highlight w:val="none"/>
        </w:rPr>
        <w:t>”的文件</w:t>
      </w:r>
      <w:r>
        <w:rPr>
          <w:rFonts w:hint="eastAsia" w:ascii="宋体" w:hAnsi="宋体"/>
          <w:color w:val="auto"/>
          <w:szCs w:val="21"/>
          <w:highlight w:val="none"/>
        </w:rPr>
        <w:t>），</w:t>
      </w:r>
      <w:r>
        <w:rPr>
          <w:rFonts w:hint="eastAsia" w:ascii="宋体" w:hAnsi="宋体"/>
          <w:b/>
          <w:color w:val="auto"/>
          <w:szCs w:val="21"/>
          <w:highlight w:val="none"/>
        </w:rPr>
        <w:t>供应商在广西政府采购云平台提交电子响应文件时，请填写参加远程采购活动经办人联系方式。</w:t>
      </w:r>
      <w:r>
        <w:rPr>
          <w:rFonts w:hint="eastAsia" w:ascii="宋体" w:hAnsi="宋体"/>
          <w:color w:val="auto"/>
          <w:szCs w:val="21"/>
          <w:highlight w:val="none"/>
        </w:rPr>
        <w:t>供应商登录广西政府采购云平台，依次进入“服务中心-项目采购-操作流程-电子招投标-</w:t>
      </w:r>
      <w:r>
        <w:rPr>
          <w:rFonts w:hint="eastAsia"/>
          <w:color w:val="auto"/>
          <w:highlight w:val="none"/>
        </w:rPr>
        <w:t>政府采购项目电子交易管理操作指南</w:t>
      </w:r>
      <w:r>
        <w:rPr>
          <w:color w:val="auto"/>
          <w:highlight w:val="none"/>
        </w:rPr>
        <w:t>-</w:t>
      </w:r>
      <w:r>
        <w:rPr>
          <w:rFonts w:hint="eastAsia"/>
          <w:color w:val="auto"/>
          <w:highlight w:val="none"/>
        </w:rPr>
        <w:t>供应商</w:t>
      </w:r>
      <w:r>
        <w:rPr>
          <w:rFonts w:hint="eastAsia" w:ascii="宋体" w:hAnsi="宋体"/>
          <w:color w:val="auto"/>
          <w:szCs w:val="21"/>
          <w:highlight w:val="none"/>
        </w:rPr>
        <w:t>”查看电子竞标具体操作流程。</w:t>
      </w:r>
    </w:p>
    <w:p w14:paraId="12B62947">
      <w:pPr>
        <w:widowControl/>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依次进入“服务中心-入驻与配置”中查看CA数字证书办理操作流程。</w:t>
      </w:r>
      <w:r>
        <w:rPr>
          <w:rFonts w:hint="eastAsia" w:ascii="宋体" w:hAnsi="宋体" w:cs="宋体"/>
          <w:bCs/>
          <w:color w:val="auto"/>
          <w:kern w:val="0"/>
          <w:szCs w:val="21"/>
          <w:highlight w:val="none"/>
        </w:rPr>
        <w:t>如在操作过程中遇到问题或者需要技术支持，请致电客服热线：95763或者0771-3381253</w:t>
      </w:r>
      <w:r>
        <w:rPr>
          <w:rFonts w:hint="eastAsia" w:ascii="宋体" w:hAnsi="宋体"/>
          <w:color w:val="auto"/>
          <w:szCs w:val="21"/>
          <w:highlight w:val="none"/>
        </w:rPr>
        <w:t>）。</w:t>
      </w:r>
    </w:p>
    <w:p w14:paraId="715A4BB4">
      <w:pPr>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30171A19">
      <w:pPr>
        <w:widowControl/>
        <w:spacing w:line="360" w:lineRule="exact"/>
        <w:ind w:firstLine="420" w:firstLineChars="200"/>
        <w:jc w:val="left"/>
        <w:rPr>
          <w:rFonts w:ascii="宋体" w:hAnsi="宋体"/>
          <w:bCs/>
          <w:color w:val="auto"/>
          <w:szCs w:val="21"/>
          <w:highlight w:val="none"/>
        </w:rPr>
      </w:pPr>
      <w:r>
        <w:rPr>
          <w:rFonts w:hint="eastAsia" w:ascii="宋体" w:hAnsi="宋体"/>
          <w:color w:val="auto"/>
          <w:szCs w:val="21"/>
          <w:highlight w:val="none"/>
        </w:rPr>
        <w:t>注：1）为确保网上操作合法、有效和安全，请供应商确保在电子竞标过程中能够对相关数据电文进行加密和使用电子签章，妥善保管CA数字证书并使用有效的CA数字证书参与整个采购活动。2）</w:t>
      </w:r>
      <w:r>
        <w:rPr>
          <w:rFonts w:hint="eastAsia" w:ascii="宋体" w:hAnsi="宋体"/>
          <w:bCs/>
          <w:color w:val="auto"/>
          <w:szCs w:val="21"/>
          <w:highlight w:val="none"/>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01510588">
      <w:pPr>
        <w:spacing w:line="360" w:lineRule="exact"/>
        <w:ind w:firstLine="420" w:firstLineChars="200"/>
        <w:rPr>
          <w:rFonts w:ascii="宋体" w:hAnsi="宋体"/>
          <w:color w:val="auto"/>
          <w:szCs w:val="21"/>
          <w:highlight w:val="none"/>
          <w:u w:val="single"/>
        </w:rPr>
      </w:pPr>
      <w:r>
        <w:rPr>
          <w:rFonts w:hint="eastAsia" w:ascii="宋体" w:hAnsi="宋体" w:cs="宋体"/>
          <w:color w:val="auto"/>
          <w:kern w:val="0"/>
          <w:szCs w:val="21"/>
          <w:highlight w:val="none"/>
        </w:rPr>
        <w:t>（4）供应商需要在具备有摄像头及语音功能且互联网网络状况良好的电脑登录广西政府采购云平台远程开标大厅参与本次磋商，否则后果自负。</w:t>
      </w:r>
    </w:p>
    <w:p w14:paraId="1C4DDAB8">
      <w:pPr>
        <w:adjustRightInd w:val="0"/>
        <w:snapToGrid w:val="0"/>
        <w:spacing w:line="360" w:lineRule="exact"/>
        <w:ind w:firstLine="420" w:firstLineChars="200"/>
        <w:rPr>
          <w:rFonts w:ascii="宋体" w:hAnsi="宋体" w:cs="宋体"/>
          <w:bCs/>
          <w:color w:val="auto"/>
          <w:kern w:val="0"/>
          <w:szCs w:val="21"/>
          <w:highlight w:val="none"/>
        </w:rPr>
      </w:pPr>
      <w:r>
        <w:rPr>
          <w:rFonts w:hint="eastAsia" w:ascii="宋体" w:hAnsi="宋体" w:cs="宋体"/>
          <w:bCs/>
          <w:color w:val="auto"/>
          <w:szCs w:val="21"/>
          <w:highlight w:val="none"/>
        </w:rPr>
        <w:t>4.</w:t>
      </w:r>
      <w:r>
        <w:rPr>
          <w:rFonts w:hint="eastAsia" w:ascii="宋体" w:hAnsi="宋体" w:cs="宋体"/>
          <w:bCs/>
          <w:color w:val="auto"/>
          <w:kern w:val="0"/>
          <w:szCs w:val="21"/>
          <w:highlight w:val="none"/>
        </w:rPr>
        <w:t>磋商保证金：</w:t>
      </w:r>
      <w:r>
        <w:rPr>
          <w:rFonts w:hint="eastAsia" w:ascii="宋体" w:hAnsi="宋体" w:cs="宋体"/>
          <w:bCs/>
          <w:color w:val="auto"/>
          <w:kern w:val="0"/>
          <w:szCs w:val="21"/>
          <w:highlight w:val="none"/>
          <w:u w:val="single"/>
        </w:rPr>
        <w:t>人民币贰万陆仟元整（¥26000.00）。</w:t>
      </w:r>
    </w:p>
    <w:p w14:paraId="71CC940B">
      <w:pPr>
        <w:spacing w:line="360" w:lineRule="exact"/>
        <w:ind w:firstLine="420" w:firstLineChars="200"/>
        <w:rPr>
          <w:rFonts w:ascii="宋体" w:hAnsi="宋体" w:cs="宋体"/>
          <w:b/>
          <w:color w:val="auto"/>
          <w:kern w:val="0"/>
          <w:szCs w:val="21"/>
          <w:highlight w:val="none"/>
        </w:rPr>
      </w:pPr>
      <w:r>
        <w:rPr>
          <w:rFonts w:hint="eastAsia" w:ascii="宋体" w:hAnsi="宋体" w:cs="宋体"/>
          <w:bCs/>
          <w:color w:val="auto"/>
          <w:kern w:val="0"/>
          <w:szCs w:val="21"/>
          <w:highlight w:val="none"/>
        </w:rPr>
        <w:t>磋商保证金的形式：银行转账、支票、汇票、本票或者银行、保险机构出具的保函</w:t>
      </w:r>
      <w:r>
        <w:rPr>
          <w:rFonts w:hint="eastAsia" w:ascii="宋体" w:hAnsi="宋体" w:cs="宋体"/>
          <w:color w:val="auto"/>
          <w:kern w:val="0"/>
          <w:szCs w:val="21"/>
          <w:highlight w:val="none"/>
        </w:rPr>
        <w:t>（包含电子保函）</w:t>
      </w:r>
      <w:r>
        <w:rPr>
          <w:rFonts w:hint="eastAsia" w:ascii="宋体" w:hAnsi="宋体" w:cs="宋体"/>
          <w:bCs/>
          <w:color w:val="auto"/>
          <w:kern w:val="0"/>
          <w:szCs w:val="21"/>
          <w:highlight w:val="none"/>
        </w:rPr>
        <w:t>，禁止采用现钞方式。采用银行转账方式的，在响应文件提交截止时间前交到云之龙咨询集团有限公司指定账户并且到账</w:t>
      </w:r>
      <w:r>
        <w:rPr>
          <w:rFonts w:hint="eastAsia" w:ascii="宋体" w:hAnsi="宋体" w:cs="宋体"/>
          <w:bCs/>
          <w:color w:val="auto"/>
          <w:kern w:val="0"/>
          <w:szCs w:val="21"/>
          <w:highlight w:val="none"/>
          <w:u w:val="single"/>
        </w:rPr>
        <w:t>（账户名称：云之龙咨询集团有限公司北海分公司，开户银行：中信银行南宁东葛支行，</w:t>
      </w:r>
      <w:r>
        <w:rPr>
          <w:rFonts w:hint="eastAsia" w:ascii="宋体" w:hAnsi="宋体" w:cs="宋体"/>
          <w:color w:val="auto"/>
          <w:kern w:val="0"/>
          <w:szCs w:val="21"/>
          <w:highlight w:val="none"/>
          <w:u w:val="single"/>
        </w:rPr>
        <w:t>银行账号：8113001013400074639</w:t>
      </w:r>
      <w:r>
        <w:rPr>
          <w:rFonts w:hint="eastAsia" w:ascii="宋体" w:hAnsi="宋体" w:cs="宋体"/>
          <w:bCs/>
          <w:color w:val="auto"/>
          <w:kern w:val="0"/>
          <w:szCs w:val="21"/>
          <w:highlight w:val="none"/>
          <w:u w:val="single"/>
        </w:rPr>
        <w:t>）</w:t>
      </w:r>
      <w:r>
        <w:rPr>
          <w:rFonts w:hint="eastAsia" w:ascii="宋体" w:hAnsi="宋体" w:cs="宋体"/>
          <w:bCs/>
          <w:color w:val="auto"/>
          <w:kern w:val="0"/>
          <w:szCs w:val="21"/>
          <w:highlight w:val="none"/>
        </w:rPr>
        <w:t>；采用支票、汇票、本票或者保函等方式的，在响应文件提交截止时间前，供应商应当递交单独密封的支票、汇票、本票或者保函原件</w:t>
      </w:r>
      <w:r>
        <w:rPr>
          <w:rFonts w:hint="eastAsia" w:ascii="宋体" w:hAnsi="宋体" w:cs="宋体"/>
          <w:b/>
          <w:color w:val="auto"/>
          <w:kern w:val="0"/>
          <w:szCs w:val="21"/>
          <w:highlight w:val="none"/>
        </w:rPr>
        <w:t>。否则视为无效磋商保证金。</w:t>
      </w:r>
    </w:p>
    <w:p w14:paraId="50584F1C">
      <w:pPr>
        <w:spacing w:line="360" w:lineRule="exact"/>
        <w:ind w:firstLine="422" w:firstLineChars="200"/>
        <w:rPr>
          <w:rFonts w:ascii="宋体" w:hAnsi="宋体" w:cs="宋体"/>
          <w:color w:val="auto"/>
          <w:kern w:val="0"/>
          <w:szCs w:val="21"/>
          <w:highlight w:val="none"/>
        </w:rPr>
      </w:pPr>
      <w:r>
        <w:rPr>
          <w:rFonts w:hint="eastAsia" w:ascii="宋体" w:hAnsi="宋体" w:cs="宋体"/>
          <w:b/>
          <w:color w:val="auto"/>
          <w:kern w:val="0"/>
          <w:szCs w:val="21"/>
          <w:highlight w:val="none"/>
        </w:rPr>
        <w:t>5.本项目采用远程异地评标。</w:t>
      </w:r>
    </w:p>
    <w:p w14:paraId="66DFD6FC">
      <w:pPr>
        <w:spacing w:line="360" w:lineRule="exact"/>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八、凡对本次采购提出询问，请按</w:t>
      </w:r>
      <w:r>
        <w:rPr>
          <w:rFonts w:ascii="黑体" w:hAnsi="黑体" w:eastAsia="黑体"/>
          <w:b/>
          <w:color w:val="auto"/>
          <w:sz w:val="24"/>
          <w:highlight w:val="none"/>
        </w:rPr>
        <w:t>以下方式</w:t>
      </w:r>
      <w:r>
        <w:rPr>
          <w:rFonts w:hint="eastAsia" w:ascii="黑体" w:hAnsi="黑体" w:eastAsia="黑体"/>
          <w:b/>
          <w:color w:val="auto"/>
          <w:sz w:val="24"/>
          <w:highlight w:val="none"/>
        </w:rPr>
        <w:t>联系。</w:t>
      </w:r>
      <w:bookmarkEnd w:id="43"/>
      <w:bookmarkEnd w:id="44"/>
      <w:bookmarkEnd w:id="45"/>
      <w:bookmarkEnd w:id="46"/>
      <w:bookmarkEnd w:id="47"/>
    </w:p>
    <w:p w14:paraId="34477E61">
      <w:pPr>
        <w:spacing w:line="360" w:lineRule="exact"/>
        <w:ind w:firstLine="420" w:firstLineChars="200"/>
        <w:rPr>
          <w:rFonts w:ascii="宋体" w:hAnsi="宋体" w:cs="宋体"/>
          <w:color w:val="auto"/>
          <w:kern w:val="0"/>
          <w:szCs w:val="21"/>
          <w:highlight w:val="none"/>
        </w:rPr>
      </w:pPr>
      <w:bookmarkStart w:id="48" w:name="_Toc35393637"/>
      <w:bookmarkStart w:id="49" w:name="_Toc28359096"/>
      <w:bookmarkStart w:id="50" w:name="_Toc28359019"/>
      <w:bookmarkStart w:id="51" w:name="_Toc35393806"/>
      <w:r>
        <w:rPr>
          <w:rFonts w:hint="eastAsia" w:ascii="宋体" w:hAnsi="宋体" w:cs="宋体"/>
          <w:color w:val="auto"/>
          <w:kern w:val="0"/>
          <w:szCs w:val="21"/>
          <w:highlight w:val="none"/>
        </w:rPr>
        <w:t>1.采购人信息</w:t>
      </w:r>
      <w:bookmarkEnd w:id="48"/>
      <w:bookmarkEnd w:id="49"/>
      <w:bookmarkEnd w:id="50"/>
      <w:bookmarkEnd w:id="51"/>
    </w:p>
    <w:p w14:paraId="35C81A3E">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名    称：</w:t>
      </w:r>
      <w:r>
        <w:rPr>
          <w:rFonts w:hint="eastAsia" w:ascii="宋体" w:hAnsi="宋体"/>
          <w:color w:val="auto"/>
          <w:szCs w:val="21"/>
          <w:highlight w:val="none"/>
          <w:u w:val="single"/>
        </w:rPr>
        <w:t>北海市海城区海洋局</w:t>
      </w:r>
    </w:p>
    <w:p w14:paraId="58A38F8B">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北海市海城区海角路41号1栋  </w:t>
      </w:r>
    </w:p>
    <w:p w14:paraId="15C6AB3B">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hint="eastAsia" w:ascii="宋体" w:hAnsi="宋体" w:cs="宋体"/>
          <w:color w:val="auto"/>
          <w:szCs w:val="21"/>
          <w:highlight w:val="none"/>
          <w:u w:val="single"/>
        </w:rPr>
        <w:t xml:space="preserve">肖伟 0779-3068700   </w:t>
      </w:r>
    </w:p>
    <w:p w14:paraId="01A3A0D9">
      <w:pPr>
        <w:spacing w:line="360" w:lineRule="exact"/>
        <w:ind w:firstLine="420" w:firstLineChars="200"/>
        <w:rPr>
          <w:rFonts w:ascii="宋体" w:hAnsi="宋体" w:cs="宋体"/>
          <w:color w:val="auto"/>
          <w:kern w:val="0"/>
          <w:szCs w:val="21"/>
          <w:highlight w:val="none"/>
        </w:rPr>
      </w:pPr>
      <w:bookmarkStart w:id="52" w:name="_Toc35393638"/>
      <w:bookmarkStart w:id="53" w:name="_Toc28359020"/>
      <w:bookmarkStart w:id="54" w:name="_Toc35393807"/>
      <w:bookmarkStart w:id="55" w:name="_Toc28359097"/>
      <w:r>
        <w:rPr>
          <w:rFonts w:hint="eastAsia" w:ascii="宋体" w:hAnsi="宋体" w:cs="宋体"/>
          <w:color w:val="auto"/>
          <w:kern w:val="0"/>
          <w:szCs w:val="21"/>
          <w:highlight w:val="none"/>
        </w:rPr>
        <w:t>2.采购代理机构信息</w:t>
      </w:r>
      <w:bookmarkEnd w:id="52"/>
      <w:bookmarkEnd w:id="53"/>
      <w:bookmarkEnd w:id="54"/>
      <w:bookmarkEnd w:id="55"/>
    </w:p>
    <w:p w14:paraId="7D5E50F6">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名    称：</w:t>
      </w:r>
      <w:r>
        <w:rPr>
          <w:rFonts w:hint="eastAsia" w:ascii="宋体" w:hAnsi="宋体"/>
          <w:color w:val="auto"/>
          <w:szCs w:val="21"/>
          <w:highlight w:val="none"/>
          <w:u w:val="single"/>
        </w:rPr>
        <w:t>云之龙咨询集团有限公司</w:t>
      </w:r>
    </w:p>
    <w:p w14:paraId="2654ED0C">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广西北海市北部湾中路60号779财富中心15楼1505号</w:t>
      </w:r>
    </w:p>
    <w:p w14:paraId="2316B828">
      <w:pPr>
        <w:spacing w:line="360" w:lineRule="exact"/>
        <w:ind w:firstLine="420" w:firstLineChars="200"/>
        <w:rPr>
          <w:rFonts w:ascii="宋体" w:hAnsi="宋体"/>
          <w:color w:val="auto"/>
          <w:szCs w:val="21"/>
          <w:highlight w:val="none"/>
          <w:u w:val="single"/>
        </w:rPr>
      </w:pPr>
      <w:r>
        <w:rPr>
          <w:rFonts w:hint="eastAsia" w:ascii="宋体" w:hAnsi="宋体"/>
          <w:color w:val="auto"/>
          <w:szCs w:val="21"/>
          <w:highlight w:val="none"/>
        </w:rPr>
        <w:t>联系方式：</w:t>
      </w:r>
      <w:r>
        <w:rPr>
          <w:rFonts w:hint="eastAsia" w:ascii="宋体" w:hAnsi="宋体"/>
          <w:color w:val="auto"/>
          <w:szCs w:val="21"/>
          <w:highlight w:val="none"/>
          <w:u w:val="single"/>
        </w:rPr>
        <w:t>0779-3227361/3227538</w:t>
      </w:r>
    </w:p>
    <w:p w14:paraId="39A3A55B">
      <w:pPr>
        <w:spacing w:line="360" w:lineRule="exact"/>
        <w:ind w:firstLine="420" w:firstLineChars="200"/>
        <w:rPr>
          <w:rFonts w:ascii="宋体" w:hAnsi="宋体" w:cs="宋体"/>
          <w:color w:val="auto"/>
          <w:kern w:val="0"/>
          <w:szCs w:val="21"/>
          <w:highlight w:val="none"/>
        </w:rPr>
      </w:pPr>
      <w:bookmarkStart w:id="56" w:name="_Toc28359021"/>
      <w:bookmarkStart w:id="57" w:name="_Toc28359098"/>
      <w:bookmarkStart w:id="58" w:name="_Toc35393639"/>
      <w:bookmarkStart w:id="59" w:name="_Toc35393808"/>
      <w:r>
        <w:rPr>
          <w:rFonts w:hint="eastAsia" w:ascii="宋体" w:hAnsi="宋体" w:cs="宋体"/>
          <w:color w:val="auto"/>
          <w:kern w:val="0"/>
          <w:szCs w:val="21"/>
          <w:highlight w:val="none"/>
        </w:rPr>
        <w:t>3.项目联系</w:t>
      </w:r>
      <w:r>
        <w:rPr>
          <w:rFonts w:ascii="宋体" w:hAnsi="宋体" w:cs="宋体"/>
          <w:color w:val="auto"/>
          <w:kern w:val="0"/>
          <w:szCs w:val="21"/>
          <w:highlight w:val="none"/>
        </w:rPr>
        <w:t>方式</w:t>
      </w:r>
      <w:bookmarkEnd w:id="56"/>
      <w:bookmarkEnd w:id="57"/>
      <w:bookmarkEnd w:id="58"/>
      <w:bookmarkEnd w:id="59"/>
    </w:p>
    <w:p w14:paraId="560B7132">
      <w:pPr>
        <w:pStyle w:val="18"/>
        <w:spacing w:line="360" w:lineRule="exact"/>
        <w:ind w:firstLine="420" w:firstLineChars="200"/>
        <w:rPr>
          <w:rFonts w:hAnsi="宋体"/>
          <w:color w:val="auto"/>
          <w:sz w:val="21"/>
          <w:highlight w:val="none"/>
        </w:rPr>
      </w:pPr>
      <w:r>
        <w:rPr>
          <w:rFonts w:hint="eastAsia" w:hAnsi="宋体"/>
          <w:color w:val="auto"/>
          <w:sz w:val="21"/>
          <w:highlight w:val="none"/>
        </w:rPr>
        <w:t>项目联系人：</w:t>
      </w:r>
      <w:r>
        <w:rPr>
          <w:rFonts w:hint="eastAsia" w:hAnsi="宋体"/>
          <w:color w:val="auto"/>
          <w:sz w:val="21"/>
          <w:highlight w:val="none"/>
          <w:u w:val="single"/>
        </w:rPr>
        <w:t>翁娜娜</w:t>
      </w:r>
    </w:p>
    <w:p w14:paraId="10025C8A">
      <w:pPr>
        <w:spacing w:line="360" w:lineRule="exact"/>
        <w:ind w:firstLine="420" w:firstLineChars="200"/>
        <w:rPr>
          <w:color w:val="auto"/>
          <w:highlight w:val="none"/>
        </w:rPr>
      </w:pPr>
      <w:r>
        <w:rPr>
          <w:rFonts w:hint="eastAsia" w:ascii="宋体" w:hAnsi="宋体"/>
          <w:color w:val="auto"/>
          <w:szCs w:val="21"/>
          <w:highlight w:val="none"/>
        </w:rPr>
        <w:t>电　　话：</w:t>
      </w:r>
      <w:r>
        <w:rPr>
          <w:rFonts w:hint="eastAsia" w:ascii="宋体" w:hAnsi="宋体"/>
          <w:color w:val="auto"/>
          <w:szCs w:val="21"/>
          <w:highlight w:val="none"/>
          <w:u w:val="single"/>
        </w:rPr>
        <w:t>0779-3227361/3227538</w:t>
      </w:r>
      <w:bookmarkEnd w:id="1"/>
    </w:p>
    <w:p w14:paraId="45A4D7A6">
      <w:pPr>
        <w:pStyle w:val="5"/>
        <w:jc w:val="center"/>
        <w:rPr>
          <w:color w:val="auto"/>
          <w:highlight w:val="none"/>
        </w:rPr>
      </w:pPr>
      <w:r>
        <w:rPr>
          <w:rFonts w:hint="eastAsia"/>
          <w:color w:val="auto"/>
          <w:highlight w:val="none"/>
        </w:rPr>
        <w:br w:type="page"/>
      </w:r>
      <w:bookmarkStart w:id="60" w:name="_Toc29576"/>
      <w:r>
        <w:rPr>
          <w:rFonts w:hint="eastAsia"/>
          <w:color w:val="auto"/>
          <w:highlight w:val="none"/>
        </w:rPr>
        <w:t>第二章供应商须知</w:t>
      </w:r>
      <w:bookmarkEnd w:id="60"/>
    </w:p>
    <w:p w14:paraId="5FF1DA03">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供应商须知前附表</w:t>
      </w:r>
    </w:p>
    <w:p w14:paraId="5C4595B5">
      <w:pPr>
        <w:spacing w:line="400" w:lineRule="exact"/>
        <w:jc w:val="center"/>
        <w:rPr>
          <w:rFonts w:ascii="宋体" w:hAnsi="宋体"/>
          <w:b/>
          <w:color w:val="auto"/>
          <w:sz w:val="32"/>
          <w:szCs w:val="32"/>
          <w:highlight w:val="none"/>
        </w:rPr>
      </w:pP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1F7BE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tcPr>
          <w:p w14:paraId="748D1AD1">
            <w:pPr>
              <w:keepNext w:val="0"/>
              <w:keepLines w:val="0"/>
              <w:pageBreakBefore w:val="0"/>
              <w:widowControl w:val="0"/>
              <w:kinsoku/>
              <w:wordWrap w:val="0"/>
              <w:overflowPunct/>
              <w:topLinePunct w:val="0"/>
              <w:bidi w:val="0"/>
              <w:spacing w:line="360" w:lineRule="auto"/>
              <w:ind w:left="0"/>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7912" w:type="dxa"/>
          </w:tcPr>
          <w:p w14:paraId="644AAA80">
            <w:pPr>
              <w:keepNext w:val="0"/>
              <w:keepLines w:val="0"/>
              <w:pageBreakBefore w:val="0"/>
              <w:widowControl w:val="0"/>
              <w:kinsoku/>
              <w:wordWrap w:val="0"/>
              <w:overflowPunct/>
              <w:topLinePunct w:val="0"/>
              <w:bidi w:val="0"/>
              <w:spacing w:line="360" w:lineRule="auto"/>
              <w:ind w:left="0"/>
              <w:jc w:val="center"/>
              <w:rPr>
                <w:rFonts w:ascii="宋体" w:hAnsi="宋体" w:cs="宋体"/>
                <w:b/>
                <w:color w:val="auto"/>
                <w:szCs w:val="21"/>
                <w:highlight w:val="none"/>
              </w:rPr>
            </w:pPr>
            <w:r>
              <w:rPr>
                <w:rFonts w:hint="eastAsia" w:ascii="宋体" w:hAnsi="宋体" w:cs="宋体"/>
                <w:b/>
                <w:color w:val="auto"/>
                <w:szCs w:val="21"/>
                <w:highlight w:val="none"/>
              </w:rPr>
              <w:t>内    容</w:t>
            </w:r>
          </w:p>
        </w:tc>
      </w:tr>
      <w:tr w14:paraId="48C06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6EE5510C">
            <w:pPr>
              <w:keepNext w:val="0"/>
              <w:keepLines w:val="0"/>
              <w:pageBreakBefore w:val="0"/>
              <w:widowControl w:val="0"/>
              <w:kinsoku/>
              <w:wordWrap w:val="0"/>
              <w:overflowPunct/>
              <w:topLinePunct w:val="0"/>
              <w:bidi w:val="0"/>
              <w:spacing w:line="360" w:lineRule="auto"/>
              <w:ind w:left="0"/>
              <w:jc w:val="center"/>
              <w:rPr>
                <w:rFonts w:ascii="宋体" w:hAnsi="宋体" w:cs="宋体"/>
                <w:color w:val="auto"/>
                <w:szCs w:val="21"/>
                <w:highlight w:val="none"/>
              </w:rPr>
            </w:pPr>
            <w:r>
              <w:rPr>
                <w:rFonts w:hint="eastAsia" w:ascii="宋体" w:hAnsi="宋体" w:cs="宋体"/>
                <w:color w:val="auto"/>
                <w:szCs w:val="21"/>
                <w:highlight w:val="none"/>
              </w:rPr>
              <w:t>3</w:t>
            </w:r>
          </w:p>
        </w:tc>
        <w:tc>
          <w:tcPr>
            <w:tcW w:w="7912" w:type="dxa"/>
            <w:vAlign w:val="center"/>
          </w:tcPr>
          <w:p w14:paraId="6E631CC9">
            <w:pPr>
              <w:keepNext w:val="0"/>
              <w:keepLines w:val="0"/>
              <w:pageBreakBefore w:val="0"/>
              <w:widowControl w:val="0"/>
              <w:kinsoku/>
              <w:wordWrap w:val="0"/>
              <w:overflowPunct/>
              <w:topLinePunct w:val="0"/>
              <w:bidi w:val="0"/>
              <w:spacing w:line="360" w:lineRule="auto"/>
              <w:ind w:left="0"/>
              <w:rPr>
                <w:rFonts w:ascii="宋体" w:hAnsi="宋体"/>
                <w:color w:val="auto"/>
                <w:szCs w:val="21"/>
                <w:highlight w:val="none"/>
              </w:rPr>
            </w:pPr>
            <w:r>
              <w:rPr>
                <w:rFonts w:hint="eastAsia" w:ascii="宋体" w:hAnsi="宋体" w:cs="宋体"/>
                <w:bCs/>
                <w:color w:val="auto"/>
                <w:szCs w:val="21"/>
                <w:highlight w:val="none"/>
              </w:rPr>
              <w:t>1.供应商的资格条件</w:t>
            </w:r>
            <w:r>
              <w:rPr>
                <w:rFonts w:hint="eastAsia" w:ascii="宋体" w:hAnsi="宋体" w:cs="宋体"/>
                <w:color w:val="auto"/>
                <w:szCs w:val="21"/>
                <w:highlight w:val="none"/>
              </w:rPr>
              <w:t>：详见竞争性磋商公告</w:t>
            </w:r>
          </w:p>
          <w:p w14:paraId="6B544CB8">
            <w:pPr>
              <w:keepNext w:val="0"/>
              <w:keepLines w:val="0"/>
              <w:pageBreakBefore w:val="0"/>
              <w:widowControl w:val="0"/>
              <w:kinsoku/>
              <w:wordWrap w:val="0"/>
              <w:overflowPunct/>
              <w:topLinePunct w:val="0"/>
              <w:bidi w:val="0"/>
              <w:spacing w:line="360" w:lineRule="auto"/>
              <w:ind w:left="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供应商</w:t>
            </w:r>
            <w:r>
              <w:rPr>
                <w:rFonts w:hint="eastAsia" w:ascii="宋体" w:hAnsi="宋体" w:cs="宋体"/>
                <w:color w:val="auto"/>
                <w:szCs w:val="21"/>
                <w:highlight w:val="none"/>
              </w:rPr>
              <w:t>出现下列情形之一的，不得参加政府采购活动：</w:t>
            </w:r>
          </w:p>
          <w:p w14:paraId="1C1018DF">
            <w:pPr>
              <w:keepNext w:val="0"/>
              <w:keepLines w:val="0"/>
              <w:pageBreakBefore w:val="0"/>
              <w:widowControl w:val="0"/>
              <w:kinsoku/>
              <w:wordWrap w:val="0"/>
              <w:overflowPunct/>
              <w:topLinePunct w:val="0"/>
              <w:bidi w:val="0"/>
              <w:spacing w:line="360" w:lineRule="auto"/>
              <w:ind w:left="0"/>
              <w:rPr>
                <w:rFonts w:ascii="宋体" w:hAnsi="宋体" w:cs="宋体"/>
                <w:color w:val="auto"/>
                <w:szCs w:val="21"/>
                <w:highlight w:val="none"/>
              </w:rPr>
            </w:pPr>
            <w:r>
              <w:rPr>
                <w:rFonts w:hint="eastAsia" w:ascii="宋体" w:hAnsi="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096D763">
            <w:pPr>
              <w:keepNext w:val="0"/>
              <w:keepLines w:val="0"/>
              <w:pageBreakBefore w:val="0"/>
              <w:widowControl w:val="0"/>
              <w:kinsoku/>
              <w:wordWrap w:val="0"/>
              <w:overflowPunct/>
              <w:topLinePunct w:val="0"/>
              <w:bidi w:val="0"/>
              <w:spacing w:line="360" w:lineRule="auto"/>
              <w:ind w:left="0"/>
              <w:rPr>
                <w:rFonts w:ascii="宋体" w:hAnsi="宋体" w:cs="宋体"/>
                <w:color w:val="auto"/>
                <w:szCs w:val="21"/>
                <w:highlight w:val="none"/>
              </w:rPr>
            </w:pPr>
            <w:r>
              <w:rPr>
                <w:rFonts w:hint="eastAsia" w:ascii="宋体" w:hAnsi="宋体" w:cs="宋体"/>
                <w:color w:val="auto"/>
                <w:szCs w:val="21"/>
                <w:highlight w:val="none"/>
              </w:rPr>
              <w:t>2.2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25D1C988">
            <w:pPr>
              <w:keepNext w:val="0"/>
              <w:keepLines w:val="0"/>
              <w:pageBreakBefore w:val="0"/>
              <w:widowControl w:val="0"/>
              <w:kinsoku/>
              <w:wordWrap w:val="0"/>
              <w:overflowPunct/>
              <w:topLinePunct w:val="0"/>
              <w:bidi w:val="0"/>
              <w:spacing w:line="360" w:lineRule="auto"/>
              <w:ind w:left="0"/>
              <w:rPr>
                <w:rFonts w:ascii="宋体" w:hAnsi="宋体" w:cs="宋体"/>
                <w:color w:val="auto"/>
                <w:szCs w:val="21"/>
                <w:highlight w:val="none"/>
              </w:rPr>
            </w:pPr>
            <w:r>
              <w:rPr>
                <w:rFonts w:hint="eastAsia" w:ascii="宋体" w:hAnsi="宋体" w:cs="宋体"/>
                <w:color w:val="auto"/>
                <w:szCs w:val="21"/>
                <w:highlight w:val="none"/>
              </w:rPr>
              <w:t>3.供应商的资格要求（供应商须在响应文件中提供《北海市政府采购供应商信用承诺函》对以下内容进行承诺，格式附后）：</w:t>
            </w:r>
          </w:p>
          <w:p w14:paraId="7C2D34B4">
            <w:pPr>
              <w:keepNext w:val="0"/>
              <w:keepLines w:val="0"/>
              <w:pageBreakBefore w:val="0"/>
              <w:widowControl w:val="0"/>
              <w:kinsoku/>
              <w:wordWrap w:val="0"/>
              <w:overflowPunct/>
              <w:topLinePunct w:val="0"/>
              <w:bidi w:val="0"/>
              <w:spacing w:line="360" w:lineRule="auto"/>
              <w:ind w:left="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供应商</w:t>
            </w:r>
            <w:r>
              <w:rPr>
                <w:rFonts w:hint="eastAsia" w:ascii="宋体" w:hAnsi="宋体" w:cs="宋体"/>
                <w:color w:val="auto"/>
                <w:szCs w:val="21"/>
                <w:highlight w:val="none"/>
              </w:rPr>
              <w:t>具备有效的</w:t>
            </w:r>
            <w:r>
              <w:rPr>
                <w:rFonts w:ascii="宋体" w:hAnsi="宋体" w:cs="宋体"/>
                <w:color w:val="auto"/>
                <w:szCs w:val="21"/>
                <w:highlight w:val="none"/>
              </w:rPr>
              <w:t>营业执照或者事业单位法人证书或者执业许可证或者登记证书等</w:t>
            </w:r>
            <w:r>
              <w:rPr>
                <w:rFonts w:hint="eastAsia" w:ascii="宋体" w:hAnsi="宋体" w:cs="宋体"/>
                <w:color w:val="auto"/>
                <w:szCs w:val="21"/>
                <w:highlight w:val="none"/>
              </w:rPr>
              <w:t>；</w:t>
            </w:r>
          </w:p>
          <w:p w14:paraId="6D4BD679">
            <w:pPr>
              <w:keepNext w:val="0"/>
              <w:keepLines w:val="0"/>
              <w:pageBreakBefore w:val="0"/>
              <w:widowControl w:val="0"/>
              <w:kinsoku/>
              <w:wordWrap w:val="0"/>
              <w:overflowPunct/>
              <w:topLinePunct w:val="0"/>
              <w:bidi w:val="0"/>
              <w:spacing w:line="360" w:lineRule="auto"/>
              <w:ind w:left="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供应商20</w:t>
            </w:r>
            <w:r>
              <w:rPr>
                <w:rFonts w:hint="eastAsia" w:ascii="宋体" w:hAnsi="宋体" w:cs="宋体"/>
                <w:color w:val="auto"/>
                <w:szCs w:val="21"/>
                <w:highlight w:val="none"/>
              </w:rPr>
              <w:t>24</w:t>
            </w:r>
            <w:r>
              <w:rPr>
                <w:rFonts w:ascii="宋体" w:hAnsi="宋体" w:cs="宋体"/>
                <w:color w:val="auto"/>
                <w:szCs w:val="21"/>
                <w:highlight w:val="none"/>
              </w:rPr>
              <w:t>年</w:t>
            </w:r>
            <w:r>
              <w:rPr>
                <w:rFonts w:hint="eastAsia" w:ascii="宋体" w:hAnsi="宋体" w:cs="宋体"/>
                <w:color w:val="auto"/>
                <w:szCs w:val="21"/>
                <w:highlight w:val="none"/>
              </w:rPr>
              <w:t>以来</w:t>
            </w:r>
            <w:r>
              <w:rPr>
                <w:rFonts w:ascii="宋体" w:hAnsi="宋体" w:cs="宋体"/>
                <w:color w:val="auto"/>
                <w:szCs w:val="21"/>
                <w:highlight w:val="none"/>
              </w:rPr>
              <w:t>连续三个月的</w:t>
            </w:r>
            <w:r>
              <w:rPr>
                <w:rFonts w:hint="eastAsia" w:ascii="宋体" w:hAnsi="宋体" w:cs="宋体"/>
                <w:color w:val="auto"/>
                <w:szCs w:val="21"/>
                <w:highlight w:val="none"/>
              </w:rPr>
              <w:t>已</w:t>
            </w:r>
            <w:r>
              <w:rPr>
                <w:rFonts w:ascii="宋体" w:hAnsi="宋体" w:cs="宋体"/>
                <w:color w:val="auto"/>
                <w:szCs w:val="21"/>
                <w:highlight w:val="none"/>
              </w:rPr>
              <w:t>依法缴纳税收</w:t>
            </w:r>
            <w:r>
              <w:rPr>
                <w:rFonts w:hint="eastAsia" w:ascii="宋体" w:hAnsi="宋体" w:cs="宋体"/>
                <w:color w:val="auto"/>
                <w:szCs w:val="21"/>
                <w:highlight w:val="none"/>
              </w:rPr>
              <w:t>，或</w:t>
            </w:r>
            <w:r>
              <w:rPr>
                <w:rFonts w:ascii="宋体" w:hAnsi="宋体" w:cs="宋体"/>
                <w:color w:val="auto"/>
                <w:szCs w:val="21"/>
                <w:highlight w:val="none"/>
              </w:rPr>
              <w:t>依法免税的</w:t>
            </w:r>
            <w:r>
              <w:rPr>
                <w:rFonts w:hint="eastAsia" w:ascii="宋体" w:hAnsi="宋体" w:cs="宋体"/>
                <w:color w:val="auto"/>
                <w:szCs w:val="21"/>
                <w:highlight w:val="none"/>
              </w:rPr>
              <w:t>；</w:t>
            </w:r>
            <w:r>
              <w:rPr>
                <w:rFonts w:ascii="宋体" w:hAnsi="宋体" w:cs="宋体"/>
                <w:color w:val="auto"/>
                <w:szCs w:val="21"/>
                <w:highlight w:val="none"/>
              </w:rPr>
              <w:t>从成立之日起到响应文件提交截止时间止不足要求月数的，从成立之日起</w:t>
            </w:r>
            <w:r>
              <w:rPr>
                <w:rFonts w:hint="eastAsia" w:ascii="宋体" w:hAnsi="宋体" w:cs="宋体"/>
                <w:color w:val="auto"/>
                <w:szCs w:val="21"/>
                <w:highlight w:val="none"/>
              </w:rPr>
              <w:t>已</w:t>
            </w:r>
            <w:r>
              <w:rPr>
                <w:rFonts w:ascii="宋体" w:hAnsi="宋体" w:cs="宋体"/>
                <w:color w:val="auto"/>
                <w:szCs w:val="21"/>
                <w:highlight w:val="none"/>
              </w:rPr>
              <w:t>依法缴纳税收</w:t>
            </w:r>
            <w:r>
              <w:rPr>
                <w:rFonts w:hint="eastAsia" w:ascii="宋体" w:hAnsi="宋体" w:cs="宋体"/>
                <w:color w:val="auto"/>
                <w:szCs w:val="21"/>
                <w:highlight w:val="none"/>
              </w:rPr>
              <w:t>；</w:t>
            </w:r>
          </w:p>
          <w:p w14:paraId="116FCE2E">
            <w:pPr>
              <w:keepNext w:val="0"/>
              <w:keepLines w:val="0"/>
              <w:pageBreakBefore w:val="0"/>
              <w:widowControl w:val="0"/>
              <w:kinsoku/>
              <w:wordWrap w:val="0"/>
              <w:overflowPunct/>
              <w:topLinePunct w:val="0"/>
              <w:bidi w:val="0"/>
              <w:spacing w:line="360" w:lineRule="auto"/>
              <w:ind w:left="0"/>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供应商202</w:t>
            </w:r>
            <w:r>
              <w:rPr>
                <w:rFonts w:hint="eastAsia" w:ascii="宋体" w:hAnsi="宋体" w:cs="宋体"/>
                <w:color w:val="auto"/>
                <w:szCs w:val="21"/>
                <w:highlight w:val="none"/>
              </w:rPr>
              <w:t>4</w:t>
            </w:r>
            <w:r>
              <w:rPr>
                <w:rFonts w:ascii="宋体" w:hAnsi="宋体" w:cs="宋体"/>
                <w:color w:val="auto"/>
                <w:szCs w:val="21"/>
                <w:highlight w:val="none"/>
              </w:rPr>
              <w:t>年</w:t>
            </w:r>
            <w:r>
              <w:rPr>
                <w:rFonts w:hint="eastAsia" w:ascii="宋体" w:hAnsi="宋体" w:cs="宋体"/>
                <w:color w:val="auto"/>
                <w:szCs w:val="21"/>
                <w:highlight w:val="none"/>
              </w:rPr>
              <w:t>以来</w:t>
            </w:r>
            <w:r>
              <w:rPr>
                <w:rFonts w:ascii="宋体" w:hAnsi="宋体" w:cs="宋体"/>
                <w:color w:val="auto"/>
                <w:szCs w:val="21"/>
                <w:highlight w:val="none"/>
              </w:rPr>
              <w:t>连续三个月</w:t>
            </w:r>
            <w:r>
              <w:rPr>
                <w:rFonts w:hint="eastAsia" w:ascii="宋体" w:hAnsi="宋体" w:cs="宋体"/>
                <w:color w:val="auto"/>
                <w:szCs w:val="21"/>
                <w:highlight w:val="none"/>
              </w:rPr>
              <w:t>已</w:t>
            </w:r>
            <w:r>
              <w:rPr>
                <w:rFonts w:ascii="宋体" w:hAnsi="宋体" w:cs="宋体"/>
                <w:color w:val="auto"/>
                <w:szCs w:val="21"/>
                <w:highlight w:val="none"/>
              </w:rPr>
              <w:t>依法缴纳社会保障资金</w:t>
            </w:r>
            <w:r>
              <w:rPr>
                <w:rFonts w:hint="eastAsia" w:ascii="宋体" w:hAnsi="宋体" w:cs="宋体"/>
                <w:color w:val="auto"/>
                <w:szCs w:val="21"/>
                <w:highlight w:val="none"/>
              </w:rPr>
              <w:t>，或</w:t>
            </w:r>
            <w:r>
              <w:rPr>
                <w:rFonts w:ascii="宋体" w:hAnsi="宋体" w:cs="宋体"/>
                <w:color w:val="auto"/>
                <w:szCs w:val="21"/>
                <w:highlight w:val="none"/>
              </w:rPr>
              <w:t>依法不需要缴纳社会保障资金的</w:t>
            </w:r>
            <w:r>
              <w:rPr>
                <w:rFonts w:hint="eastAsia" w:ascii="宋体" w:hAnsi="宋体" w:cs="宋体"/>
                <w:color w:val="auto"/>
                <w:szCs w:val="21"/>
                <w:highlight w:val="none"/>
              </w:rPr>
              <w:t>；</w:t>
            </w:r>
            <w:r>
              <w:rPr>
                <w:rFonts w:ascii="宋体" w:hAnsi="宋体" w:cs="宋体"/>
                <w:color w:val="auto"/>
                <w:szCs w:val="21"/>
                <w:highlight w:val="none"/>
              </w:rPr>
              <w:t>从成立之日起到响应文件提交截止时间止不足要求月数的</w:t>
            </w:r>
            <w:r>
              <w:rPr>
                <w:rFonts w:hint="eastAsia" w:ascii="宋体" w:hAnsi="宋体" w:cs="宋体"/>
                <w:color w:val="auto"/>
                <w:szCs w:val="21"/>
                <w:highlight w:val="none"/>
              </w:rPr>
              <w:t>，</w:t>
            </w:r>
            <w:r>
              <w:rPr>
                <w:rFonts w:ascii="宋体" w:hAnsi="宋体" w:cs="宋体"/>
                <w:color w:val="auto"/>
                <w:szCs w:val="21"/>
                <w:highlight w:val="none"/>
              </w:rPr>
              <w:t>从成立之日起</w:t>
            </w:r>
            <w:r>
              <w:rPr>
                <w:rFonts w:hint="eastAsia" w:ascii="宋体" w:hAnsi="宋体" w:cs="宋体"/>
                <w:color w:val="auto"/>
                <w:szCs w:val="21"/>
                <w:highlight w:val="none"/>
              </w:rPr>
              <w:t>已</w:t>
            </w:r>
            <w:r>
              <w:rPr>
                <w:rFonts w:ascii="宋体" w:hAnsi="宋体" w:cs="宋体"/>
                <w:color w:val="auto"/>
                <w:szCs w:val="21"/>
                <w:highlight w:val="none"/>
              </w:rPr>
              <w:t>依法缴纳社会保障资金；</w:t>
            </w:r>
          </w:p>
          <w:p w14:paraId="094575AF">
            <w:pPr>
              <w:keepNext w:val="0"/>
              <w:keepLines w:val="0"/>
              <w:pageBreakBefore w:val="0"/>
              <w:widowControl w:val="0"/>
              <w:kinsoku/>
              <w:wordWrap w:val="0"/>
              <w:overflowPunct/>
              <w:topLinePunct w:val="0"/>
              <w:bidi w:val="0"/>
              <w:spacing w:line="360" w:lineRule="auto"/>
              <w:ind w:left="0"/>
              <w:rPr>
                <w:rFonts w:ascii="宋体" w:hAnsi="宋体" w:cs="宋体"/>
                <w:color w:val="auto"/>
                <w:szCs w:val="21"/>
                <w:highlight w:val="none"/>
              </w:rPr>
            </w:pPr>
            <w:r>
              <w:rPr>
                <w:rFonts w:hint="eastAsia" w:ascii="宋体" w:hAnsi="宋体" w:cs="宋体"/>
                <w:color w:val="auto"/>
                <w:szCs w:val="21"/>
                <w:highlight w:val="none"/>
              </w:rPr>
              <w:t>（4）供应商财务状况报告（2024年年度财务报表或经审计的财务报告；供应商属于成立时间在规定年度之后的法人或其他组织，需具备成立之日起至响应文件提交截止时间前的月报表）。</w:t>
            </w:r>
          </w:p>
        </w:tc>
      </w:tr>
      <w:tr w14:paraId="162CB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1902DDA1">
            <w:pPr>
              <w:keepNext w:val="0"/>
              <w:keepLines w:val="0"/>
              <w:pageBreakBefore w:val="0"/>
              <w:widowControl w:val="0"/>
              <w:kinsoku/>
              <w:wordWrap w:val="0"/>
              <w:overflowPunct/>
              <w:topLinePunct w:val="0"/>
              <w:bidi w:val="0"/>
              <w:spacing w:line="360" w:lineRule="auto"/>
              <w:ind w:left="0"/>
              <w:jc w:val="center"/>
              <w:rPr>
                <w:rFonts w:ascii="宋体" w:hAnsi="宋体" w:cs="宋体"/>
                <w:color w:val="auto"/>
                <w:szCs w:val="21"/>
                <w:highlight w:val="none"/>
              </w:rPr>
            </w:pPr>
            <w:r>
              <w:rPr>
                <w:rFonts w:hint="eastAsia" w:ascii="宋体" w:hAnsi="宋体" w:cs="宋体"/>
                <w:color w:val="auto"/>
                <w:szCs w:val="21"/>
                <w:highlight w:val="none"/>
              </w:rPr>
              <w:t>5.1</w:t>
            </w:r>
          </w:p>
        </w:tc>
        <w:tc>
          <w:tcPr>
            <w:tcW w:w="7912" w:type="dxa"/>
            <w:vAlign w:val="center"/>
          </w:tcPr>
          <w:p w14:paraId="1DFD36D1">
            <w:pPr>
              <w:keepNext w:val="0"/>
              <w:keepLines w:val="0"/>
              <w:pageBreakBefore w:val="0"/>
              <w:widowControl w:val="0"/>
              <w:kinsoku/>
              <w:wordWrap w:val="0"/>
              <w:overflowPunct/>
              <w:topLinePunct w:val="0"/>
              <w:bidi w:val="0"/>
              <w:spacing w:line="360" w:lineRule="auto"/>
              <w:ind w:left="0"/>
              <w:rPr>
                <w:rFonts w:ascii="宋体" w:hAnsi="宋体" w:cs="宋体"/>
                <w:color w:val="auto"/>
                <w:szCs w:val="21"/>
                <w:highlight w:val="none"/>
              </w:rPr>
            </w:pPr>
            <w:r>
              <w:rPr>
                <w:rFonts w:hint="eastAsia" w:ascii="宋体" w:hAnsi="宋体" w:cs="宋体"/>
                <w:color w:val="auto"/>
                <w:szCs w:val="21"/>
                <w:highlight w:val="none"/>
              </w:rPr>
              <w:t>是否接受联合体竞标： 详见竞争性磋商公告</w:t>
            </w:r>
          </w:p>
        </w:tc>
      </w:tr>
      <w:tr w14:paraId="144B0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4C205A16">
            <w:pPr>
              <w:keepNext w:val="0"/>
              <w:keepLines w:val="0"/>
              <w:pageBreakBefore w:val="0"/>
              <w:widowControl w:val="0"/>
              <w:kinsoku/>
              <w:wordWrap w:val="0"/>
              <w:overflowPunct/>
              <w:topLinePunct w:val="0"/>
              <w:bidi w:val="0"/>
              <w:spacing w:line="360" w:lineRule="auto"/>
              <w:ind w:left="0"/>
              <w:jc w:val="center"/>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.2</w:t>
            </w:r>
          </w:p>
        </w:tc>
        <w:tc>
          <w:tcPr>
            <w:tcW w:w="7912" w:type="dxa"/>
            <w:vAlign w:val="center"/>
          </w:tcPr>
          <w:p w14:paraId="102CDA62">
            <w:pPr>
              <w:keepNext w:val="0"/>
              <w:keepLines w:val="0"/>
              <w:pageBreakBefore w:val="0"/>
              <w:widowControl w:val="0"/>
              <w:kinsoku/>
              <w:wordWrap w:val="0"/>
              <w:overflowPunct/>
              <w:topLinePunct w:val="0"/>
              <w:bidi w:val="0"/>
              <w:spacing w:line="360" w:lineRule="auto"/>
              <w:ind w:left="0"/>
              <w:rPr>
                <w:rFonts w:ascii="宋体" w:hAnsi="宋体" w:cs="宋体"/>
                <w:color w:val="auto"/>
                <w:szCs w:val="21"/>
                <w:highlight w:val="none"/>
              </w:rPr>
            </w:pPr>
            <w:r>
              <w:rPr>
                <w:rFonts w:hint="eastAsia" w:ascii="宋体" w:hAnsi="宋体"/>
                <w:color w:val="auto"/>
                <w:szCs w:val="21"/>
                <w:highlight w:val="none"/>
              </w:rPr>
              <w:t>如接受联合体竞标，联合体竞标要求如下：</w:t>
            </w:r>
          </w:p>
          <w:p w14:paraId="23C293A8">
            <w:pPr>
              <w:keepNext w:val="0"/>
              <w:keepLines w:val="0"/>
              <w:pageBreakBefore w:val="0"/>
              <w:widowControl w:val="0"/>
              <w:kinsoku/>
              <w:wordWrap w:val="0"/>
              <w:overflowPunct/>
              <w:topLinePunct w:val="0"/>
              <w:bidi w:val="0"/>
              <w:spacing w:line="360" w:lineRule="auto"/>
              <w:ind w:left="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w:t>
            </w:r>
            <w:r>
              <w:rPr>
                <w:rFonts w:hint="eastAsia" w:ascii="宋体" w:hAnsi="宋体" w:cs="宋体"/>
                <w:color w:val="auto"/>
                <w:szCs w:val="21"/>
                <w:highlight w:val="none"/>
              </w:rPr>
              <w:t>两个以上供应商可以组成一个竞标联合体，以一个供应商的身份共同参加竞标。联合体竞标的，须提供《联合体竞标协议书》（格式后附）。</w:t>
            </w:r>
          </w:p>
          <w:p w14:paraId="7AA75464">
            <w:pPr>
              <w:keepNext w:val="0"/>
              <w:keepLines w:val="0"/>
              <w:pageBreakBefore w:val="0"/>
              <w:widowControl w:val="0"/>
              <w:kinsoku/>
              <w:wordWrap w:val="0"/>
              <w:overflowPunct/>
              <w:topLinePunct w:val="0"/>
              <w:bidi w:val="0"/>
              <w:spacing w:line="360" w:lineRule="auto"/>
              <w:ind w:left="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磋商文件规定的特定条件。</w:t>
            </w:r>
          </w:p>
          <w:p w14:paraId="005D81A9">
            <w:pPr>
              <w:keepNext w:val="0"/>
              <w:keepLines w:val="0"/>
              <w:pageBreakBefore w:val="0"/>
              <w:widowControl w:val="0"/>
              <w:kinsoku/>
              <w:wordWrap w:val="0"/>
              <w:overflowPunct/>
              <w:topLinePunct w:val="0"/>
              <w:bidi w:val="0"/>
              <w:spacing w:line="360" w:lineRule="auto"/>
              <w:ind w:left="0"/>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w:t>
            </w:r>
            <w:r>
              <w:rPr>
                <w:rFonts w:hint="eastAsia" w:ascii="宋体" w:hAnsi="宋体" w:cs="宋体"/>
                <w:color w:val="auto"/>
                <w:szCs w:val="21"/>
                <w:highlight w:val="none"/>
              </w:rPr>
              <w:t>联合体各方之间必须签订联合竞标协议，协议书必须明确主体方（或者牵头方）并明确约定联合体各方承担的工作和相应的责任（</w:t>
            </w:r>
            <w:r>
              <w:rPr>
                <w:rFonts w:hint="eastAsia" w:ascii="宋体" w:hAnsi="宋体" w:cs="宋体"/>
                <w:b/>
                <w:color w:val="auto"/>
                <w:szCs w:val="21"/>
                <w:highlight w:val="none"/>
              </w:rPr>
              <w:t>各方承担责任与义务的分工必须符合采购需求，否则，联合体竞标无效</w:t>
            </w:r>
            <w:r>
              <w:rPr>
                <w:rFonts w:hint="eastAsia" w:ascii="宋体" w:hAnsi="宋体" w:cs="宋体"/>
                <w:color w:val="auto"/>
                <w:szCs w:val="21"/>
                <w:highlight w:val="none"/>
              </w:rPr>
              <w:t>），并将联合竞标协议放入响应文件。联合体各方必须共同与采购人签订采购合同，就采购合同约定的事项对采购人承担连带责任。</w:t>
            </w:r>
          </w:p>
          <w:p w14:paraId="1E43D14A">
            <w:pPr>
              <w:keepNext w:val="0"/>
              <w:keepLines w:val="0"/>
              <w:pageBreakBefore w:val="0"/>
              <w:widowControl w:val="0"/>
              <w:kinsoku/>
              <w:wordWrap w:val="0"/>
              <w:overflowPunct/>
              <w:topLinePunct w:val="0"/>
              <w:bidi w:val="0"/>
              <w:spacing w:line="360" w:lineRule="auto"/>
              <w:ind w:left="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以联合体形式参加政府采购活动的，联合体各方不得再单独参加或者与其他供应商另外组成联合体参加同一合同项下的政府采购活动。</w:t>
            </w:r>
          </w:p>
          <w:p w14:paraId="2AC0D3C2">
            <w:pPr>
              <w:keepNext w:val="0"/>
              <w:keepLines w:val="0"/>
              <w:pageBreakBefore w:val="0"/>
              <w:widowControl w:val="0"/>
              <w:kinsoku/>
              <w:wordWrap w:val="0"/>
              <w:overflowPunct/>
              <w:topLinePunct w:val="0"/>
              <w:bidi w:val="0"/>
              <w:spacing w:line="360" w:lineRule="auto"/>
              <w:ind w:left="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w:t>
            </w:r>
            <w:r>
              <w:rPr>
                <w:rFonts w:hint="eastAsia" w:ascii="宋体" w:hAnsi="宋体" w:cs="宋体"/>
                <w:color w:val="auto"/>
                <w:szCs w:val="21"/>
                <w:highlight w:val="none"/>
              </w:rPr>
              <w:t>联合体中有同类资质的供应商按照联合体分工承担相同工作的，应当按照资质等级较低的供应商确定资质等级。</w:t>
            </w:r>
          </w:p>
          <w:p w14:paraId="42889377">
            <w:pPr>
              <w:keepNext w:val="0"/>
              <w:keepLines w:val="0"/>
              <w:pageBreakBefore w:val="0"/>
              <w:widowControl w:val="0"/>
              <w:kinsoku/>
              <w:wordWrap w:val="0"/>
              <w:overflowPunct/>
              <w:topLinePunct w:val="0"/>
              <w:bidi w:val="0"/>
              <w:spacing w:line="360" w:lineRule="auto"/>
              <w:ind w:left="0"/>
              <w:rPr>
                <w:rFonts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w:t>
            </w:r>
            <w:r>
              <w:rPr>
                <w:rFonts w:hint="eastAsia" w:ascii="宋体" w:hAnsi="宋体" w:cs="宋体"/>
                <w:color w:val="auto"/>
                <w:szCs w:val="21"/>
                <w:highlight w:val="none"/>
              </w:rPr>
              <w:t>联合体竞标业绩、履约能力按照联合体各方中较高的一方认定并计算（磋商文件另有规定的除外）。</w:t>
            </w:r>
          </w:p>
          <w:p w14:paraId="0C8E1BD8">
            <w:pPr>
              <w:keepNext w:val="0"/>
              <w:keepLines w:val="0"/>
              <w:pageBreakBefore w:val="0"/>
              <w:widowControl w:val="0"/>
              <w:kinsoku/>
              <w:wordWrap w:val="0"/>
              <w:overflowPunct/>
              <w:topLinePunct w:val="0"/>
              <w:bidi w:val="0"/>
              <w:spacing w:line="360" w:lineRule="auto"/>
              <w:ind w:left="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w:t>
            </w:r>
            <w:r>
              <w:rPr>
                <w:rFonts w:hint="eastAsia" w:ascii="宋体" w:hAnsi="宋体" w:cs="宋体"/>
                <w:color w:val="auto"/>
                <w:szCs w:val="21"/>
                <w:highlight w:val="none"/>
              </w:rPr>
              <w:t>供应商为联合体的，可以由联合体中的一方或者多方共同交纳磋商保证金，其交纳的保证金对联合体各方均具有约束力。</w:t>
            </w:r>
          </w:p>
          <w:p w14:paraId="42CED841">
            <w:pPr>
              <w:keepNext w:val="0"/>
              <w:keepLines w:val="0"/>
              <w:pageBreakBefore w:val="0"/>
              <w:widowControl w:val="0"/>
              <w:kinsoku/>
              <w:wordWrap w:val="0"/>
              <w:overflowPunct/>
              <w:topLinePunct w:val="0"/>
              <w:bidi w:val="0"/>
              <w:spacing w:line="360" w:lineRule="auto"/>
              <w:ind w:left="0"/>
              <w:rPr>
                <w:rFonts w:ascii="宋体" w:hAnsi="宋体" w:cs="宋体"/>
                <w:color w:val="auto"/>
                <w:szCs w:val="21"/>
                <w:highlight w:val="none"/>
              </w:rPr>
            </w:pPr>
            <w:r>
              <w:rPr>
                <w:rFonts w:hint="eastAsia" w:ascii="宋体" w:hAnsi="宋体" w:cs="宋体"/>
                <w:color w:val="auto"/>
                <w:szCs w:val="21"/>
                <w:highlight w:val="none"/>
              </w:rPr>
              <w:t>8</w:t>
            </w:r>
            <w:r>
              <w:rPr>
                <w:rFonts w:ascii="宋体" w:hAnsi="宋体" w:cs="宋体"/>
                <w:color w:val="auto"/>
                <w:szCs w:val="21"/>
                <w:highlight w:val="none"/>
              </w:rPr>
              <w:t>.</w:t>
            </w:r>
            <w:r>
              <w:rPr>
                <w:rFonts w:hint="eastAsia" w:ascii="宋体" w:hAnsi="宋体" w:cs="宋体"/>
                <w:color w:val="auto"/>
                <w:szCs w:val="21"/>
                <w:highlight w:val="none"/>
              </w:rPr>
              <w:t>联合体各方均应按照磋商文件的规定提交资格证明文件。</w:t>
            </w:r>
          </w:p>
        </w:tc>
      </w:tr>
      <w:tr w14:paraId="6438F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1CFBD991">
            <w:pPr>
              <w:keepNext w:val="0"/>
              <w:keepLines w:val="0"/>
              <w:pageBreakBefore w:val="0"/>
              <w:widowControl w:val="0"/>
              <w:kinsoku/>
              <w:wordWrap w:val="0"/>
              <w:overflowPunct/>
              <w:topLinePunct w:val="0"/>
              <w:bidi w:val="0"/>
              <w:spacing w:line="360" w:lineRule="auto"/>
              <w:ind w:left="0"/>
              <w:jc w:val="center"/>
              <w:rPr>
                <w:rFonts w:ascii="宋体" w:hAnsi="宋体" w:cs="宋体"/>
                <w:color w:val="auto"/>
                <w:szCs w:val="21"/>
                <w:highlight w:val="none"/>
              </w:rPr>
            </w:pPr>
            <w:r>
              <w:rPr>
                <w:rFonts w:hint="eastAsia" w:ascii="宋体" w:hAnsi="宋体" w:cs="宋体"/>
                <w:color w:val="auto"/>
                <w:szCs w:val="21"/>
                <w:highlight w:val="none"/>
              </w:rPr>
              <w:t>6.2</w:t>
            </w:r>
          </w:p>
        </w:tc>
        <w:tc>
          <w:tcPr>
            <w:tcW w:w="7912" w:type="dxa"/>
            <w:vAlign w:val="center"/>
          </w:tcPr>
          <w:p w14:paraId="04D658CF">
            <w:pPr>
              <w:pStyle w:val="14"/>
              <w:keepNext w:val="0"/>
              <w:keepLines w:val="0"/>
              <w:pageBreakBefore w:val="0"/>
              <w:widowControl w:val="0"/>
              <w:kinsoku/>
              <w:wordWrap w:val="0"/>
              <w:overflowPunct/>
              <w:topLinePunct w:val="0"/>
              <w:bidi w:val="0"/>
              <w:spacing w:line="360" w:lineRule="auto"/>
              <w:ind w:left="0"/>
              <w:rPr>
                <w:rFonts w:ascii="宋体" w:hAnsi="宋体"/>
                <w:color w:val="auto"/>
                <w:szCs w:val="21"/>
                <w:highlight w:val="none"/>
              </w:rPr>
            </w:pPr>
            <w:r>
              <w:rPr>
                <w:rFonts w:hint="eastAsia" w:ascii="宋体" w:hAnsi="宋体"/>
                <w:color w:val="auto"/>
                <w:szCs w:val="21"/>
                <w:highlight w:val="none"/>
              </w:rPr>
              <w:t>☑不允许分包</w:t>
            </w:r>
          </w:p>
          <w:p w14:paraId="2E19BB77">
            <w:pPr>
              <w:pStyle w:val="14"/>
              <w:keepNext w:val="0"/>
              <w:keepLines w:val="0"/>
              <w:pageBreakBefore w:val="0"/>
              <w:widowControl w:val="0"/>
              <w:kinsoku/>
              <w:wordWrap w:val="0"/>
              <w:overflowPunct/>
              <w:topLinePunct w:val="0"/>
              <w:bidi w:val="0"/>
              <w:spacing w:line="360" w:lineRule="auto"/>
              <w:ind w:left="0"/>
              <w:rPr>
                <w:rFonts w:ascii="宋体" w:hAnsi="宋体"/>
                <w:color w:val="auto"/>
                <w:szCs w:val="21"/>
                <w:highlight w:val="none"/>
              </w:rPr>
            </w:pPr>
            <w:r>
              <w:rPr>
                <w:rFonts w:hint="eastAsia" w:ascii="宋体" w:hAnsi="宋体"/>
                <w:color w:val="auto"/>
                <w:szCs w:val="21"/>
                <w:highlight w:val="none"/>
              </w:rPr>
              <w:t>□允许分包</w:t>
            </w:r>
          </w:p>
          <w:p w14:paraId="2C399BE6">
            <w:pPr>
              <w:pStyle w:val="14"/>
              <w:keepNext w:val="0"/>
              <w:keepLines w:val="0"/>
              <w:pageBreakBefore w:val="0"/>
              <w:widowControl w:val="0"/>
              <w:kinsoku/>
              <w:wordWrap w:val="0"/>
              <w:overflowPunct/>
              <w:topLinePunct w:val="0"/>
              <w:bidi w:val="0"/>
              <w:spacing w:line="360" w:lineRule="auto"/>
              <w:ind w:left="0"/>
              <w:rPr>
                <w:rFonts w:ascii="宋体" w:hAnsi="宋体"/>
                <w:color w:val="auto"/>
                <w:szCs w:val="21"/>
                <w:highlight w:val="none"/>
                <w:u w:val="single"/>
              </w:rPr>
            </w:pPr>
            <w:r>
              <w:rPr>
                <w:rFonts w:hint="eastAsia" w:ascii="宋体" w:hAnsi="宋体"/>
                <w:color w:val="auto"/>
                <w:szCs w:val="21"/>
                <w:highlight w:val="none"/>
              </w:rPr>
              <w:t>分包内容：</w:t>
            </w:r>
            <w:r>
              <w:rPr>
                <w:rFonts w:hint="eastAsia" w:ascii="宋体" w:hAnsi="宋体"/>
                <w:color w:val="auto"/>
                <w:szCs w:val="21"/>
                <w:highlight w:val="none"/>
                <w:u w:val="single"/>
              </w:rPr>
              <w:t xml:space="preserve">                                     。</w:t>
            </w:r>
          </w:p>
          <w:p w14:paraId="391E8DF6">
            <w:pPr>
              <w:pStyle w:val="14"/>
              <w:keepNext w:val="0"/>
              <w:keepLines w:val="0"/>
              <w:pageBreakBefore w:val="0"/>
              <w:widowControl w:val="0"/>
              <w:kinsoku/>
              <w:wordWrap w:val="0"/>
              <w:overflowPunct/>
              <w:topLinePunct w:val="0"/>
              <w:bidi w:val="0"/>
              <w:spacing w:line="360" w:lineRule="auto"/>
              <w:ind w:left="0"/>
              <w:rPr>
                <w:rFonts w:ascii="宋体" w:hAnsi="宋体" w:cs="宋体"/>
                <w:color w:val="auto"/>
                <w:szCs w:val="21"/>
                <w:highlight w:val="none"/>
              </w:rPr>
            </w:pPr>
            <w:r>
              <w:rPr>
                <w:rFonts w:hint="eastAsia" w:ascii="宋体" w:hAnsi="宋体"/>
                <w:color w:val="auto"/>
                <w:szCs w:val="21"/>
                <w:highlight w:val="none"/>
              </w:rPr>
              <w:t>分包金额或者比例：</w:t>
            </w:r>
            <w:r>
              <w:rPr>
                <w:rFonts w:hint="eastAsia" w:ascii="宋体" w:hAnsi="宋体"/>
                <w:color w:val="auto"/>
                <w:szCs w:val="21"/>
                <w:highlight w:val="none"/>
                <w:u w:val="single"/>
              </w:rPr>
              <w:t xml:space="preserve">                                     。</w:t>
            </w:r>
          </w:p>
        </w:tc>
      </w:tr>
      <w:tr w14:paraId="55180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77FC4C12">
            <w:pPr>
              <w:keepNext w:val="0"/>
              <w:keepLines w:val="0"/>
              <w:pageBreakBefore w:val="0"/>
              <w:widowControl w:val="0"/>
              <w:kinsoku/>
              <w:wordWrap w:val="0"/>
              <w:overflowPunct/>
              <w:topLinePunct w:val="0"/>
              <w:bidi w:val="0"/>
              <w:spacing w:line="360" w:lineRule="auto"/>
              <w:ind w:left="0"/>
              <w:jc w:val="center"/>
              <w:rPr>
                <w:rFonts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p>
        </w:tc>
        <w:tc>
          <w:tcPr>
            <w:tcW w:w="7912" w:type="dxa"/>
            <w:vAlign w:val="center"/>
          </w:tcPr>
          <w:p w14:paraId="24FF33B2">
            <w:pPr>
              <w:keepNext w:val="0"/>
              <w:keepLines w:val="0"/>
              <w:pageBreakBefore w:val="0"/>
              <w:widowControl w:val="0"/>
              <w:kinsoku/>
              <w:wordWrap w:val="0"/>
              <w:overflowPunct/>
              <w:topLinePunct w:val="0"/>
              <w:bidi w:val="0"/>
              <w:snapToGrid w:val="0"/>
              <w:spacing w:line="360" w:lineRule="auto"/>
              <w:ind w:left="0"/>
              <w:jc w:val="left"/>
              <w:rPr>
                <w:rFonts w:ascii="宋体" w:hAnsi="宋体" w:cs="宋体"/>
                <w:b/>
                <w:color w:val="auto"/>
                <w:szCs w:val="21"/>
                <w:highlight w:val="none"/>
              </w:rPr>
            </w:pPr>
            <w:r>
              <w:rPr>
                <w:rFonts w:hint="eastAsia" w:ascii="宋体" w:hAnsi="宋体" w:cs="宋体"/>
                <w:b/>
                <w:color w:val="auto"/>
                <w:szCs w:val="21"/>
                <w:highlight w:val="none"/>
              </w:rPr>
              <w:t>资格证明文件</w:t>
            </w:r>
          </w:p>
          <w:p w14:paraId="6D6EEF88">
            <w:pPr>
              <w:pStyle w:val="14"/>
              <w:keepNext w:val="0"/>
              <w:keepLines w:val="0"/>
              <w:pageBreakBefore w:val="0"/>
              <w:widowControl w:val="0"/>
              <w:kinsoku/>
              <w:wordWrap w:val="0"/>
              <w:overflowPunct/>
              <w:topLinePunct w:val="0"/>
              <w:bidi w:val="0"/>
              <w:spacing w:line="360" w:lineRule="auto"/>
              <w:ind w:left="0"/>
              <w:rPr>
                <w:rFonts w:ascii="宋体" w:hAnsi="宋体"/>
                <w:color w:val="auto"/>
                <w:szCs w:val="21"/>
                <w:highlight w:val="none"/>
              </w:rPr>
            </w:pPr>
            <w:r>
              <w:rPr>
                <w:rFonts w:hint="eastAsia" w:ascii="宋体" w:hAnsi="宋体" w:cs="宋体"/>
                <w:color w:val="auto"/>
                <w:szCs w:val="21"/>
                <w:highlight w:val="none"/>
              </w:rPr>
              <w:t>1.供应商应当在响应文件中以书面形式作出信用承诺（承诺函格式见附件）；</w:t>
            </w:r>
            <w:r>
              <w:rPr>
                <w:rFonts w:hint="eastAsia" w:ascii="宋体" w:hAnsi="宋体" w:cs="宋体"/>
                <w:b/>
                <w:bCs/>
                <w:color w:val="auto"/>
                <w:szCs w:val="21"/>
                <w:highlight w:val="none"/>
              </w:rPr>
              <w:t>（必须提供，否则响应文件按无效响应处理）</w:t>
            </w:r>
          </w:p>
          <w:p w14:paraId="53E81344">
            <w:pPr>
              <w:keepNext w:val="0"/>
              <w:keepLines w:val="0"/>
              <w:pageBreakBefore w:val="0"/>
              <w:widowControl w:val="0"/>
              <w:kinsoku/>
              <w:wordWrap w:val="0"/>
              <w:overflowPunct/>
              <w:topLinePunct w:val="0"/>
              <w:bidi w:val="0"/>
              <w:snapToGrid w:val="0"/>
              <w:spacing w:line="360" w:lineRule="auto"/>
              <w:ind w:left="0"/>
              <w:jc w:val="left"/>
              <w:rPr>
                <w:rFonts w:ascii="宋体" w:hAnsi="宋体" w:cs="宋体"/>
                <w:color w:val="auto"/>
                <w:szCs w:val="21"/>
                <w:highlight w:val="none"/>
              </w:rPr>
            </w:pPr>
            <w:r>
              <w:rPr>
                <w:rFonts w:hint="eastAsia" w:ascii="宋体" w:hAnsi="宋体" w:cs="宋体"/>
                <w:color w:val="auto"/>
                <w:szCs w:val="21"/>
                <w:highlight w:val="none"/>
              </w:rPr>
              <w:t>2.供应商直接控股股东信息表（格式后附）；（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937F00C">
            <w:pPr>
              <w:keepNext w:val="0"/>
              <w:keepLines w:val="0"/>
              <w:pageBreakBefore w:val="0"/>
              <w:widowControl w:val="0"/>
              <w:kinsoku/>
              <w:wordWrap w:val="0"/>
              <w:overflowPunct/>
              <w:topLinePunct w:val="0"/>
              <w:bidi w:val="0"/>
              <w:snapToGrid w:val="0"/>
              <w:spacing w:line="360" w:lineRule="auto"/>
              <w:ind w:left="0"/>
              <w:jc w:val="left"/>
              <w:rPr>
                <w:rFonts w:ascii="宋体" w:hAnsi="宋体" w:cs="宋体"/>
                <w:color w:val="auto"/>
                <w:szCs w:val="21"/>
                <w:highlight w:val="none"/>
              </w:rPr>
            </w:pPr>
            <w:r>
              <w:rPr>
                <w:rFonts w:hint="eastAsia" w:ascii="宋体" w:hAnsi="宋体" w:cs="宋体"/>
                <w:color w:val="auto"/>
                <w:szCs w:val="21"/>
                <w:highlight w:val="none"/>
              </w:rPr>
              <w:t>3.供应商直接管理关系信息表（格式后附）；（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200B5C1">
            <w:pPr>
              <w:keepNext w:val="0"/>
              <w:keepLines w:val="0"/>
              <w:pageBreakBefore w:val="0"/>
              <w:widowControl w:val="0"/>
              <w:kinsoku/>
              <w:wordWrap w:val="0"/>
              <w:overflowPunct/>
              <w:topLinePunct w:val="0"/>
              <w:bidi w:val="0"/>
              <w:snapToGrid w:val="0"/>
              <w:spacing w:line="360" w:lineRule="auto"/>
              <w:ind w:left="0"/>
              <w:jc w:val="left"/>
              <w:rPr>
                <w:rFonts w:ascii="宋体" w:hAnsi="宋体" w:cs="宋体"/>
                <w:color w:val="auto"/>
                <w:szCs w:val="21"/>
                <w:highlight w:val="none"/>
              </w:rPr>
            </w:pPr>
            <w:r>
              <w:rPr>
                <w:rFonts w:hint="eastAsia" w:ascii="宋体" w:hAnsi="宋体" w:cs="宋体"/>
                <w:color w:val="auto"/>
                <w:szCs w:val="21"/>
                <w:highlight w:val="none"/>
              </w:rPr>
              <w:t>4.竞标声明（格式后附）；（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0498C33">
            <w:pPr>
              <w:keepNext w:val="0"/>
              <w:keepLines w:val="0"/>
              <w:pageBreakBefore w:val="0"/>
              <w:widowControl w:val="0"/>
              <w:kinsoku/>
              <w:wordWrap w:val="0"/>
              <w:overflowPunct/>
              <w:topLinePunct w:val="0"/>
              <w:bidi w:val="0"/>
              <w:snapToGrid w:val="0"/>
              <w:spacing w:line="360" w:lineRule="auto"/>
              <w:ind w:left="0"/>
              <w:jc w:val="left"/>
              <w:rPr>
                <w:rFonts w:ascii="宋体" w:hAnsi="宋体"/>
                <w:color w:val="auto"/>
                <w:szCs w:val="21"/>
                <w:highlight w:val="none"/>
              </w:rPr>
            </w:pPr>
            <w:r>
              <w:rPr>
                <w:rFonts w:hint="eastAsia" w:ascii="宋体" w:hAnsi="宋体" w:cs="宋体"/>
                <w:color w:val="auto"/>
                <w:szCs w:val="21"/>
                <w:highlight w:val="none"/>
              </w:rPr>
              <w:t>5.供应商在广西政府采购云平台下载采购文件</w:t>
            </w:r>
            <w:r>
              <w:rPr>
                <w:rFonts w:ascii="宋体" w:hAnsi="宋体" w:cs="宋体"/>
                <w:color w:val="auto"/>
                <w:szCs w:val="21"/>
                <w:highlight w:val="none"/>
              </w:rPr>
              <w:t>的</w:t>
            </w:r>
            <w:r>
              <w:rPr>
                <w:rFonts w:hint="eastAsia" w:ascii="宋体" w:hAnsi="宋体" w:cs="宋体"/>
                <w:color w:val="auto"/>
                <w:szCs w:val="21"/>
                <w:highlight w:val="none"/>
              </w:rPr>
              <w:t>证明文件；</w:t>
            </w:r>
            <w:r>
              <w:rPr>
                <w:rFonts w:hint="eastAsia" w:ascii="宋体" w:hAnsi="宋体"/>
                <w:color w:val="auto"/>
                <w:szCs w:val="21"/>
                <w:highlight w:val="none"/>
              </w:rPr>
              <w:t>（</w:t>
            </w:r>
            <w:r>
              <w:rPr>
                <w:rFonts w:hint="eastAsia" w:ascii="宋体" w:hAnsi="宋体"/>
                <w:b/>
                <w:color w:val="auto"/>
                <w:szCs w:val="21"/>
                <w:highlight w:val="none"/>
              </w:rPr>
              <w:t>必须提供，否则响应文件按无效响应处理</w:t>
            </w:r>
            <w:r>
              <w:rPr>
                <w:rFonts w:hint="eastAsia" w:ascii="宋体" w:hAnsi="宋体"/>
                <w:color w:val="auto"/>
                <w:szCs w:val="21"/>
                <w:highlight w:val="none"/>
              </w:rPr>
              <w:t>）</w:t>
            </w:r>
          </w:p>
          <w:p w14:paraId="10944743">
            <w:pPr>
              <w:keepNext w:val="0"/>
              <w:keepLines w:val="0"/>
              <w:pageBreakBefore w:val="0"/>
              <w:widowControl w:val="0"/>
              <w:kinsoku/>
              <w:wordWrap w:val="0"/>
              <w:overflowPunct/>
              <w:topLinePunct w:val="0"/>
              <w:bidi w:val="0"/>
              <w:snapToGrid w:val="0"/>
              <w:spacing w:line="360" w:lineRule="auto"/>
              <w:ind w:left="0"/>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szCs w:val="21"/>
                <w:highlight w:val="none"/>
              </w:rPr>
              <w:t>.</w:t>
            </w:r>
            <w:r>
              <w:rPr>
                <w:rFonts w:hint="eastAsia" w:ascii="宋体" w:hAnsi="宋体"/>
                <w:color w:val="auto"/>
                <w:szCs w:val="21"/>
                <w:highlight w:val="none"/>
              </w:rPr>
              <w:t>中小企业声明函或残疾人福利性单位声明函或供应商属于监狱企业的证明材料</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必须提供，否则响应文件按无效响应处理</w:t>
            </w:r>
            <w:r>
              <w:rPr>
                <w:rFonts w:hint="eastAsia" w:ascii="宋体" w:hAnsi="宋体"/>
                <w:color w:val="auto"/>
                <w:szCs w:val="21"/>
                <w:highlight w:val="none"/>
              </w:rPr>
              <w:t>）</w:t>
            </w:r>
          </w:p>
          <w:p w14:paraId="237E9ACD">
            <w:pPr>
              <w:keepNext w:val="0"/>
              <w:keepLines w:val="0"/>
              <w:pageBreakBefore w:val="0"/>
              <w:widowControl w:val="0"/>
              <w:kinsoku/>
              <w:wordWrap w:val="0"/>
              <w:overflowPunct/>
              <w:topLinePunct w:val="0"/>
              <w:bidi w:val="0"/>
              <w:snapToGrid w:val="0"/>
              <w:spacing w:line="360" w:lineRule="auto"/>
              <w:ind w:left="0"/>
              <w:jc w:val="left"/>
              <w:rPr>
                <w:rFonts w:ascii="宋体" w:hAnsi="宋体" w:cs="宋体"/>
                <w:color w:val="auto"/>
                <w:szCs w:val="21"/>
                <w:highlight w:val="none"/>
              </w:rPr>
            </w:pPr>
            <w:r>
              <w:rPr>
                <w:rFonts w:hint="eastAsia" w:ascii="宋体" w:hAnsi="宋体" w:cs="宋体"/>
                <w:color w:val="auto"/>
                <w:szCs w:val="21"/>
                <w:highlight w:val="none"/>
              </w:rPr>
              <w:t>7.除磋商文件规定必须提供以外，供应商认为需要提供的其他证明材料；</w:t>
            </w:r>
          </w:p>
          <w:p w14:paraId="4B056C8F">
            <w:pPr>
              <w:keepNext w:val="0"/>
              <w:keepLines w:val="0"/>
              <w:pageBreakBefore w:val="0"/>
              <w:widowControl w:val="0"/>
              <w:kinsoku/>
              <w:wordWrap w:val="0"/>
              <w:overflowPunct/>
              <w:topLinePunct w:val="0"/>
              <w:bidi w:val="0"/>
              <w:snapToGrid w:val="0"/>
              <w:spacing w:line="360" w:lineRule="auto"/>
              <w:ind w:left="0"/>
              <w:jc w:val="left"/>
              <w:rPr>
                <w:rFonts w:ascii="宋体" w:hAnsi="宋体" w:cs="宋体"/>
                <w:b/>
                <w:color w:val="auto"/>
                <w:szCs w:val="21"/>
                <w:highlight w:val="none"/>
              </w:rPr>
            </w:pPr>
            <w:r>
              <w:rPr>
                <w:rFonts w:hint="eastAsia" w:ascii="宋体" w:hAnsi="宋体" w:cs="宋体"/>
                <w:b/>
                <w:color w:val="auto"/>
                <w:szCs w:val="21"/>
                <w:highlight w:val="none"/>
              </w:rPr>
              <w:t>注</w:t>
            </w:r>
            <w:r>
              <w:rPr>
                <w:rFonts w:hint="eastAsia" w:ascii="宋体" w:hAnsi="宋体" w:cs="宋体"/>
                <w:color w:val="auto"/>
                <w:szCs w:val="21"/>
                <w:highlight w:val="none"/>
              </w:rPr>
              <w:t>：</w:t>
            </w:r>
          </w:p>
          <w:p w14:paraId="2A228BBB">
            <w:pPr>
              <w:keepNext w:val="0"/>
              <w:keepLines w:val="0"/>
              <w:pageBreakBefore w:val="0"/>
              <w:widowControl w:val="0"/>
              <w:kinsoku/>
              <w:wordWrap w:val="0"/>
              <w:overflowPunct/>
              <w:topLinePunct w:val="0"/>
              <w:bidi w:val="0"/>
              <w:snapToGrid w:val="0"/>
              <w:spacing w:line="360" w:lineRule="auto"/>
              <w:ind w:left="0"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1.以上标明“必须提供”的材料属于复印件的，必须加盖供应商</w:t>
            </w:r>
            <w:r>
              <w:rPr>
                <w:rFonts w:hint="eastAsia" w:ascii="宋体" w:hAnsi="宋体"/>
                <w:b/>
                <w:color w:val="auto"/>
                <w:szCs w:val="21"/>
                <w:highlight w:val="none"/>
              </w:rPr>
              <w:t>电子签章</w:t>
            </w:r>
            <w:r>
              <w:rPr>
                <w:rFonts w:hint="eastAsia" w:ascii="宋体" w:hAnsi="宋体" w:cs="宋体"/>
                <w:b/>
                <w:color w:val="auto"/>
                <w:szCs w:val="21"/>
                <w:highlight w:val="none"/>
              </w:rPr>
              <w:t>，否则响应文件按无效处理。</w:t>
            </w:r>
          </w:p>
          <w:p w14:paraId="0A57605A">
            <w:pPr>
              <w:pStyle w:val="14"/>
              <w:keepNext w:val="0"/>
              <w:keepLines w:val="0"/>
              <w:pageBreakBefore w:val="0"/>
              <w:widowControl w:val="0"/>
              <w:kinsoku/>
              <w:wordWrap w:val="0"/>
              <w:overflowPunct/>
              <w:topLinePunct w:val="0"/>
              <w:bidi w:val="0"/>
              <w:spacing w:line="360" w:lineRule="auto"/>
              <w:ind w:left="0" w:firstLine="422" w:firstLineChars="200"/>
              <w:rPr>
                <w:rFonts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b/>
                <w:bCs/>
                <w:color w:val="auto"/>
                <w:szCs w:val="21"/>
                <w:highlight w:val="none"/>
              </w:rPr>
              <w:t>分公司参加竞标的，应当取得总公司授权，并在响应文件中提供相关证明材料，否则响应文件按无效响应处理。</w:t>
            </w:r>
          </w:p>
        </w:tc>
      </w:tr>
      <w:tr w14:paraId="48EDE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14E6D40B">
            <w:pPr>
              <w:keepNext w:val="0"/>
              <w:keepLines w:val="0"/>
              <w:pageBreakBefore w:val="0"/>
              <w:widowControl w:val="0"/>
              <w:kinsoku/>
              <w:wordWrap w:val="0"/>
              <w:overflowPunct/>
              <w:topLinePunct w:val="0"/>
              <w:bidi w:val="0"/>
              <w:spacing w:line="360" w:lineRule="auto"/>
              <w:ind w:left="0"/>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7912" w:type="dxa"/>
            <w:vAlign w:val="center"/>
          </w:tcPr>
          <w:p w14:paraId="766159B9">
            <w:pPr>
              <w:keepNext w:val="0"/>
              <w:keepLines w:val="0"/>
              <w:pageBreakBefore w:val="0"/>
              <w:widowControl w:val="0"/>
              <w:kinsoku/>
              <w:wordWrap w:val="0"/>
              <w:overflowPunct/>
              <w:topLinePunct w:val="0"/>
              <w:bidi w:val="0"/>
              <w:spacing w:line="360" w:lineRule="auto"/>
              <w:ind w:left="0"/>
              <w:rPr>
                <w:rFonts w:ascii="宋体" w:hAnsi="宋体" w:cs="宋体"/>
                <w:color w:val="auto"/>
                <w:szCs w:val="21"/>
                <w:highlight w:val="none"/>
              </w:rPr>
            </w:pPr>
            <w:r>
              <w:rPr>
                <w:rFonts w:hint="eastAsia" w:ascii="宋体" w:hAnsi="宋体" w:cs="宋体"/>
                <w:color w:val="auto"/>
                <w:szCs w:val="21"/>
                <w:highlight w:val="none"/>
              </w:rPr>
              <w:t>报价文件</w:t>
            </w:r>
          </w:p>
          <w:p w14:paraId="0FBC0319">
            <w:pPr>
              <w:keepNext w:val="0"/>
              <w:keepLines w:val="0"/>
              <w:pageBreakBefore w:val="0"/>
              <w:widowControl w:val="0"/>
              <w:kinsoku/>
              <w:wordWrap w:val="0"/>
              <w:overflowPunct/>
              <w:topLinePunct w:val="0"/>
              <w:bidi w:val="0"/>
              <w:spacing w:line="360" w:lineRule="auto"/>
              <w:ind w:left="0"/>
              <w:rPr>
                <w:rFonts w:ascii="宋体" w:hAnsi="宋体" w:cs="宋体"/>
                <w:color w:val="auto"/>
                <w:szCs w:val="21"/>
                <w:highlight w:val="none"/>
              </w:rPr>
            </w:pPr>
            <w:r>
              <w:rPr>
                <w:rFonts w:hint="eastAsia" w:ascii="宋体" w:hAnsi="宋体" w:cs="宋体"/>
                <w:color w:val="auto"/>
                <w:szCs w:val="21"/>
                <w:highlight w:val="none"/>
              </w:rPr>
              <w:t>1.竞标报价表（格式后附）；（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3ACF9758">
            <w:pPr>
              <w:keepNext w:val="0"/>
              <w:keepLines w:val="0"/>
              <w:pageBreakBefore w:val="0"/>
              <w:widowControl w:val="0"/>
              <w:kinsoku/>
              <w:wordWrap w:val="0"/>
              <w:overflowPunct/>
              <w:topLinePunct w:val="0"/>
              <w:bidi w:val="0"/>
              <w:spacing w:line="360" w:lineRule="auto"/>
              <w:ind w:left="0"/>
              <w:rPr>
                <w:rFonts w:ascii="宋体" w:hAnsi="宋体" w:cs="宋体"/>
                <w:color w:val="auto"/>
                <w:szCs w:val="21"/>
                <w:highlight w:val="none"/>
              </w:rPr>
            </w:pPr>
            <w:r>
              <w:rPr>
                <w:rFonts w:hint="eastAsia" w:ascii="宋体" w:hAnsi="宋体" w:cs="宋体"/>
                <w:color w:val="auto"/>
                <w:szCs w:val="21"/>
                <w:highlight w:val="none"/>
              </w:rPr>
              <w:t>2.供应商认为需要提供的其他有关资料。</w:t>
            </w:r>
          </w:p>
        </w:tc>
      </w:tr>
      <w:tr w14:paraId="66D9B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6AA33D08">
            <w:pPr>
              <w:keepNext w:val="0"/>
              <w:keepLines w:val="0"/>
              <w:pageBreakBefore w:val="0"/>
              <w:widowControl w:val="0"/>
              <w:kinsoku/>
              <w:wordWrap w:val="0"/>
              <w:overflowPunct/>
              <w:topLinePunct w:val="0"/>
              <w:bidi w:val="0"/>
              <w:spacing w:line="360" w:lineRule="auto"/>
              <w:ind w:left="0"/>
              <w:jc w:val="center"/>
              <w:rPr>
                <w:rFonts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.3</w:t>
            </w:r>
          </w:p>
        </w:tc>
        <w:tc>
          <w:tcPr>
            <w:tcW w:w="7912" w:type="dxa"/>
            <w:vAlign w:val="center"/>
          </w:tcPr>
          <w:p w14:paraId="136948B5">
            <w:pPr>
              <w:keepNext w:val="0"/>
              <w:keepLines w:val="0"/>
              <w:pageBreakBefore w:val="0"/>
              <w:widowControl w:val="0"/>
              <w:kinsoku/>
              <w:wordWrap w:val="0"/>
              <w:overflowPunct/>
              <w:topLinePunct w:val="0"/>
              <w:bidi w:val="0"/>
              <w:spacing w:line="360" w:lineRule="auto"/>
              <w:ind w:left="0"/>
              <w:rPr>
                <w:rFonts w:ascii="宋体" w:hAnsi="宋体" w:cs="宋体"/>
                <w:b/>
                <w:bCs/>
                <w:color w:val="auto"/>
                <w:szCs w:val="21"/>
                <w:highlight w:val="none"/>
              </w:rPr>
            </w:pPr>
            <w:r>
              <w:rPr>
                <w:rFonts w:hint="eastAsia" w:ascii="宋体" w:hAnsi="宋体" w:cs="宋体"/>
                <w:b/>
                <w:bCs/>
                <w:color w:val="auto"/>
                <w:szCs w:val="21"/>
                <w:highlight w:val="none"/>
              </w:rPr>
              <w:t>商务技术文件</w:t>
            </w:r>
          </w:p>
          <w:p w14:paraId="4916F157">
            <w:pPr>
              <w:keepNext w:val="0"/>
              <w:keepLines w:val="0"/>
              <w:pageBreakBefore w:val="0"/>
              <w:widowControl w:val="0"/>
              <w:kinsoku/>
              <w:wordWrap w:val="0"/>
              <w:overflowPunct/>
              <w:topLinePunct w:val="0"/>
              <w:bidi w:val="0"/>
              <w:spacing w:line="360" w:lineRule="auto"/>
              <w:ind w:left="0"/>
              <w:rPr>
                <w:rFonts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035692E">
            <w:pPr>
              <w:keepNext w:val="0"/>
              <w:keepLines w:val="0"/>
              <w:pageBreakBefore w:val="0"/>
              <w:widowControl w:val="0"/>
              <w:kinsoku/>
              <w:wordWrap w:val="0"/>
              <w:overflowPunct/>
              <w:topLinePunct w:val="0"/>
              <w:bidi w:val="0"/>
              <w:snapToGrid w:val="0"/>
              <w:spacing w:line="360" w:lineRule="auto"/>
              <w:ind w:left="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.法定代表人身份证明书及法定代表人有效身份证正反面复印件（格式后附）；（</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C10C3A1">
            <w:pPr>
              <w:keepNext w:val="0"/>
              <w:keepLines w:val="0"/>
              <w:pageBreakBefore w:val="0"/>
              <w:widowControl w:val="0"/>
              <w:kinsoku/>
              <w:wordWrap w:val="0"/>
              <w:overflowPunct/>
              <w:topLinePunct w:val="0"/>
              <w:bidi w:val="0"/>
              <w:spacing w:line="360" w:lineRule="auto"/>
              <w:ind w:left="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.授权委托书及委托代理人有效身份证正反面复印件（格式后附）；（</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5A2DE0FC">
            <w:pPr>
              <w:keepNext w:val="0"/>
              <w:keepLines w:val="0"/>
              <w:pageBreakBefore w:val="0"/>
              <w:widowControl w:val="0"/>
              <w:kinsoku/>
              <w:wordWrap w:val="0"/>
              <w:overflowPunct/>
              <w:topLinePunct w:val="0"/>
              <w:bidi w:val="0"/>
              <w:spacing w:line="360" w:lineRule="auto"/>
              <w:ind w:left="0"/>
              <w:rPr>
                <w:rFonts w:ascii="宋体" w:hAnsi="宋体" w:cs="宋体"/>
                <w:b/>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.磋商保证金提交凭证；（</w:t>
            </w:r>
            <w:r>
              <w:rPr>
                <w:rFonts w:hint="eastAsia"/>
                <w:b/>
                <w:bCs/>
                <w:color w:val="auto"/>
                <w:highlight w:val="none"/>
              </w:rPr>
              <w:t>必须提供</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2D1D1A29">
            <w:pPr>
              <w:keepNext w:val="0"/>
              <w:keepLines w:val="0"/>
              <w:pageBreakBefore w:val="0"/>
              <w:widowControl w:val="0"/>
              <w:kinsoku/>
              <w:wordWrap w:val="0"/>
              <w:overflowPunct/>
              <w:topLinePunct w:val="0"/>
              <w:bidi w:val="0"/>
              <w:spacing w:line="360" w:lineRule="auto"/>
              <w:ind w:left="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.商务要求偏离表（格式后附）；（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0815EFA">
            <w:pPr>
              <w:keepNext w:val="0"/>
              <w:keepLines w:val="0"/>
              <w:pageBreakBefore w:val="0"/>
              <w:widowControl w:val="0"/>
              <w:kinsoku/>
              <w:wordWrap w:val="0"/>
              <w:overflowPunct/>
              <w:topLinePunct w:val="0"/>
              <w:bidi w:val="0"/>
              <w:spacing w:line="360" w:lineRule="auto"/>
              <w:ind w:left="0"/>
              <w:rPr>
                <w:rFonts w:ascii="宋体" w:hAnsi="宋体" w:cs="宋体"/>
                <w:color w:val="auto"/>
                <w:szCs w:val="21"/>
                <w:highlight w:val="none"/>
              </w:rPr>
            </w:pPr>
            <w:r>
              <w:rPr>
                <w:rFonts w:hint="eastAsia" w:ascii="宋体" w:hAnsi="宋体" w:cs="宋体"/>
                <w:color w:val="auto"/>
                <w:szCs w:val="21"/>
                <w:highlight w:val="none"/>
              </w:rPr>
              <w:t>6.服务承诺（格式自拟）；（</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E256C9F">
            <w:pPr>
              <w:keepNext w:val="0"/>
              <w:keepLines w:val="0"/>
              <w:pageBreakBefore w:val="0"/>
              <w:widowControl w:val="0"/>
              <w:kinsoku/>
              <w:wordWrap w:val="0"/>
              <w:overflowPunct/>
              <w:topLinePunct w:val="0"/>
              <w:bidi w:val="0"/>
              <w:spacing w:line="360" w:lineRule="auto"/>
              <w:ind w:left="0"/>
              <w:rPr>
                <w:rFonts w:ascii="宋体" w:hAnsi="宋体" w:cs="宋体"/>
                <w:color w:val="auto"/>
                <w:szCs w:val="21"/>
                <w:highlight w:val="none"/>
              </w:rPr>
            </w:pPr>
            <w:r>
              <w:rPr>
                <w:rFonts w:hint="eastAsia" w:ascii="宋体" w:hAnsi="宋体" w:cs="宋体"/>
                <w:color w:val="auto"/>
                <w:szCs w:val="21"/>
                <w:highlight w:val="none"/>
              </w:rPr>
              <w:t>7.技术要求偏离表（格式后附）；（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CC4D465">
            <w:pPr>
              <w:keepNext w:val="0"/>
              <w:keepLines w:val="0"/>
              <w:pageBreakBefore w:val="0"/>
              <w:widowControl w:val="0"/>
              <w:kinsoku/>
              <w:wordWrap w:val="0"/>
              <w:overflowPunct/>
              <w:topLinePunct w:val="0"/>
              <w:bidi w:val="0"/>
              <w:spacing w:line="360" w:lineRule="auto"/>
              <w:ind w:left="0"/>
              <w:rPr>
                <w:rFonts w:ascii="宋体" w:hAnsi="宋体" w:cs="宋体"/>
                <w:color w:val="auto"/>
                <w:szCs w:val="21"/>
                <w:highlight w:val="none"/>
              </w:rPr>
            </w:pPr>
            <w:r>
              <w:rPr>
                <w:rFonts w:hint="eastAsia" w:ascii="宋体" w:hAnsi="宋体" w:cs="宋体"/>
                <w:color w:val="auto"/>
                <w:szCs w:val="21"/>
                <w:highlight w:val="none"/>
              </w:rPr>
              <w:t>8.项目实施方案（格式自拟）；（</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6150F38">
            <w:pPr>
              <w:keepNext w:val="0"/>
              <w:keepLines w:val="0"/>
              <w:pageBreakBefore w:val="0"/>
              <w:widowControl w:val="0"/>
              <w:kinsoku/>
              <w:wordWrap w:val="0"/>
              <w:overflowPunct/>
              <w:topLinePunct w:val="0"/>
              <w:bidi w:val="0"/>
              <w:spacing w:line="360" w:lineRule="auto"/>
              <w:ind w:left="0"/>
              <w:rPr>
                <w:rFonts w:ascii="宋体" w:hAnsi="宋体" w:cs="宋体"/>
                <w:color w:val="auto"/>
                <w:szCs w:val="21"/>
                <w:highlight w:val="none"/>
              </w:rPr>
            </w:pPr>
            <w:r>
              <w:rPr>
                <w:rFonts w:hint="eastAsia" w:ascii="宋体" w:hAnsi="宋体" w:cs="宋体"/>
                <w:color w:val="auto"/>
                <w:szCs w:val="21"/>
                <w:highlight w:val="none"/>
              </w:rPr>
              <w:t>9.人员配置方案（包含但不限于项目实施人员一览表）</w:t>
            </w:r>
            <w:r>
              <w:rPr>
                <w:rFonts w:hint="eastAsia" w:ascii="宋体" w:hAnsi="宋体"/>
                <w:color w:val="auto"/>
                <w:szCs w:val="21"/>
                <w:highlight w:val="none"/>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0F599BB">
            <w:pPr>
              <w:keepNext w:val="0"/>
              <w:keepLines w:val="0"/>
              <w:pageBreakBefore w:val="0"/>
              <w:widowControl w:val="0"/>
              <w:kinsoku/>
              <w:wordWrap w:val="0"/>
              <w:overflowPunct/>
              <w:topLinePunct w:val="0"/>
              <w:bidi w:val="0"/>
              <w:spacing w:line="360" w:lineRule="auto"/>
              <w:ind w:left="0"/>
              <w:rPr>
                <w:rFonts w:ascii="宋体" w:hAnsi="宋体" w:cs="宋体"/>
                <w:color w:val="auto"/>
                <w:szCs w:val="21"/>
                <w:highlight w:val="none"/>
              </w:rPr>
            </w:pPr>
            <w:r>
              <w:rPr>
                <w:rFonts w:hint="eastAsia" w:ascii="宋体" w:hAnsi="宋体" w:cs="宋体"/>
                <w:color w:val="auto"/>
                <w:szCs w:val="21"/>
                <w:highlight w:val="none"/>
              </w:rPr>
              <w:t>10.作业质量和安全保障方案；（如有，请提供）</w:t>
            </w:r>
          </w:p>
          <w:p w14:paraId="4917723A">
            <w:pPr>
              <w:keepNext w:val="0"/>
              <w:keepLines w:val="0"/>
              <w:pageBreakBefore w:val="0"/>
              <w:widowControl w:val="0"/>
              <w:kinsoku/>
              <w:wordWrap w:val="0"/>
              <w:overflowPunct/>
              <w:topLinePunct w:val="0"/>
              <w:bidi w:val="0"/>
              <w:spacing w:line="360" w:lineRule="auto"/>
              <w:ind w:left="0"/>
              <w:rPr>
                <w:rFonts w:ascii="宋体" w:hAnsi="宋体" w:cs="宋体"/>
                <w:color w:val="auto"/>
                <w:szCs w:val="21"/>
                <w:highlight w:val="none"/>
              </w:rPr>
            </w:pPr>
            <w:r>
              <w:rPr>
                <w:rFonts w:hint="eastAsia" w:ascii="宋体" w:hAnsi="宋体" w:cs="宋体"/>
                <w:color w:val="auto"/>
                <w:szCs w:val="21"/>
                <w:highlight w:val="none"/>
              </w:rPr>
              <w:t>11.应急方案；（如有，请提供）</w:t>
            </w:r>
          </w:p>
          <w:p w14:paraId="2385E600">
            <w:pPr>
              <w:keepNext w:val="0"/>
              <w:keepLines w:val="0"/>
              <w:pageBreakBefore w:val="0"/>
              <w:widowControl w:val="0"/>
              <w:kinsoku/>
              <w:wordWrap w:val="0"/>
              <w:overflowPunct/>
              <w:topLinePunct w:val="0"/>
              <w:bidi w:val="0"/>
              <w:spacing w:line="360" w:lineRule="auto"/>
              <w:ind w:left="0"/>
              <w:rPr>
                <w:rFonts w:ascii="宋体" w:hAnsi="宋体" w:cs="宋体"/>
                <w:color w:val="auto"/>
                <w:szCs w:val="21"/>
                <w:highlight w:val="none"/>
              </w:rPr>
            </w:pPr>
            <w:r>
              <w:rPr>
                <w:rFonts w:hint="eastAsia" w:ascii="宋体" w:hAnsi="宋体" w:cs="宋体"/>
                <w:color w:val="auto"/>
                <w:szCs w:val="21"/>
                <w:highlight w:val="none"/>
              </w:rPr>
              <w:t>12.对应采购需求的技术要求、商务要求提供的其他文件资料（格式自拟）；</w:t>
            </w:r>
          </w:p>
          <w:p w14:paraId="62D55A0D">
            <w:pPr>
              <w:keepNext w:val="0"/>
              <w:keepLines w:val="0"/>
              <w:pageBreakBefore w:val="0"/>
              <w:widowControl w:val="0"/>
              <w:kinsoku/>
              <w:wordWrap w:val="0"/>
              <w:overflowPunct/>
              <w:topLinePunct w:val="0"/>
              <w:bidi w:val="0"/>
              <w:spacing w:line="360" w:lineRule="auto"/>
              <w:ind w:left="0"/>
              <w:rPr>
                <w:rFonts w:ascii="宋体" w:hAnsi="宋体" w:cs="宋体"/>
                <w:color w:val="auto"/>
                <w:szCs w:val="21"/>
                <w:highlight w:val="none"/>
              </w:rPr>
            </w:pPr>
            <w:r>
              <w:rPr>
                <w:rFonts w:hint="eastAsia" w:ascii="宋体" w:hAnsi="宋体" w:cs="宋体"/>
                <w:color w:val="auto"/>
                <w:szCs w:val="21"/>
                <w:highlight w:val="none"/>
              </w:rPr>
              <w:t>13.供应商认为需要提供的其他有关资料。</w:t>
            </w:r>
          </w:p>
          <w:p w14:paraId="2DEC8C93">
            <w:pPr>
              <w:keepNext w:val="0"/>
              <w:keepLines w:val="0"/>
              <w:pageBreakBefore w:val="0"/>
              <w:widowControl w:val="0"/>
              <w:kinsoku/>
              <w:wordWrap w:val="0"/>
              <w:overflowPunct/>
              <w:topLinePunct w:val="0"/>
              <w:bidi w:val="0"/>
              <w:snapToGrid w:val="0"/>
              <w:spacing w:line="360" w:lineRule="auto"/>
              <w:ind w:left="0"/>
              <w:jc w:val="left"/>
              <w:rPr>
                <w:rFonts w:ascii="宋体" w:hAnsi="宋体" w:cs="宋体"/>
                <w:b/>
                <w:color w:val="auto"/>
                <w:szCs w:val="21"/>
                <w:highlight w:val="none"/>
              </w:rPr>
            </w:pPr>
            <w:r>
              <w:rPr>
                <w:rFonts w:hint="eastAsia" w:ascii="宋体" w:hAnsi="宋体" w:cs="宋体"/>
                <w:b/>
                <w:color w:val="auto"/>
                <w:szCs w:val="21"/>
                <w:highlight w:val="none"/>
              </w:rPr>
              <w:t>注</w:t>
            </w:r>
            <w:r>
              <w:rPr>
                <w:rFonts w:hint="eastAsia" w:ascii="宋体" w:hAnsi="宋体" w:cs="宋体"/>
                <w:color w:val="auto"/>
                <w:szCs w:val="21"/>
                <w:highlight w:val="none"/>
              </w:rPr>
              <w:t>：</w:t>
            </w:r>
            <w:r>
              <w:rPr>
                <w:rFonts w:hint="eastAsia" w:ascii="宋体" w:hAnsi="宋体" w:cs="宋体"/>
                <w:b/>
                <w:color w:val="auto"/>
                <w:szCs w:val="21"/>
                <w:highlight w:val="none"/>
              </w:rPr>
              <w:t>以上标明“必须提供”的材料属于复印件的，必须加盖供应商</w:t>
            </w:r>
            <w:r>
              <w:rPr>
                <w:rFonts w:hint="eastAsia" w:ascii="宋体" w:hAnsi="宋体"/>
                <w:b/>
                <w:bCs/>
                <w:color w:val="auto"/>
                <w:szCs w:val="21"/>
                <w:highlight w:val="none"/>
              </w:rPr>
              <w:t>电子签章</w:t>
            </w:r>
            <w:r>
              <w:rPr>
                <w:rFonts w:hint="eastAsia" w:ascii="宋体" w:hAnsi="宋体" w:cs="宋体"/>
                <w:b/>
                <w:color w:val="auto"/>
                <w:szCs w:val="21"/>
                <w:highlight w:val="none"/>
              </w:rPr>
              <w:t>，否则响应文件按无效响应处理。</w:t>
            </w:r>
          </w:p>
        </w:tc>
      </w:tr>
      <w:tr w14:paraId="36D0E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48D3957D">
            <w:pPr>
              <w:keepNext w:val="0"/>
              <w:keepLines w:val="0"/>
              <w:pageBreakBefore w:val="0"/>
              <w:widowControl w:val="0"/>
              <w:kinsoku/>
              <w:wordWrap w:val="0"/>
              <w:overflowPunct/>
              <w:topLinePunct w:val="0"/>
              <w:bidi w:val="0"/>
              <w:spacing w:line="360" w:lineRule="auto"/>
              <w:ind w:left="0"/>
              <w:jc w:val="center"/>
              <w:rPr>
                <w:rFonts w:ascii="宋体" w:hAnsi="宋体" w:cs="宋体"/>
                <w:color w:val="auto"/>
                <w:szCs w:val="21"/>
                <w:highlight w:val="none"/>
              </w:rPr>
            </w:pPr>
            <w:r>
              <w:rPr>
                <w:rFonts w:hint="eastAsia" w:ascii="宋体" w:hAnsi="宋体" w:cs="宋体"/>
                <w:color w:val="auto"/>
                <w:szCs w:val="21"/>
                <w:highlight w:val="none"/>
              </w:rPr>
              <w:t>15.2</w:t>
            </w:r>
          </w:p>
        </w:tc>
        <w:tc>
          <w:tcPr>
            <w:tcW w:w="7912" w:type="dxa"/>
            <w:vAlign w:val="center"/>
          </w:tcPr>
          <w:p w14:paraId="781ACA54">
            <w:pPr>
              <w:keepNext w:val="0"/>
              <w:keepLines w:val="0"/>
              <w:pageBreakBefore w:val="0"/>
              <w:widowControl w:val="0"/>
              <w:kinsoku/>
              <w:wordWrap w:val="0"/>
              <w:overflowPunct/>
              <w:topLinePunct w:val="0"/>
              <w:bidi w:val="0"/>
              <w:spacing w:line="360" w:lineRule="auto"/>
              <w:ind w:left="0"/>
              <w:contextualSpacing/>
              <w:jc w:val="left"/>
              <w:rPr>
                <w:rFonts w:ascii="宋体" w:hAnsi="宋体"/>
                <w:b/>
                <w:color w:val="auto"/>
                <w:szCs w:val="21"/>
                <w:highlight w:val="none"/>
              </w:rPr>
            </w:pPr>
            <w:r>
              <w:rPr>
                <w:rFonts w:hint="eastAsia" w:ascii="宋体" w:hAnsi="宋体"/>
                <w:bCs/>
                <w:color w:val="auto"/>
                <w:szCs w:val="21"/>
                <w:highlight w:val="none"/>
              </w:rPr>
              <w:t>竞标报价必须含以下部分，包括但不限于整体服务价格及设备、人员成本、管理、利润、税金、保险、搬运、包装、运输、培训、验收、检测及其它所有成本、费用的总和。</w:t>
            </w:r>
          </w:p>
        </w:tc>
      </w:tr>
      <w:tr w14:paraId="22652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06D1BFFA">
            <w:pPr>
              <w:keepNext w:val="0"/>
              <w:keepLines w:val="0"/>
              <w:pageBreakBefore w:val="0"/>
              <w:widowControl w:val="0"/>
              <w:kinsoku/>
              <w:wordWrap w:val="0"/>
              <w:overflowPunct/>
              <w:topLinePunct w:val="0"/>
              <w:bidi w:val="0"/>
              <w:spacing w:line="360" w:lineRule="auto"/>
              <w:ind w:left="0"/>
              <w:jc w:val="center"/>
              <w:rPr>
                <w:rFonts w:ascii="宋体" w:hAnsi="宋体" w:cs="宋体"/>
                <w:color w:val="auto"/>
                <w:szCs w:val="21"/>
                <w:highlight w:val="none"/>
              </w:rPr>
            </w:pPr>
            <w:r>
              <w:rPr>
                <w:rFonts w:hint="eastAsia" w:ascii="宋体" w:hAnsi="宋体" w:cs="宋体"/>
                <w:color w:val="auto"/>
                <w:szCs w:val="21"/>
                <w:highlight w:val="none"/>
              </w:rPr>
              <w:t>16.</w:t>
            </w:r>
            <w:r>
              <w:rPr>
                <w:rFonts w:ascii="宋体" w:hAnsi="宋体" w:cs="宋体"/>
                <w:color w:val="auto"/>
                <w:szCs w:val="21"/>
                <w:highlight w:val="none"/>
              </w:rPr>
              <w:t>2</w:t>
            </w:r>
          </w:p>
        </w:tc>
        <w:tc>
          <w:tcPr>
            <w:tcW w:w="7912" w:type="dxa"/>
            <w:vAlign w:val="center"/>
          </w:tcPr>
          <w:p w14:paraId="37BE80EF">
            <w:pPr>
              <w:pStyle w:val="11"/>
              <w:keepNext w:val="0"/>
              <w:keepLines w:val="0"/>
              <w:pageBreakBefore w:val="0"/>
              <w:widowControl w:val="0"/>
              <w:tabs>
                <w:tab w:val="clear" w:pos="454"/>
              </w:tabs>
              <w:kinsoku/>
              <w:wordWrap w:val="0"/>
              <w:overflowPunct/>
              <w:topLinePunct w:val="0"/>
              <w:bidi w:val="0"/>
              <w:snapToGrid w:val="0"/>
              <w:spacing w:afterLines="0" w:line="360" w:lineRule="auto"/>
              <w:ind w:left="0" w:hanging="283" w:hangingChars="135"/>
              <w:rPr>
                <w:rFonts w:ascii="宋体" w:hAns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w:t>
            </w:r>
            <w:r>
              <w:rPr>
                <w:rFonts w:ascii="宋体" w:hAnsi="宋体" w:cs="宋体"/>
                <w:color w:val="auto"/>
                <w:kern w:val="2"/>
                <w:sz w:val="21"/>
                <w:szCs w:val="21"/>
                <w:highlight w:val="none"/>
                <w:u w:val="single"/>
              </w:rPr>
              <w:t>120</w:t>
            </w:r>
            <w:r>
              <w:rPr>
                <w:rFonts w:hint="eastAsia" w:ascii="宋体" w:hAnsi="宋体" w:cs="宋体"/>
                <w:color w:val="auto"/>
                <w:kern w:val="2"/>
                <w:sz w:val="21"/>
                <w:szCs w:val="21"/>
                <w:highlight w:val="none"/>
              </w:rPr>
              <w:t>日。</w:t>
            </w:r>
          </w:p>
        </w:tc>
      </w:tr>
      <w:tr w14:paraId="15CDF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1D145997">
            <w:pPr>
              <w:keepNext w:val="0"/>
              <w:keepLines w:val="0"/>
              <w:pageBreakBefore w:val="0"/>
              <w:widowControl w:val="0"/>
              <w:kinsoku/>
              <w:wordWrap w:val="0"/>
              <w:overflowPunct/>
              <w:topLinePunct w:val="0"/>
              <w:bidi w:val="0"/>
              <w:spacing w:line="360" w:lineRule="auto"/>
              <w:ind w:left="0"/>
              <w:jc w:val="center"/>
              <w:rPr>
                <w:rFonts w:ascii="宋体" w:hAnsi="宋体" w:cs="宋体"/>
                <w:color w:val="auto"/>
                <w:szCs w:val="21"/>
                <w:highlight w:val="none"/>
              </w:rPr>
            </w:pPr>
            <w:r>
              <w:rPr>
                <w:rFonts w:hint="eastAsia" w:ascii="宋体" w:hAnsi="宋体" w:cs="宋体"/>
                <w:color w:val="auto"/>
                <w:szCs w:val="21"/>
                <w:highlight w:val="none"/>
              </w:rPr>
              <w:t>17.1</w:t>
            </w:r>
          </w:p>
        </w:tc>
        <w:tc>
          <w:tcPr>
            <w:tcW w:w="7912" w:type="dxa"/>
            <w:vAlign w:val="center"/>
          </w:tcPr>
          <w:p w14:paraId="30BDACA1">
            <w:pPr>
              <w:keepNext w:val="0"/>
              <w:keepLines w:val="0"/>
              <w:pageBreakBefore w:val="0"/>
              <w:widowControl w:val="0"/>
              <w:kinsoku/>
              <w:wordWrap w:val="0"/>
              <w:overflowPunct/>
              <w:topLinePunct w:val="0"/>
              <w:autoSpaceDE w:val="0"/>
              <w:autoSpaceDN w:val="0"/>
              <w:bidi w:val="0"/>
              <w:snapToGrid w:val="0"/>
              <w:spacing w:line="360" w:lineRule="auto"/>
              <w:ind w:left="0"/>
              <w:textAlignment w:val="bottom"/>
              <w:rPr>
                <w:rFonts w:ascii="宋体" w:hAnsi="宋体"/>
                <w:color w:val="auto"/>
                <w:szCs w:val="21"/>
                <w:highlight w:val="none"/>
              </w:rPr>
            </w:pPr>
            <w:r>
              <w:rPr>
                <w:rFonts w:hint="eastAsia" w:ascii="宋体" w:hAnsi="宋体"/>
                <w:color w:val="auto"/>
                <w:szCs w:val="21"/>
                <w:highlight w:val="none"/>
              </w:rPr>
              <w:t>□本项目不收取磋商保证金。</w:t>
            </w:r>
          </w:p>
          <w:p w14:paraId="77946DDB">
            <w:pPr>
              <w:keepNext w:val="0"/>
              <w:keepLines w:val="0"/>
              <w:pageBreakBefore w:val="0"/>
              <w:widowControl w:val="0"/>
              <w:kinsoku/>
              <w:wordWrap w:val="0"/>
              <w:overflowPunct/>
              <w:topLinePunct w:val="0"/>
              <w:bidi w:val="0"/>
              <w:snapToGrid w:val="0"/>
              <w:spacing w:line="360" w:lineRule="auto"/>
              <w:ind w:left="0"/>
              <w:rPr>
                <w:rFonts w:ascii="宋体" w:hAnsi="宋体"/>
                <w:color w:val="auto"/>
                <w:szCs w:val="21"/>
                <w:highlight w:val="none"/>
              </w:rPr>
            </w:pPr>
            <w:r>
              <w:rPr>
                <w:rFonts w:ascii="Segoe UI Symbol" w:hAnsi="Segoe UI Symbol" w:cs="Segoe UI Symbol"/>
                <w:color w:val="auto"/>
                <w:szCs w:val="21"/>
                <w:highlight w:val="none"/>
              </w:rPr>
              <w:t>☑</w:t>
            </w:r>
            <w:r>
              <w:rPr>
                <w:rFonts w:hint="eastAsia" w:ascii="宋体" w:hAnsi="宋体"/>
                <w:color w:val="auto"/>
                <w:szCs w:val="21"/>
                <w:highlight w:val="none"/>
              </w:rPr>
              <w:t>本项目收取磋商保证金，具体规定如下：</w:t>
            </w:r>
          </w:p>
          <w:p w14:paraId="144774CE">
            <w:pPr>
              <w:keepNext w:val="0"/>
              <w:keepLines w:val="0"/>
              <w:pageBreakBefore w:val="0"/>
              <w:widowControl w:val="0"/>
              <w:kinsoku/>
              <w:wordWrap w:val="0"/>
              <w:overflowPunct/>
              <w:topLinePunct w:val="0"/>
              <w:bidi w:val="0"/>
              <w:spacing w:line="360" w:lineRule="auto"/>
              <w:ind w:left="0"/>
              <w:rPr>
                <w:rFonts w:ascii="宋体" w:hAnsi="宋体" w:cs="宋体"/>
                <w:color w:val="auto"/>
                <w:kern w:val="0"/>
                <w:szCs w:val="21"/>
                <w:highlight w:val="none"/>
              </w:rPr>
            </w:pPr>
            <w:r>
              <w:rPr>
                <w:rFonts w:hint="eastAsia" w:ascii="宋体" w:hAnsi="宋体" w:cs="宋体"/>
                <w:color w:val="auto"/>
                <w:kern w:val="0"/>
                <w:szCs w:val="21"/>
                <w:highlight w:val="none"/>
              </w:rPr>
              <w:t>磋商保证金人民币</w:t>
            </w:r>
            <w:r>
              <w:rPr>
                <w:rFonts w:hint="eastAsia" w:ascii="宋体" w:hAnsi="宋体" w:cs="宋体"/>
                <w:bCs/>
                <w:color w:val="auto"/>
                <w:kern w:val="0"/>
                <w:szCs w:val="21"/>
                <w:highlight w:val="none"/>
                <w:u w:val="single"/>
              </w:rPr>
              <w:t>贰万陆仟元整（¥26000.00）</w:t>
            </w:r>
            <w:r>
              <w:rPr>
                <w:rFonts w:hint="eastAsia" w:ascii="宋体" w:hAnsi="宋体" w:cs="宋体"/>
                <w:color w:val="auto"/>
                <w:kern w:val="0"/>
                <w:szCs w:val="21"/>
                <w:highlight w:val="none"/>
              </w:rPr>
              <w:t>。</w:t>
            </w:r>
          </w:p>
          <w:p w14:paraId="1458BB43">
            <w:pPr>
              <w:keepNext w:val="0"/>
              <w:keepLines w:val="0"/>
              <w:pageBreakBefore w:val="0"/>
              <w:widowControl w:val="0"/>
              <w:kinsoku/>
              <w:wordWrap w:val="0"/>
              <w:overflowPunct/>
              <w:topLinePunct w:val="0"/>
              <w:bidi w:val="0"/>
              <w:snapToGrid w:val="0"/>
              <w:spacing w:line="360" w:lineRule="auto"/>
              <w:ind w:left="0"/>
              <w:rPr>
                <w:rFonts w:ascii="宋体" w:hAnsi="宋体" w:cs="宋体"/>
                <w:color w:val="auto"/>
                <w:kern w:val="0"/>
                <w:szCs w:val="21"/>
                <w:highlight w:val="none"/>
              </w:rPr>
            </w:pPr>
            <w:r>
              <w:rPr>
                <w:rFonts w:hint="eastAsia" w:ascii="宋体" w:hAnsi="宋体" w:cs="宋体"/>
                <w:color w:val="auto"/>
                <w:kern w:val="0"/>
                <w:szCs w:val="21"/>
                <w:highlight w:val="none"/>
              </w:rPr>
              <w:t>磋商保证金的交纳方式：银行转账、支票、汇票、本票或者银行、保险机构出具的保函（包含电子保函），禁止采用现钞方式。采用银行转账方式的，在响应文件提交截止时间前交至</w:t>
            </w:r>
            <w:r>
              <w:rPr>
                <w:rFonts w:hint="eastAsia" w:ascii="宋体" w:hAnsi="宋体" w:cs="宋体"/>
                <w:color w:val="auto"/>
                <w:kern w:val="0"/>
                <w:szCs w:val="21"/>
                <w:highlight w:val="none"/>
                <w:u w:val="single"/>
              </w:rPr>
              <w:t>云之龙咨询集团有限公司指定账户并且到账（账户名称：云之龙咨询集团有限公司北海分公司，开户银行：中信银行南宁东葛支行，银行账号：8113001013400074639</w:t>
            </w:r>
            <w:r>
              <w:rPr>
                <w:rFonts w:hint="eastAsia" w:ascii="宋体" w:hAnsi="宋体" w:cs="宋体"/>
                <w:color w:val="auto"/>
                <w:kern w:val="0"/>
                <w:szCs w:val="21"/>
                <w:highlight w:val="none"/>
              </w:rPr>
              <w:t>）；采用支票、汇票、本票或者保函（包含电子保函）等方式的，在响应文件提交截止时间前，供应商必须提交单独密封的支票、汇票、本票或者保函原件。</w:t>
            </w:r>
            <w:r>
              <w:rPr>
                <w:rFonts w:hint="eastAsia" w:ascii="宋体" w:hAnsi="宋体" w:cs="宋体"/>
                <w:b/>
                <w:bCs/>
                <w:color w:val="auto"/>
                <w:kern w:val="0"/>
                <w:szCs w:val="21"/>
                <w:highlight w:val="none"/>
              </w:rPr>
              <w:t>否则视为无效磋商保证金。</w:t>
            </w:r>
          </w:p>
          <w:p w14:paraId="2B14A433">
            <w:pPr>
              <w:keepNext w:val="0"/>
              <w:keepLines w:val="0"/>
              <w:pageBreakBefore w:val="0"/>
              <w:widowControl w:val="0"/>
              <w:kinsoku/>
              <w:wordWrap w:val="0"/>
              <w:overflowPunct/>
              <w:topLinePunct w:val="0"/>
              <w:bidi w:val="0"/>
              <w:snapToGrid w:val="0"/>
              <w:spacing w:line="360" w:lineRule="auto"/>
              <w:ind w:left="0"/>
              <w:rPr>
                <w:rFonts w:ascii="宋体" w:hAnsi="宋体" w:cs="宋体"/>
                <w:color w:val="auto"/>
                <w:szCs w:val="21"/>
                <w:highlight w:val="none"/>
              </w:rPr>
            </w:pPr>
            <w:r>
              <w:rPr>
                <w:rFonts w:hint="eastAsia" w:ascii="宋体" w:hAnsi="宋体" w:cs="宋体"/>
                <w:color w:val="auto"/>
                <w:szCs w:val="21"/>
                <w:highlight w:val="none"/>
              </w:rPr>
              <w:t>相关要求：</w:t>
            </w:r>
          </w:p>
          <w:p w14:paraId="51EC0E78">
            <w:pPr>
              <w:keepNext w:val="0"/>
              <w:keepLines w:val="0"/>
              <w:pageBreakBefore w:val="0"/>
              <w:widowControl w:val="0"/>
              <w:kinsoku/>
              <w:wordWrap w:val="0"/>
              <w:overflowPunct/>
              <w:topLinePunct w:val="0"/>
              <w:bidi w:val="0"/>
              <w:snapToGrid w:val="0"/>
              <w:spacing w:line="360" w:lineRule="auto"/>
              <w:ind w:left="0"/>
              <w:rPr>
                <w:rFonts w:ascii="宋体" w:hAnsi="宋体" w:cs="宋体"/>
                <w:color w:val="auto"/>
                <w:szCs w:val="21"/>
                <w:highlight w:val="none"/>
              </w:rPr>
            </w:pPr>
            <w:r>
              <w:rPr>
                <w:rFonts w:hint="eastAsia" w:ascii="宋体" w:hAnsi="宋体" w:cs="宋体"/>
                <w:color w:val="auto"/>
                <w:szCs w:val="21"/>
                <w:highlight w:val="none"/>
              </w:rPr>
              <w:t>1.磋商保证金采用银行转账交纳方式的，在响应文件提交截止时间前交至指定账户并且到账，供应商应将银行转账底单的复印件作为磋商保证金提交凭证，放置于商务技术文件中，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67F3F88B">
            <w:pPr>
              <w:keepNext w:val="0"/>
              <w:keepLines w:val="0"/>
              <w:pageBreakBefore w:val="0"/>
              <w:widowControl w:val="0"/>
              <w:kinsoku/>
              <w:wordWrap w:val="0"/>
              <w:overflowPunct/>
              <w:topLinePunct w:val="0"/>
              <w:bidi w:val="0"/>
              <w:snapToGrid w:val="0"/>
              <w:spacing w:line="360" w:lineRule="auto"/>
              <w:ind w:left="0"/>
              <w:rPr>
                <w:rFonts w:ascii="宋体" w:hAnsi="宋体"/>
                <w:color w:val="auto"/>
                <w:szCs w:val="21"/>
                <w:highlight w:val="none"/>
              </w:rPr>
            </w:pPr>
            <w:r>
              <w:rPr>
                <w:rFonts w:hint="eastAsia" w:ascii="宋体" w:hAnsi="宋体"/>
                <w:color w:val="auto"/>
                <w:szCs w:val="21"/>
                <w:highlight w:val="none"/>
              </w:rPr>
              <w:t>2.磋商保证金采用支票、汇票、本票或者银行、保险机构出具的保函</w:t>
            </w:r>
            <w:r>
              <w:rPr>
                <w:rFonts w:hint="eastAsia" w:ascii="宋体" w:hAnsi="宋体" w:cs="宋体"/>
                <w:color w:val="auto"/>
                <w:kern w:val="0"/>
                <w:szCs w:val="21"/>
                <w:highlight w:val="none"/>
              </w:rPr>
              <w:t>（包含电子保函）</w:t>
            </w:r>
            <w:r>
              <w:rPr>
                <w:rFonts w:hint="eastAsia" w:ascii="宋体" w:hAnsi="宋体"/>
                <w:color w:val="auto"/>
                <w:szCs w:val="21"/>
                <w:highlight w:val="none"/>
              </w:rPr>
              <w:t>交纳方式的，供应商应将支票、汇票、本票或者银行、保险机构出具的保函</w:t>
            </w:r>
            <w:r>
              <w:rPr>
                <w:rFonts w:hint="eastAsia" w:ascii="宋体" w:hAnsi="宋体" w:cs="宋体"/>
                <w:color w:val="auto"/>
                <w:kern w:val="0"/>
                <w:szCs w:val="21"/>
                <w:highlight w:val="none"/>
              </w:rPr>
              <w:t>（包含电子保函）</w:t>
            </w:r>
            <w:r>
              <w:rPr>
                <w:rFonts w:hint="eastAsia" w:ascii="宋体" w:hAnsi="宋体"/>
                <w:color w:val="auto"/>
                <w:szCs w:val="21"/>
                <w:highlight w:val="none"/>
              </w:rPr>
              <w:t>的复印件作为磋商保证金提交凭证，放置于</w:t>
            </w:r>
            <w:r>
              <w:rPr>
                <w:rFonts w:hint="eastAsia" w:ascii="宋体" w:hAnsi="宋体" w:cs="宋体"/>
                <w:color w:val="auto"/>
                <w:szCs w:val="21"/>
                <w:highlight w:val="none"/>
              </w:rPr>
              <w:t>商务技术文件</w:t>
            </w:r>
            <w:r>
              <w:rPr>
                <w:rFonts w:hint="eastAsia" w:ascii="宋体" w:hAnsi="宋体"/>
                <w:color w:val="auto"/>
                <w:szCs w:val="21"/>
                <w:highlight w:val="none"/>
              </w:rPr>
              <w:t>中，</w:t>
            </w:r>
            <w:r>
              <w:rPr>
                <w:rFonts w:hint="eastAsia" w:ascii="宋体" w:hAnsi="宋体" w:cs="宋体"/>
                <w:b/>
                <w:color w:val="auto"/>
                <w:szCs w:val="21"/>
                <w:highlight w:val="none"/>
              </w:rPr>
              <w:t>否则响应文件按无效处理</w:t>
            </w:r>
            <w:r>
              <w:rPr>
                <w:rFonts w:hint="eastAsia" w:ascii="宋体" w:hAnsi="宋体"/>
                <w:color w:val="auto"/>
                <w:szCs w:val="21"/>
                <w:highlight w:val="none"/>
              </w:rPr>
              <w:t>。供应商必须</w:t>
            </w:r>
            <w:r>
              <w:rPr>
                <w:rFonts w:hint="eastAsia"/>
                <w:color w:val="auto"/>
                <w:highlight w:val="none"/>
              </w:rPr>
              <w:t>在响应文件提交截止时间前采用现场或邮寄方式（</w:t>
            </w:r>
            <w:r>
              <w:rPr>
                <w:rFonts w:hint="eastAsia" w:ascii="宋体" w:hAnsi="宋体" w:cs="宋体"/>
                <w:color w:val="auto"/>
                <w:szCs w:val="21"/>
                <w:highlight w:val="none"/>
              </w:rPr>
              <w:t>现场提交地址或邮寄地址：</w:t>
            </w:r>
            <w:r>
              <w:rPr>
                <w:rFonts w:hint="eastAsia" w:ascii="宋体" w:hAnsi="宋体" w:cs="宋体"/>
                <w:color w:val="auto"/>
                <w:szCs w:val="21"/>
                <w:highlight w:val="none"/>
                <w:u w:val="single"/>
              </w:rPr>
              <w:t>广西北海市北部湾中路60号779财富中心15楼1505号云之龙咨询集团有限公司。</w:t>
            </w:r>
            <w:r>
              <w:rPr>
                <w:rFonts w:hint="eastAsia" w:ascii="宋体" w:hAnsi="宋体" w:cs="宋体"/>
                <w:b/>
                <w:bCs/>
                <w:color w:val="auto"/>
                <w:szCs w:val="21"/>
                <w:highlight w:val="none"/>
                <w:u w:val="single"/>
              </w:rPr>
              <w:t>本项目拒收到付邮件，通过邮寄方式送达的，请合理安排邮寄时间，因邮寄原因未能在规定时间内送达的后果由供应商自行承担，逾期送达按无效响应处理</w:t>
            </w:r>
            <w:r>
              <w:rPr>
                <w:rFonts w:hint="eastAsia" w:ascii="宋体" w:hAnsi="宋体" w:cs="宋体"/>
                <w:color w:val="auto"/>
                <w:szCs w:val="21"/>
                <w:highlight w:val="none"/>
              </w:rPr>
              <w:t>，收件人：</w:t>
            </w:r>
            <w:r>
              <w:rPr>
                <w:rFonts w:hint="eastAsia" w:ascii="宋体" w:hAnsi="宋体" w:cs="宋体"/>
                <w:color w:val="auto"/>
                <w:szCs w:val="21"/>
                <w:highlight w:val="none"/>
                <w:u w:val="single"/>
              </w:rPr>
              <w:t>翁娜娜</w:t>
            </w:r>
            <w:r>
              <w:rPr>
                <w:rFonts w:hint="eastAsia" w:ascii="宋体" w:hAnsi="宋体" w:cs="宋体"/>
                <w:color w:val="auto"/>
                <w:szCs w:val="21"/>
                <w:highlight w:val="none"/>
              </w:rPr>
              <w:t>，联系方式：</w:t>
            </w:r>
            <w:r>
              <w:rPr>
                <w:rFonts w:hint="eastAsia" w:ascii="宋体" w:hAnsi="宋体" w:cs="宋体"/>
                <w:color w:val="auto"/>
                <w:szCs w:val="21"/>
                <w:highlight w:val="none"/>
                <w:u w:val="single"/>
              </w:rPr>
              <w:t>0779-3227361</w:t>
            </w:r>
            <w:r>
              <w:rPr>
                <w:rFonts w:hint="eastAsia"/>
                <w:color w:val="auto"/>
                <w:highlight w:val="none"/>
              </w:rPr>
              <w:t>）</w:t>
            </w:r>
            <w:r>
              <w:rPr>
                <w:rFonts w:hint="eastAsia" w:ascii="宋体" w:hAnsi="宋体"/>
                <w:color w:val="auto"/>
                <w:szCs w:val="21"/>
                <w:highlight w:val="none"/>
              </w:rPr>
              <w:t>将</w:t>
            </w:r>
            <w:r>
              <w:rPr>
                <w:rFonts w:hint="eastAsia" w:ascii="宋体" w:hAnsi="宋体" w:cs="宋体"/>
                <w:color w:val="auto"/>
                <w:kern w:val="0"/>
                <w:szCs w:val="21"/>
                <w:highlight w:val="none"/>
              </w:rPr>
              <w:t>单独密封的</w:t>
            </w:r>
            <w:r>
              <w:rPr>
                <w:rFonts w:hint="eastAsia" w:ascii="宋体" w:hAnsi="宋体"/>
                <w:color w:val="auto"/>
                <w:szCs w:val="21"/>
                <w:highlight w:val="none"/>
              </w:rPr>
              <w:t>支票、汇票、本票或者银行、保险机构出具的保函原件提交给采购人或者采购代理机构，由采购人或者采购代理机构向供应商出具回执（邮寄方式的除外），并妥善保管。</w:t>
            </w:r>
          </w:p>
          <w:p w14:paraId="1592DC5E">
            <w:pPr>
              <w:keepNext w:val="0"/>
              <w:keepLines w:val="0"/>
              <w:pageBreakBefore w:val="0"/>
              <w:widowControl w:val="0"/>
              <w:kinsoku/>
              <w:wordWrap w:val="0"/>
              <w:overflowPunct/>
              <w:topLinePunct w:val="0"/>
              <w:bidi w:val="0"/>
              <w:snapToGrid w:val="0"/>
              <w:spacing w:line="360" w:lineRule="auto"/>
              <w:ind w:left="0"/>
              <w:rPr>
                <w:rFonts w:ascii="宋体" w:hAnsi="宋体" w:cs="宋体"/>
                <w:b/>
                <w:color w:val="auto"/>
                <w:szCs w:val="21"/>
                <w:highlight w:val="none"/>
              </w:rPr>
            </w:pPr>
            <w:r>
              <w:rPr>
                <w:rFonts w:hint="eastAsia" w:ascii="宋体" w:hAnsi="宋体" w:cs="宋体"/>
                <w:color w:val="auto"/>
                <w:szCs w:val="21"/>
                <w:highlight w:val="none"/>
              </w:rPr>
              <w:t>3.供应商为联合体的，可以由联合体中的一方或者多方共同交纳磋商保证金，其交纳的保证金对联合体各方均具有约束力。</w:t>
            </w:r>
          </w:p>
          <w:p w14:paraId="3E1CBCE5">
            <w:pPr>
              <w:keepNext w:val="0"/>
              <w:keepLines w:val="0"/>
              <w:pageBreakBefore w:val="0"/>
              <w:widowControl w:val="0"/>
              <w:kinsoku/>
              <w:wordWrap w:val="0"/>
              <w:overflowPunct/>
              <w:topLinePunct w:val="0"/>
              <w:bidi w:val="0"/>
              <w:snapToGrid w:val="0"/>
              <w:spacing w:line="360" w:lineRule="auto"/>
              <w:ind w:left="0"/>
              <w:rPr>
                <w:rFonts w:ascii="宋体" w:hAnsi="宋体" w:cs="宋体"/>
                <w:b/>
                <w:color w:val="auto"/>
                <w:szCs w:val="21"/>
                <w:highlight w:val="none"/>
              </w:rPr>
            </w:pPr>
            <w:r>
              <w:rPr>
                <w:rFonts w:hint="eastAsia" w:ascii="宋体" w:hAnsi="宋体" w:cs="宋体"/>
                <w:b/>
                <w:color w:val="auto"/>
                <w:szCs w:val="21"/>
                <w:highlight w:val="none"/>
              </w:rPr>
              <w:t>备注</w:t>
            </w:r>
            <w:r>
              <w:rPr>
                <w:rFonts w:hint="eastAsia" w:ascii="宋体" w:hAnsi="宋体" w:cs="宋体"/>
                <w:color w:val="auto"/>
                <w:szCs w:val="21"/>
                <w:highlight w:val="none"/>
              </w:rPr>
              <w:t>：</w:t>
            </w:r>
          </w:p>
          <w:p w14:paraId="6F876040">
            <w:pPr>
              <w:keepNext w:val="0"/>
              <w:keepLines w:val="0"/>
              <w:pageBreakBefore w:val="0"/>
              <w:widowControl w:val="0"/>
              <w:kinsoku/>
              <w:wordWrap w:val="0"/>
              <w:overflowPunct/>
              <w:topLinePunct w:val="0"/>
              <w:bidi w:val="0"/>
              <w:snapToGrid w:val="0"/>
              <w:spacing w:line="360" w:lineRule="auto"/>
              <w:ind w:left="0"/>
              <w:rPr>
                <w:rFonts w:ascii="宋体" w:hAnsi="宋体" w:cs="宋体"/>
                <w:b/>
                <w:color w:val="auto"/>
                <w:szCs w:val="21"/>
                <w:highlight w:val="none"/>
              </w:rPr>
            </w:pPr>
            <w:r>
              <w:rPr>
                <w:rFonts w:hint="eastAsia" w:ascii="宋体" w:hAnsi="宋体" w:cs="宋体"/>
                <w:b/>
                <w:color w:val="auto"/>
                <w:szCs w:val="21"/>
                <w:highlight w:val="none"/>
              </w:rPr>
              <w:t>1.磋商保证金在响应文件提交截止时间后提交的，或者不按规定交纳方式交纳的，或者未足额交纳的（包含保函额度不足的），视为无效磋商保证金。</w:t>
            </w:r>
          </w:p>
          <w:p w14:paraId="378466E5">
            <w:pPr>
              <w:keepNext w:val="0"/>
              <w:keepLines w:val="0"/>
              <w:pageBreakBefore w:val="0"/>
              <w:widowControl w:val="0"/>
              <w:kinsoku/>
              <w:wordWrap w:val="0"/>
              <w:overflowPunct/>
              <w:topLinePunct w:val="0"/>
              <w:bidi w:val="0"/>
              <w:snapToGrid w:val="0"/>
              <w:spacing w:line="360" w:lineRule="auto"/>
              <w:ind w:left="0"/>
              <w:rPr>
                <w:rFonts w:ascii="宋体" w:hAnsi="宋体" w:cs="宋体"/>
                <w:b/>
                <w:color w:val="auto"/>
                <w:szCs w:val="21"/>
                <w:highlight w:val="none"/>
              </w:rPr>
            </w:pPr>
            <w:r>
              <w:rPr>
                <w:rFonts w:hint="eastAsia" w:ascii="宋体" w:hAnsi="宋体" w:cs="宋体"/>
                <w:b/>
                <w:color w:val="auto"/>
                <w:szCs w:val="21"/>
                <w:highlight w:val="none"/>
              </w:rPr>
              <w:t>2.供应商采用现钞方式或者从个人账户（自然人竞标除外）转出的磋商保证金，视为无效磋商保证金。</w:t>
            </w:r>
          </w:p>
          <w:p w14:paraId="6D6C2B8A">
            <w:pPr>
              <w:keepNext w:val="0"/>
              <w:keepLines w:val="0"/>
              <w:pageBreakBefore w:val="0"/>
              <w:widowControl w:val="0"/>
              <w:kinsoku/>
              <w:wordWrap w:val="0"/>
              <w:overflowPunct/>
              <w:topLinePunct w:val="0"/>
              <w:bidi w:val="0"/>
              <w:snapToGrid w:val="0"/>
              <w:spacing w:line="360" w:lineRule="auto"/>
              <w:ind w:left="0"/>
              <w:rPr>
                <w:rFonts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3.支票、汇票或者本票出现无效或者背书情形的，视为无效磋商保证金。</w:t>
            </w:r>
          </w:p>
          <w:p w14:paraId="69CF50DB">
            <w:pPr>
              <w:keepNext w:val="0"/>
              <w:keepLines w:val="0"/>
              <w:pageBreakBefore w:val="0"/>
              <w:widowControl w:val="0"/>
              <w:kinsoku/>
              <w:wordWrap w:val="0"/>
              <w:overflowPunct/>
              <w:topLinePunct w:val="0"/>
              <w:bidi w:val="0"/>
              <w:snapToGrid w:val="0"/>
              <w:spacing w:line="360" w:lineRule="auto"/>
              <w:ind w:left="0"/>
              <w:rPr>
                <w:rFonts w:ascii="宋体" w:hAnsi="宋体" w:cs="宋体"/>
                <w:b/>
                <w:color w:val="auto"/>
                <w:szCs w:val="21"/>
                <w:highlight w:val="none"/>
              </w:rPr>
            </w:pPr>
            <w:r>
              <w:rPr>
                <w:rFonts w:hint="eastAsia" w:ascii="宋体" w:hAnsi="宋体" w:cs="宋体"/>
                <w:b/>
                <w:color w:val="auto"/>
                <w:szCs w:val="21"/>
                <w:highlight w:val="none"/>
              </w:rPr>
              <w:t>4.保函有效期低于竞标有效期的，视为无效磋商保证金。</w:t>
            </w:r>
          </w:p>
          <w:p w14:paraId="515DC7FC">
            <w:pPr>
              <w:keepNext w:val="0"/>
              <w:keepLines w:val="0"/>
              <w:pageBreakBefore w:val="0"/>
              <w:widowControl w:val="0"/>
              <w:kinsoku/>
              <w:wordWrap w:val="0"/>
              <w:overflowPunct/>
              <w:topLinePunct w:val="0"/>
              <w:bidi w:val="0"/>
              <w:snapToGrid w:val="0"/>
              <w:spacing w:line="360" w:lineRule="auto"/>
              <w:ind w:left="0"/>
              <w:rPr>
                <w:rFonts w:ascii="宋体" w:hAnsi="宋体" w:cs="宋体"/>
                <w:b/>
                <w:color w:val="auto"/>
                <w:szCs w:val="21"/>
                <w:highlight w:val="none"/>
              </w:rPr>
            </w:pPr>
            <w:r>
              <w:rPr>
                <w:rFonts w:hint="eastAsia" w:ascii="宋体" w:hAnsi="宋体" w:cs="宋体"/>
                <w:b/>
                <w:color w:val="auto"/>
                <w:szCs w:val="21"/>
                <w:highlight w:val="none"/>
              </w:rPr>
              <w:t>5.采用银行、保险机构出具保函的，必须为无条件保函，否则视为无效磋商保证金。</w:t>
            </w:r>
          </w:p>
        </w:tc>
      </w:tr>
      <w:tr w14:paraId="1D396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19167B98">
            <w:pPr>
              <w:keepNext w:val="0"/>
              <w:keepLines w:val="0"/>
              <w:pageBreakBefore w:val="0"/>
              <w:widowControl w:val="0"/>
              <w:kinsoku/>
              <w:wordWrap w:val="0"/>
              <w:overflowPunct/>
              <w:topLinePunct w:val="0"/>
              <w:bidi w:val="0"/>
              <w:spacing w:line="360" w:lineRule="auto"/>
              <w:ind w:left="0"/>
              <w:jc w:val="center"/>
              <w:rPr>
                <w:rFonts w:ascii="宋体" w:hAnsi="宋体" w:cs="宋体"/>
                <w:color w:val="auto"/>
                <w:szCs w:val="21"/>
                <w:highlight w:val="none"/>
              </w:rPr>
            </w:pPr>
            <w:r>
              <w:rPr>
                <w:rFonts w:ascii="宋体" w:hAnsi="宋体" w:cs="宋体"/>
                <w:color w:val="auto"/>
                <w:szCs w:val="21"/>
                <w:highlight w:val="none"/>
              </w:rPr>
              <w:t>19</w:t>
            </w:r>
          </w:p>
        </w:tc>
        <w:tc>
          <w:tcPr>
            <w:tcW w:w="7912" w:type="dxa"/>
            <w:vAlign w:val="center"/>
          </w:tcPr>
          <w:p w14:paraId="0E9036A9">
            <w:pPr>
              <w:keepNext w:val="0"/>
              <w:keepLines w:val="0"/>
              <w:pageBreakBefore w:val="0"/>
              <w:widowControl w:val="0"/>
              <w:kinsoku/>
              <w:wordWrap w:val="0"/>
              <w:overflowPunct/>
              <w:topLinePunct w:val="0"/>
              <w:autoSpaceDE w:val="0"/>
              <w:autoSpaceDN w:val="0"/>
              <w:bidi w:val="0"/>
              <w:adjustRightInd w:val="0"/>
              <w:spacing w:line="360" w:lineRule="auto"/>
              <w:ind w:left="0"/>
              <w:textAlignment w:val="bottom"/>
              <w:rPr>
                <w:rFonts w:ascii="宋体" w:hAnsi="宋体"/>
                <w:color w:val="auto"/>
                <w:szCs w:val="21"/>
                <w:highlight w:val="none"/>
              </w:rPr>
            </w:pPr>
            <w:r>
              <w:rPr>
                <w:rFonts w:hint="eastAsia" w:ascii="宋体" w:hAnsi="宋体"/>
                <w:color w:val="auto"/>
                <w:szCs w:val="21"/>
                <w:highlight w:val="none"/>
              </w:rPr>
              <w:t>□本项目不接受</w:t>
            </w:r>
            <w:r>
              <w:rPr>
                <w:rFonts w:hint="eastAsia"/>
                <w:color w:val="auto"/>
                <w:highlight w:val="none"/>
              </w:rPr>
              <w:t>电子</w:t>
            </w:r>
            <w:r>
              <w:rPr>
                <w:rFonts w:hint="eastAsia" w:ascii="宋体" w:hAnsi="宋体"/>
                <w:color w:val="auto"/>
                <w:szCs w:val="21"/>
                <w:highlight w:val="none"/>
              </w:rPr>
              <w:t>备份响应文件；</w:t>
            </w:r>
          </w:p>
          <w:p w14:paraId="4D8DACF6">
            <w:pPr>
              <w:keepNext w:val="0"/>
              <w:keepLines w:val="0"/>
              <w:pageBreakBefore w:val="0"/>
              <w:widowControl w:val="0"/>
              <w:kinsoku/>
              <w:wordWrap w:val="0"/>
              <w:overflowPunct/>
              <w:topLinePunct w:val="0"/>
              <w:autoSpaceDE w:val="0"/>
              <w:autoSpaceDN w:val="0"/>
              <w:bidi w:val="0"/>
              <w:adjustRightInd w:val="0"/>
              <w:spacing w:line="360" w:lineRule="auto"/>
              <w:ind w:left="0"/>
              <w:textAlignment w:val="bottom"/>
              <w:rPr>
                <w:color w:val="auto"/>
                <w:highlight w:val="none"/>
              </w:rPr>
            </w:pPr>
            <w:r>
              <w:rPr>
                <w:rFonts w:hint="eastAsia" w:ascii="宋体" w:hAnsi="宋体"/>
                <w:color w:val="auto"/>
                <w:szCs w:val="21"/>
                <w:highlight w:val="none"/>
              </w:rPr>
              <w:t>☑</w:t>
            </w:r>
            <w:r>
              <w:rPr>
                <w:rFonts w:hint="eastAsia"/>
                <w:color w:val="auto"/>
                <w:highlight w:val="none"/>
              </w:rPr>
              <w:t>本项目接受电子备份响应文件。</w:t>
            </w:r>
          </w:p>
          <w:p w14:paraId="4F3142B7">
            <w:pPr>
              <w:keepNext w:val="0"/>
              <w:keepLines w:val="0"/>
              <w:pageBreakBefore w:val="0"/>
              <w:widowControl w:val="0"/>
              <w:kinsoku/>
              <w:wordWrap w:val="0"/>
              <w:overflowPunct/>
              <w:topLinePunct w:val="0"/>
              <w:autoSpaceDE w:val="0"/>
              <w:autoSpaceDN w:val="0"/>
              <w:bidi w:val="0"/>
              <w:adjustRightInd w:val="0"/>
              <w:spacing w:line="360" w:lineRule="auto"/>
              <w:ind w:left="0" w:firstLine="420" w:firstLineChars="200"/>
              <w:textAlignment w:val="bottom"/>
              <w:rPr>
                <w:color w:val="auto"/>
                <w:highlight w:val="none"/>
              </w:rPr>
            </w:pPr>
            <w:r>
              <w:rPr>
                <w:rFonts w:hint="eastAsia"/>
                <w:color w:val="auto"/>
                <w:highlight w:val="none"/>
              </w:rPr>
              <w:t>电子</w:t>
            </w:r>
            <w:r>
              <w:rPr>
                <w:rFonts w:hint="eastAsia" w:ascii="宋体" w:hAnsi="宋体"/>
                <w:color w:val="auto"/>
                <w:szCs w:val="21"/>
                <w:highlight w:val="none"/>
              </w:rPr>
              <w:t>备份响应文件</w:t>
            </w:r>
            <w:r>
              <w:rPr>
                <w:rFonts w:hint="eastAsia"/>
                <w:color w:val="auto"/>
                <w:highlight w:val="none"/>
              </w:rPr>
              <w:t>提交方式：供应商可以在响应截止时间前采用以下</w:t>
            </w:r>
            <w:r>
              <w:rPr>
                <w:rFonts w:hint="eastAsia"/>
                <w:color w:val="auto"/>
                <w:highlight w:val="none"/>
                <w:u w:val="single"/>
              </w:rPr>
              <w:t>（1）或（3）</w:t>
            </w:r>
            <w:r>
              <w:rPr>
                <w:rFonts w:hint="eastAsia"/>
                <w:color w:val="auto"/>
                <w:highlight w:val="none"/>
              </w:rPr>
              <w:t>种方式向采购代理机构提交电子备份响应文件：</w:t>
            </w:r>
          </w:p>
          <w:p w14:paraId="2FD94F28">
            <w:pPr>
              <w:keepNext w:val="0"/>
              <w:keepLines w:val="0"/>
              <w:pageBreakBefore w:val="0"/>
              <w:widowControl w:val="0"/>
              <w:kinsoku/>
              <w:wordWrap w:val="0"/>
              <w:overflowPunct/>
              <w:topLinePunct w:val="0"/>
              <w:autoSpaceDE w:val="0"/>
              <w:autoSpaceDN w:val="0"/>
              <w:bidi w:val="0"/>
              <w:adjustRightInd w:val="0"/>
              <w:spacing w:line="360" w:lineRule="auto"/>
              <w:ind w:left="0"/>
              <w:textAlignment w:val="bottom"/>
              <w:rPr>
                <w:color w:val="auto"/>
                <w:highlight w:val="none"/>
              </w:rPr>
            </w:pPr>
            <w:r>
              <w:rPr>
                <w:rFonts w:hint="eastAsia"/>
                <w:color w:val="auto"/>
                <w:highlight w:val="none"/>
              </w:rPr>
              <w:t>（</w:t>
            </w:r>
            <w:r>
              <w:rPr>
                <w:color w:val="auto"/>
                <w:highlight w:val="none"/>
              </w:rPr>
              <w:t>1</w:t>
            </w:r>
            <w:r>
              <w:rPr>
                <w:rFonts w:hint="eastAsia"/>
                <w:color w:val="auto"/>
                <w:highlight w:val="none"/>
              </w:rPr>
              <w:t>）现场提交方式，应采用</w:t>
            </w:r>
            <w:r>
              <w:rPr>
                <w:color w:val="auto"/>
                <w:highlight w:val="none"/>
              </w:rPr>
              <w:t>U</w:t>
            </w:r>
            <w:r>
              <w:rPr>
                <w:rFonts w:hint="eastAsia"/>
                <w:color w:val="auto"/>
                <w:highlight w:val="none"/>
              </w:rPr>
              <w:t>盘进行存储，提交地址：</w:t>
            </w:r>
            <w:r>
              <w:rPr>
                <w:rFonts w:hint="eastAsia" w:ascii="宋体" w:hAnsi="宋体"/>
                <w:color w:val="auto"/>
                <w:szCs w:val="21"/>
                <w:highlight w:val="none"/>
                <w:u w:val="single"/>
              </w:rPr>
              <w:t>广西北海市北部湾中路60号779财富中心15楼1505号云之龙咨询集团有限公司</w:t>
            </w:r>
            <w:r>
              <w:rPr>
                <w:rFonts w:hint="eastAsia"/>
                <w:color w:val="auto"/>
                <w:highlight w:val="none"/>
              </w:rPr>
              <w:t>；提交截止时间</w:t>
            </w:r>
            <w:r>
              <w:rPr>
                <w:rFonts w:hint="eastAsia"/>
                <w:color w:val="auto"/>
                <w:highlight w:val="none"/>
                <w:u w:val="single"/>
              </w:rPr>
              <w:t>：响应文件提交截止时间前；</w:t>
            </w:r>
            <w:r>
              <w:rPr>
                <w:rFonts w:hint="eastAsia"/>
                <w:color w:val="auto"/>
                <w:highlight w:val="none"/>
              </w:rPr>
              <w:t>外包装上注明供应商名称、项目名称及项目编号（外包装不作密封要求）。</w:t>
            </w:r>
          </w:p>
          <w:p w14:paraId="3EBE81DB">
            <w:pPr>
              <w:keepNext w:val="0"/>
              <w:keepLines w:val="0"/>
              <w:pageBreakBefore w:val="0"/>
              <w:widowControl w:val="0"/>
              <w:kinsoku/>
              <w:wordWrap w:val="0"/>
              <w:overflowPunct/>
              <w:topLinePunct w:val="0"/>
              <w:autoSpaceDE w:val="0"/>
              <w:autoSpaceDN w:val="0"/>
              <w:bidi w:val="0"/>
              <w:adjustRightInd w:val="0"/>
              <w:spacing w:line="360" w:lineRule="auto"/>
              <w:ind w:left="0"/>
              <w:textAlignment w:val="bottom"/>
              <w:rPr>
                <w:color w:val="auto"/>
                <w:highlight w:val="none"/>
              </w:rPr>
            </w:pPr>
            <w:r>
              <w:rPr>
                <w:rFonts w:hint="eastAsia"/>
                <w:color w:val="auto"/>
                <w:highlight w:val="none"/>
              </w:rPr>
              <w:t>（</w:t>
            </w:r>
            <w:r>
              <w:rPr>
                <w:color w:val="auto"/>
                <w:highlight w:val="none"/>
              </w:rPr>
              <w:t>2</w:t>
            </w:r>
            <w:r>
              <w:rPr>
                <w:rFonts w:hint="eastAsia"/>
                <w:color w:val="auto"/>
                <w:highlight w:val="none"/>
              </w:rPr>
              <w:t>）电子邮件方式，接收电子备份响应文件的电子邮箱为：</w:t>
            </w:r>
            <w:r>
              <w:rPr>
                <w:rFonts w:hint="eastAsia"/>
                <w:color w:val="auto"/>
                <w:highlight w:val="none"/>
                <w:u w:val="single"/>
              </w:rPr>
              <w:t>/</w:t>
            </w:r>
            <w:r>
              <w:rPr>
                <w:rFonts w:hint="eastAsia"/>
                <w:color w:val="auto"/>
                <w:highlight w:val="none"/>
              </w:rPr>
              <w:t>。</w:t>
            </w:r>
          </w:p>
          <w:p w14:paraId="2D887D9C">
            <w:pPr>
              <w:pStyle w:val="14"/>
              <w:keepNext w:val="0"/>
              <w:keepLines w:val="0"/>
              <w:pageBreakBefore w:val="0"/>
              <w:widowControl w:val="0"/>
              <w:kinsoku/>
              <w:wordWrap w:val="0"/>
              <w:overflowPunct/>
              <w:topLinePunct w:val="0"/>
              <w:bidi w:val="0"/>
              <w:spacing w:line="360" w:lineRule="auto"/>
              <w:ind w:left="0"/>
              <w:jc w:val="both"/>
              <w:rPr>
                <w:color w:val="auto"/>
                <w:highlight w:val="none"/>
              </w:rPr>
            </w:pPr>
            <w:r>
              <w:rPr>
                <w:rFonts w:hint="eastAsia"/>
                <w:color w:val="auto"/>
                <w:highlight w:val="none"/>
              </w:rPr>
              <w:t>（</w:t>
            </w:r>
            <w:r>
              <w:rPr>
                <w:color w:val="auto"/>
                <w:highlight w:val="none"/>
              </w:rPr>
              <w:t>3</w:t>
            </w:r>
            <w:r>
              <w:rPr>
                <w:rFonts w:hint="eastAsia"/>
                <w:color w:val="auto"/>
                <w:highlight w:val="none"/>
              </w:rPr>
              <w:t>）邮寄方式，应采用</w:t>
            </w:r>
            <w:r>
              <w:rPr>
                <w:color w:val="auto"/>
                <w:highlight w:val="none"/>
              </w:rPr>
              <w:t>U</w:t>
            </w:r>
            <w:r>
              <w:rPr>
                <w:rFonts w:hint="eastAsia"/>
                <w:color w:val="auto"/>
                <w:highlight w:val="none"/>
              </w:rPr>
              <w:t>盘进行存储，邮寄地址：</w:t>
            </w:r>
            <w:r>
              <w:rPr>
                <w:rFonts w:hint="eastAsia" w:ascii="宋体" w:hAnsi="宋体"/>
                <w:color w:val="auto"/>
                <w:szCs w:val="21"/>
                <w:highlight w:val="none"/>
                <w:u w:val="single"/>
              </w:rPr>
              <w:t>广西北海市北部湾中路60号779财富中心15楼1505号云之龙咨询集团有限公司</w:t>
            </w:r>
            <w:r>
              <w:rPr>
                <w:rFonts w:hint="eastAsia"/>
                <w:color w:val="auto"/>
                <w:highlight w:val="none"/>
              </w:rPr>
              <w:t>，截止接收时间：</w:t>
            </w:r>
            <w:r>
              <w:rPr>
                <w:rFonts w:hint="eastAsia"/>
                <w:color w:val="auto"/>
                <w:highlight w:val="none"/>
                <w:u w:val="single"/>
              </w:rPr>
              <w:t>响应文件提交截止时间前</w:t>
            </w:r>
            <w:r>
              <w:rPr>
                <w:rFonts w:hint="eastAsia"/>
                <w:color w:val="auto"/>
                <w:highlight w:val="none"/>
              </w:rPr>
              <w:t>，收件人：</w:t>
            </w:r>
            <w:r>
              <w:rPr>
                <w:rFonts w:hint="eastAsia"/>
                <w:color w:val="auto"/>
                <w:highlight w:val="none"/>
                <w:u w:val="single"/>
              </w:rPr>
              <w:t>翁娜娜</w:t>
            </w:r>
            <w:r>
              <w:rPr>
                <w:rFonts w:hint="eastAsia"/>
                <w:color w:val="auto"/>
                <w:highlight w:val="none"/>
              </w:rPr>
              <w:t>，联系方式：</w:t>
            </w:r>
            <w:r>
              <w:rPr>
                <w:rFonts w:ascii="宋体" w:hAnsi="宋体" w:cs="宋体"/>
                <w:color w:val="auto"/>
                <w:szCs w:val="21"/>
                <w:highlight w:val="none"/>
                <w:u w:val="single"/>
              </w:rPr>
              <w:t>0779-3227361</w:t>
            </w:r>
            <w:r>
              <w:rPr>
                <w:rFonts w:hint="eastAsia"/>
                <w:color w:val="auto"/>
                <w:highlight w:val="none"/>
              </w:rPr>
              <w:t>；外包装上注明供应商名称、项目名称及项目编号（外包装不作密封要求）。</w:t>
            </w:r>
          </w:p>
          <w:p w14:paraId="68479559">
            <w:pPr>
              <w:keepNext w:val="0"/>
              <w:keepLines w:val="0"/>
              <w:pageBreakBefore w:val="0"/>
              <w:widowControl w:val="0"/>
              <w:kinsoku/>
              <w:wordWrap w:val="0"/>
              <w:overflowPunct/>
              <w:topLinePunct w:val="0"/>
              <w:autoSpaceDE w:val="0"/>
              <w:autoSpaceDN w:val="0"/>
              <w:bidi w:val="0"/>
              <w:snapToGrid w:val="0"/>
              <w:spacing w:line="360" w:lineRule="auto"/>
              <w:ind w:left="0"/>
              <w:textAlignment w:val="bottom"/>
              <w:rPr>
                <w:rFonts w:ascii="宋体" w:hAnsi="宋体" w:cs="宋体"/>
                <w:color w:val="auto"/>
                <w:szCs w:val="21"/>
                <w:highlight w:val="none"/>
              </w:rPr>
            </w:pPr>
            <w:r>
              <w:rPr>
                <w:rFonts w:hint="eastAsia"/>
                <w:color w:val="auto"/>
                <w:highlight w:val="none"/>
              </w:rPr>
              <w:t>供应商未按上述规定提交的电子备份响应文件，采购代理机构不予接收或承认。若电子加密响应文件解密成功，电子备份响应文件自动失效。若供应商无法在规定的时间内解密响应文件或者解密失败的，采购代理机构将电子备份响应文件按“广西政府采购云平台”操作规范上传至“广西政府采购云平台”，电子备份响应文件上传成功后，供应商原上传的电子加密响应文件自动失效。若供应商在规定时间内无法解密或解密失败且未提供电子备份响应文件的（包含提供的电子备份响应文件无效或无法解读的情况），</w:t>
            </w:r>
            <w:r>
              <w:rPr>
                <w:rFonts w:hint="eastAsia"/>
                <w:b/>
                <w:color w:val="auto"/>
                <w:highlight w:val="none"/>
              </w:rPr>
              <w:t>供应商的响应文件作无效处理</w:t>
            </w:r>
            <w:r>
              <w:rPr>
                <w:rFonts w:hint="eastAsia"/>
                <w:color w:val="auto"/>
                <w:highlight w:val="none"/>
              </w:rPr>
              <w:t>。</w:t>
            </w:r>
          </w:p>
        </w:tc>
      </w:tr>
      <w:tr w14:paraId="764D2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3D8C7865">
            <w:pPr>
              <w:keepNext w:val="0"/>
              <w:keepLines w:val="0"/>
              <w:pageBreakBefore w:val="0"/>
              <w:widowControl w:val="0"/>
              <w:kinsoku/>
              <w:wordWrap w:val="0"/>
              <w:overflowPunct/>
              <w:topLinePunct w:val="0"/>
              <w:bidi w:val="0"/>
              <w:spacing w:line="360" w:lineRule="auto"/>
              <w:ind w:left="0"/>
              <w:jc w:val="center"/>
              <w:rPr>
                <w:rFonts w:ascii="宋体" w:hAnsi="宋体" w:cs="宋体"/>
                <w:color w:val="auto"/>
                <w:szCs w:val="21"/>
                <w:highlight w:val="none"/>
              </w:rPr>
            </w:pPr>
            <w:r>
              <w:rPr>
                <w:rFonts w:hint="eastAsia" w:ascii="宋体" w:hAnsi="宋体" w:cs="宋体"/>
                <w:color w:val="auto"/>
                <w:szCs w:val="21"/>
                <w:highlight w:val="none"/>
              </w:rPr>
              <w:t>20.1</w:t>
            </w:r>
          </w:p>
        </w:tc>
        <w:tc>
          <w:tcPr>
            <w:tcW w:w="7912" w:type="dxa"/>
            <w:vAlign w:val="center"/>
          </w:tcPr>
          <w:p w14:paraId="50F38ED6">
            <w:pPr>
              <w:keepNext w:val="0"/>
              <w:keepLines w:val="0"/>
              <w:pageBreakBefore w:val="0"/>
              <w:widowControl w:val="0"/>
              <w:kinsoku/>
              <w:wordWrap w:val="0"/>
              <w:overflowPunct/>
              <w:topLinePunct w:val="0"/>
              <w:bidi w:val="0"/>
              <w:spacing w:line="360" w:lineRule="auto"/>
              <w:ind w:left="0"/>
              <w:contextualSpacing/>
              <w:jc w:val="left"/>
              <w:rPr>
                <w:rFonts w:ascii="宋体" w:hAnsi="宋体" w:cs="宋体"/>
                <w:color w:val="auto"/>
                <w:szCs w:val="21"/>
                <w:highlight w:val="none"/>
                <w:u w:val="single"/>
              </w:rPr>
            </w:pPr>
            <w:r>
              <w:rPr>
                <w:rFonts w:hint="eastAsia" w:ascii="宋体" w:hAnsi="宋体" w:cs="宋体"/>
                <w:color w:val="auto"/>
                <w:szCs w:val="21"/>
                <w:highlight w:val="none"/>
              </w:rPr>
              <w:t>响应文件提交截止时间：详见竞争性磋商公告。</w:t>
            </w:r>
          </w:p>
          <w:p w14:paraId="2ABB80E9">
            <w:pPr>
              <w:keepNext w:val="0"/>
              <w:keepLines w:val="0"/>
              <w:pageBreakBefore w:val="0"/>
              <w:widowControl w:val="0"/>
              <w:kinsoku/>
              <w:wordWrap w:val="0"/>
              <w:overflowPunct/>
              <w:topLinePunct w:val="0"/>
              <w:bidi w:val="0"/>
              <w:spacing w:line="360" w:lineRule="auto"/>
              <w:ind w:left="0"/>
              <w:contextualSpacing/>
              <w:jc w:val="left"/>
              <w:rPr>
                <w:rFonts w:ascii="宋体" w:hAnsi="宋体" w:cs="宋体"/>
                <w:color w:val="auto"/>
                <w:szCs w:val="21"/>
                <w:highlight w:val="none"/>
              </w:rPr>
            </w:pPr>
            <w:r>
              <w:rPr>
                <w:rFonts w:hint="eastAsia" w:ascii="宋体" w:hAnsi="宋体" w:cs="宋体"/>
                <w:color w:val="auto"/>
                <w:szCs w:val="21"/>
                <w:highlight w:val="none"/>
              </w:rPr>
              <w:t>响应文件提交地点：详见竞争性磋商公告。</w:t>
            </w:r>
          </w:p>
        </w:tc>
      </w:tr>
      <w:tr w14:paraId="2E047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086992DA">
            <w:pPr>
              <w:keepNext w:val="0"/>
              <w:keepLines w:val="0"/>
              <w:pageBreakBefore w:val="0"/>
              <w:widowControl w:val="0"/>
              <w:kinsoku/>
              <w:wordWrap w:val="0"/>
              <w:overflowPunct/>
              <w:topLinePunct w:val="0"/>
              <w:bidi w:val="0"/>
              <w:spacing w:line="360" w:lineRule="auto"/>
              <w:ind w:left="0"/>
              <w:jc w:val="center"/>
              <w:rPr>
                <w:rFonts w:ascii="宋体" w:hAnsi="宋体" w:cs="宋体"/>
                <w:color w:val="auto"/>
                <w:szCs w:val="21"/>
                <w:highlight w:val="none"/>
              </w:rPr>
            </w:pPr>
            <w:r>
              <w:rPr>
                <w:rFonts w:hint="eastAsia" w:ascii="宋体" w:hAnsi="宋体" w:cs="宋体"/>
                <w:color w:val="auto"/>
                <w:szCs w:val="21"/>
                <w:highlight w:val="none"/>
              </w:rPr>
              <w:t>24.1</w:t>
            </w:r>
          </w:p>
        </w:tc>
        <w:tc>
          <w:tcPr>
            <w:tcW w:w="7912" w:type="dxa"/>
            <w:vAlign w:val="center"/>
          </w:tcPr>
          <w:p w14:paraId="553359AF">
            <w:pPr>
              <w:keepNext w:val="0"/>
              <w:keepLines w:val="0"/>
              <w:pageBreakBefore w:val="0"/>
              <w:widowControl w:val="0"/>
              <w:kinsoku/>
              <w:wordWrap w:val="0"/>
              <w:overflowPunct/>
              <w:topLinePunct w:val="0"/>
              <w:bidi w:val="0"/>
              <w:snapToGrid w:val="0"/>
              <w:spacing w:line="360" w:lineRule="auto"/>
              <w:ind w:left="0"/>
              <w:jc w:val="left"/>
              <w:rPr>
                <w:rFonts w:ascii="宋体" w:hAnsi="宋体" w:cs="宋体"/>
                <w:color w:val="auto"/>
                <w:szCs w:val="21"/>
                <w:highlight w:val="none"/>
                <w:u w:val="single"/>
              </w:rPr>
            </w:pPr>
            <w:r>
              <w:rPr>
                <w:rFonts w:hint="eastAsia" w:ascii="宋体" w:hAnsi="宋体" w:cs="宋体"/>
                <w:color w:val="auto"/>
                <w:szCs w:val="21"/>
                <w:highlight w:val="none"/>
              </w:rPr>
              <w:t>磋商小组的人数：</w:t>
            </w:r>
            <w:r>
              <w:rPr>
                <w:rFonts w:ascii="宋体" w:hAnsi="宋体" w:cs="宋体"/>
                <w:color w:val="auto"/>
                <w:szCs w:val="21"/>
                <w:highlight w:val="none"/>
                <w:u w:val="single"/>
              </w:rPr>
              <w:t>3</w:t>
            </w:r>
            <w:r>
              <w:rPr>
                <w:rFonts w:hint="eastAsia" w:ascii="宋体" w:hAnsi="宋体" w:cs="宋体"/>
                <w:color w:val="auto"/>
                <w:szCs w:val="21"/>
                <w:highlight w:val="none"/>
              </w:rPr>
              <w:t>人。</w:t>
            </w:r>
          </w:p>
        </w:tc>
      </w:tr>
      <w:tr w14:paraId="3FD5E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7CC9FDC9">
            <w:pPr>
              <w:keepNext w:val="0"/>
              <w:keepLines w:val="0"/>
              <w:pageBreakBefore w:val="0"/>
              <w:widowControl w:val="0"/>
              <w:kinsoku/>
              <w:wordWrap w:val="0"/>
              <w:overflowPunct/>
              <w:topLinePunct w:val="0"/>
              <w:bidi w:val="0"/>
              <w:spacing w:line="360" w:lineRule="auto"/>
              <w:ind w:left="0"/>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p>
        </w:tc>
        <w:tc>
          <w:tcPr>
            <w:tcW w:w="7912" w:type="dxa"/>
            <w:vAlign w:val="center"/>
          </w:tcPr>
          <w:p w14:paraId="6C19FE67">
            <w:pPr>
              <w:keepNext w:val="0"/>
              <w:keepLines w:val="0"/>
              <w:pageBreakBefore w:val="0"/>
              <w:widowControl w:val="0"/>
              <w:kinsoku/>
              <w:wordWrap w:val="0"/>
              <w:overflowPunct/>
              <w:topLinePunct w:val="0"/>
              <w:bidi w:val="0"/>
              <w:snapToGrid w:val="0"/>
              <w:spacing w:line="360" w:lineRule="auto"/>
              <w:ind w:left="0"/>
              <w:jc w:val="left"/>
              <w:rPr>
                <w:rFonts w:ascii="宋体" w:hAnsi="宋体" w:cs="宋体"/>
                <w:color w:val="auto"/>
                <w:szCs w:val="21"/>
                <w:highlight w:val="none"/>
              </w:rPr>
            </w:pPr>
            <w:r>
              <w:rPr>
                <w:rFonts w:hint="eastAsia" w:ascii="宋体" w:hAnsi="宋体" w:cs="宋体"/>
                <w:color w:val="auto"/>
                <w:szCs w:val="21"/>
                <w:highlight w:val="none"/>
              </w:rPr>
              <w:t>首次响应文件开启时间详见“竞争性磋商公告”。</w:t>
            </w:r>
          </w:p>
          <w:p w14:paraId="3C41B552">
            <w:pPr>
              <w:keepNext w:val="0"/>
              <w:keepLines w:val="0"/>
              <w:pageBreakBefore w:val="0"/>
              <w:widowControl w:val="0"/>
              <w:kinsoku/>
              <w:wordWrap w:val="0"/>
              <w:overflowPunct/>
              <w:topLinePunct w:val="0"/>
              <w:bidi w:val="0"/>
              <w:snapToGrid w:val="0"/>
              <w:spacing w:line="360" w:lineRule="auto"/>
              <w:ind w:left="0"/>
              <w:jc w:val="left"/>
              <w:rPr>
                <w:rFonts w:ascii="宋体" w:hAnsi="宋体" w:cs="宋体"/>
                <w:color w:val="auto"/>
                <w:szCs w:val="21"/>
                <w:highlight w:val="none"/>
              </w:rPr>
            </w:pPr>
            <w:r>
              <w:rPr>
                <w:rFonts w:hint="eastAsia" w:ascii="宋体" w:hAnsi="宋体" w:cs="宋体"/>
                <w:color w:val="auto"/>
                <w:szCs w:val="21"/>
                <w:highlight w:val="none"/>
              </w:rPr>
              <w:t>首次响应文件解密时间：</w:t>
            </w:r>
            <w:r>
              <w:rPr>
                <w:rFonts w:ascii="宋体" w:hAnsi="宋体"/>
                <w:color w:val="auto"/>
                <w:szCs w:val="21"/>
                <w:highlight w:val="none"/>
                <w:u w:val="single"/>
              </w:rPr>
              <w:t>30</w:t>
            </w:r>
            <w:r>
              <w:rPr>
                <w:rFonts w:hint="eastAsia" w:ascii="宋体" w:hAnsi="宋体"/>
                <w:color w:val="auto"/>
                <w:szCs w:val="21"/>
                <w:highlight w:val="none"/>
              </w:rPr>
              <w:t>分钟。</w:t>
            </w:r>
          </w:p>
        </w:tc>
      </w:tr>
      <w:tr w14:paraId="1DABA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0C0CC206">
            <w:pPr>
              <w:keepNext w:val="0"/>
              <w:keepLines w:val="0"/>
              <w:pageBreakBefore w:val="0"/>
              <w:widowControl w:val="0"/>
              <w:kinsoku/>
              <w:wordWrap w:val="0"/>
              <w:overflowPunct/>
              <w:topLinePunct w:val="0"/>
              <w:bidi w:val="0"/>
              <w:spacing w:line="360" w:lineRule="auto"/>
              <w:ind w:left="0"/>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6.3</w:t>
            </w:r>
          </w:p>
        </w:tc>
        <w:tc>
          <w:tcPr>
            <w:tcW w:w="7912" w:type="dxa"/>
            <w:vAlign w:val="center"/>
          </w:tcPr>
          <w:p w14:paraId="607C28C9">
            <w:pPr>
              <w:keepNext w:val="0"/>
              <w:keepLines w:val="0"/>
              <w:pageBreakBefore w:val="0"/>
              <w:widowControl w:val="0"/>
              <w:kinsoku/>
              <w:wordWrap w:val="0"/>
              <w:overflowPunct/>
              <w:topLinePunct w:val="0"/>
              <w:bidi w:val="0"/>
              <w:snapToGrid w:val="0"/>
              <w:spacing w:line="360" w:lineRule="auto"/>
              <w:ind w:left="0"/>
              <w:rPr>
                <w:rFonts w:ascii="宋体" w:hAnsi="宋体" w:cs="宋体"/>
                <w:color w:val="auto"/>
                <w:szCs w:val="21"/>
                <w:highlight w:val="none"/>
              </w:rPr>
            </w:pPr>
            <w:r>
              <w:rPr>
                <w:rFonts w:hint="eastAsia" w:ascii="宋体" w:hAnsi="宋体" w:cs="宋体"/>
                <w:color w:val="auto"/>
                <w:szCs w:val="21"/>
                <w:highlight w:val="none"/>
              </w:rPr>
              <w:t>商务要求评审中允许负偏离的条款数为</w:t>
            </w:r>
            <w:r>
              <w:rPr>
                <w:rFonts w:ascii="宋体" w:hAnsi="宋体" w:cs="宋体"/>
                <w:color w:val="auto"/>
                <w:szCs w:val="21"/>
                <w:highlight w:val="none"/>
                <w:u w:val="single"/>
              </w:rPr>
              <w:t>0</w:t>
            </w:r>
            <w:r>
              <w:rPr>
                <w:rFonts w:hint="eastAsia" w:ascii="宋体" w:hAnsi="宋体" w:cs="宋体"/>
                <w:color w:val="auto"/>
                <w:szCs w:val="21"/>
                <w:highlight w:val="none"/>
              </w:rPr>
              <w:t>项。</w:t>
            </w:r>
          </w:p>
          <w:p w14:paraId="1635813C">
            <w:pPr>
              <w:keepNext w:val="0"/>
              <w:keepLines w:val="0"/>
              <w:pageBreakBefore w:val="0"/>
              <w:widowControl w:val="0"/>
              <w:kinsoku/>
              <w:wordWrap w:val="0"/>
              <w:overflowPunct/>
              <w:topLinePunct w:val="0"/>
              <w:bidi w:val="0"/>
              <w:snapToGrid w:val="0"/>
              <w:spacing w:line="360" w:lineRule="auto"/>
              <w:ind w:left="0"/>
              <w:rPr>
                <w:rFonts w:ascii="宋体" w:hAnsi="宋体" w:cs="宋体"/>
                <w:color w:val="auto"/>
                <w:szCs w:val="21"/>
                <w:highlight w:val="none"/>
              </w:rPr>
            </w:pPr>
            <w:r>
              <w:rPr>
                <w:rFonts w:hint="eastAsia" w:ascii="宋体" w:hAnsi="宋体" w:cs="宋体"/>
                <w:color w:val="auto"/>
                <w:szCs w:val="21"/>
                <w:highlight w:val="none"/>
              </w:rPr>
              <w:t>技术要求评审中允许负偏离的条款数为</w:t>
            </w:r>
            <w:r>
              <w:rPr>
                <w:rFonts w:ascii="宋体" w:hAnsi="宋体" w:cs="宋体"/>
                <w:color w:val="auto"/>
                <w:szCs w:val="21"/>
                <w:highlight w:val="none"/>
                <w:u w:val="single"/>
              </w:rPr>
              <w:t xml:space="preserve"> 0 </w:t>
            </w:r>
            <w:r>
              <w:rPr>
                <w:rFonts w:hint="eastAsia" w:ascii="宋体" w:hAnsi="宋体" w:cs="宋体"/>
                <w:color w:val="auto"/>
                <w:szCs w:val="21"/>
                <w:highlight w:val="none"/>
              </w:rPr>
              <w:t>项。</w:t>
            </w:r>
          </w:p>
        </w:tc>
      </w:tr>
      <w:tr w14:paraId="137F3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5D7D370F">
            <w:pPr>
              <w:keepNext w:val="0"/>
              <w:keepLines w:val="0"/>
              <w:pageBreakBefore w:val="0"/>
              <w:widowControl w:val="0"/>
              <w:kinsoku/>
              <w:wordWrap w:val="0"/>
              <w:overflowPunct/>
              <w:topLinePunct w:val="0"/>
              <w:bidi w:val="0"/>
              <w:spacing w:line="360" w:lineRule="auto"/>
              <w:ind w:left="0"/>
              <w:jc w:val="center"/>
              <w:rPr>
                <w:rFonts w:ascii="宋体" w:hAnsi="宋体" w:cs="宋体"/>
                <w:color w:val="auto"/>
                <w:szCs w:val="21"/>
                <w:highlight w:val="none"/>
              </w:rPr>
            </w:pPr>
            <w:r>
              <w:rPr>
                <w:rFonts w:ascii="宋体" w:hAnsi="宋体" w:cs="宋体"/>
                <w:color w:val="auto"/>
                <w:szCs w:val="21"/>
                <w:highlight w:val="none"/>
              </w:rPr>
              <w:t>28.1</w:t>
            </w:r>
          </w:p>
        </w:tc>
        <w:tc>
          <w:tcPr>
            <w:tcW w:w="7912" w:type="dxa"/>
            <w:vAlign w:val="center"/>
          </w:tcPr>
          <w:p w14:paraId="27B630EA">
            <w:pPr>
              <w:keepNext w:val="0"/>
              <w:keepLines w:val="0"/>
              <w:pageBreakBefore w:val="0"/>
              <w:widowControl w:val="0"/>
              <w:kinsoku/>
              <w:wordWrap w:val="0"/>
              <w:overflowPunct/>
              <w:topLinePunct w:val="0"/>
              <w:autoSpaceDE w:val="0"/>
              <w:autoSpaceDN w:val="0"/>
              <w:bidi w:val="0"/>
              <w:snapToGrid w:val="0"/>
              <w:spacing w:line="360" w:lineRule="auto"/>
              <w:ind w:left="0"/>
              <w:textAlignment w:val="bottom"/>
              <w:rPr>
                <w:rFonts w:ascii="宋体" w:hAnsi="宋体"/>
                <w:color w:val="auto"/>
                <w:szCs w:val="21"/>
                <w:highlight w:val="none"/>
              </w:rPr>
            </w:pPr>
            <w:r>
              <w:rPr>
                <w:rFonts w:hint="eastAsia" w:ascii="宋体" w:hAnsi="宋体"/>
                <w:color w:val="auto"/>
                <w:szCs w:val="21"/>
                <w:highlight w:val="none"/>
              </w:rPr>
              <w:t>本项目不收取履约保证金</w:t>
            </w:r>
            <w:r>
              <w:rPr>
                <w:rFonts w:hint="eastAsia" w:ascii="宋体" w:hAnsi="宋体" w:cs="宋体"/>
                <w:color w:val="auto"/>
                <w:szCs w:val="21"/>
                <w:highlight w:val="none"/>
              </w:rPr>
              <w:t>。</w:t>
            </w:r>
          </w:p>
        </w:tc>
      </w:tr>
      <w:tr w14:paraId="2882B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130D1F36">
            <w:pPr>
              <w:keepNext w:val="0"/>
              <w:keepLines w:val="0"/>
              <w:pageBreakBefore w:val="0"/>
              <w:widowControl w:val="0"/>
              <w:kinsoku/>
              <w:wordWrap w:val="0"/>
              <w:overflowPunct/>
              <w:topLinePunct w:val="0"/>
              <w:bidi w:val="0"/>
              <w:spacing w:line="360" w:lineRule="auto"/>
              <w:ind w:left="0"/>
              <w:jc w:val="center"/>
              <w:rPr>
                <w:rFonts w:ascii="宋体" w:hAnsi="宋体" w:cs="宋体"/>
                <w:color w:val="auto"/>
                <w:szCs w:val="21"/>
                <w:highlight w:val="none"/>
              </w:rPr>
            </w:pPr>
            <w:r>
              <w:rPr>
                <w:rFonts w:ascii="宋体" w:hAnsi="宋体" w:cs="宋体"/>
                <w:color w:val="auto"/>
                <w:szCs w:val="21"/>
                <w:highlight w:val="none"/>
              </w:rPr>
              <w:t>29.1</w:t>
            </w:r>
          </w:p>
        </w:tc>
        <w:tc>
          <w:tcPr>
            <w:tcW w:w="7912" w:type="dxa"/>
            <w:vAlign w:val="center"/>
          </w:tcPr>
          <w:p w14:paraId="79731E80">
            <w:pPr>
              <w:keepNext w:val="0"/>
              <w:keepLines w:val="0"/>
              <w:pageBreakBefore w:val="0"/>
              <w:widowControl w:val="0"/>
              <w:kinsoku/>
              <w:wordWrap w:val="0"/>
              <w:overflowPunct/>
              <w:topLinePunct w:val="0"/>
              <w:autoSpaceDE w:val="0"/>
              <w:autoSpaceDN w:val="0"/>
              <w:bidi w:val="0"/>
              <w:snapToGrid w:val="0"/>
              <w:spacing w:line="360" w:lineRule="auto"/>
              <w:ind w:left="0"/>
              <w:textAlignment w:val="bottom"/>
              <w:rPr>
                <w:rFonts w:ascii="宋体" w:hAnsi="宋体"/>
                <w:color w:val="auto"/>
                <w:szCs w:val="21"/>
                <w:highlight w:val="none"/>
              </w:rPr>
            </w:pPr>
            <w:r>
              <w:rPr>
                <w:rFonts w:hint="eastAsia" w:ascii="宋体" w:hAnsi="宋体"/>
                <w:color w:val="auto"/>
                <w:szCs w:val="21"/>
                <w:highlight w:val="none"/>
              </w:rPr>
              <w:t xml:space="preserve">签订合同携带的证明材料： </w:t>
            </w:r>
          </w:p>
          <w:p w14:paraId="50660411">
            <w:pPr>
              <w:keepNext w:val="0"/>
              <w:keepLines w:val="0"/>
              <w:pageBreakBefore w:val="0"/>
              <w:widowControl w:val="0"/>
              <w:kinsoku/>
              <w:wordWrap w:val="0"/>
              <w:overflowPunct/>
              <w:topLinePunct w:val="0"/>
              <w:autoSpaceDE w:val="0"/>
              <w:autoSpaceDN w:val="0"/>
              <w:bidi w:val="0"/>
              <w:snapToGrid w:val="0"/>
              <w:spacing w:line="360" w:lineRule="auto"/>
              <w:ind w:left="0"/>
              <w:textAlignment w:val="bottom"/>
              <w:rPr>
                <w:rFonts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14:paraId="74B6EBD8">
            <w:pPr>
              <w:keepNext w:val="0"/>
              <w:keepLines w:val="0"/>
              <w:pageBreakBefore w:val="0"/>
              <w:widowControl w:val="0"/>
              <w:kinsoku/>
              <w:wordWrap w:val="0"/>
              <w:overflowPunct/>
              <w:topLinePunct w:val="0"/>
              <w:bidi w:val="0"/>
              <w:snapToGrid w:val="0"/>
              <w:spacing w:line="360" w:lineRule="auto"/>
              <w:ind w:left="0"/>
              <w:rPr>
                <w:rFonts w:ascii="宋体" w:hAnsi="宋体" w:cs="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14:paraId="04303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3ACD1FFE">
            <w:pPr>
              <w:keepNext w:val="0"/>
              <w:keepLines w:val="0"/>
              <w:pageBreakBefore w:val="0"/>
              <w:widowControl w:val="0"/>
              <w:kinsoku/>
              <w:wordWrap w:val="0"/>
              <w:overflowPunct/>
              <w:topLinePunct w:val="0"/>
              <w:bidi w:val="0"/>
              <w:spacing w:line="360" w:lineRule="auto"/>
              <w:ind w:left="0"/>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1.2</w:t>
            </w:r>
          </w:p>
        </w:tc>
        <w:tc>
          <w:tcPr>
            <w:tcW w:w="7912" w:type="dxa"/>
            <w:vAlign w:val="center"/>
          </w:tcPr>
          <w:p w14:paraId="6A512DEF">
            <w:pPr>
              <w:keepNext w:val="0"/>
              <w:keepLines w:val="0"/>
              <w:pageBreakBefore w:val="0"/>
              <w:widowControl w:val="0"/>
              <w:kinsoku/>
              <w:wordWrap w:val="0"/>
              <w:overflowPunct/>
              <w:topLinePunct w:val="0"/>
              <w:bidi w:val="0"/>
              <w:snapToGrid w:val="0"/>
              <w:spacing w:line="360" w:lineRule="auto"/>
              <w:ind w:left="0"/>
              <w:rPr>
                <w:rFonts w:ascii="宋体" w:hAnsi="宋体" w:cs="宋体"/>
                <w:color w:val="auto"/>
                <w:szCs w:val="21"/>
                <w:highlight w:val="none"/>
              </w:rPr>
            </w:pPr>
            <w:r>
              <w:rPr>
                <w:rFonts w:hint="eastAsia" w:ascii="宋体" w:hAnsi="宋体" w:cs="宋体"/>
                <w:color w:val="auto"/>
                <w:szCs w:val="21"/>
                <w:highlight w:val="none"/>
              </w:rPr>
              <w:t>接收质疑函方式：以书面形式。</w:t>
            </w:r>
          </w:p>
          <w:p w14:paraId="475C21C9">
            <w:pPr>
              <w:pStyle w:val="18"/>
              <w:keepNext w:val="0"/>
              <w:keepLines w:val="0"/>
              <w:pageBreakBefore w:val="0"/>
              <w:widowControl w:val="0"/>
              <w:kinsoku/>
              <w:wordWrap w:val="0"/>
              <w:overflowPunct/>
              <w:topLinePunct w:val="0"/>
              <w:bidi w:val="0"/>
              <w:snapToGrid w:val="0"/>
              <w:spacing w:line="360" w:lineRule="auto"/>
              <w:ind w:left="0"/>
              <w:rPr>
                <w:rFonts w:hAnsi="宋体" w:cs="宋体"/>
                <w:color w:val="auto"/>
                <w:kern w:val="2"/>
                <w:sz w:val="21"/>
                <w:highlight w:val="none"/>
              </w:rPr>
            </w:pPr>
            <w:r>
              <w:rPr>
                <w:rFonts w:hint="eastAsia" w:hAnsi="宋体" w:cs="宋体"/>
                <w:color w:val="auto"/>
                <w:kern w:val="2"/>
                <w:sz w:val="21"/>
                <w:highlight w:val="none"/>
              </w:rPr>
              <w:t>质疑联系部门及联系方式：</w:t>
            </w:r>
            <w:r>
              <w:rPr>
                <w:rFonts w:hint="eastAsia" w:hAnsi="宋体" w:cs="宋体"/>
                <w:color w:val="auto"/>
                <w:kern w:val="2"/>
                <w:sz w:val="21"/>
                <w:highlight w:val="none"/>
                <w:u w:val="single"/>
              </w:rPr>
              <w:t>云之龙咨询集团有限公司北海分公司</w:t>
            </w:r>
            <w:r>
              <w:rPr>
                <w:rFonts w:hint="eastAsia" w:hAnsi="宋体" w:cs="宋体"/>
                <w:color w:val="auto"/>
                <w:kern w:val="2"/>
                <w:sz w:val="21"/>
                <w:highlight w:val="none"/>
              </w:rPr>
              <w:t>，联系电话：</w:t>
            </w:r>
            <w:r>
              <w:rPr>
                <w:rFonts w:hint="eastAsia" w:hAnsi="宋体" w:cs="宋体"/>
                <w:color w:val="auto"/>
                <w:kern w:val="2"/>
                <w:sz w:val="21"/>
                <w:highlight w:val="none"/>
                <w:u w:val="single"/>
              </w:rPr>
              <w:t>0779-3227361/3227538</w:t>
            </w:r>
            <w:r>
              <w:rPr>
                <w:rFonts w:hint="eastAsia" w:hAnsi="宋体" w:cs="宋体"/>
                <w:color w:val="auto"/>
                <w:kern w:val="2"/>
                <w:sz w:val="21"/>
                <w:highlight w:val="none"/>
              </w:rPr>
              <w:t>，通讯地址：</w:t>
            </w:r>
            <w:r>
              <w:rPr>
                <w:rFonts w:hint="eastAsia" w:hAnsi="宋体" w:cs="宋体"/>
                <w:color w:val="auto"/>
                <w:kern w:val="2"/>
                <w:sz w:val="21"/>
                <w:highlight w:val="none"/>
                <w:u w:val="single"/>
              </w:rPr>
              <w:t>广西北海市北部湾中路60号779财富中心15楼1505号</w:t>
            </w:r>
          </w:p>
          <w:p w14:paraId="3488EE71">
            <w:pPr>
              <w:keepNext w:val="0"/>
              <w:keepLines w:val="0"/>
              <w:pageBreakBefore w:val="0"/>
              <w:widowControl w:val="0"/>
              <w:kinsoku/>
              <w:wordWrap w:val="0"/>
              <w:overflowPunct/>
              <w:topLinePunct w:val="0"/>
              <w:autoSpaceDE w:val="0"/>
              <w:autoSpaceDN w:val="0"/>
              <w:bidi w:val="0"/>
              <w:snapToGrid w:val="0"/>
              <w:spacing w:line="360" w:lineRule="auto"/>
              <w:ind w:left="0"/>
              <w:textAlignment w:val="bottom"/>
              <w:rPr>
                <w:rFonts w:ascii="宋体" w:hAnsi="宋体"/>
                <w:color w:val="auto"/>
                <w:szCs w:val="21"/>
                <w:highlight w:val="none"/>
              </w:rPr>
            </w:pPr>
            <w:r>
              <w:rPr>
                <w:rFonts w:hint="eastAsia" w:ascii="宋体" w:hAnsi="宋体" w:cs="宋体"/>
                <w:color w:val="auto"/>
                <w:szCs w:val="21"/>
                <w:highlight w:val="none"/>
              </w:rPr>
              <w:t>业务时间：上午8时00分到12时00分，下午</w:t>
            </w:r>
            <w:r>
              <w:rPr>
                <w:rFonts w:ascii="宋体" w:hAnsi="宋体" w:cs="宋体"/>
                <w:color w:val="auto"/>
                <w:szCs w:val="21"/>
                <w:highlight w:val="none"/>
              </w:rPr>
              <w:t>3</w:t>
            </w:r>
            <w:r>
              <w:rPr>
                <w:rFonts w:hint="eastAsia" w:ascii="宋体" w:hAnsi="宋体" w:cs="宋体"/>
                <w:color w:val="auto"/>
                <w:szCs w:val="21"/>
                <w:highlight w:val="none"/>
              </w:rPr>
              <w:t>时00分到</w:t>
            </w:r>
            <w:r>
              <w:rPr>
                <w:rFonts w:ascii="宋体" w:hAnsi="宋体" w:cs="宋体"/>
                <w:color w:val="auto"/>
                <w:szCs w:val="21"/>
                <w:highlight w:val="none"/>
              </w:rPr>
              <w:t>6</w:t>
            </w:r>
            <w:r>
              <w:rPr>
                <w:rFonts w:hint="eastAsia" w:ascii="宋体" w:hAnsi="宋体" w:cs="宋体"/>
                <w:color w:val="auto"/>
                <w:szCs w:val="21"/>
                <w:highlight w:val="none"/>
              </w:rPr>
              <w:t>时00分</w:t>
            </w:r>
          </w:p>
        </w:tc>
      </w:tr>
      <w:tr w14:paraId="673D2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48CA0F6F">
            <w:pPr>
              <w:keepNext w:val="0"/>
              <w:keepLines w:val="0"/>
              <w:pageBreakBefore w:val="0"/>
              <w:widowControl w:val="0"/>
              <w:kinsoku/>
              <w:wordWrap w:val="0"/>
              <w:overflowPunct/>
              <w:topLinePunct w:val="0"/>
              <w:bidi w:val="0"/>
              <w:spacing w:line="360" w:lineRule="auto"/>
              <w:ind w:left="0"/>
              <w:jc w:val="center"/>
              <w:rPr>
                <w:rFonts w:ascii="宋体" w:hAnsi="宋体" w:cs="宋体"/>
                <w:color w:val="auto"/>
                <w:szCs w:val="21"/>
                <w:highlight w:val="none"/>
              </w:rPr>
            </w:pPr>
            <w:r>
              <w:rPr>
                <w:rFonts w:ascii="宋体" w:hAnsi="宋体" w:cs="宋体"/>
                <w:color w:val="auto"/>
                <w:szCs w:val="21"/>
                <w:highlight w:val="none"/>
              </w:rPr>
              <w:t>32.1</w:t>
            </w:r>
          </w:p>
        </w:tc>
        <w:tc>
          <w:tcPr>
            <w:tcW w:w="7912" w:type="dxa"/>
            <w:vAlign w:val="center"/>
          </w:tcPr>
          <w:p w14:paraId="0ABEE4D4">
            <w:pPr>
              <w:pStyle w:val="18"/>
              <w:keepNext w:val="0"/>
              <w:keepLines w:val="0"/>
              <w:pageBreakBefore w:val="0"/>
              <w:widowControl w:val="0"/>
              <w:kinsoku/>
              <w:wordWrap w:val="0"/>
              <w:overflowPunct/>
              <w:topLinePunct w:val="0"/>
              <w:bidi w:val="0"/>
              <w:snapToGrid w:val="0"/>
              <w:spacing w:line="360" w:lineRule="auto"/>
              <w:ind w:left="0"/>
              <w:rPr>
                <w:rFonts w:hAnsi="宋体" w:cs="宋体"/>
                <w:color w:val="auto"/>
                <w:sz w:val="21"/>
                <w:highlight w:val="none"/>
              </w:rPr>
            </w:pPr>
            <w:r>
              <w:rPr>
                <w:rFonts w:hint="eastAsia" w:hAnsi="宋体" w:cs="宋体"/>
                <w:color w:val="auto"/>
                <w:sz w:val="21"/>
                <w:highlight w:val="none"/>
              </w:rPr>
              <w:t>1.采购代理费支付方式：</w:t>
            </w:r>
          </w:p>
          <w:p w14:paraId="585D41C7">
            <w:pPr>
              <w:pStyle w:val="18"/>
              <w:keepNext w:val="0"/>
              <w:keepLines w:val="0"/>
              <w:pageBreakBefore w:val="0"/>
              <w:widowControl w:val="0"/>
              <w:kinsoku/>
              <w:wordWrap w:val="0"/>
              <w:overflowPunct/>
              <w:topLinePunct w:val="0"/>
              <w:bidi w:val="0"/>
              <w:snapToGrid w:val="0"/>
              <w:spacing w:line="360" w:lineRule="auto"/>
              <w:ind w:left="0"/>
              <w:rPr>
                <w:rFonts w:hAnsi="宋体" w:cs="宋体"/>
                <w:color w:val="auto"/>
                <w:sz w:val="21"/>
                <w:highlight w:val="none"/>
              </w:rPr>
            </w:pPr>
            <w:r>
              <w:rPr>
                <w:rFonts w:hint="eastAsia" w:hAnsi="宋体"/>
                <w:color w:val="auto"/>
                <w:highlight w:val="none"/>
              </w:rPr>
              <w:t>☑</w:t>
            </w:r>
            <w:r>
              <w:rPr>
                <w:rFonts w:hint="eastAsia" w:hAnsi="宋体" w:cs="宋体"/>
                <w:color w:val="auto"/>
                <w:sz w:val="21"/>
                <w:highlight w:val="none"/>
              </w:rPr>
              <w:t>本项目代理服务费由</w:t>
            </w:r>
            <w:r>
              <w:rPr>
                <w:rFonts w:hint="eastAsia" w:hAnsi="宋体" w:cs="宋体"/>
                <w:color w:val="auto"/>
                <w:sz w:val="21"/>
                <w:highlight w:val="none"/>
                <w:u w:val="single"/>
              </w:rPr>
              <w:t>成交供应商</w:t>
            </w:r>
            <w:r>
              <w:rPr>
                <w:rFonts w:hint="eastAsia" w:hAnsi="宋体" w:cs="宋体"/>
                <w:color w:val="auto"/>
                <w:sz w:val="21"/>
                <w:highlight w:val="none"/>
              </w:rPr>
              <w:t>领取成交通知书后三个工作日内，一次性向采购代理机构支付。</w:t>
            </w:r>
          </w:p>
          <w:p w14:paraId="0CB141F1">
            <w:pPr>
              <w:pStyle w:val="18"/>
              <w:keepNext w:val="0"/>
              <w:keepLines w:val="0"/>
              <w:pageBreakBefore w:val="0"/>
              <w:widowControl w:val="0"/>
              <w:kinsoku/>
              <w:wordWrap w:val="0"/>
              <w:overflowPunct/>
              <w:topLinePunct w:val="0"/>
              <w:bidi w:val="0"/>
              <w:snapToGrid w:val="0"/>
              <w:spacing w:line="360" w:lineRule="auto"/>
              <w:ind w:left="0"/>
              <w:rPr>
                <w:rFonts w:hAnsi="宋体" w:cs="宋体"/>
                <w:color w:val="auto"/>
                <w:sz w:val="21"/>
                <w:highlight w:val="none"/>
              </w:rPr>
            </w:pPr>
            <w:r>
              <w:rPr>
                <w:rFonts w:hint="eastAsia" w:hAnsi="宋体" w:cs="宋体"/>
                <w:color w:val="auto"/>
                <w:sz w:val="21"/>
                <w:highlight w:val="none"/>
              </w:rPr>
              <w:t>□采购人支付。</w:t>
            </w:r>
          </w:p>
          <w:p w14:paraId="073B7B71">
            <w:pPr>
              <w:pStyle w:val="18"/>
              <w:keepNext w:val="0"/>
              <w:keepLines w:val="0"/>
              <w:pageBreakBefore w:val="0"/>
              <w:widowControl w:val="0"/>
              <w:kinsoku/>
              <w:wordWrap w:val="0"/>
              <w:overflowPunct/>
              <w:topLinePunct w:val="0"/>
              <w:bidi w:val="0"/>
              <w:snapToGrid w:val="0"/>
              <w:spacing w:line="360" w:lineRule="auto"/>
              <w:ind w:left="0"/>
              <w:rPr>
                <w:rFonts w:hAnsi="宋体" w:cs="宋体"/>
                <w:color w:val="auto"/>
                <w:sz w:val="21"/>
                <w:highlight w:val="none"/>
              </w:rPr>
            </w:pPr>
            <w:r>
              <w:rPr>
                <w:rFonts w:hint="eastAsia" w:hAnsi="宋体" w:cs="宋体"/>
                <w:color w:val="auto"/>
                <w:sz w:val="21"/>
                <w:highlight w:val="none"/>
              </w:rPr>
              <w:t>2.采购代理费收取标准：</w:t>
            </w:r>
          </w:p>
          <w:p w14:paraId="0FFB5D12">
            <w:pPr>
              <w:pStyle w:val="18"/>
              <w:keepNext w:val="0"/>
              <w:keepLines w:val="0"/>
              <w:pageBreakBefore w:val="0"/>
              <w:widowControl w:val="0"/>
              <w:kinsoku/>
              <w:wordWrap w:val="0"/>
              <w:overflowPunct/>
              <w:topLinePunct w:val="0"/>
              <w:bidi w:val="0"/>
              <w:snapToGrid w:val="0"/>
              <w:spacing w:line="360" w:lineRule="auto"/>
              <w:ind w:left="0"/>
              <w:rPr>
                <w:rFonts w:hAnsi="宋体" w:cs="宋体"/>
                <w:color w:val="auto"/>
                <w:sz w:val="21"/>
                <w:highlight w:val="none"/>
              </w:rPr>
            </w:pPr>
            <w:r>
              <w:rPr>
                <w:rFonts w:hint="eastAsia" w:hAnsi="宋体"/>
                <w:color w:val="auto"/>
                <w:highlight w:val="none"/>
              </w:rPr>
              <w:t>☑</w:t>
            </w:r>
            <w:r>
              <w:rPr>
                <w:rFonts w:hint="eastAsia" w:hAnsi="宋体" w:cs="宋体"/>
                <w:color w:val="auto"/>
                <w:sz w:val="21"/>
                <w:highlight w:val="none"/>
              </w:rPr>
              <w:t>以（</w:t>
            </w:r>
            <w:r>
              <w:rPr>
                <w:rFonts w:hint="eastAsia" w:hAnsi="宋体"/>
                <w:color w:val="auto"/>
                <w:highlight w:val="none"/>
              </w:rPr>
              <w:t>☑</w:t>
            </w:r>
            <w:r>
              <w:rPr>
                <w:rFonts w:hint="eastAsia" w:hAnsi="宋体" w:cs="宋体"/>
                <w:color w:val="auto"/>
                <w:sz w:val="21"/>
                <w:highlight w:val="none"/>
              </w:rPr>
              <w:t>成交金额/□采购预算/□暂定成交金额/□其他）为计费额，按本须知正文第</w:t>
            </w:r>
            <w:r>
              <w:rPr>
                <w:rFonts w:hAnsi="宋体" w:cs="宋体"/>
                <w:color w:val="auto"/>
                <w:sz w:val="21"/>
                <w:highlight w:val="none"/>
              </w:rPr>
              <w:t>32</w:t>
            </w:r>
            <w:r>
              <w:rPr>
                <w:rFonts w:hint="eastAsia" w:hAnsi="宋体" w:cs="宋体"/>
                <w:color w:val="auto"/>
                <w:sz w:val="21"/>
                <w:highlight w:val="none"/>
              </w:rPr>
              <w:t>.</w:t>
            </w:r>
            <w:r>
              <w:rPr>
                <w:rFonts w:hAnsi="宋体" w:cs="宋体"/>
                <w:color w:val="auto"/>
                <w:sz w:val="21"/>
                <w:highlight w:val="none"/>
              </w:rPr>
              <w:t>2</w:t>
            </w:r>
            <w:r>
              <w:rPr>
                <w:rFonts w:hint="eastAsia" w:hAnsi="宋体" w:cs="宋体"/>
                <w:color w:val="auto"/>
                <w:sz w:val="21"/>
                <w:highlight w:val="none"/>
              </w:rPr>
              <w:t>条规定的收费计算标准（□货物类/</w:t>
            </w:r>
            <w:r>
              <w:rPr>
                <w:rFonts w:hint="eastAsia" w:hAnsi="宋体"/>
                <w:color w:val="auto"/>
                <w:highlight w:val="none"/>
              </w:rPr>
              <w:t>☑</w:t>
            </w:r>
            <w:r>
              <w:rPr>
                <w:rFonts w:hint="eastAsia" w:hAnsi="宋体" w:cs="宋体"/>
                <w:color w:val="auto"/>
                <w:sz w:val="21"/>
                <w:highlight w:val="none"/>
              </w:rPr>
              <w:t>服务类/□工程类）采用差额定率累进法计算出收费基准价格，采购代理收费以（</w:t>
            </w:r>
            <w:r>
              <w:rPr>
                <w:rFonts w:hint="eastAsia" w:hAnsi="宋体"/>
                <w:color w:val="auto"/>
                <w:highlight w:val="none"/>
                <w:lang w:eastAsia="zh-CN"/>
              </w:rPr>
              <w:t>□</w:t>
            </w:r>
            <w:r>
              <w:rPr>
                <w:rFonts w:hint="eastAsia" w:hAnsi="宋体" w:cs="宋体"/>
                <w:color w:val="auto"/>
                <w:sz w:val="21"/>
                <w:highlight w:val="none"/>
              </w:rPr>
              <w:t>收费基准价格/</w:t>
            </w:r>
            <w:r>
              <w:rPr>
                <w:rFonts w:hint="eastAsia" w:hAnsi="宋体" w:cs="宋体"/>
                <w:color w:val="auto"/>
                <w:sz w:val="21"/>
                <w:highlight w:val="none"/>
                <w:lang w:eastAsia="zh-CN"/>
              </w:rPr>
              <w:t>☑</w:t>
            </w:r>
            <w:r>
              <w:rPr>
                <w:rFonts w:hint="eastAsia" w:hAnsi="宋体" w:cs="宋体"/>
                <w:color w:val="auto"/>
                <w:sz w:val="21"/>
                <w:highlight w:val="none"/>
              </w:rPr>
              <w:t>收费基准价格下浮</w:t>
            </w:r>
            <w:r>
              <w:rPr>
                <w:rFonts w:hint="eastAsia" w:hAnsi="宋体" w:cs="宋体"/>
                <w:color w:val="auto"/>
                <w:sz w:val="21"/>
                <w:highlight w:val="none"/>
                <w:u w:val="single"/>
                <w:lang w:val="en-US" w:eastAsia="zh-CN"/>
              </w:rPr>
              <w:t>20</w:t>
            </w:r>
            <w:r>
              <w:rPr>
                <w:rFonts w:hint="eastAsia" w:hAnsi="宋体" w:cs="宋体"/>
                <w:color w:val="auto"/>
                <w:sz w:val="21"/>
                <w:highlight w:val="none"/>
                <w:u w:val="single"/>
              </w:rPr>
              <w:t>%</w:t>
            </w:r>
            <w:r>
              <w:rPr>
                <w:rFonts w:hAnsi="宋体" w:cs="宋体"/>
                <w:color w:val="auto"/>
                <w:sz w:val="21"/>
                <w:highlight w:val="none"/>
              </w:rPr>
              <w:t>/</w:t>
            </w:r>
            <w:r>
              <w:rPr>
                <w:rFonts w:hint="eastAsia" w:hAnsi="宋体" w:cs="宋体"/>
                <w:color w:val="auto"/>
                <w:sz w:val="21"/>
                <w:highlight w:val="none"/>
              </w:rPr>
              <w:t>□收费基准价格上浮</w:t>
            </w:r>
            <w:r>
              <w:rPr>
                <w:rFonts w:hint="eastAsia" w:hAnsi="宋体" w:cs="宋体"/>
                <w:color w:val="auto"/>
                <w:sz w:val="21"/>
                <w:highlight w:val="none"/>
                <w:u w:val="single"/>
              </w:rPr>
              <w:t>%</w:t>
            </w:r>
            <w:r>
              <w:rPr>
                <w:rFonts w:hint="eastAsia" w:hAnsi="宋体" w:cs="宋体"/>
                <w:color w:val="auto"/>
                <w:sz w:val="21"/>
                <w:highlight w:val="none"/>
              </w:rPr>
              <w:t>）收取。最低收费伍仟元，不足伍仟元按伍仟元收取。</w:t>
            </w:r>
          </w:p>
          <w:p w14:paraId="392E25CD">
            <w:pPr>
              <w:pStyle w:val="18"/>
              <w:keepNext w:val="0"/>
              <w:keepLines w:val="0"/>
              <w:pageBreakBefore w:val="0"/>
              <w:widowControl w:val="0"/>
              <w:kinsoku/>
              <w:wordWrap w:val="0"/>
              <w:overflowPunct/>
              <w:topLinePunct w:val="0"/>
              <w:bidi w:val="0"/>
              <w:snapToGrid w:val="0"/>
              <w:spacing w:line="360" w:lineRule="auto"/>
              <w:ind w:left="0"/>
              <w:rPr>
                <w:rFonts w:hAnsi="宋体" w:cs="宋体"/>
                <w:color w:val="auto"/>
                <w:sz w:val="21"/>
                <w:highlight w:val="none"/>
                <w:u w:val="single"/>
              </w:rPr>
            </w:pPr>
            <w:r>
              <w:rPr>
                <w:rFonts w:hint="eastAsia" w:hAnsi="宋体" w:cs="宋体"/>
                <w:color w:val="auto"/>
                <w:sz w:val="21"/>
                <w:highlight w:val="none"/>
              </w:rPr>
              <w:t>□固定采购代理收费</w:t>
            </w:r>
            <w:r>
              <w:rPr>
                <w:rFonts w:hint="eastAsia" w:hAnsi="宋体" w:cs="宋体"/>
                <w:color w:val="auto"/>
                <w:sz w:val="21"/>
                <w:highlight w:val="none"/>
                <w:u w:val="single"/>
              </w:rPr>
              <w:t xml:space="preserve">              。</w:t>
            </w:r>
          </w:p>
          <w:p w14:paraId="3A6CEE08">
            <w:pPr>
              <w:pStyle w:val="18"/>
              <w:keepNext w:val="0"/>
              <w:keepLines w:val="0"/>
              <w:pageBreakBefore w:val="0"/>
              <w:widowControl w:val="0"/>
              <w:kinsoku/>
              <w:wordWrap w:val="0"/>
              <w:overflowPunct/>
              <w:topLinePunct w:val="0"/>
              <w:bidi w:val="0"/>
              <w:snapToGrid w:val="0"/>
              <w:spacing w:line="360" w:lineRule="auto"/>
              <w:ind w:left="0"/>
              <w:rPr>
                <w:rFonts w:hAnsi="宋体" w:cs="宋体"/>
                <w:color w:val="auto"/>
                <w:sz w:val="21"/>
                <w:highlight w:val="none"/>
              </w:rPr>
            </w:pPr>
            <w:r>
              <w:rPr>
                <w:rFonts w:hint="eastAsia" w:hAnsi="宋体" w:cs="宋体"/>
                <w:color w:val="auto"/>
                <w:sz w:val="21"/>
                <w:highlight w:val="none"/>
              </w:rPr>
              <w:t>3.采购代理费收取银行账户</w:t>
            </w:r>
          </w:p>
          <w:p w14:paraId="7FF48A76">
            <w:pPr>
              <w:pStyle w:val="18"/>
              <w:keepNext w:val="0"/>
              <w:keepLines w:val="0"/>
              <w:pageBreakBefore w:val="0"/>
              <w:widowControl w:val="0"/>
              <w:kinsoku/>
              <w:wordWrap w:val="0"/>
              <w:overflowPunct/>
              <w:topLinePunct w:val="0"/>
              <w:bidi w:val="0"/>
              <w:snapToGrid w:val="0"/>
              <w:spacing w:line="360" w:lineRule="auto"/>
              <w:ind w:left="0"/>
              <w:rPr>
                <w:rFonts w:hAnsi="宋体" w:cs="宋体"/>
                <w:color w:val="auto"/>
                <w:sz w:val="21"/>
                <w:highlight w:val="none"/>
              </w:rPr>
            </w:pPr>
            <w:r>
              <w:rPr>
                <w:rFonts w:hint="eastAsia" w:hAnsi="宋体" w:cs="宋体"/>
                <w:color w:val="auto"/>
                <w:sz w:val="21"/>
                <w:highlight w:val="none"/>
              </w:rPr>
              <w:t>账户名称：云之龙咨询集团有限公司北海分公司</w:t>
            </w:r>
          </w:p>
          <w:p w14:paraId="6370BDBC">
            <w:pPr>
              <w:pStyle w:val="18"/>
              <w:keepNext w:val="0"/>
              <w:keepLines w:val="0"/>
              <w:pageBreakBefore w:val="0"/>
              <w:widowControl w:val="0"/>
              <w:kinsoku/>
              <w:wordWrap w:val="0"/>
              <w:overflowPunct/>
              <w:topLinePunct w:val="0"/>
              <w:bidi w:val="0"/>
              <w:snapToGrid w:val="0"/>
              <w:spacing w:line="360" w:lineRule="auto"/>
              <w:ind w:left="0"/>
              <w:rPr>
                <w:rFonts w:hAnsi="宋体" w:cs="宋体"/>
                <w:color w:val="auto"/>
                <w:sz w:val="21"/>
                <w:highlight w:val="none"/>
              </w:rPr>
            </w:pPr>
            <w:r>
              <w:rPr>
                <w:rFonts w:hint="eastAsia" w:hAnsi="宋体" w:cs="宋体"/>
                <w:color w:val="auto"/>
                <w:sz w:val="21"/>
                <w:highlight w:val="none"/>
              </w:rPr>
              <w:t>账号：8113001013600157976</w:t>
            </w:r>
          </w:p>
          <w:p w14:paraId="772BD2A6">
            <w:pPr>
              <w:pStyle w:val="18"/>
              <w:keepNext w:val="0"/>
              <w:keepLines w:val="0"/>
              <w:pageBreakBefore w:val="0"/>
              <w:widowControl w:val="0"/>
              <w:kinsoku/>
              <w:wordWrap w:val="0"/>
              <w:overflowPunct/>
              <w:topLinePunct w:val="0"/>
              <w:bidi w:val="0"/>
              <w:snapToGrid w:val="0"/>
              <w:spacing w:line="360" w:lineRule="auto"/>
              <w:ind w:left="0"/>
              <w:rPr>
                <w:rFonts w:hAnsi="宋体" w:cs="宋体"/>
                <w:color w:val="auto"/>
                <w:sz w:val="21"/>
                <w:highlight w:val="none"/>
              </w:rPr>
            </w:pPr>
            <w:r>
              <w:rPr>
                <w:rFonts w:hint="eastAsia" w:hAnsi="宋体" w:cs="宋体"/>
                <w:color w:val="auto"/>
                <w:sz w:val="21"/>
                <w:highlight w:val="none"/>
              </w:rPr>
              <w:t>开户行：中信银行南宁东葛支行</w:t>
            </w:r>
          </w:p>
        </w:tc>
      </w:tr>
      <w:tr w14:paraId="02242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2FEAF688">
            <w:pPr>
              <w:keepNext w:val="0"/>
              <w:keepLines w:val="0"/>
              <w:pageBreakBefore w:val="0"/>
              <w:widowControl w:val="0"/>
              <w:kinsoku/>
              <w:wordWrap w:val="0"/>
              <w:overflowPunct/>
              <w:topLinePunct w:val="0"/>
              <w:bidi w:val="0"/>
              <w:spacing w:line="360" w:lineRule="auto"/>
              <w:ind w:left="0"/>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3.1</w:t>
            </w:r>
          </w:p>
        </w:tc>
        <w:tc>
          <w:tcPr>
            <w:tcW w:w="7912" w:type="dxa"/>
            <w:vAlign w:val="center"/>
          </w:tcPr>
          <w:p w14:paraId="64007F65">
            <w:pPr>
              <w:pStyle w:val="18"/>
              <w:keepNext w:val="0"/>
              <w:keepLines w:val="0"/>
              <w:pageBreakBefore w:val="0"/>
              <w:widowControl w:val="0"/>
              <w:kinsoku/>
              <w:wordWrap w:val="0"/>
              <w:overflowPunct/>
              <w:topLinePunct w:val="0"/>
              <w:bidi w:val="0"/>
              <w:snapToGrid w:val="0"/>
              <w:spacing w:line="360" w:lineRule="auto"/>
              <w:ind w:left="0"/>
              <w:rPr>
                <w:rFonts w:hAnsi="宋体" w:cs="宋体"/>
                <w:color w:val="auto"/>
                <w:kern w:val="2"/>
                <w:sz w:val="21"/>
                <w:highlight w:val="none"/>
              </w:rPr>
            </w:pPr>
            <w:r>
              <w:rPr>
                <w:rFonts w:hint="eastAsia" w:hAnsi="宋体" w:cs="宋体"/>
                <w:color w:val="auto"/>
                <w:sz w:val="21"/>
                <w:highlight w:val="none"/>
              </w:rPr>
              <w:t>解释：</w:t>
            </w:r>
            <w:r>
              <w:rPr>
                <w:rFonts w:hAnsi="宋体" w:cs="宋体"/>
                <w:color w:val="auto"/>
                <w:sz w:val="21"/>
                <w:highlight w:val="none"/>
              </w:rPr>
              <w:t>构成本</w:t>
            </w:r>
            <w:r>
              <w:rPr>
                <w:rFonts w:hint="eastAsia" w:hAnsi="宋体" w:cs="宋体"/>
                <w:color w:val="auto"/>
                <w:sz w:val="21"/>
                <w:highlight w:val="none"/>
              </w:rPr>
              <w:t>磋商文件</w:t>
            </w:r>
            <w:r>
              <w:rPr>
                <w:rFonts w:hAnsi="宋体" w:cs="宋体"/>
                <w:color w:val="auto"/>
                <w:sz w:val="21"/>
                <w:highlight w:val="none"/>
              </w:rPr>
              <w:t>的各个组成文件应互为解释，互为说明；除</w:t>
            </w:r>
            <w:r>
              <w:rPr>
                <w:rFonts w:hint="eastAsia" w:hAnsi="宋体" w:cs="宋体"/>
                <w:color w:val="auto"/>
                <w:sz w:val="21"/>
                <w:highlight w:val="none"/>
              </w:rPr>
              <w:t>磋商文件</w:t>
            </w:r>
            <w:r>
              <w:rPr>
                <w:rFonts w:hAnsi="宋体" w:cs="宋体"/>
                <w:color w:val="auto"/>
                <w:sz w:val="21"/>
                <w:highlight w:val="none"/>
              </w:rPr>
              <w:t>中有特别规定外，仅适用于</w:t>
            </w:r>
            <w:r>
              <w:rPr>
                <w:rFonts w:hint="eastAsia" w:hAnsi="宋体" w:cs="宋体"/>
                <w:color w:val="auto"/>
                <w:sz w:val="21"/>
                <w:highlight w:val="none"/>
              </w:rPr>
              <w:t>竞标</w:t>
            </w:r>
            <w:r>
              <w:rPr>
                <w:rFonts w:hAnsi="宋体" w:cs="宋体"/>
                <w:color w:val="auto"/>
                <w:sz w:val="21"/>
                <w:highlight w:val="none"/>
              </w:rPr>
              <w:t>阶段的规定，按</w:t>
            </w:r>
            <w:r>
              <w:rPr>
                <w:rFonts w:hint="eastAsia" w:hAnsi="宋体" w:cs="宋体"/>
                <w:color w:val="auto"/>
                <w:sz w:val="21"/>
                <w:highlight w:val="none"/>
              </w:rPr>
              <w:t>更正公告（澄清公告）</w:t>
            </w:r>
            <w:r>
              <w:rPr>
                <w:rFonts w:hAnsi="宋体" w:cs="宋体"/>
                <w:color w:val="auto"/>
                <w:sz w:val="21"/>
                <w:highlight w:val="none"/>
              </w:rPr>
              <w:t>、</w:t>
            </w:r>
            <w:r>
              <w:rPr>
                <w:rFonts w:hint="eastAsia" w:hAnsi="宋体" w:cs="宋体"/>
                <w:color w:val="auto"/>
                <w:sz w:val="21"/>
                <w:highlight w:val="none"/>
              </w:rPr>
              <w:t>竞争性磋商</w:t>
            </w:r>
            <w:r>
              <w:rPr>
                <w:rFonts w:hAnsi="宋体" w:cs="宋体"/>
                <w:color w:val="auto"/>
                <w:sz w:val="21"/>
                <w:highlight w:val="none"/>
              </w:rPr>
              <w:t>公告、</w:t>
            </w:r>
            <w:r>
              <w:rPr>
                <w:rFonts w:hint="eastAsia" w:hAnsi="宋体" w:cs="宋体"/>
                <w:color w:val="auto"/>
                <w:sz w:val="21"/>
                <w:highlight w:val="none"/>
              </w:rPr>
              <w:t>供应商</w:t>
            </w:r>
            <w:r>
              <w:rPr>
                <w:rFonts w:hAnsi="宋体" w:cs="宋体"/>
                <w:color w:val="auto"/>
                <w:sz w:val="21"/>
                <w:highlight w:val="none"/>
              </w:rPr>
              <w:t>须知</w:t>
            </w:r>
            <w:r>
              <w:rPr>
                <w:rFonts w:hint="eastAsia" w:hAnsi="宋体" w:cs="宋体"/>
                <w:color w:val="auto"/>
                <w:sz w:val="21"/>
                <w:highlight w:val="none"/>
              </w:rPr>
              <w:t>、采购需求</w:t>
            </w:r>
            <w:r>
              <w:rPr>
                <w:rFonts w:hAnsi="宋体" w:cs="宋体"/>
                <w:color w:val="auto"/>
                <w:sz w:val="21"/>
                <w:highlight w:val="none"/>
              </w:rPr>
              <w:t>、</w:t>
            </w:r>
            <w:r>
              <w:rPr>
                <w:rFonts w:hint="eastAsia" w:hAnsi="宋体" w:cs="宋体"/>
                <w:color w:val="auto"/>
                <w:sz w:val="21"/>
                <w:highlight w:val="none"/>
              </w:rPr>
              <w:t>评审程序、评审方法和评审标准</w:t>
            </w:r>
            <w:r>
              <w:rPr>
                <w:rFonts w:hAnsi="宋体" w:cs="宋体"/>
                <w:color w:val="auto"/>
                <w:sz w:val="21"/>
                <w:highlight w:val="none"/>
              </w:rPr>
              <w:t>、</w:t>
            </w:r>
            <w:r>
              <w:rPr>
                <w:rFonts w:hint="eastAsia" w:hAnsi="宋体" w:cs="宋体"/>
                <w:color w:val="auto"/>
                <w:sz w:val="21"/>
                <w:highlight w:val="none"/>
              </w:rPr>
              <w:t>响应</w:t>
            </w:r>
            <w:r>
              <w:rPr>
                <w:rFonts w:hAnsi="宋体" w:cs="宋体"/>
                <w:color w:val="auto"/>
                <w:sz w:val="21"/>
                <w:highlight w:val="none"/>
              </w:rPr>
              <w:t>文件格式</w:t>
            </w:r>
            <w:r>
              <w:rPr>
                <w:rFonts w:hint="eastAsia" w:hAnsi="宋体" w:cs="宋体"/>
                <w:color w:val="auto"/>
                <w:sz w:val="21"/>
                <w:highlight w:val="none"/>
              </w:rPr>
              <w:t>、合同文本</w:t>
            </w:r>
            <w:r>
              <w:rPr>
                <w:rFonts w:hAnsi="宋体" w:cs="宋体"/>
                <w:color w:val="auto"/>
                <w:sz w:val="21"/>
                <w:highlight w:val="none"/>
              </w:rPr>
              <w:t>的先后顺序解释；同一组成文件中就同一事项的规定或者约定不一致的，以编排顺序在后者为准；同一组成文件不同版本之间有不一致的，以形成时间在后者为准；</w:t>
            </w:r>
            <w:r>
              <w:rPr>
                <w:rFonts w:hint="eastAsia" w:hAnsi="宋体" w:cs="宋体"/>
                <w:color w:val="auto"/>
                <w:sz w:val="21"/>
                <w:highlight w:val="none"/>
              </w:rPr>
              <w:t>更正公告（澄清公告）</w:t>
            </w:r>
            <w:r>
              <w:rPr>
                <w:rFonts w:hAnsi="宋体" w:cs="宋体"/>
                <w:color w:val="auto"/>
                <w:sz w:val="21"/>
                <w:highlight w:val="none"/>
              </w:rPr>
              <w:t>与同步更新的</w:t>
            </w:r>
            <w:r>
              <w:rPr>
                <w:rFonts w:hint="eastAsia" w:hAnsi="宋体" w:cs="宋体"/>
                <w:color w:val="auto"/>
                <w:sz w:val="21"/>
                <w:highlight w:val="none"/>
              </w:rPr>
              <w:t>磋商文件</w:t>
            </w:r>
            <w:r>
              <w:rPr>
                <w:rFonts w:hAnsi="宋体" w:cs="宋体"/>
                <w:color w:val="auto"/>
                <w:sz w:val="21"/>
                <w:highlight w:val="none"/>
              </w:rPr>
              <w:t>不一致时以</w:t>
            </w:r>
            <w:r>
              <w:rPr>
                <w:rFonts w:hint="eastAsia" w:hAnsi="宋体" w:cs="宋体"/>
                <w:color w:val="auto"/>
                <w:sz w:val="21"/>
                <w:highlight w:val="none"/>
              </w:rPr>
              <w:t>更正公告（澄清公告）</w:t>
            </w:r>
            <w:r>
              <w:rPr>
                <w:rFonts w:hAnsi="宋体" w:cs="宋体"/>
                <w:color w:val="auto"/>
                <w:sz w:val="21"/>
                <w:highlight w:val="none"/>
              </w:rPr>
              <w:t>为准。按本款前述规定仍不能形成结论的，由</w:t>
            </w:r>
            <w:r>
              <w:rPr>
                <w:rFonts w:hint="eastAsia" w:hAnsi="宋体" w:cs="宋体"/>
                <w:color w:val="auto"/>
                <w:sz w:val="21"/>
                <w:highlight w:val="none"/>
              </w:rPr>
              <w:t>采购</w:t>
            </w:r>
            <w:r>
              <w:rPr>
                <w:rFonts w:hAnsi="宋体" w:cs="宋体"/>
                <w:color w:val="auto"/>
                <w:sz w:val="21"/>
                <w:highlight w:val="none"/>
              </w:rPr>
              <w:t>人</w:t>
            </w:r>
            <w:r>
              <w:rPr>
                <w:rFonts w:hint="eastAsia" w:hAnsi="宋体" w:cs="宋体"/>
                <w:color w:val="auto"/>
                <w:sz w:val="21"/>
                <w:highlight w:val="none"/>
              </w:rPr>
              <w:t>或者采购代理机构</w:t>
            </w:r>
            <w:r>
              <w:rPr>
                <w:rFonts w:hAnsi="宋体" w:cs="宋体"/>
                <w:color w:val="auto"/>
                <w:sz w:val="21"/>
                <w:highlight w:val="none"/>
              </w:rPr>
              <w:t>负责解释。</w:t>
            </w:r>
          </w:p>
        </w:tc>
      </w:tr>
      <w:tr w14:paraId="5952C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3F8CAE0F">
            <w:pPr>
              <w:keepNext w:val="0"/>
              <w:keepLines w:val="0"/>
              <w:pageBreakBefore w:val="0"/>
              <w:widowControl w:val="0"/>
              <w:kinsoku/>
              <w:wordWrap w:val="0"/>
              <w:overflowPunct/>
              <w:topLinePunct w:val="0"/>
              <w:bidi w:val="0"/>
              <w:spacing w:line="360" w:lineRule="auto"/>
              <w:ind w:left="0"/>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3.2</w:t>
            </w:r>
          </w:p>
        </w:tc>
        <w:tc>
          <w:tcPr>
            <w:tcW w:w="7912" w:type="dxa"/>
            <w:vAlign w:val="center"/>
          </w:tcPr>
          <w:p w14:paraId="12FE5BE2">
            <w:pPr>
              <w:pStyle w:val="18"/>
              <w:keepNext w:val="0"/>
              <w:keepLines w:val="0"/>
              <w:pageBreakBefore w:val="0"/>
              <w:widowControl w:val="0"/>
              <w:kinsoku/>
              <w:wordWrap w:val="0"/>
              <w:overflowPunct/>
              <w:topLinePunct w:val="0"/>
              <w:bidi w:val="0"/>
              <w:snapToGrid w:val="0"/>
              <w:spacing w:line="360" w:lineRule="auto"/>
              <w:ind w:left="0"/>
              <w:rPr>
                <w:rFonts w:hAnsi="宋体" w:cs="宋体"/>
                <w:color w:val="auto"/>
                <w:sz w:val="21"/>
                <w:highlight w:val="none"/>
              </w:rPr>
            </w:pPr>
            <w:r>
              <w:rPr>
                <w:rFonts w:hint="eastAsia" w:hAnsi="宋体" w:cs="宋体"/>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43179CD5">
            <w:pPr>
              <w:pStyle w:val="18"/>
              <w:keepNext w:val="0"/>
              <w:keepLines w:val="0"/>
              <w:pageBreakBefore w:val="0"/>
              <w:widowControl w:val="0"/>
              <w:kinsoku/>
              <w:wordWrap w:val="0"/>
              <w:overflowPunct/>
              <w:topLinePunct w:val="0"/>
              <w:bidi w:val="0"/>
              <w:snapToGrid w:val="0"/>
              <w:spacing w:line="360" w:lineRule="auto"/>
              <w:ind w:left="0"/>
              <w:rPr>
                <w:rFonts w:hAnsi="宋体" w:cs="宋体"/>
                <w:color w:val="auto"/>
                <w:sz w:val="21"/>
                <w:highlight w:val="none"/>
              </w:rPr>
            </w:pPr>
            <w:r>
              <w:rPr>
                <w:rFonts w:hint="eastAsia" w:hAnsi="宋体" w:cs="宋体"/>
                <w:bCs/>
                <w:color w:val="auto"/>
                <w:sz w:val="21"/>
                <w:highlight w:val="none"/>
              </w:rPr>
              <w:t>2.本磋商文件所称的“</w:t>
            </w:r>
            <w:r>
              <w:rPr>
                <w:rFonts w:hint="eastAsia" w:hAnsi="宋体"/>
                <w:color w:val="auto"/>
                <w:sz w:val="21"/>
                <w:highlight w:val="none"/>
              </w:rPr>
              <w:t>电子签章</w:t>
            </w:r>
            <w:r>
              <w:rPr>
                <w:rFonts w:hint="eastAsia" w:hAnsi="宋体" w:cs="宋体"/>
                <w:bCs/>
                <w:color w:val="auto"/>
                <w:sz w:val="21"/>
                <w:highlight w:val="none"/>
              </w:rPr>
              <w:t>”、“电子签名”</w:t>
            </w:r>
            <w:r>
              <w:rPr>
                <w:rFonts w:hint="eastAsia" w:hAnsi="宋体"/>
                <w:color w:val="auto"/>
                <w:sz w:val="21"/>
                <w:highlight w:val="none"/>
              </w:rPr>
              <w:t>，是指经广西政府采购云平台认可的CA认证的电子签名数据为表现形式的印章，可用于签署电子响应文件，电子印章与实物印章具有同等法律效力，不因其采用电子化表现形式而否定其法律效力。</w:t>
            </w:r>
          </w:p>
          <w:p w14:paraId="7BE865E7">
            <w:pPr>
              <w:pStyle w:val="18"/>
              <w:keepNext w:val="0"/>
              <w:keepLines w:val="0"/>
              <w:pageBreakBefore w:val="0"/>
              <w:widowControl w:val="0"/>
              <w:kinsoku/>
              <w:wordWrap w:val="0"/>
              <w:overflowPunct/>
              <w:topLinePunct w:val="0"/>
              <w:bidi w:val="0"/>
              <w:snapToGrid w:val="0"/>
              <w:spacing w:line="360" w:lineRule="auto"/>
              <w:ind w:left="0"/>
              <w:rPr>
                <w:rFonts w:hAnsi="宋体" w:cs="宋体"/>
                <w:bCs/>
                <w:color w:val="auto"/>
                <w:sz w:val="21"/>
                <w:highlight w:val="none"/>
              </w:rPr>
            </w:pPr>
            <w:r>
              <w:rPr>
                <w:rFonts w:hAnsi="宋体" w:cs="宋体"/>
                <w:color w:val="auto"/>
                <w:sz w:val="21"/>
                <w:highlight w:val="none"/>
              </w:rPr>
              <w:t>3</w:t>
            </w:r>
            <w:r>
              <w:rPr>
                <w:rFonts w:hint="eastAsia" w:hAnsi="宋体" w:cs="宋体"/>
                <w:color w:val="auto"/>
                <w:sz w:val="21"/>
                <w:highlight w:val="none"/>
              </w:rPr>
              <w:t>.供应商为其他组织或者自然人时，本磋商文件规定的法定代表人指负责人或者自然人。本磋商文件所称负责人是指参加竞标的其他组织</w:t>
            </w:r>
            <w:r>
              <w:rPr>
                <w:rFonts w:hint="eastAsia" w:hAnsi="宋体" w:cs="宋体"/>
                <w:bCs/>
                <w:color w:val="auto"/>
                <w:sz w:val="21"/>
                <w:highlight w:val="none"/>
              </w:rPr>
              <w:t>营业执照或者执业许可证等证照上的</w:t>
            </w:r>
            <w:r>
              <w:rPr>
                <w:rFonts w:hint="eastAsia" w:hAnsi="宋体" w:cs="宋体"/>
                <w:color w:val="auto"/>
                <w:sz w:val="21"/>
                <w:highlight w:val="none"/>
              </w:rPr>
              <w:t>负责人，本磋商文件所称自然人指参与竞标的自然人本人，</w:t>
            </w:r>
            <w:r>
              <w:rPr>
                <w:rFonts w:hint="eastAsia" w:hAnsi="宋体" w:cs="宋体"/>
                <w:bCs/>
                <w:color w:val="auto"/>
                <w:sz w:val="21"/>
                <w:highlight w:val="none"/>
              </w:rPr>
              <w:t>且应具备独立承担民事责任能力，自然人应当为年满18岁以上成年人（十六周岁以上的未成年人，以自己的劳动收入为主要生活来源的，视为完全民事行为能力人）。</w:t>
            </w:r>
          </w:p>
          <w:p w14:paraId="1D9A368C">
            <w:pPr>
              <w:pStyle w:val="18"/>
              <w:keepNext w:val="0"/>
              <w:keepLines w:val="0"/>
              <w:pageBreakBefore w:val="0"/>
              <w:widowControl w:val="0"/>
              <w:kinsoku/>
              <w:wordWrap w:val="0"/>
              <w:overflowPunct/>
              <w:topLinePunct w:val="0"/>
              <w:bidi w:val="0"/>
              <w:snapToGrid w:val="0"/>
              <w:spacing w:line="360" w:lineRule="auto"/>
              <w:ind w:left="0"/>
              <w:rPr>
                <w:rFonts w:hAnsi="宋体" w:cs="宋体"/>
                <w:color w:val="auto"/>
                <w:sz w:val="21"/>
                <w:highlight w:val="none"/>
              </w:rPr>
            </w:pPr>
            <w:r>
              <w:rPr>
                <w:rFonts w:hAnsi="宋体" w:cs="宋体"/>
                <w:color w:val="auto"/>
                <w:sz w:val="21"/>
                <w:highlight w:val="none"/>
              </w:rPr>
              <w:t>4.</w:t>
            </w:r>
            <w:r>
              <w:rPr>
                <w:rFonts w:hint="eastAsia" w:hAnsi="宋体" w:cs="宋体"/>
                <w:color w:val="auto"/>
                <w:sz w:val="21"/>
                <w:highlight w:val="none"/>
              </w:rPr>
              <w:t>本磋商文件中描述供应商的“签字”是指供应商的法定代表人或者委托代理人亲自在文件规定签署处亲笔写上个人的名字的行为，私章、签字章、印鉴、影印等其他形式均不能代替亲笔签字。</w:t>
            </w:r>
          </w:p>
          <w:p w14:paraId="402B546D">
            <w:pPr>
              <w:pStyle w:val="18"/>
              <w:keepNext w:val="0"/>
              <w:keepLines w:val="0"/>
              <w:pageBreakBefore w:val="0"/>
              <w:widowControl w:val="0"/>
              <w:kinsoku/>
              <w:wordWrap w:val="0"/>
              <w:overflowPunct/>
              <w:topLinePunct w:val="0"/>
              <w:bidi w:val="0"/>
              <w:snapToGrid w:val="0"/>
              <w:spacing w:line="360" w:lineRule="auto"/>
              <w:ind w:left="0"/>
              <w:rPr>
                <w:rFonts w:hAnsi="宋体" w:cs="宋体"/>
                <w:color w:val="auto"/>
                <w:sz w:val="21"/>
                <w:highlight w:val="none"/>
              </w:rPr>
            </w:pPr>
            <w:r>
              <w:rPr>
                <w:rFonts w:hint="eastAsia" w:hAnsi="宋体" w:cs="宋体"/>
                <w:color w:val="auto"/>
                <w:sz w:val="21"/>
                <w:highlight w:val="none"/>
              </w:rPr>
              <w:t>5</w:t>
            </w:r>
            <w:r>
              <w:rPr>
                <w:rFonts w:hAnsi="宋体" w:cs="宋体"/>
                <w:color w:val="auto"/>
                <w:sz w:val="21"/>
                <w:highlight w:val="none"/>
              </w:rPr>
              <w:t>.</w:t>
            </w:r>
            <w:r>
              <w:rPr>
                <w:rFonts w:hint="eastAsia" w:hAnsi="宋体" w:cs="宋体"/>
                <w:color w:val="auto"/>
                <w:sz w:val="21"/>
                <w:highlight w:val="none"/>
              </w:rPr>
              <w:t>本磋商文件所称的“以上”“以下”“以内”“届满”，包括本数；所称的“不满”“超过”“以外”，不包括本数。</w:t>
            </w:r>
          </w:p>
        </w:tc>
      </w:tr>
    </w:tbl>
    <w:p w14:paraId="570DA696">
      <w:pPr>
        <w:spacing w:line="400" w:lineRule="exact"/>
        <w:jc w:val="center"/>
        <w:rPr>
          <w:rFonts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供应商须知正文</w:t>
      </w:r>
    </w:p>
    <w:p w14:paraId="41BCBF2E">
      <w:pPr>
        <w:spacing w:line="400" w:lineRule="exact"/>
        <w:jc w:val="center"/>
        <w:rPr>
          <w:rFonts w:ascii="宋体" w:hAnsi="宋体"/>
          <w:b/>
          <w:color w:val="auto"/>
          <w:sz w:val="32"/>
          <w:szCs w:val="32"/>
          <w:highlight w:val="none"/>
        </w:rPr>
      </w:pPr>
    </w:p>
    <w:p w14:paraId="00FF16C4">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一、总则</w:t>
      </w:r>
    </w:p>
    <w:p w14:paraId="55190284">
      <w:pPr>
        <w:spacing w:line="400" w:lineRule="exact"/>
        <w:rPr>
          <w:rFonts w:ascii="宋体" w:hAnsi="宋体"/>
          <w:color w:val="auto"/>
          <w:szCs w:val="21"/>
          <w:highlight w:val="none"/>
        </w:rPr>
      </w:pPr>
    </w:p>
    <w:p w14:paraId="3B826D54">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14:paraId="15A8F9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及本项目本级和上级财政部门政府采购有关规定的约束和保护。</w:t>
      </w:r>
    </w:p>
    <w:p w14:paraId="0E7D14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6F973748">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14:paraId="1730B7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4307E3A7">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20B54F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66BD157A">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2.4“服务”是指除货物和工程以外的其他政府采购对象。</w:t>
      </w:r>
    </w:p>
    <w:p w14:paraId="7EEDCD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“竞标”是指供应商按照本项目竞争性磋商公告规定的方式获取磋商文件、提交响应文件并希望获得标的的行为。</w:t>
      </w:r>
    </w:p>
    <w:p w14:paraId="03EE9BDA">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2.6“书面形式”是指合同书、信件和数据电文（包括电报、电传、传真、电子数据交换和电子邮件）等可以有形地表现所载内容的形式。</w:t>
      </w:r>
    </w:p>
    <w:p w14:paraId="73DDB828">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2.7“响应文件”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1BEEDF0E">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2.8“实质性要求”是指磋商文件中已经指明不满足则响应文件按无效响应处理的条款，或者不能负偏离的条款，或者采购需求中带“▲”的条款。</w:t>
      </w:r>
    </w:p>
    <w:p w14:paraId="35EFCDC4">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2.9“正偏离”，是指响应文件对磋商文件“采购需求”中有关条款作出的响应优于条款要求并有利于采购人的情形。</w:t>
      </w:r>
    </w:p>
    <w:p w14:paraId="4BB59C16">
      <w:pPr>
        <w:spacing w:line="360" w:lineRule="auto"/>
        <w:ind w:firstLine="420" w:firstLineChars="200"/>
        <w:contextualSpacing/>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10“负偏离”，是指响应文件对磋商文件“采购需求”中有关条款作出的响应不满足条款要求，导致采购人要求不能得到满足的情形。</w:t>
      </w:r>
    </w:p>
    <w:p w14:paraId="1131E790">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p>
    <w:p w14:paraId="428D448C">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rPr>
        <w:t>2“首次报价”是指供应商提交的首次响应文件中的报价。</w:t>
      </w:r>
    </w:p>
    <w:p w14:paraId="408B8268">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14:paraId="431697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54C1499A">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4.竞标费用</w:t>
      </w:r>
    </w:p>
    <w:p w14:paraId="16316E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015842D8">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14:paraId="320902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1EB4C4C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olor w:val="auto"/>
          <w:highlight w:val="none"/>
        </w:rPr>
        <w:t>如接受联合体竞标，</w:t>
      </w:r>
      <w:r>
        <w:rPr>
          <w:rFonts w:hint="eastAsia" w:ascii="宋体" w:hAnsi="宋体" w:cs="宋体"/>
          <w:color w:val="auto"/>
          <w:szCs w:val="21"/>
          <w:highlight w:val="none"/>
        </w:rPr>
        <w:t>联合体竞标要求详见“供应商须知前附表”。</w:t>
      </w:r>
    </w:p>
    <w:p w14:paraId="17ECEF0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w:t>
      </w:r>
      <w:bookmarkStart w:id="61" w:name="_Hlk66782192"/>
      <w:r>
        <w:rPr>
          <w:rFonts w:hint="eastAsia" w:ascii="宋体" w:hAnsi="宋体"/>
          <w:color w:val="auto"/>
          <w:szCs w:val="21"/>
          <w:highlight w:val="none"/>
        </w:rPr>
        <w:t>根据《政府采购促进中小企业发展管理办法》（财库〔2020〕46号）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6%的扣除，用扣除后的价格参加评审。</w:t>
      </w:r>
      <w:bookmarkEnd w:id="61"/>
    </w:p>
    <w:p w14:paraId="779B9A2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 xml:space="preserve">6.转包与分包             </w:t>
      </w:r>
    </w:p>
    <w:p w14:paraId="2774C25D">
      <w:pPr>
        <w:pStyle w:val="8"/>
        <w:keepNext w:val="0"/>
        <w:keepLines w:val="0"/>
        <w:spacing w:before="0" w:after="0" w:line="360" w:lineRule="auto"/>
        <w:ind w:firstLine="420" w:firstLineChars="200"/>
        <w:rPr>
          <w:rFonts w:ascii="宋体" w:hAnsi="宋体"/>
          <w:b w:val="0"/>
          <w:color w:val="auto"/>
          <w:sz w:val="21"/>
          <w:szCs w:val="21"/>
          <w:highlight w:val="none"/>
        </w:rPr>
      </w:pPr>
      <w:bookmarkStart w:id="62" w:name="_Toc254970673"/>
      <w:bookmarkStart w:id="63" w:name="_Toc254970532"/>
      <w:r>
        <w:rPr>
          <w:rFonts w:hint="eastAsia" w:ascii="宋体" w:hAnsi="宋体"/>
          <w:b w:val="0"/>
          <w:color w:val="auto"/>
          <w:sz w:val="21"/>
          <w:szCs w:val="21"/>
          <w:highlight w:val="none"/>
        </w:rPr>
        <w:t>6.1本项目不允许转包。</w:t>
      </w:r>
    </w:p>
    <w:p w14:paraId="455127E7">
      <w:pPr>
        <w:pStyle w:val="8"/>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557492A5">
      <w:pPr>
        <w:pStyle w:val="8"/>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6.3供应商根据磋商文件的规定和采购项目的实际情况，拟在成交后将成交项目的非主体、非关键性工作分包的，应当在响应文件中载明分包承担主体，分包承担主体应当具备相应资质条件且不得再次分包。</w:t>
      </w:r>
    </w:p>
    <w:p w14:paraId="742AB9F3">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7.特别说明</w:t>
      </w:r>
      <w:bookmarkEnd w:id="62"/>
      <w:bookmarkEnd w:id="63"/>
    </w:p>
    <w:p w14:paraId="262CA2B4">
      <w:pPr>
        <w:spacing w:line="360" w:lineRule="auto"/>
        <w:ind w:firstLine="420" w:firstLineChars="200"/>
        <w:rPr>
          <w:rFonts w:ascii="宋体" w:hAnsi="宋体" w:cs="宋体"/>
          <w:color w:val="auto"/>
          <w:szCs w:val="21"/>
          <w:highlight w:val="none"/>
        </w:rPr>
      </w:pPr>
      <w:bookmarkStart w:id="64" w:name="_8.1提供相同品牌产品且通过资格审查、符合性审查的不同投标人参加同一合"/>
      <w:bookmarkEnd w:id="64"/>
      <w:r>
        <w:rPr>
          <w:rFonts w:hint="eastAsia" w:ascii="宋体" w:hAnsi="宋体" w:cs="宋体"/>
          <w:color w:val="auto"/>
          <w:szCs w:val="21"/>
          <w:highlight w:val="none"/>
        </w:rPr>
        <w:t>7.</w:t>
      </w:r>
      <w:r>
        <w:rPr>
          <w:rFonts w:ascii="宋体" w:hAnsi="宋体" w:cs="宋体"/>
          <w:color w:val="auto"/>
          <w:szCs w:val="21"/>
          <w:highlight w:val="none"/>
        </w:rPr>
        <w:t>1</w:t>
      </w:r>
      <w:bookmarkStart w:id="65" w:name="_Hlk65832145"/>
      <w:r>
        <w:rPr>
          <w:rFonts w:hint="eastAsia" w:ascii="宋体" w:hAnsi="宋体"/>
          <w:color w:val="auto"/>
          <w:szCs w:val="21"/>
          <w:highlight w:val="none"/>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highlight w:val="none"/>
        </w:rPr>
        <w:t>。</w:t>
      </w:r>
    </w:p>
    <w:bookmarkEnd w:id="65"/>
    <w:p w14:paraId="196A9DF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2</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14:paraId="2A3A1C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3</w:t>
      </w:r>
      <w:r>
        <w:rPr>
          <w:rFonts w:hint="eastAsia" w:ascii="宋体" w:hAnsi="宋体" w:cs="宋体"/>
          <w:color w:val="auto"/>
          <w:szCs w:val="21"/>
          <w:highlight w:val="none"/>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1263BD8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4</w:t>
      </w:r>
      <w:r>
        <w:rPr>
          <w:rFonts w:hint="eastAsia" w:ascii="宋体" w:hAnsi="宋体" w:cs="宋体"/>
          <w:color w:val="auto"/>
          <w:szCs w:val="21"/>
          <w:highlight w:val="none"/>
        </w:rPr>
        <w:t>在政府采购活动中，采购人员及相关人员与供应商有下列利害关系之一的，应当回避：</w:t>
      </w:r>
    </w:p>
    <w:p w14:paraId="1769CC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50D2D9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43F257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431BC38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1B27CB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60C75F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BB2018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5</w:t>
      </w:r>
      <w:r>
        <w:rPr>
          <w:rFonts w:hint="eastAsia" w:ascii="宋体" w:hAnsi="宋体" w:cs="宋体"/>
          <w:color w:val="auto"/>
          <w:szCs w:val="21"/>
          <w:highlight w:val="none"/>
        </w:rPr>
        <w:t>有下列情形之一的视为供应商相互串通竞标，响应文件将被视为无效：</w:t>
      </w:r>
    </w:p>
    <w:p w14:paraId="56F06BC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14:paraId="6063C12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6DF5EB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0E631F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0BC5659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2ED7E43F">
      <w:pPr>
        <w:tabs>
          <w:tab w:val="left" w:pos="693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ascii="宋体" w:hAnsi="宋体" w:cs="宋体"/>
          <w:color w:val="auto"/>
          <w:szCs w:val="21"/>
          <w:highlight w:val="none"/>
        </w:rPr>
        <w:tab/>
      </w:r>
    </w:p>
    <w:p w14:paraId="2B5BFEC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6</w:t>
      </w:r>
      <w:r>
        <w:rPr>
          <w:rFonts w:hint="eastAsia" w:ascii="宋体" w:hAnsi="宋体" w:cs="宋体"/>
          <w:color w:val="auto"/>
          <w:szCs w:val="21"/>
          <w:highlight w:val="none"/>
        </w:rPr>
        <w:t>供应商有下列情形之一的，属于恶意串通行为，将报同级监督管理部门：</w:t>
      </w:r>
    </w:p>
    <w:p w14:paraId="034B0E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7171C9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354BAED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337FEE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4DEB013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4B9ACC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0CB4D5E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107DBF2E">
      <w:pPr>
        <w:spacing w:line="360" w:lineRule="auto"/>
        <w:ind w:firstLine="420" w:firstLineChars="200"/>
        <w:rPr>
          <w:rFonts w:ascii="宋体" w:hAnsi="宋体" w:cs="宋体"/>
          <w:color w:val="auto"/>
          <w:szCs w:val="21"/>
          <w:highlight w:val="none"/>
        </w:rPr>
      </w:pPr>
    </w:p>
    <w:p w14:paraId="431C0228">
      <w:pPr>
        <w:spacing w:line="360" w:lineRule="auto"/>
        <w:ind w:left="1" w:firstLine="417" w:firstLineChars="199"/>
        <w:jc w:val="center"/>
        <w:rPr>
          <w:rFonts w:ascii="宋体" w:hAnsi="宋体"/>
          <w:color w:val="auto"/>
          <w:highlight w:val="none"/>
        </w:rPr>
      </w:pPr>
      <w:bookmarkStart w:id="66" w:name="_Toc254970534"/>
      <w:bookmarkStart w:id="67" w:name="_Toc254970675"/>
    </w:p>
    <w:p w14:paraId="248B8616">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二、磋商文件</w:t>
      </w:r>
      <w:bookmarkEnd w:id="66"/>
      <w:bookmarkEnd w:id="67"/>
    </w:p>
    <w:p w14:paraId="17A3AD65">
      <w:pPr>
        <w:spacing w:line="360" w:lineRule="auto"/>
        <w:rPr>
          <w:rFonts w:ascii="宋体" w:hAnsi="宋体"/>
          <w:color w:val="auto"/>
          <w:szCs w:val="21"/>
          <w:highlight w:val="none"/>
        </w:rPr>
      </w:pPr>
    </w:p>
    <w:p w14:paraId="7D3FC664">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8.磋商文件的构成</w:t>
      </w:r>
    </w:p>
    <w:p w14:paraId="12AAEE3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（1）竞争性磋商公告；</w:t>
      </w:r>
    </w:p>
    <w:p w14:paraId="42810EB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（2）供应商须知； </w:t>
      </w:r>
    </w:p>
    <w:p w14:paraId="6C1F5E4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（3）采购需求；</w:t>
      </w:r>
    </w:p>
    <w:p w14:paraId="0A716A3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（4）评审程序、评审方法和评审标准；</w:t>
      </w:r>
    </w:p>
    <w:p w14:paraId="3C03B8E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（5）响应文件格式；</w:t>
      </w:r>
    </w:p>
    <w:p w14:paraId="75D8A33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（6）合同文本。</w:t>
      </w:r>
    </w:p>
    <w:p w14:paraId="12F9A0FD">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14:paraId="0DA1CC1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供应商应认真阅读磋商文件的采购需求，如供应商对磋商文件有疑问的，如要求采购人作出澄清或者修改的，供应商应在</w:t>
      </w:r>
      <w:r>
        <w:rPr>
          <w:rFonts w:ascii="宋体" w:hAnsi="宋体"/>
          <w:color w:val="auto"/>
          <w:szCs w:val="21"/>
          <w:highlight w:val="none"/>
        </w:rPr>
        <w:t>提交首次响应文件截止之日前</w:t>
      </w:r>
      <w:r>
        <w:rPr>
          <w:rFonts w:hint="eastAsia" w:ascii="宋体" w:hAnsi="宋体"/>
          <w:color w:val="auto"/>
          <w:szCs w:val="21"/>
          <w:highlight w:val="none"/>
        </w:rPr>
        <w:t>，以书面形式向</w:t>
      </w:r>
      <w:r>
        <w:rPr>
          <w:rFonts w:ascii="宋体" w:hAnsi="宋体"/>
          <w:color w:val="auto"/>
          <w:szCs w:val="21"/>
          <w:highlight w:val="none"/>
        </w:rPr>
        <w:t>采购人、采购代理机构</w:t>
      </w:r>
      <w:r>
        <w:rPr>
          <w:rFonts w:hint="eastAsia" w:ascii="宋体" w:hAnsi="宋体"/>
          <w:color w:val="auto"/>
          <w:szCs w:val="21"/>
          <w:highlight w:val="none"/>
        </w:rPr>
        <w:t>提出。</w:t>
      </w:r>
    </w:p>
    <w:p w14:paraId="131EB74B">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10.磋商文件的澄清和修改</w:t>
      </w:r>
    </w:p>
    <w:p w14:paraId="1C6A692D">
      <w:pPr>
        <w:spacing w:line="360" w:lineRule="auto"/>
        <w:ind w:firstLine="420" w:firstLineChars="200"/>
        <w:rPr>
          <w:rFonts w:ascii="宋体" w:hAnsi="宋体"/>
          <w:color w:val="auto"/>
          <w:szCs w:val="21"/>
          <w:highlight w:val="none"/>
        </w:rPr>
      </w:pPr>
      <w:r>
        <w:rPr>
          <w:rFonts w:ascii="宋体" w:hAnsi="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w:t>
      </w:r>
      <w:r>
        <w:rPr>
          <w:rFonts w:hint="eastAsia" w:ascii="宋体" w:hAnsi="宋体"/>
          <w:color w:val="auto"/>
          <w:szCs w:val="21"/>
          <w:highlight w:val="none"/>
        </w:rPr>
        <w:t>获取</w:t>
      </w:r>
      <w:r>
        <w:rPr>
          <w:rFonts w:ascii="宋体" w:hAnsi="宋体"/>
          <w:color w:val="auto"/>
          <w:szCs w:val="21"/>
          <w:highlight w:val="none"/>
        </w:rPr>
        <w:t>磋商文件的供应商，不足3个工作日的，应当顺延提交首次响应文件截止之日。</w:t>
      </w:r>
    </w:p>
    <w:p w14:paraId="3951AE47">
      <w:pPr>
        <w:spacing w:line="360" w:lineRule="auto"/>
        <w:rPr>
          <w:rFonts w:ascii="宋体" w:hAnsi="宋体"/>
          <w:color w:val="auto"/>
          <w:szCs w:val="21"/>
          <w:highlight w:val="none"/>
        </w:rPr>
      </w:pPr>
    </w:p>
    <w:p w14:paraId="0D97A5D9">
      <w:pPr>
        <w:spacing w:line="360" w:lineRule="auto"/>
        <w:jc w:val="center"/>
        <w:rPr>
          <w:rFonts w:ascii="宋体" w:hAnsi="宋体"/>
          <w:b/>
          <w:bCs/>
          <w:color w:val="auto"/>
          <w:szCs w:val="21"/>
          <w:highlight w:val="none"/>
        </w:rPr>
      </w:pPr>
      <w:r>
        <w:rPr>
          <w:rFonts w:hint="eastAsia" w:ascii="宋体" w:hAnsi="宋体"/>
          <w:b/>
          <w:bCs/>
          <w:color w:val="auto"/>
          <w:sz w:val="32"/>
          <w:szCs w:val="32"/>
          <w:highlight w:val="none"/>
        </w:rPr>
        <w:t>三、响应文件的编制</w:t>
      </w:r>
    </w:p>
    <w:p w14:paraId="0DC23753">
      <w:pPr>
        <w:spacing w:line="360" w:lineRule="auto"/>
        <w:rPr>
          <w:rFonts w:ascii="宋体" w:hAnsi="宋体"/>
          <w:color w:val="auto"/>
          <w:szCs w:val="21"/>
          <w:highlight w:val="none"/>
        </w:rPr>
      </w:pPr>
    </w:p>
    <w:p w14:paraId="6ED1152F">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14:paraId="6626A8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供应商必须按照磋商文件的要求编制响应文件，并对其提交的响应文件的真实性、合法性承担法律责任。响应文件必须对磋商文件提出的要求和条件作出明确响应。</w:t>
      </w:r>
    </w:p>
    <w:p w14:paraId="7419580F">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14:paraId="0B54233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12.1响应文件由资格证明文件、报价文件、商务技术文件三部分组成。</w:t>
      </w:r>
    </w:p>
    <w:p w14:paraId="35D716CC">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12.1.1资格证明文件：详见“供应商须知前附表”</w:t>
      </w:r>
    </w:p>
    <w:p w14:paraId="17925D97">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12.1.2报价文件：详见“供应商须知前附表”</w:t>
      </w:r>
    </w:p>
    <w:p w14:paraId="651D1649">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12.1.3商务技术文件：详见“供应商须知前附表”</w:t>
      </w:r>
    </w:p>
    <w:p w14:paraId="27ECE3B6">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14:paraId="45E873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01B2C334">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14:paraId="41F75F68">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供应商没有按照磋商文件要求提供全部资料，或者供应商没有对磋商文件在各方面作出实质性响应可能导致其响应无效，是供应商应当考虑的风险。</w:t>
      </w:r>
    </w:p>
    <w:p w14:paraId="4A13F77E">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15.竞标报价</w:t>
      </w:r>
    </w:p>
    <w:p w14:paraId="7B0A7E07">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15.1竞标报价应按磋商文件中“竞标报价表”格式填写。</w:t>
      </w:r>
    </w:p>
    <w:p w14:paraId="5C91C9E7">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15.2竞标报价的内容见“供应商须知前附表”。</w:t>
      </w:r>
    </w:p>
    <w:p w14:paraId="5FFB8A64">
      <w:pPr>
        <w:spacing w:line="360" w:lineRule="auto"/>
        <w:ind w:left="426" w:leftChars="203"/>
        <w:rPr>
          <w:rFonts w:ascii="宋体" w:hAnsi="宋体" w:cs="宋体"/>
          <w:color w:val="auto"/>
          <w:szCs w:val="21"/>
          <w:highlight w:val="none"/>
        </w:rPr>
      </w:pPr>
      <w:r>
        <w:rPr>
          <w:rFonts w:hint="eastAsia" w:ascii="宋体" w:hAnsi="宋体" w:cs="宋体"/>
          <w:color w:val="auto"/>
          <w:szCs w:val="21"/>
          <w:highlight w:val="none"/>
        </w:rPr>
        <w:t>15.3竞标报价要求</w:t>
      </w:r>
    </w:p>
    <w:p w14:paraId="4FF9189C">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w:t>
      </w:r>
      <w:r>
        <w:rPr>
          <w:rFonts w:ascii="宋体" w:hAnsi="宋体" w:cs="宋体"/>
          <w:b/>
          <w:bCs/>
          <w:color w:val="auto"/>
          <w:szCs w:val="21"/>
          <w:highlight w:val="none"/>
        </w:rPr>
        <w:t>5.3.1</w:t>
      </w:r>
      <w:r>
        <w:rPr>
          <w:rFonts w:hint="eastAsia" w:ascii="宋体" w:hAnsi="宋体" w:cs="宋体"/>
          <w:b/>
          <w:bCs/>
          <w:color w:val="auto"/>
          <w:szCs w:val="21"/>
          <w:highlight w:val="none"/>
        </w:rPr>
        <w:t>供应商的竞标报价应符合以下要求，否则响应文件按无效响应处理：</w:t>
      </w:r>
    </w:p>
    <w:p w14:paraId="2232034C">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w:t>
      </w:r>
    </w:p>
    <w:p w14:paraId="73B5404A">
      <w:pPr>
        <w:spacing w:line="360" w:lineRule="auto"/>
        <w:rPr>
          <w:rFonts w:ascii="宋体" w:hAnsi="宋体" w:cs="宋体"/>
          <w:color w:val="auto"/>
          <w:szCs w:val="21"/>
          <w:highlight w:val="none"/>
        </w:rPr>
      </w:pPr>
      <w:r>
        <w:rPr>
          <w:rFonts w:hint="eastAsia" w:ascii="宋体" w:hAnsi="宋体" w:cs="宋体"/>
          <w:color w:val="auto"/>
          <w:szCs w:val="21"/>
          <w:highlight w:val="none"/>
        </w:rPr>
        <w:t>不得存在漏项报价；</w:t>
      </w:r>
    </w:p>
    <w:p w14:paraId="0B7054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）供应商必须就所竞标的分标的单项内容作唯一报价。</w:t>
      </w:r>
    </w:p>
    <w:p w14:paraId="6F5C7DA7">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15.3.</w:t>
      </w:r>
      <w:r>
        <w:rPr>
          <w:rFonts w:ascii="宋体" w:hAnsi="宋体" w:cs="宋体"/>
          <w:b/>
          <w:bCs/>
          <w:color w:val="auto"/>
          <w:szCs w:val="21"/>
          <w:highlight w:val="none"/>
        </w:rPr>
        <w:t>2</w:t>
      </w:r>
      <w:r>
        <w:rPr>
          <w:rFonts w:hint="eastAsia" w:ascii="宋体" w:hAnsi="宋体" w:cs="宋体"/>
          <w:b/>
          <w:bCs/>
          <w:color w:val="auto"/>
          <w:szCs w:val="21"/>
          <w:highlight w:val="none"/>
        </w:rPr>
        <w:t>竞标报价（包含首次报价、最后报价）超过所竞标分标规定的采购预算金额的，其响应文件将按无效处理。</w:t>
      </w:r>
      <w:bookmarkStart w:id="68" w:name="_Hlk42592874"/>
    </w:p>
    <w:bookmarkEnd w:id="68"/>
    <w:p w14:paraId="4A4D532C">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14:paraId="137CA1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2F4199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竞标有效期应由供应商按“供应商须知前附表”规定的期限作出响应。承诺的竞标有效期低于采购文件规定期限的，供应商的响应文件作无效处理。</w:t>
      </w:r>
    </w:p>
    <w:p w14:paraId="02B7A54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5A4D266E">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17.磋商保证金</w:t>
      </w:r>
    </w:p>
    <w:p w14:paraId="5CC8314A">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14:paraId="0717C0DF">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17.2磋商保证金的退还</w:t>
      </w:r>
    </w:p>
    <w:p w14:paraId="354EEE73">
      <w:pPr>
        <w:spacing w:line="360" w:lineRule="auto"/>
        <w:ind w:firstLine="420" w:firstLineChars="200"/>
        <w:rPr>
          <w:rFonts w:ascii="宋体" w:hAnsi="宋体" w:cs="宋体"/>
          <w:color w:val="auto"/>
          <w:szCs w:val="21"/>
          <w:highlight w:val="none"/>
        </w:rPr>
      </w:pPr>
      <w:bookmarkStart w:id="69" w:name="_Hlk66782243"/>
      <w:r>
        <w:rPr>
          <w:rFonts w:hint="eastAsia" w:ascii="宋体" w:hAnsi="宋体" w:cs="宋体"/>
          <w:color w:val="auto"/>
          <w:szCs w:val="21"/>
          <w:highlight w:val="none"/>
        </w:rPr>
        <w:t>未</w:t>
      </w:r>
      <w:r>
        <w:rPr>
          <w:rFonts w:hint="eastAsia" w:ascii="宋体" w:hAnsi="宋体" w:cs="宋体"/>
          <w:color w:val="auto"/>
          <w:spacing w:val="-6"/>
          <w:szCs w:val="21"/>
          <w:highlight w:val="none"/>
        </w:rPr>
        <w:t>成交供应商的竞标保证金自成交通知书发出之日起4个工作日内退还；</w:t>
      </w:r>
      <w:r>
        <w:rPr>
          <w:rFonts w:hint="eastAsia" w:ascii="宋体" w:hAnsi="宋体" w:cs="宋体"/>
          <w:color w:val="auto"/>
          <w:szCs w:val="21"/>
          <w:highlight w:val="none"/>
        </w:rPr>
        <w:t>成交供应商的磋商保证金自签订合同之日起4个工作日内退还。</w:t>
      </w:r>
      <w:bookmarkEnd w:id="69"/>
    </w:p>
    <w:p w14:paraId="301E7789">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17.3除逾期退还磋商保证金和终止采购的情形以外，磋商保证金不计息。</w:t>
      </w:r>
    </w:p>
    <w:p w14:paraId="1BDCA0BB">
      <w:pPr>
        <w:spacing w:line="360" w:lineRule="auto"/>
        <w:ind w:left="420" w:leftChars="200"/>
        <w:rPr>
          <w:rFonts w:ascii="宋体" w:hAnsi="宋体" w:cs="宋体"/>
          <w:b/>
          <w:bCs/>
          <w:color w:val="auto"/>
          <w:szCs w:val="21"/>
          <w:highlight w:val="none"/>
        </w:rPr>
      </w:pPr>
      <w:r>
        <w:rPr>
          <w:rFonts w:hint="eastAsia" w:ascii="宋体" w:hAnsi="宋体" w:cs="宋体"/>
          <w:b/>
          <w:bCs/>
          <w:color w:val="auto"/>
          <w:szCs w:val="21"/>
          <w:highlight w:val="none"/>
        </w:rPr>
        <w:t xml:space="preserve">17.4供应商有下列情形之一的，磋商保证金将不予退还： </w:t>
      </w:r>
    </w:p>
    <w:p w14:paraId="7A0EF73A">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2B2F6F59">
      <w:pPr>
        <w:spacing w:line="360" w:lineRule="auto"/>
        <w:ind w:left="420" w:leftChars="200"/>
        <w:rPr>
          <w:rFonts w:ascii="宋体" w:hAnsi="宋体" w:cs="宋体"/>
          <w:color w:val="auto"/>
          <w:szCs w:val="21"/>
          <w:highlight w:val="none"/>
        </w:rPr>
      </w:pPr>
      <w:r>
        <w:rPr>
          <w:rFonts w:hint="eastAsia" w:ascii="宋体" w:hAnsi="宋体"/>
          <w:color w:val="auto"/>
          <w:szCs w:val="21"/>
          <w:highlight w:val="none"/>
        </w:rPr>
        <w:t>（2）未按规定提交履约保证金的；</w:t>
      </w:r>
    </w:p>
    <w:p w14:paraId="55CF65CC">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14:paraId="108133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（4）除因不可抗力或者磋商文件认可的情形以外，成交供应商不与采购人签订合同的；</w:t>
      </w:r>
    </w:p>
    <w:p w14:paraId="479BE148">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14:paraId="421E5BFA">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（6）法律法规规定的其他情形。</w:t>
      </w:r>
    </w:p>
    <w:p w14:paraId="21BB50FA">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18.响应文件编制的要求</w:t>
      </w:r>
    </w:p>
    <w:p w14:paraId="2A1E41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供应商应按照本项目磋商文件规定的格式和顺序和广西政府采购云平台的要求编制响应文件并加密。响应文件内容不完整、编排混乱导致响应文件被误读、漏读或者查找不到相关内容的，由此引发的后果由供应商承担。</w:t>
      </w:r>
    </w:p>
    <w:p w14:paraId="65C05AF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18.2为确保网上操作合法、有效和安全，供应商应当在提交响应文件截止时间前完成在广西政府采购云平台的身份认证，确保在电子竞标过程中能够对相关数据电文进行加密和使用电子签章。</w:t>
      </w:r>
    </w:p>
    <w:p w14:paraId="1F6FBA29">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18.3响应文件须由供应商在规定位置签字、盖章（具体以供应商须知前附表或响应文件格式规定为准），否则按无效响应处理。</w:t>
      </w:r>
    </w:p>
    <w:p w14:paraId="1C45825A">
      <w:pPr>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18.4响应文件中标注的供应商名称应与主体资格证明（如营业执照或者事业单位法人证书或者执业许可证或者登记证书等）及公章一致，并与广西政府采购云平台中获取采购文件的供应商名称一致，供应商为自然人的，标注的供应商名称应与身份证姓名及签名一致</w:t>
      </w:r>
      <w:r>
        <w:rPr>
          <w:rFonts w:hint="eastAsia" w:ascii="宋体" w:hAnsi="宋体" w:cs="宋体"/>
          <w:b/>
          <w:bCs/>
          <w:color w:val="auto"/>
          <w:szCs w:val="21"/>
          <w:highlight w:val="none"/>
        </w:rPr>
        <w:t>，否则其响应文件按无效响应处理。</w:t>
      </w:r>
    </w:p>
    <w:p w14:paraId="31A666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57C2917A">
      <w:pPr>
        <w:spacing w:line="360" w:lineRule="auto"/>
        <w:ind w:firstLine="482" w:firstLineChars="200"/>
        <w:rPr>
          <w:rFonts w:ascii="黑体" w:hAnsi="黑体" w:eastAsia="黑体"/>
          <w:color w:val="auto"/>
          <w:sz w:val="24"/>
          <w:highlight w:val="none"/>
        </w:rPr>
      </w:pPr>
      <w:r>
        <w:rPr>
          <w:rFonts w:hint="eastAsia" w:ascii="黑体" w:hAnsi="黑体" w:eastAsia="黑体" w:cs="宋体"/>
          <w:b/>
          <w:bCs/>
          <w:color w:val="auto"/>
          <w:sz w:val="24"/>
          <w:highlight w:val="none"/>
        </w:rPr>
        <w:t>19.电子</w:t>
      </w:r>
      <w:r>
        <w:rPr>
          <w:rFonts w:hint="eastAsia" w:ascii="黑体" w:hAnsi="黑体" w:eastAsia="黑体"/>
          <w:b/>
          <w:color w:val="auto"/>
          <w:sz w:val="24"/>
          <w:highlight w:val="none"/>
        </w:rPr>
        <w:t>备份响应文件</w:t>
      </w:r>
    </w:p>
    <w:p w14:paraId="5E53C857">
      <w:pPr>
        <w:spacing w:line="360" w:lineRule="auto"/>
        <w:ind w:firstLine="420" w:firstLineChars="200"/>
        <w:rPr>
          <w:rFonts w:ascii="宋体" w:hAnsi="宋体" w:cs="宋体"/>
          <w:color w:val="auto"/>
          <w:szCs w:val="21"/>
          <w:highlight w:val="none"/>
        </w:rPr>
      </w:pPr>
      <w:r>
        <w:rPr>
          <w:rFonts w:hint="eastAsia"/>
          <w:color w:val="auto"/>
          <w:highlight w:val="none"/>
        </w:rPr>
        <w:t>电子备份响应文件是指通过在线编制生成且后缀名为“</w:t>
      </w:r>
      <w:r>
        <w:rPr>
          <w:color w:val="auto"/>
          <w:highlight w:val="none"/>
        </w:rPr>
        <w:t>bfbs</w:t>
      </w:r>
      <w:r>
        <w:rPr>
          <w:rFonts w:hint="eastAsia"/>
          <w:color w:val="auto"/>
          <w:highlight w:val="none"/>
        </w:rPr>
        <w:t>”的文件，是否接受电子备份响应文件</w:t>
      </w:r>
      <w:r>
        <w:rPr>
          <w:rFonts w:hint="eastAsia" w:hAnsi="宋体"/>
          <w:bCs/>
          <w:color w:val="auto"/>
          <w:szCs w:val="21"/>
          <w:highlight w:val="none"/>
        </w:rPr>
        <w:t>详见“供应商须知前附表”。</w:t>
      </w:r>
    </w:p>
    <w:p w14:paraId="4F399556">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6F22D503">
      <w:pPr>
        <w:spacing w:line="360" w:lineRule="auto"/>
        <w:ind w:firstLine="420" w:firstLineChars="200"/>
        <w:rPr>
          <w:rFonts w:hAnsi="宋体"/>
          <w:b/>
          <w:color w:val="auto"/>
          <w:highlight w:val="none"/>
        </w:rPr>
      </w:pPr>
      <w:r>
        <w:rPr>
          <w:rFonts w:hint="eastAsia" w:hAnsi="宋体"/>
          <w:bCs/>
          <w:color w:val="auto"/>
          <w:szCs w:val="21"/>
          <w:highlight w:val="none"/>
        </w:rPr>
        <w:t>20.1供应商必须按“供应商须知前附表”规定的</w:t>
      </w:r>
      <w:r>
        <w:rPr>
          <w:rFonts w:hint="eastAsia" w:ascii="宋体" w:hAnsi="宋体" w:cs="宋体"/>
          <w:color w:val="auto"/>
          <w:szCs w:val="21"/>
          <w:highlight w:val="none"/>
        </w:rPr>
        <w:t>时间</w:t>
      </w:r>
      <w:r>
        <w:rPr>
          <w:rFonts w:hint="eastAsia" w:ascii="宋体" w:hAnsi="宋体"/>
          <w:color w:val="auto"/>
          <w:szCs w:val="21"/>
          <w:highlight w:val="none"/>
        </w:rPr>
        <w:t>及</w:t>
      </w:r>
      <w:r>
        <w:rPr>
          <w:rFonts w:hint="eastAsia" w:hAnsi="宋体"/>
          <w:bCs/>
          <w:color w:val="auto"/>
          <w:szCs w:val="21"/>
          <w:highlight w:val="none"/>
        </w:rPr>
        <w:t>地点提交响应文件。电子响应文件应在制作完成后，</w:t>
      </w:r>
      <w:r>
        <w:rPr>
          <w:rFonts w:hAnsi="宋体"/>
          <w:bCs/>
          <w:color w:val="auto"/>
          <w:szCs w:val="21"/>
          <w:highlight w:val="none"/>
        </w:rPr>
        <w:t>在</w:t>
      </w:r>
      <w:r>
        <w:rPr>
          <w:rFonts w:hint="eastAsia" w:hAnsi="宋体"/>
          <w:bCs/>
          <w:color w:val="auto"/>
          <w:szCs w:val="21"/>
          <w:highlight w:val="none"/>
        </w:rPr>
        <w:t>提交响应文件截止</w:t>
      </w:r>
      <w:r>
        <w:rPr>
          <w:rFonts w:hAnsi="宋体"/>
          <w:bCs/>
          <w:color w:val="auto"/>
          <w:szCs w:val="21"/>
          <w:highlight w:val="none"/>
        </w:rPr>
        <w:t>时间前</w:t>
      </w:r>
      <w:r>
        <w:rPr>
          <w:rFonts w:hint="eastAsia" w:hAnsi="宋体"/>
          <w:bCs/>
          <w:color w:val="auto"/>
          <w:szCs w:val="21"/>
          <w:highlight w:val="none"/>
        </w:rPr>
        <w:t>通过有效数字证书（CA认证锁）进行电子签章、加密，然后通过网络将加密的电子响应文件提交至</w:t>
      </w:r>
      <w:r>
        <w:rPr>
          <w:rFonts w:hint="eastAsia" w:ascii="宋体" w:hAnsi="宋体"/>
          <w:color w:val="auto"/>
          <w:szCs w:val="21"/>
          <w:highlight w:val="none"/>
        </w:rPr>
        <w:t>广西政府采购云平台</w:t>
      </w:r>
      <w:r>
        <w:rPr>
          <w:rFonts w:hint="eastAsia" w:hAnsi="宋体"/>
          <w:bCs/>
          <w:color w:val="auto"/>
          <w:szCs w:val="21"/>
          <w:highlight w:val="none"/>
        </w:rPr>
        <w:t>。</w:t>
      </w:r>
    </w:p>
    <w:p w14:paraId="2652CCF3">
      <w:pPr>
        <w:spacing w:line="360" w:lineRule="auto"/>
        <w:ind w:firstLine="422" w:firstLineChars="200"/>
        <w:rPr>
          <w:rFonts w:ascii="宋体" w:hAnsi="宋体" w:cs="宋体"/>
          <w:color w:val="auto"/>
          <w:szCs w:val="21"/>
          <w:highlight w:val="none"/>
        </w:rPr>
      </w:pPr>
      <w:r>
        <w:rPr>
          <w:rFonts w:hint="eastAsia" w:ascii="宋体" w:hAnsi="宋体"/>
          <w:b/>
          <w:color w:val="auto"/>
          <w:szCs w:val="21"/>
          <w:highlight w:val="none"/>
        </w:rPr>
        <w:t>20.</w:t>
      </w:r>
      <w:r>
        <w:rPr>
          <w:rFonts w:ascii="宋体" w:hAnsi="宋体"/>
          <w:b/>
          <w:color w:val="auto"/>
          <w:szCs w:val="21"/>
          <w:highlight w:val="none"/>
        </w:rPr>
        <w:t>2</w:t>
      </w:r>
      <w:r>
        <w:rPr>
          <w:rFonts w:hint="eastAsia" w:ascii="宋体" w:hAnsi="宋体"/>
          <w:b/>
          <w:color w:val="auto"/>
          <w:szCs w:val="21"/>
          <w:highlight w:val="none"/>
        </w:rPr>
        <w:t>未在规定时间内提交或者未按照磋商文件要求加密的电子响应文件，</w:t>
      </w:r>
      <w:r>
        <w:rPr>
          <w:rFonts w:hint="eastAsia" w:ascii="宋体" w:hAnsi="宋体"/>
          <w:color w:val="auto"/>
          <w:szCs w:val="21"/>
          <w:highlight w:val="none"/>
        </w:rPr>
        <w:t>广西政府采购云平台</w:t>
      </w:r>
      <w:r>
        <w:rPr>
          <w:rFonts w:hint="eastAsia" w:ascii="宋体" w:hAnsi="宋体"/>
          <w:b/>
          <w:color w:val="auto"/>
          <w:szCs w:val="21"/>
          <w:highlight w:val="none"/>
        </w:rPr>
        <w:t>将拒收。</w:t>
      </w:r>
    </w:p>
    <w:p w14:paraId="518D5FAB">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14:paraId="379BF159">
      <w:pPr>
        <w:snapToGrid w:val="0"/>
        <w:spacing w:line="360" w:lineRule="auto"/>
        <w:ind w:firstLine="420"/>
        <w:jc w:val="left"/>
        <w:rPr>
          <w:rFonts w:ascii="宋体" w:hAnsi="宋体"/>
          <w:color w:val="auto"/>
          <w:szCs w:val="21"/>
          <w:highlight w:val="none"/>
        </w:rPr>
      </w:pPr>
      <w:bookmarkStart w:id="70" w:name="_Toc254970543"/>
      <w:bookmarkStart w:id="71" w:name="_Toc254970684"/>
      <w:r>
        <w:rPr>
          <w:rFonts w:ascii="宋体" w:hAnsi="宋体" w:cs="宋体"/>
          <w:color w:val="auto"/>
          <w:szCs w:val="21"/>
          <w:highlight w:val="none"/>
        </w:rPr>
        <w:t>2</w:t>
      </w:r>
      <w:r>
        <w:rPr>
          <w:rFonts w:hint="eastAsia" w:ascii="宋体" w:hAnsi="宋体" w:cs="宋体"/>
          <w:color w:val="auto"/>
          <w:szCs w:val="21"/>
          <w:highlight w:val="none"/>
        </w:rPr>
        <w:t>1.1</w:t>
      </w:r>
      <w:r>
        <w:rPr>
          <w:rFonts w:hint="eastAsia" w:ascii="宋体" w:hAnsi="宋体"/>
          <w:bCs/>
          <w:color w:val="auto"/>
          <w:szCs w:val="21"/>
          <w:highlight w:val="none"/>
        </w:rPr>
        <w:t>供应商应当在</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前完成电子响应文件的提交（上传），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可以补充、修改或者撤回响应文件。补充或者修改响应文件的，应当先行撤回原响应文件，补充、修改后重新提交（上传），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未完成提交（上传）的，视为撤回响应文件。</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以后提交（上传）的响应文件，广西政府采购云平台将予以拒收。</w:t>
      </w:r>
      <w:r>
        <w:rPr>
          <w:rFonts w:hint="eastAsia" w:ascii="宋体" w:hAnsi="宋体" w:cs="宋体"/>
          <w:color w:val="auto"/>
          <w:szCs w:val="21"/>
          <w:highlight w:val="none"/>
        </w:rPr>
        <w:t>（补充、修改或者撤回方式可</w:t>
      </w:r>
      <w:r>
        <w:rPr>
          <w:rFonts w:hint="eastAsia" w:ascii="宋体" w:hAnsi="宋体"/>
          <w:color w:val="auto"/>
          <w:szCs w:val="21"/>
          <w:highlight w:val="none"/>
        </w:rPr>
        <w:t>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进入“服务中心”中查看</w:t>
      </w:r>
      <w:r>
        <w:rPr>
          <w:rFonts w:hint="eastAsia" w:ascii="宋体" w:hAnsi="宋体" w:cs="宋体"/>
          <w:color w:val="auto"/>
          <w:szCs w:val="21"/>
          <w:highlight w:val="none"/>
        </w:rPr>
        <w:t xml:space="preserve"> “电子投标文件制作与投送教程”）</w:t>
      </w:r>
    </w:p>
    <w:bookmarkEnd w:id="70"/>
    <w:bookmarkEnd w:id="71"/>
    <w:p w14:paraId="7486AF15">
      <w:pPr>
        <w:pStyle w:val="64"/>
        <w:spacing w:before="0"/>
        <w:ind w:firstLine="420"/>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1</w:t>
      </w:r>
      <w:r>
        <w:rPr>
          <w:rFonts w:ascii="宋体" w:hAnsi="宋体" w:cs="宋体"/>
          <w:color w:val="auto"/>
          <w:sz w:val="21"/>
          <w:szCs w:val="21"/>
          <w:highlight w:val="none"/>
        </w:rPr>
        <w:t>.</w:t>
      </w:r>
      <w:r>
        <w:rPr>
          <w:rFonts w:hint="eastAsia" w:ascii="宋体" w:hAnsi="宋体" w:cs="宋体"/>
          <w:color w:val="auto"/>
          <w:sz w:val="21"/>
          <w:szCs w:val="21"/>
          <w:highlight w:val="none"/>
        </w:rPr>
        <w:t>2在提交响应文件截止时间前，除供应商补充、修改或者撤回响应文件外，任何单位和个人不得解密或提取响应文件。</w:t>
      </w:r>
    </w:p>
    <w:p w14:paraId="6DF7AAF8">
      <w:pPr>
        <w:spacing w:line="360" w:lineRule="auto"/>
        <w:ind w:firstLine="482" w:firstLineChars="200"/>
        <w:rPr>
          <w:rFonts w:ascii="黑体" w:hAnsi="黑体" w:eastAsia="黑体" w:cs="宋体"/>
          <w:b/>
          <w:bCs/>
          <w:color w:val="auto"/>
          <w:sz w:val="24"/>
          <w:highlight w:val="none"/>
        </w:rPr>
      </w:pPr>
      <w:bookmarkStart w:id="72" w:name="_Hlk45702405"/>
      <w:r>
        <w:rPr>
          <w:rFonts w:hint="eastAsia" w:ascii="黑体" w:hAnsi="黑体" w:eastAsia="黑体" w:cs="宋体"/>
          <w:b/>
          <w:bCs/>
          <w:color w:val="auto"/>
          <w:sz w:val="24"/>
          <w:highlight w:val="none"/>
        </w:rPr>
        <w:t>22.响应文件的退回</w:t>
      </w:r>
    </w:p>
    <w:p w14:paraId="5166CD2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采购人和采购代理机构对已提交的响应文件概不退回。</w:t>
      </w:r>
    </w:p>
    <w:p w14:paraId="6FD82727">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23.截止时间后的撤回</w:t>
      </w:r>
    </w:p>
    <w:p w14:paraId="5262FDE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供应商在响应文件提交截止时间后向采购人、采购代理机构书面申请撤回响应文件的，将根据本须知正文17.4的规定不予退还其磋商保证金。</w:t>
      </w:r>
    </w:p>
    <w:bookmarkEnd w:id="72"/>
    <w:p w14:paraId="3AB34EC6">
      <w:pPr>
        <w:spacing w:line="360" w:lineRule="auto"/>
        <w:rPr>
          <w:rFonts w:ascii="宋体" w:hAnsi="宋体"/>
          <w:color w:val="auto"/>
          <w:szCs w:val="21"/>
          <w:highlight w:val="none"/>
        </w:rPr>
      </w:pPr>
    </w:p>
    <w:p w14:paraId="0BE1E331">
      <w:pPr>
        <w:spacing w:line="360" w:lineRule="auto"/>
        <w:ind w:left="420" w:firstLine="420"/>
        <w:jc w:val="center"/>
        <w:rPr>
          <w:rFonts w:ascii="宋体" w:hAnsi="宋体"/>
          <w:b/>
          <w:bCs/>
          <w:color w:val="auto"/>
          <w:sz w:val="32"/>
          <w:szCs w:val="32"/>
          <w:highlight w:val="none"/>
        </w:rPr>
      </w:pPr>
      <w:r>
        <w:rPr>
          <w:rFonts w:hint="eastAsia" w:ascii="宋体" w:hAnsi="宋体"/>
          <w:b/>
          <w:bCs/>
          <w:color w:val="auto"/>
          <w:sz w:val="32"/>
          <w:szCs w:val="32"/>
          <w:highlight w:val="none"/>
        </w:rPr>
        <w:t>四、评审及磋商</w:t>
      </w:r>
    </w:p>
    <w:p w14:paraId="73D5796F">
      <w:pPr>
        <w:spacing w:line="360" w:lineRule="auto"/>
        <w:ind w:left="420" w:firstLine="420"/>
        <w:rPr>
          <w:rFonts w:ascii="宋体" w:hAnsi="宋体"/>
          <w:color w:val="auto"/>
          <w:szCs w:val="21"/>
          <w:highlight w:val="none"/>
        </w:rPr>
      </w:pPr>
    </w:p>
    <w:p w14:paraId="5FA07EB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24.磋商小组成立</w:t>
      </w:r>
    </w:p>
    <w:p w14:paraId="2B2A72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磋商小组由评审专家共3人以上单数组成，具体人数见“供应商须知前附表”。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167847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1F4AF620">
      <w:pPr>
        <w:spacing w:line="360" w:lineRule="auto"/>
        <w:ind w:firstLine="420" w:firstLineChars="200"/>
        <w:rPr>
          <w:rFonts w:hAnsi="宋体"/>
          <w:bCs/>
          <w:color w:val="auto"/>
          <w:szCs w:val="21"/>
          <w:highlight w:val="none"/>
        </w:rPr>
      </w:pPr>
      <w:r>
        <w:rPr>
          <w:rFonts w:hint="eastAsia" w:ascii="宋体" w:hAnsi="宋体" w:cs="宋体"/>
          <w:color w:val="auto"/>
          <w:szCs w:val="21"/>
          <w:highlight w:val="none"/>
        </w:rPr>
        <w:t>24.3</w:t>
      </w:r>
      <w:r>
        <w:rPr>
          <w:rFonts w:hint="eastAsia" w:hAnsi="宋体"/>
          <w:bCs/>
          <w:color w:val="auto"/>
          <w:szCs w:val="21"/>
          <w:highlight w:val="none"/>
        </w:rPr>
        <w:t>采购代理机构</w:t>
      </w:r>
      <w:r>
        <w:rPr>
          <w:rFonts w:hint="eastAsia" w:hAnsi="宋体"/>
          <w:bCs/>
          <w:color w:val="auto"/>
          <w:highlight w:val="none"/>
        </w:rPr>
        <w:t>应当</w:t>
      </w:r>
      <w:r>
        <w:rPr>
          <w:rFonts w:hint="eastAsia" w:hAnsi="宋体"/>
          <w:bCs/>
          <w:color w:val="auto"/>
          <w:szCs w:val="21"/>
          <w:highlight w:val="none"/>
        </w:rPr>
        <w:t>基于广西政府采购云平台抽（选）取评审专家。</w:t>
      </w:r>
    </w:p>
    <w:p w14:paraId="19D0DD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24.4参加过采购项目</w:t>
      </w:r>
      <w:r>
        <w:rPr>
          <w:rFonts w:hint="eastAsia" w:hAnsi="宋体"/>
          <w:bCs/>
          <w:color w:val="auto"/>
          <w:szCs w:val="21"/>
          <w:highlight w:val="none"/>
        </w:rPr>
        <w:t>前期咨询论证的专家，不得参加该采购项目的评审活动。</w:t>
      </w:r>
    </w:p>
    <w:p w14:paraId="7CD8DEF3">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25.</w:t>
      </w:r>
      <w:r>
        <w:rPr>
          <w:rFonts w:hint="eastAsia" w:ascii="黑体" w:hAnsi="黑体" w:eastAsia="黑体" w:cs="宋体"/>
          <w:b/>
          <w:bCs/>
          <w:color w:val="auto"/>
          <w:sz w:val="24"/>
          <w:highlight w:val="none"/>
        </w:rPr>
        <w:t>首次响应文件的开启和解密</w:t>
      </w:r>
    </w:p>
    <w:p w14:paraId="26EE114E">
      <w:pPr>
        <w:spacing w:line="360" w:lineRule="auto"/>
        <w:ind w:firstLine="420" w:firstLineChars="200"/>
        <w:rPr>
          <w:rFonts w:ascii="宋体" w:hAnsi="宋体" w:cs="宋体"/>
          <w:color w:val="auto"/>
          <w:szCs w:val="21"/>
          <w:highlight w:val="none"/>
        </w:rPr>
      </w:pPr>
      <w:r>
        <w:rPr>
          <w:rFonts w:hint="eastAsia" w:hAnsi="宋体"/>
          <w:bCs/>
          <w:color w:val="auto"/>
          <w:highlight w:val="none"/>
        </w:rPr>
        <w:t>采购代理机构将在“供应商须知前附表”规定的时</w:t>
      </w:r>
      <w:r>
        <w:rPr>
          <w:rFonts w:hint="eastAsia" w:hAnsi="宋体"/>
          <w:color w:val="auto"/>
          <w:highlight w:val="none"/>
        </w:rPr>
        <w:t>间通过电子交易平台组织响应文件开启，供应商的法定代表人或其委托代理人须携带加密时所用的CA锁，按平台提示和磋商文件的规定登录到广西政府采购云平台电子开标大厅签到，</w:t>
      </w:r>
      <w:r>
        <w:rPr>
          <w:rFonts w:hint="eastAsia"/>
          <w:color w:val="auto"/>
          <w:highlight w:val="none"/>
        </w:rPr>
        <w:t>采购代理机构依托广西政府采购云平台向各供应商发出电子加密响应文件【开始解密】通知，由供应商按</w:t>
      </w:r>
      <w:r>
        <w:rPr>
          <w:rFonts w:hint="eastAsia" w:hAnsi="宋体"/>
          <w:bCs/>
          <w:color w:val="auto"/>
          <w:szCs w:val="21"/>
          <w:highlight w:val="none"/>
        </w:rPr>
        <w:t>“供应商须知前附表”</w:t>
      </w:r>
      <w:r>
        <w:rPr>
          <w:rFonts w:hint="eastAsia"/>
          <w:color w:val="auto"/>
          <w:highlight w:val="none"/>
        </w:rPr>
        <w:t>规定的时间内自行进行响应文件解密</w:t>
      </w:r>
      <w:r>
        <w:rPr>
          <w:rFonts w:hint="eastAsia" w:hAnsi="宋体"/>
          <w:color w:val="auto"/>
          <w:highlight w:val="none"/>
        </w:rPr>
        <w:t>。</w:t>
      </w:r>
      <w:r>
        <w:rPr>
          <w:rFonts w:hint="eastAsia"/>
          <w:b/>
          <w:color w:val="auto"/>
          <w:highlight w:val="none"/>
        </w:rPr>
        <w:t>供应商未在</w:t>
      </w:r>
      <w:r>
        <w:rPr>
          <w:b/>
          <w:color w:val="auto"/>
          <w:highlight w:val="none"/>
        </w:rPr>
        <w:t>规定的时间内解密</w:t>
      </w:r>
      <w:r>
        <w:rPr>
          <w:rFonts w:hint="eastAsia"/>
          <w:b/>
          <w:color w:val="auto"/>
          <w:highlight w:val="none"/>
        </w:rPr>
        <w:t>响应文件</w:t>
      </w:r>
      <w:r>
        <w:rPr>
          <w:b/>
          <w:color w:val="auto"/>
          <w:highlight w:val="none"/>
        </w:rPr>
        <w:t>或</w:t>
      </w:r>
      <w:r>
        <w:rPr>
          <w:rFonts w:hint="eastAsia"/>
          <w:b/>
          <w:color w:val="auto"/>
          <w:highlight w:val="none"/>
        </w:rPr>
        <w:t>者</w:t>
      </w:r>
      <w:r>
        <w:rPr>
          <w:b/>
          <w:color w:val="auto"/>
          <w:highlight w:val="none"/>
        </w:rPr>
        <w:t>解密失败的</w:t>
      </w:r>
      <w:r>
        <w:rPr>
          <w:rFonts w:hint="eastAsia"/>
          <w:b/>
          <w:color w:val="auto"/>
          <w:highlight w:val="none"/>
        </w:rPr>
        <w:t>，供应商</w:t>
      </w:r>
      <w:r>
        <w:rPr>
          <w:rFonts w:hint="eastAsia" w:ascii="宋体" w:hAnsi="宋体"/>
          <w:b/>
          <w:color w:val="auto"/>
          <w:szCs w:val="21"/>
          <w:highlight w:val="none"/>
        </w:rPr>
        <w:t>的响应文件作无效处理</w:t>
      </w:r>
      <w:r>
        <w:rPr>
          <w:b/>
          <w:color w:val="auto"/>
          <w:highlight w:val="none"/>
        </w:rPr>
        <w:t>。</w:t>
      </w:r>
    </w:p>
    <w:p w14:paraId="161AAF16">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26</w:t>
      </w:r>
      <w:r>
        <w:rPr>
          <w:rFonts w:hint="eastAsia" w:ascii="黑体" w:hAnsi="黑体" w:eastAsia="黑体" w:cs="宋体"/>
          <w:b/>
          <w:bCs/>
          <w:color w:val="auto"/>
          <w:sz w:val="24"/>
          <w:highlight w:val="none"/>
        </w:rPr>
        <w:t>.评审程序、评审方法和评审标准</w:t>
      </w:r>
    </w:p>
    <w:p w14:paraId="18BB98F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.1本项目的评审方法为综合评分法。</w:t>
      </w:r>
    </w:p>
    <w:p w14:paraId="6FE8EC0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26.2</w:t>
      </w:r>
      <w:r>
        <w:rPr>
          <w:rFonts w:hint="eastAsia" w:ascii="宋体" w:hAnsi="宋体" w:cs="宋体"/>
          <w:color w:val="auto"/>
          <w:szCs w:val="21"/>
          <w:highlight w:val="none"/>
        </w:rPr>
        <w:t>磋商小组</w:t>
      </w:r>
      <w:r>
        <w:rPr>
          <w:rFonts w:ascii="宋体" w:hAnsi="宋体" w:cs="宋体"/>
          <w:color w:val="auto"/>
          <w:szCs w:val="21"/>
          <w:highlight w:val="none"/>
        </w:rPr>
        <w:t>按照</w:t>
      </w:r>
      <w:r>
        <w:rPr>
          <w:rFonts w:hint="eastAsia" w:ascii="宋体" w:hAnsi="宋体" w:cs="宋体"/>
          <w:color w:val="auto"/>
          <w:szCs w:val="21"/>
          <w:highlight w:val="none"/>
        </w:rPr>
        <w:t>“第四章 评审程序、评审方法和评审标准”</w:t>
      </w:r>
      <w:r>
        <w:rPr>
          <w:rFonts w:ascii="宋体" w:hAnsi="宋体" w:cs="宋体"/>
          <w:color w:val="auto"/>
          <w:szCs w:val="21"/>
          <w:highlight w:val="none"/>
        </w:rPr>
        <w:t>规定的方法、评审因素、标准和程序对</w:t>
      </w:r>
      <w:r>
        <w:rPr>
          <w:rFonts w:hint="eastAsia" w:ascii="宋体" w:hAnsi="宋体" w:cs="宋体"/>
          <w:color w:val="auto"/>
          <w:szCs w:val="21"/>
          <w:highlight w:val="none"/>
        </w:rPr>
        <w:t>响应</w:t>
      </w:r>
      <w:r>
        <w:rPr>
          <w:rFonts w:ascii="宋体" w:hAnsi="宋体" w:cs="宋体"/>
          <w:color w:val="auto"/>
          <w:szCs w:val="21"/>
          <w:highlight w:val="none"/>
        </w:rPr>
        <w:t>文件进行评审。</w:t>
      </w:r>
    </w:p>
    <w:p w14:paraId="55B3219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 xml:space="preserve">6.3 </w:t>
      </w:r>
      <w:r>
        <w:rPr>
          <w:rFonts w:hint="eastAsia" w:ascii="宋体" w:hAnsi="宋体"/>
          <w:color w:val="auto"/>
          <w:szCs w:val="21"/>
          <w:highlight w:val="none"/>
        </w:rPr>
        <w:t>商务/技术要求允许负偏离的条款数详见“供应商须知前附表”。</w:t>
      </w:r>
    </w:p>
    <w:p w14:paraId="541C1995">
      <w:pPr>
        <w:spacing w:line="360" w:lineRule="auto"/>
        <w:ind w:firstLine="420" w:firstLineChars="200"/>
        <w:rPr>
          <w:rFonts w:ascii="宋体" w:hAnsi="宋体"/>
          <w:color w:val="auto"/>
          <w:szCs w:val="21"/>
          <w:highlight w:val="none"/>
        </w:rPr>
      </w:pPr>
      <w:r>
        <w:rPr>
          <w:rFonts w:hint="eastAsia" w:ascii="宋体" w:hAnsi="宋体" w:cs="宋体"/>
          <w:color w:val="auto"/>
          <w:highlight w:val="none"/>
        </w:rPr>
        <w:t>26.</w:t>
      </w:r>
      <w:r>
        <w:rPr>
          <w:rFonts w:ascii="宋体" w:hAnsi="宋体" w:cs="宋体"/>
          <w:color w:val="auto"/>
          <w:highlight w:val="none"/>
        </w:rPr>
        <w:t>4</w:t>
      </w:r>
      <w:r>
        <w:rPr>
          <w:rFonts w:hint="eastAsia" w:ascii="宋体" w:hAnsi="宋体" w:cs="宋体"/>
          <w:color w:val="auto"/>
          <w:highlight w:val="none"/>
        </w:rPr>
        <w:t>磋商小组成员要依法独立评审，并对评审意见承担个人责任。磋商小组成员对需要共同认定的事项存在争议的，按照少数服从多数的原则作出结论。持不同意见的磋商小组成员应当在评审报告上签署不同意见并说明理由，否则视为同意。</w:t>
      </w:r>
    </w:p>
    <w:p w14:paraId="550E5BC5">
      <w:pPr>
        <w:spacing w:line="360" w:lineRule="auto"/>
        <w:ind w:firstLine="420" w:firstLineChars="200"/>
        <w:rPr>
          <w:rFonts w:hAnsi="宋体"/>
          <w:color w:val="auto"/>
          <w:highlight w:val="none"/>
        </w:rPr>
      </w:pPr>
      <w:r>
        <w:rPr>
          <w:rFonts w:hint="eastAsia" w:ascii="宋体" w:hAnsi="宋体" w:cs="宋体"/>
          <w:color w:val="auto"/>
          <w:highlight w:val="none"/>
        </w:rPr>
        <w:t>2</w:t>
      </w:r>
      <w:r>
        <w:rPr>
          <w:rFonts w:ascii="宋体" w:hAnsi="宋体" w:cs="宋体"/>
          <w:color w:val="auto"/>
          <w:highlight w:val="none"/>
        </w:rPr>
        <w:t>6.5</w:t>
      </w:r>
      <w:r>
        <w:rPr>
          <w:rFonts w:hint="eastAsia" w:hAnsi="宋体"/>
          <w:color w:val="auto"/>
          <w:highlight w:val="none"/>
        </w:rPr>
        <w:t>电子交易活动的中止。采购过程中出现以下情形，导致电子交易平台无法正常运行，或者无法保证电子交易的公平、公正和安全时，采购机构可中止电子交易活动：</w:t>
      </w:r>
    </w:p>
    <w:p w14:paraId="22E36AF6">
      <w:pPr>
        <w:spacing w:line="360" w:lineRule="auto"/>
        <w:ind w:firstLine="420" w:firstLineChars="200"/>
        <w:rPr>
          <w:rFonts w:hAnsi="宋体"/>
          <w:color w:val="auto"/>
          <w:highlight w:val="none"/>
        </w:rPr>
      </w:pPr>
      <w:r>
        <w:rPr>
          <w:rFonts w:hint="eastAsia" w:hAnsi="宋体"/>
          <w:color w:val="auto"/>
          <w:highlight w:val="none"/>
        </w:rPr>
        <w:t>（1）电子交易平台发生故障而无法登录访问的；</w:t>
      </w:r>
    </w:p>
    <w:p w14:paraId="098B2368">
      <w:pPr>
        <w:spacing w:line="360" w:lineRule="auto"/>
        <w:ind w:firstLine="420" w:firstLineChars="200"/>
        <w:rPr>
          <w:rFonts w:hAnsi="宋体"/>
          <w:color w:val="auto"/>
          <w:highlight w:val="none"/>
        </w:rPr>
      </w:pPr>
      <w:r>
        <w:rPr>
          <w:rFonts w:hint="eastAsia" w:hAnsi="宋体"/>
          <w:color w:val="auto"/>
          <w:highlight w:val="none"/>
        </w:rPr>
        <w:t>（2）电子交易平台应用或数据库出现错误，不能进行正常操作的；</w:t>
      </w:r>
    </w:p>
    <w:p w14:paraId="39D9FD8F">
      <w:pPr>
        <w:spacing w:line="360" w:lineRule="auto"/>
        <w:ind w:firstLine="420" w:firstLineChars="200"/>
        <w:rPr>
          <w:rFonts w:hAnsi="宋体"/>
          <w:color w:val="auto"/>
          <w:highlight w:val="none"/>
        </w:rPr>
      </w:pPr>
      <w:r>
        <w:rPr>
          <w:rFonts w:hint="eastAsia" w:hAnsi="宋体"/>
          <w:color w:val="auto"/>
          <w:highlight w:val="none"/>
        </w:rPr>
        <w:t>（3）电子交易平台发现严重安全漏洞，有潜在泄密危险的；</w:t>
      </w:r>
    </w:p>
    <w:p w14:paraId="7AE13A4D">
      <w:pPr>
        <w:spacing w:line="360" w:lineRule="auto"/>
        <w:ind w:firstLine="420" w:firstLineChars="200"/>
        <w:rPr>
          <w:rFonts w:hAnsi="宋体"/>
          <w:color w:val="auto"/>
          <w:highlight w:val="none"/>
        </w:rPr>
      </w:pPr>
      <w:r>
        <w:rPr>
          <w:rFonts w:hint="eastAsia" w:hAnsi="宋体"/>
          <w:color w:val="auto"/>
          <w:highlight w:val="none"/>
        </w:rPr>
        <w:t>（4）病毒发作导致不能进行正常操作的；</w:t>
      </w:r>
    </w:p>
    <w:p w14:paraId="2D8696A2">
      <w:pPr>
        <w:spacing w:line="360" w:lineRule="auto"/>
        <w:ind w:firstLine="420" w:firstLineChars="200"/>
        <w:rPr>
          <w:rFonts w:hAnsi="宋体"/>
          <w:color w:val="auto"/>
          <w:highlight w:val="none"/>
        </w:rPr>
      </w:pPr>
      <w:r>
        <w:rPr>
          <w:rFonts w:hint="eastAsia" w:hAnsi="宋体"/>
          <w:color w:val="auto"/>
          <w:highlight w:val="none"/>
        </w:rPr>
        <w:t>（5）其他无法保证电子交易的公平、公正和安全的情况。</w:t>
      </w:r>
    </w:p>
    <w:p w14:paraId="1F4D85AB">
      <w:pPr>
        <w:spacing w:line="360" w:lineRule="auto"/>
        <w:ind w:firstLine="420" w:firstLineChars="200"/>
        <w:rPr>
          <w:rFonts w:ascii="宋体" w:hAnsi="宋体" w:cs="宋体"/>
          <w:color w:val="auto"/>
          <w:szCs w:val="21"/>
          <w:highlight w:val="none"/>
        </w:rPr>
      </w:pPr>
      <w:r>
        <w:rPr>
          <w:rFonts w:hint="eastAsia" w:ascii="宋体" w:hAnsi="宋体"/>
          <w:color w:val="auto"/>
          <w:highlight w:val="none"/>
        </w:rPr>
        <w:t>26.</w:t>
      </w:r>
      <w:r>
        <w:rPr>
          <w:rFonts w:ascii="宋体" w:hAnsi="宋体"/>
          <w:color w:val="auto"/>
          <w:highlight w:val="none"/>
        </w:rPr>
        <w:t>6</w:t>
      </w:r>
      <w:r>
        <w:rPr>
          <w:rFonts w:hint="eastAsia" w:hAnsi="宋体"/>
          <w:color w:val="auto"/>
          <w:highlight w:val="none"/>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7C0DA92A">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27</w:t>
      </w:r>
      <w:r>
        <w:rPr>
          <w:rFonts w:hint="eastAsia" w:ascii="黑体" w:hAnsi="黑体" w:eastAsia="黑体" w:cs="宋体"/>
          <w:b/>
          <w:bCs/>
          <w:color w:val="auto"/>
          <w:sz w:val="24"/>
          <w:highlight w:val="none"/>
        </w:rPr>
        <w:t>.确定成交供应商及结果公告</w:t>
      </w:r>
    </w:p>
    <w:p w14:paraId="331FAB5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0FDF968">
      <w:pPr>
        <w:spacing w:line="360" w:lineRule="auto"/>
        <w:ind w:firstLine="420" w:firstLineChars="200"/>
        <w:rPr>
          <w:rFonts w:ascii="宋体" w:hAnsi="宋体" w:cs="Courier New"/>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73" w:name="_Hlk66782294"/>
      <w:r>
        <w:rPr>
          <w:rFonts w:hint="eastAsia" w:ascii="宋体" w:hAnsi="宋体" w:cs="Courier New"/>
          <w:color w:val="auto"/>
          <w:szCs w:val="21"/>
          <w:highlight w:val="none"/>
        </w:rPr>
        <w:t>成交供应商享受</w:t>
      </w:r>
      <w:r>
        <w:rPr>
          <w:rFonts w:hint="eastAsia" w:ascii="宋体" w:hAnsi="宋体"/>
          <w:color w:val="auto"/>
          <w:szCs w:val="21"/>
          <w:highlight w:val="none"/>
        </w:rPr>
        <w:t>《政府采购促进中小企业发展管理办法》（财库〔2020〕46号）规定的中小企业扶持</w:t>
      </w:r>
      <w:r>
        <w:rPr>
          <w:rFonts w:hint="eastAsia" w:ascii="宋体" w:hAnsi="宋体" w:cs="Courier New"/>
          <w:color w:val="auto"/>
          <w:szCs w:val="21"/>
          <w:highlight w:val="none"/>
        </w:rPr>
        <w:t>政策的，采购人、采购代理机构应当随成交结果公开成交供应商的《中小企业声明函》。</w:t>
      </w:r>
      <w:bookmarkEnd w:id="73"/>
    </w:p>
    <w:p w14:paraId="0A55F6D5">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27.3出现下列情形之一的，采购人或者采购代理机构应当终止竞争性磋商采购活动，发布项目终止公告并说明原因，重新开展采购活动：</w:t>
      </w:r>
    </w:p>
    <w:p w14:paraId="1EEAFA02">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（1）因情况变化，不再符合规定的竞争性磋商采购方式适用情形的；</w:t>
      </w:r>
    </w:p>
    <w:p w14:paraId="3785F425">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（2）出现影响采购公正的违法、违规行为的；</w:t>
      </w:r>
    </w:p>
    <w:p w14:paraId="28F40BFB">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（3）除“第四章 评审程序、评审方法和评审标准”第4.3条规定的情形外，在采购过程中符合要求的供应商或者报价未超过采购预算的供应商不足3家的。</w:t>
      </w:r>
    </w:p>
    <w:p w14:paraId="357C5C2C">
      <w:pPr>
        <w:spacing w:line="360" w:lineRule="auto"/>
        <w:ind w:firstLine="420" w:firstLineChars="200"/>
        <w:rPr>
          <w:rFonts w:ascii="宋体" w:hAnsi="宋体" w:cs="宋体"/>
          <w:color w:val="auto"/>
          <w:szCs w:val="21"/>
          <w:highlight w:val="none"/>
        </w:rPr>
      </w:pPr>
      <w:r>
        <w:rPr>
          <w:rFonts w:hint="eastAsia" w:ascii="宋体" w:hAnsi="宋体" w:cs="Courier New"/>
          <w:color w:val="auto"/>
          <w:szCs w:val="21"/>
          <w:highlight w:val="none"/>
        </w:rPr>
        <w:t>27.4 在采购活动中因重大变故，采购任务取消的，采购人或者采购代理机构应当终止采购活动，通知所有参加采购活动的供应商，并将项目实施情况和采购任务取消原因报送本级财政部门。</w:t>
      </w:r>
    </w:p>
    <w:p w14:paraId="7EE8E277">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28</w:t>
      </w:r>
      <w:r>
        <w:rPr>
          <w:rFonts w:hint="eastAsia" w:ascii="黑体" w:hAnsi="黑体" w:eastAsia="黑体" w:cs="宋体"/>
          <w:b/>
          <w:bCs/>
          <w:color w:val="auto"/>
          <w:sz w:val="24"/>
          <w:highlight w:val="none"/>
        </w:rPr>
        <w:t>.履约保证金</w:t>
      </w:r>
    </w:p>
    <w:p w14:paraId="4744F14E">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.1履约保证金的金额、提交方式、缴纳期限、退付的时间和条件详见 “供应商须知前附表”。成交供应商未按规定提交履约保证金的，视为拒绝</w:t>
      </w:r>
      <w:r>
        <w:rPr>
          <w:rFonts w:ascii="宋体" w:hAnsi="宋体"/>
          <w:color w:val="auto"/>
          <w:highlight w:val="none"/>
        </w:rPr>
        <w:t>与采购人</w:t>
      </w:r>
      <w:r>
        <w:rPr>
          <w:rFonts w:hint="eastAsia" w:ascii="宋体" w:hAnsi="宋体" w:cs="宋体"/>
          <w:color w:val="auto"/>
          <w:szCs w:val="21"/>
          <w:highlight w:val="none"/>
        </w:rPr>
        <w:t>签订合同。</w:t>
      </w:r>
    </w:p>
    <w:p w14:paraId="3AEA23C3">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.2在履约保证金退还日期前，若成交供应商的开户名称、开户银行、账号有变动的，请以书面形式通知履约保证金收取单位，否则由此产生的后果由成交供应商自行承担。</w:t>
      </w:r>
    </w:p>
    <w:p w14:paraId="436AD54B">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29</w:t>
      </w:r>
      <w:r>
        <w:rPr>
          <w:rFonts w:hint="eastAsia" w:ascii="黑体" w:hAnsi="黑体" w:eastAsia="黑体" w:cs="宋体"/>
          <w:b/>
          <w:bCs/>
          <w:color w:val="auto"/>
          <w:sz w:val="24"/>
          <w:highlight w:val="none"/>
        </w:rPr>
        <w:t>.签订合同</w:t>
      </w:r>
    </w:p>
    <w:p w14:paraId="748575D6">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29.1签订电子采购合同：成交供应商领取电子成交通知书后，在</w:t>
      </w:r>
      <w:r>
        <w:rPr>
          <w:rFonts w:hint="eastAsia" w:ascii="宋体" w:hAnsi="宋体" w:cs="宋体"/>
          <w:color w:val="auto"/>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14:paraId="3F06798B">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线下签订纸质合同：供应商领取成交通知书后，按“供应商须知前附表”规定向采购人出示相关证明材料，经采购人核验合格后方可签订合同。</w:t>
      </w:r>
    </w:p>
    <w:p w14:paraId="7671AB6D">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29.2签订合同时间：按成交通知书规定的时间与采购人签订合同。</w:t>
      </w:r>
    </w:p>
    <w:p w14:paraId="01CA5DF3">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w:t>
      </w:r>
      <w:r>
        <w:rPr>
          <w:rFonts w:ascii="宋体" w:hAnsi="宋体" w:cs="宋体"/>
          <w:color w:val="auto"/>
          <w:szCs w:val="21"/>
          <w:highlight w:val="none"/>
        </w:rPr>
        <w:t>3</w:t>
      </w:r>
      <w:r>
        <w:rPr>
          <w:rFonts w:hint="eastAsia" w:ascii="宋体" w:hAnsi="宋体" w:cs="宋体"/>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4B82F5BD">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7A1A31EB">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29.5采购人或成交供应商不得单方面向合同另一方提出任何磋商文件没有约定的条件或不合理的要求，作为签订合同的条件；也不得协商另行订立背离磋商文件和合同实质性内容的协议。</w:t>
      </w:r>
    </w:p>
    <w:p w14:paraId="59FA088B">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29.6如签订合同并生效后，供应商无故拒绝或延期，除按照合同条款处理外，将承担相应的法律责任。</w:t>
      </w:r>
    </w:p>
    <w:p w14:paraId="6826A638">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2DC39780">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30</w:t>
      </w:r>
      <w:r>
        <w:rPr>
          <w:rFonts w:hint="eastAsia" w:ascii="黑体" w:hAnsi="黑体" w:eastAsia="黑体" w:cs="宋体"/>
          <w:b/>
          <w:bCs/>
          <w:color w:val="auto"/>
          <w:sz w:val="24"/>
          <w:highlight w:val="none"/>
        </w:rPr>
        <w:t>.政府采购合同公告</w:t>
      </w:r>
    </w:p>
    <w:p w14:paraId="4397C5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3075C645">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31</w:t>
      </w:r>
      <w:r>
        <w:rPr>
          <w:rFonts w:hint="eastAsia" w:ascii="黑体" w:hAnsi="黑体" w:eastAsia="黑体" w:cs="宋体"/>
          <w:b/>
          <w:bCs/>
          <w:color w:val="auto"/>
          <w:sz w:val="24"/>
          <w:highlight w:val="none"/>
        </w:rPr>
        <w:t>. 询问、质疑和投诉</w:t>
      </w:r>
    </w:p>
    <w:p w14:paraId="3143FF23">
      <w:pPr>
        <w:pStyle w:val="9"/>
        <w:spacing w:line="360" w:lineRule="auto"/>
        <w:rPr>
          <w:rFonts w:ascii="宋体" w:hAnsi="宋体"/>
          <w:color w:val="auto"/>
          <w:szCs w:val="21"/>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highlight w:val="none"/>
        </w:rPr>
        <w:t>但答复的内容不得涉及商业秘密</w:t>
      </w:r>
      <w:r>
        <w:rPr>
          <w:rFonts w:hint="eastAsia" w:ascii="宋体" w:hAnsi="宋体" w:cs="宋体"/>
          <w:color w:val="auto"/>
          <w:highlight w:val="none"/>
        </w:rPr>
        <w:t>。</w:t>
      </w:r>
    </w:p>
    <w:p w14:paraId="189FB2C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highlight w:val="none"/>
          <w:shd w:val="clear" w:color="auto" w:fill="FFFFFF"/>
        </w:rPr>
        <w:t>接收质疑函的方式、联系部门、联系电话和通讯地址等信息</w:t>
      </w:r>
      <w:r>
        <w:rPr>
          <w:rFonts w:hint="eastAsia" w:ascii="宋体" w:hAnsi="宋体" w:cs="Arial"/>
          <w:color w:val="auto"/>
          <w:highlight w:val="none"/>
          <w:shd w:val="clear" w:color="auto" w:fill="FFFFFF"/>
        </w:rPr>
        <w:t>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419AB76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（1）对可以质疑的磋商文件提出质疑的，为收到磋商文件之日或者</w:t>
      </w:r>
      <w:r>
        <w:rPr>
          <w:rFonts w:hint="eastAsia" w:ascii="宋体" w:hAnsi="宋体"/>
          <w:color w:val="auto"/>
          <w:highlight w:val="none"/>
        </w:rPr>
        <w:t>竞争性磋商公告期限届满之日</w:t>
      </w:r>
      <w:r>
        <w:rPr>
          <w:rFonts w:hint="eastAsia" w:ascii="宋体" w:hAnsi="宋体" w:cs="宋体"/>
          <w:color w:val="auto"/>
          <w:highlight w:val="none"/>
        </w:rPr>
        <w:t>；</w:t>
      </w:r>
    </w:p>
    <w:p w14:paraId="677A402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57FC2DA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0070217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68C04B6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.4 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3419E70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60C1658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14:paraId="76604E9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67B40EA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01A3438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14:paraId="6F62A5F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36854A8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3289B83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686C401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1BE46C3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2518E92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47B54F37">
      <w:pPr>
        <w:spacing w:line="360" w:lineRule="auto"/>
        <w:ind w:firstLine="420" w:firstLineChars="200"/>
        <w:rPr>
          <w:rFonts w:ascii="宋体" w:hAnsi="宋体" w:cs="宋体"/>
          <w:color w:val="auto"/>
          <w:szCs w:val="21"/>
          <w:highlight w:val="none"/>
        </w:rPr>
      </w:pPr>
      <w:r>
        <w:rPr>
          <w:rFonts w:ascii="宋体" w:hAnsi="宋体" w:cs="宋体"/>
          <w:color w:val="auto"/>
          <w:highlight w:val="none"/>
        </w:rPr>
        <w:t>31</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11ACC6DA">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32</w:t>
      </w:r>
      <w:r>
        <w:rPr>
          <w:rFonts w:hint="eastAsia" w:ascii="黑体" w:hAnsi="黑体" w:eastAsia="黑体" w:cs="宋体"/>
          <w:b/>
          <w:bCs/>
          <w:color w:val="auto"/>
          <w:sz w:val="24"/>
          <w:highlight w:val="none"/>
        </w:rPr>
        <w:t>.其他内容</w:t>
      </w:r>
    </w:p>
    <w:p w14:paraId="2C5552D1">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.1代理服务收取标准及缴费账户详见“供应商须知前附表”，供应商为联合体的，可以由联合体中的一方或者多方共同交纳代理服务费。</w:t>
      </w:r>
    </w:p>
    <w:p w14:paraId="6056E98D">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32.2</w:t>
      </w:r>
      <w:r>
        <w:rPr>
          <w:rFonts w:hint="eastAsia" w:ascii="宋体" w:hAnsi="宋体" w:cs="宋体"/>
          <w:color w:val="auto"/>
          <w:szCs w:val="21"/>
          <w:highlight w:val="none"/>
        </w:rPr>
        <w:t>代理服务费收费计算标准：</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5BD4F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014AA6F6">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费率</w:t>
            </w:r>
          </w:p>
          <w:p w14:paraId="27F3CB97">
            <w:pPr>
              <w:spacing w:line="360" w:lineRule="auto"/>
              <w:rPr>
                <w:rFonts w:ascii="宋体" w:hAnsi="宋体" w:cs="宋体"/>
                <w:color w:val="auto"/>
                <w:szCs w:val="21"/>
                <w:highlight w:val="none"/>
              </w:rPr>
            </w:pPr>
            <w:r>
              <w:rPr>
                <w:rFonts w:hint="eastAsia" w:ascii="宋体" w:hAnsi="宋体" w:cs="宋体"/>
                <w:color w:val="auto"/>
                <w:szCs w:val="21"/>
                <w:highlight w:val="none"/>
              </w:rPr>
              <w:t>金额</w:t>
            </w:r>
          </w:p>
        </w:tc>
        <w:tc>
          <w:tcPr>
            <w:tcW w:w="1659" w:type="dxa"/>
            <w:vAlign w:val="center"/>
          </w:tcPr>
          <w:p w14:paraId="4ED61761">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货物类</w:t>
            </w:r>
          </w:p>
        </w:tc>
        <w:tc>
          <w:tcPr>
            <w:tcW w:w="1532" w:type="dxa"/>
            <w:vAlign w:val="center"/>
          </w:tcPr>
          <w:p w14:paraId="064BBA1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服务类</w:t>
            </w:r>
          </w:p>
        </w:tc>
        <w:tc>
          <w:tcPr>
            <w:tcW w:w="1546" w:type="dxa"/>
            <w:vAlign w:val="center"/>
          </w:tcPr>
          <w:p w14:paraId="222E0DD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工程类</w:t>
            </w:r>
          </w:p>
        </w:tc>
      </w:tr>
      <w:tr w14:paraId="4E7DE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50D9A33">
            <w:pPr>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tcPr>
          <w:p w14:paraId="45E15EAF">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tcPr>
          <w:p w14:paraId="71FA3657">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546" w:type="dxa"/>
          </w:tcPr>
          <w:p w14:paraId="27038E7C">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5D122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013323A">
            <w:pPr>
              <w:spacing w:line="360" w:lineRule="auto"/>
              <w:rPr>
                <w:rFonts w:ascii="宋体" w:hAnsi="宋体" w:cs="宋体"/>
                <w:color w:val="auto"/>
                <w:szCs w:val="21"/>
                <w:highlight w:val="none"/>
              </w:rPr>
            </w:pPr>
            <w:r>
              <w:rPr>
                <w:rFonts w:hint="eastAsia" w:ascii="宋体" w:hAnsi="宋体" w:cs="宋体"/>
                <w:color w:val="auto"/>
                <w:szCs w:val="21"/>
                <w:highlight w:val="none"/>
              </w:rPr>
              <w:t>100万～500万元</w:t>
            </w:r>
          </w:p>
        </w:tc>
        <w:tc>
          <w:tcPr>
            <w:tcW w:w="1659" w:type="dxa"/>
          </w:tcPr>
          <w:p w14:paraId="0B7AC001">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tcPr>
          <w:p w14:paraId="7F248D2C">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546" w:type="dxa"/>
          </w:tcPr>
          <w:p w14:paraId="3848D4A2">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28F73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CEB2268">
            <w:pPr>
              <w:spacing w:line="360" w:lineRule="auto"/>
              <w:rPr>
                <w:rFonts w:ascii="宋体" w:hAnsi="宋体" w:cs="宋体"/>
                <w:color w:val="auto"/>
                <w:szCs w:val="21"/>
                <w:highlight w:val="none"/>
              </w:rPr>
            </w:pPr>
            <w:r>
              <w:rPr>
                <w:rFonts w:hint="eastAsia" w:ascii="宋体" w:hAnsi="宋体" w:cs="宋体"/>
                <w:color w:val="auto"/>
                <w:szCs w:val="21"/>
                <w:highlight w:val="none"/>
              </w:rPr>
              <w:t>500万～1000万元</w:t>
            </w:r>
          </w:p>
        </w:tc>
        <w:tc>
          <w:tcPr>
            <w:tcW w:w="1659" w:type="dxa"/>
          </w:tcPr>
          <w:p w14:paraId="0393A4C2">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tcPr>
          <w:p w14:paraId="52246A10">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546" w:type="dxa"/>
          </w:tcPr>
          <w:p w14:paraId="5A05BB82">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14:paraId="66DAF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05CF8F6">
            <w:pPr>
              <w:spacing w:line="360" w:lineRule="auto"/>
              <w:rPr>
                <w:rFonts w:ascii="宋体" w:hAnsi="宋体" w:cs="宋体"/>
                <w:color w:val="auto"/>
                <w:szCs w:val="21"/>
                <w:highlight w:val="none"/>
              </w:rPr>
            </w:pPr>
            <w:r>
              <w:rPr>
                <w:rFonts w:hint="eastAsia" w:ascii="宋体" w:hAnsi="宋体" w:cs="宋体"/>
                <w:color w:val="auto"/>
                <w:szCs w:val="21"/>
                <w:highlight w:val="none"/>
              </w:rPr>
              <w:t>1000万～5000万元</w:t>
            </w:r>
          </w:p>
        </w:tc>
        <w:tc>
          <w:tcPr>
            <w:tcW w:w="1659" w:type="dxa"/>
          </w:tcPr>
          <w:p w14:paraId="79C7CB3B">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tcPr>
          <w:p w14:paraId="00CC9CC9">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546" w:type="dxa"/>
          </w:tcPr>
          <w:p w14:paraId="44A7725B">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64361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8ECAAC3">
            <w:pPr>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tcPr>
          <w:p w14:paraId="2A5FF772">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tcPr>
          <w:p w14:paraId="3EA4ACF3">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w:t>
            </w:r>
          </w:p>
        </w:tc>
        <w:tc>
          <w:tcPr>
            <w:tcW w:w="1546" w:type="dxa"/>
          </w:tcPr>
          <w:p w14:paraId="4E8BCCA1">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r>
      <w:tr w14:paraId="65B64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AB59E2C">
            <w:pPr>
              <w:spacing w:line="360" w:lineRule="auto"/>
              <w:rPr>
                <w:rFonts w:ascii="宋体" w:hAnsi="宋体" w:cs="宋体"/>
                <w:color w:val="auto"/>
                <w:szCs w:val="21"/>
                <w:highlight w:val="none"/>
              </w:rPr>
            </w:pPr>
            <w:r>
              <w:rPr>
                <w:rFonts w:hint="eastAsia" w:ascii="宋体" w:hAnsi="宋体" w:cs="宋体"/>
                <w:color w:val="auto"/>
                <w:szCs w:val="21"/>
                <w:highlight w:val="none"/>
              </w:rPr>
              <w:t>1亿～5亿元</w:t>
            </w:r>
          </w:p>
        </w:tc>
        <w:tc>
          <w:tcPr>
            <w:tcW w:w="1659" w:type="dxa"/>
          </w:tcPr>
          <w:p w14:paraId="7481BE0C">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0.05%</w:t>
            </w:r>
          </w:p>
        </w:tc>
        <w:tc>
          <w:tcPr>
            <w:tcW w:w="1532" w:type="dxa"/>
          </w:tcPr>
          <w:p w14:paraId="3064B7D0">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tcPr>
          <w:p w14:paraId="22EC7E4E">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r>
      <w:tr w14:paraId="107D3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C76D3CF">
            <w:pPr>
              <w:spacing w:line="360" w:lineRule="auto"/>
              <w:rPr>
                <w:rFonts w:ascii="宋体" w:hAnsi="宋体" w:cs="宋体"/>
                <w:color w:val="auto"/>
                <w:szCs w:val="21"/>
                <w:highlight w:val="none"/>
              </w:rPr>
            </w:pPr>
            <w:r>
              <w:rPr>
                <w:rFonts w:hint="eastAsia" w:ascii="宋体" w:hAnsi="宋体" w:cs="宋体"/>
                <w:color w:val="auto"/>
                <w:szCs w:val="21"/>
                <w:highlight w:val="none"/>
              </w:rPr>
              <w:t>5亿～10亿元</w:t>
            </w:r>
          </w:p>
        </w:tc>
        <w:tc>
          <w:tcPr>
            <w:tcW w:w="1659" w:type="dxa"/>
          </w:tcPr>
          <w:p w14:paraId="15A86FF0">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c>
          <w:tcPr>
            <w:tcW w:w="1532" w:type="dxa"/>
          </w:tcPr>
          <w:p w14:paraId="79DB0574">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tcPr>
          <w:p w14:paraId="626D26FA">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r>
      <w:tr w14:paraId="0B593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FC554C0">
            <w:pPr>
              <w:spacing w:line="360" w:lineRule="auto"/>
              <w:rPr>
                <w:rFonts w:ascii="宋体" w:hAnsi="宋体" w:cs="宋体"/>
                <w:color w:val="auto"/>
                <w:szCs w:val="21"/>
                <w:highlight w:val="none"/>
              </w:rPr>
            </w:pPr>
            <w:r>
              <w:rPr>
                <w:rFonts w:hint="eastAsia" w:ascii="宋体" w:hAnsi="宋体" w:cs="宋体"/>
                <w:color w:val="auto"/>
                <w:szCs w:val="21"/>
                <w:highlight w:val="none"/>
              </w:rPr>
              <w:t>10亿～50亿元</w:t>
            </w:r>
          </w:p>
        </w:tc>
        <w:tc>
          <w:tcPr>
            <w:tcW w:w="1659" w:type="dxa"/>
          </w:tcPr>
          <w:p w14:paraId="40511EA5">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c>
          <w:tcPr>
            <w:tcW w:w="1532" w:type="dxa"/>
          </w:tcPr>
          <w:p w14:paraId="03117211">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0.008%</w:t>
            </w:r>
          </w:p>
        </w:tc>
        <w:tc>
          <w:tcPr>
            <w:tcW w:w="1546" w:type="dxa"/>
          </w:tcPr>
          <w:p w14:paraId="4F51ACA6">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r>
      <w:tr w14:paraId="18CDF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8CCAE9F">
            <w:pPr>
              <w:spacing w:line="360" w:lineRule="auto"/>
              <w:rPr>
                <w:rFonts w:ascii="宋体" w:hAnsi="宋体" w:cs="宋体"/>
                <w:color w:val="auto"/>
                <w:szCs w:val="21"/>
                <w:highlight w:val="none"/>
              </w:rPr>
            </w:pPr>
            <w:r>
              <w:rPr>
                <w:rFonts w:hint="eastAsia" w:ascii="宋体" w:hAnsi="宋体" w:cs="宋体"/>
                <w:color w:val="auto"/>
                <w:szCs w:val="21"/>
                <w:highlight w:val="none"/>
              </w:rPr>
              <w:t>50亿～100亿元</w:t>
            </w:r>
          </w:p>
        </w:tc>
        <w:tc>
          <w:tcPr>
            <w:tcW w:w="1659" w:type="dxa"/>
          </w:tcPr>
          <w:p w14:paraId="5F540445">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tcPr>
          <w:p w14:paraId="3534A44F">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0.006%</w:t>
            </w:r>
          </w:p>
        </w:tc>
        <w:tc>
          <w:tcPr>
            <w:tcW w:w="1546" w:type="dxa"/>
          </w:tcPr>
          <w:p w14:paraId="3F902AFD">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0.006%</w:t>
            </w:r>
          </w:p>
        </w:tc>
      </w:tr>
      <w:tr w14:paraId="39A7E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1DF3283">
            <w:pPr>
              <w:spacing w:line="360" w:lineRule="auto"/>
              <w:rPr>
                <w:rFonts w:ascii="宋体" w:hAnsi="宋体" w:cs="宋体"/>
                <w:color w:val="auto"/>
                <w:szCs w:val="21"/>
                <w:highlight w:val="none"/>
              </w:rPr>
            </w:pPr>
            <w:r>
              <w:rPr>
                <w:rFonts w:hint="eastAsia" w:ascii="宋体" w:hAnsi="宋体" w:cs="宋体"/>
                <w:color w:val="auto"/>
                <w:szCs w:val="21"/>
                <w:highlight w:val="none"/>
              </w:rPr>
              <w:t>100亿以上</w:t>
            </w:r>
          </w:p>
        </w:tc>
        <w:tc>
          <w:tcPr>
            <w:tcW w:w="1659" w:type="dxa"/>
          </w:tcPr>
          <w:p w14:paraId="5AA18D27">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tcPr>
          <w:p w14:paraId="02B0E88A">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0.004%</w:t>
            </w:r>
          </w:p>
        </w:tc>
        <w:tc>
          <w:tcPr>
            <w:tcW w:w="1546" w:type="dxa"/>
          </w:tcPr>
          <w:p w14:paraId="57D5A1AA">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0.004%</w:t>
            </w:r>
          </w:p>
        </w:tc>
      </w:tr>
    </w:tbl>
    <w:p w14:paraId="790B22F3">
      <w:pPr>
        <w:spacing w:line="360" w:lineRule="auto"/>
        <w:ind w:firstLine="420" w:firstLineChars="200"/>
        <w:rPr>
          <w:rFonts w:ascii="宋体" w:hAnsi="宋体" w:cs="宋体"/>
          <w:color w:val="auto"/>
          <w:highlight w:val="none"/>
        </w:rPr>
      </w:pPr>
      <w:r>
        <w:rPr>
          <w:rFonts w:ascii="宋体" w:hAnsi="宋体" w:cs="宋体"/>
          <w:color w:val="auto"/>
          <w:highlight w:val="none"/>
        </w:rPr>
        <w:t>注</w:t>
      </w:r>
      <w:r>
        <w:rPr>
          <w:rFonts w:hint="eastAsia" w:ascii="宋体" w:hAnsi="宋体" w:cs="宋体"/>
          <w:color w:val="auto"/>
          <w:highlight w:val="none"/>
        </w:rPr>
        <w:t>：</w:t>
      </w:r>
    </w:p>
    <w:p w14:paraId="3B48AE7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按本表费率计算的收费为</w:t>
      </w:r>
      <w:r>
        <w:rPr>
          <w:rFonts w:hint="eastAsia" w:ascii="宋体" w:hAnsi="宋体" w:cs="宋体"/>
          <w:color w:val="auto"/>
          <w:highlight w:val="none"/>
        </w:rPr>
        <w:t>采购</w:t>
      </w:r>
      <w:r>
        <w:rPr>
          <w:rFonts w:ascii="宋体" w:hAnsi="宋体" w:cs="宋体"/>
          <w:color w:val="auto"/>
          <w:highlight w:val="none"/>
        </w:rPr>
        <w:t>代理的收费基准价格</w:t>
      </w:r>
      <w:r>
        <w:rPr>
          <w:rFonts w:hint="eastAsia" w:ascii="宋体" w:hAnsi="宋体" w:cs="宋体"/>
          <w:color w:val="auto"/>
          <w:highlight w:val="none"/>
        </w:rPr>
        <w:t>；</w:t>
      </w:r>
    </w:p>
    <w:p w14:paraId="6E595A7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（2）采购</w:t>
      </w:r>
      <w:r>
        <w:rPr>
          <w:rFonts w:ascii="宋体" w:hAnsi="宋体" w:cs="宋体"/>
          <w:color w:val="auto"/>
          <w:highlight w:val="none"/>
        </w:rPr>
        <w:t>代理收费按差额定率累进法计算。</w:t>
      </w:r>
    </w:p>
    <w:p w14:paraId="74EFE476">
      <w:pPr>
        <w:spacing w:line="360" w:lineRule="auto"/>
        <w:ind w:firstLine="420" w:firstLineChars="200"/>
        <w:rPr>
          <w:rFonts w:ascii="宋体" w:hAnsi="宋体" w:cs="宋体"/>
          <w:color w:val="auto"/>
          <w:highlight w:val="none"/>
        </w:rPr>
      </w:pPr>
      <w:r>
        <w:rPr>
          <w:rFonts w:ascii="宋体" w:hAnsi="宋体" w:cs="宋体"/>
          <w:color w:val="auto"/>
          <w:highlight w:val="none"/>
        </w:rPr>
        <w:t>例如</w:t>
      </w:r>
      <w:r>
        <w:rPr>
          <w:rFonts w:hint="eastAsia" w:ascii="宋体" w:hAnsi="宋体" w:cs="宋体"/>
          <w:color w:val="auto"/>
          <w:highlight w:val="none"/>
        </w:rPr>
        <w:t>：</w:t>
      </w:r>
      <w:r>
        <w:rPr>
          <w:rFonts w:ascii="宋体" w:hAnsi="宋体" w:cs="宋体"/>
          <w:color w:val="auto"/>
          <w:highlight w:val="none"/>
        </w:rPr>
        <w:t>某</w:t>
      </w:r>
      <w:r>
        <w:rPr>
          <w:rFonts w:hint="eastAsia" w:ascii="宋体" w:hAnsi="宋体" w:cs="宋体"/>
          <w:color w:val="auto"/>
          <w:highlight w:val="none"/>
        </w:rPr>
        <w:t>服务采购</w:t>
      </w:r>
      <w:r>
        <w:rPr>
          <w:rFonts w:ascii="宋体" w:hAnsi="宋体" w:cs="宋体"/>
          <w:color w:val="auto"/>
          <w:highlight w:val="none"/>
        </w:rPr>
        <w:t>代理业务</w:t>
      </w:r>
      <w:r>
        <w:rPr>
          <w:rFonts w:hint="eastAsia" w:ascii="宋体" w:hAnsi="宋体" w:cs="宋体"/>
          <w:color w:val="auto"/>
          <w:highlight w:val="none"/>
        </w:rPr>
        <w:t>成交</w:t>
      </w:r>
      <w:r>
        <w:rPr>
          <w:rFonts w:ascii="宋体" w:hAnsi="宋体" w:cs="宋体"/>
          <w:color w:val="auto"/>
          <w:highlight w:val="none"/>
        </w:rPr>
        <w:t>金额</w:t>
      </w:r>
      <w:r>
        <w:rPr>
          <w:rFonts w:hint="eastAsia" w:ascii="宋体" w:hAnsi="宋体" w:cs="宋体"/>
          <w:color w:val="auto"/>
          <w:highlight w:val="none"/>
        </w:rPr>
        <w:t>或者暂定价</w:t>
      </w:r>
      <w:r>
        <w:rPr>
          <w:rFonts w:ascii="宋体" w:hAnsi="宋体" w:cs="宋体"/>
          <w:color w:val="auto"/>
          <w:highlight w:val="none"/>
        </w:rPr>
        <w:t>为150万元，计算</w:t>
      </w:r>
      <w:r>
        <w:rPr>
          <w:rFonts w:hint="eastAsia" w:ascii="宋体" w:hAnsi="宋体" w:cs="宋体"/>
          <w:color w:val="auto"/>
          <w:highlight w:val="none"/>
        </w:rPr>
        <w:t>采购</w:t>
      </w:r>
      <w:r>
        <w:rPr>
          <w:rFonts w:ascii="宋体" w:hAnsi="宋体" w:cs="宋体"/>
          <w:color w:val="auto"/>
          <w:highlight w:val="none"/>
        </w:rPr>
        <w:t>代理收费额如下</w:t>
      </w:r>
      <w:r>
        <w:rPr>
          <w:rFonts w:hint="eastAsia" w:ascii="宋体" w:hAnsi="宋体" w:cs="宋体"/>
          <w:color w:val="auto"/>
          <w:highlight w:val="none"/>
        </w:rPr>
        <w:t>：</w:t>
      </w:r>
    </w:p>
    <w:p w14:paraId="321C7848">
      <w:pPr>
        <w:spacing w:line="360" w:lineRule="auto"/>
        <w:ind w:firstLine="420" w:firstLineChars="200"/>
        <w:rPr>
          <w:rFonts w:ascii="宋体" w:hAnsi="宋体" w:cs="宋体"/>
          <w:color w:val="auto"/>
          <w:highlight w:val="none"/>
        </w:rPr>
      </w:pPr>
      <w:r>
        <w:rPr>
          <w:rFonts w:ascii="宋体" w:hAnsi="宋体" w:cs="宋体"/>
          <w:color w:val="auto"/>
          <w:highlight w:val="none"/>
        </w:rPr>
        <w:t>100 万元×l.5 %＝1.5 万元</w:t>
      </w:r>
    </w:p>
    <w:p w14:paraId="093F2DEA">
      <w:pPr>
        <w:spacing w:line="360" w:lineRule="auto"/>
        <w:ind w:firstLine="420" w:firstLineChars="200"/>
        <w:rPr>
          <w:rFonts w:ascii="宋体" w:hAnsi="宋体" w:cs="宋体"/>
          <w:color w:val="auto"/>
          <w:highlight w:val="none"/>
        </w:rPr>
      </w:pPr>
      <w:r>
        <w:rPr>
          <w:rFonts w:ascii="宋体" w:hAnsi="宋体" w:cs="宋体"/>
          <w:color w:val="auto"/>
          <w:highlight w:val="none"/>
        </w:rPr>
        <w:t>（150－100 ）万元 ×0.8%＝0.4万元</w:t>
      </w:r>
    </w:p>
    <w:p w14:paraId="57D10F9F">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highlight w:val="none"/>
        </w:rPr>
        <w:t>合计收费＝1.5＋0.4＝1.9 万元</w:t>
      </w:r>
    </w:p>
    <w:p w14:paraId="0A5127A6">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ascii="黑体" w:hAnsi="黑体" w:eastAsia="黑体" w:cs="宋体"/>
          <w:b/>
          <w:bCs/>
          <w:color w:val="auto"/>
          <w:sz w:val="24"/>
          <w:highlight w:val="none"/>
        </w:rPr>
        <w:t>3.需要补充的其他内容</w:t>
      </w:r>
    </w:p>
    <w:p w14:paraId="666AB975">
      <w:pPr>
        <w:pStyle w:val="18"/>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3.1</w:t>
      </w:r>
      <w:r>
        <w:rPr>
          <w:rFonts w:hint="eastAsia" w:hAnsi="宋体" w:cs="宋体"/>
          <w:color w:val="auto"/>
          <w:kern w:val="2"/>
          <w:sz w:val="21"/>
          <w:highlight w:val="none"/>
        </w:rPr>
        <w:t>本磋商文件解释规则详见“供应商须知前附表”。</w:t>
      </w:r>
    </w:p>
    <w:p w14:paraId="2759B983">
      <w:pPr>
        <w:pStyle w:val="18"/>
        <w:spacing w:line="360" w:lineRule="auto"/>
        <w:ind w:firstLine="420" w:firstLineChars="200"/>
        <w:textAlignment w:val="center"/>
        <w:rPr>
          <w:rFonts w:hAnsi="宋体" w:cs="宋体"/>
          <w:color w:val="auto"/>
          <w:kern w:val="2"/>
          <w:sz w:val="21"/>
          <w:highlight w:val="none"/>
        </w:rPr>
      </w:pPr>
      <w:r>
        <w:rPr>
          <w:rFonts w:hAnsi="宋体" w:cs="宋体"/>
          <w:color w:val="auto"/>
          <w:kern w:val="2"/>
          <w:sz w:val="21"/>
          <w:highlight w:val="none"/>
        </w:rPr>
        <w:t>33.2</w:t>
      </w:r>
      <w:r>
        <w:rPr>
          <w:rFonts w:hint="eastAsia" w:hAnsi="宋体" w:cs="宋体"/>
          <w:color w:val="auto"/>
          <w:kern w:val="2"/>
          <w:sz w:val="21"/>
          <w:highlight w:val="none"/>
        </w:rPr>
        <w:t xml:space="preserve"> 其他事项详见“供应商须知前附表”。</w:t>
      </w:r>
    </w:p>
    <w:p w14:paraId="382EA1AB">
      <w:pPr>
        <w:pStyle w:val="18"/>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3.3</w:t>
      </w:r>
      <w:r>
        <w:rPr>
          <w:rFonts w:hint="eastAsia" w:hAnsi="宋体" w:cs="宋体"/>
          <w:color w:val="auto"/>
          <w:kern w:val="2"/>
          <w:sz w:val="21"/>
          <w:highlight w:val="none"/>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6FFCF71B">
      <w:pPr>
        <w:pStyle w:val="18"/>
        <w:spacing w:line="360" w:lineRule="auto"/>
        <w:ind w:firstLine="420" w:firstLineChars="200"/>
        <w:contextualSpacing/>
        <w:rPr>
          <w:rFonts w:hAnsi="宋体"/>
          <w:color w:val="auto"/>
          <w:sz w:val="21"/>
          <w:highlight w:val="none"/>
        </w:rPr>
      </w:pPr>
      <w:r>
        <w:rPr>
          <w:rFonts w:hint="eastAsia" w:hAnsi="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56A0CCC8">
      <w:pPr>
        <w:pStyle w:val="18"/>
        <w:spacing w:line="360" w:lineRule="auto"/>
        <w:ind w:firstLine="420" w:firstLineChars="200"/>
        <w:contextualSpacing/>
        <w:rPr>
          <w:rFonts w:hAnsi="宋体"/>
          <w:color w:val="auto"/>
          <w:sz w:val="21"/>
          <w:highlight w:val="none"/>
        </w:rPr>
      </w:pPr>
      <w:r>
        <w:rPr>
          <w:rFonts w:hint="eastAsia" w:hAnsi="宋体"/>
          <w:color w:val="auto"/>
          <w:sz w:val="21"/>
          <w:highlight w:val="none"/>
        </w:rPr>
        <w:t>（2）在工程采购项目中，工程由中小企业承建，即工程施工单位为中小企业，不对其中涉及的货物的制造商和服务的承接商作出要求；</w:t>
      </w:r>
    </w:p>
    <w:p w14:paraId="71DCE5CD">
      <w:pPr>
        <w:pStyle w:val="18"/>
        <w:spacing w:line="360" w:lineRule="auto"/>
        <w:ind w:firstLine="420" w:firstLineChars="200"/>
        <w:contextualSpacing/>
        <w:rPr>
          <w:rFonts w:hAnsi="宋体"/>
          <w:color w:val="auto"/>
          <w:sz w:val="21"/>
          <w:highlight w:val="none"/>
        </w:rPr>
      </w:pPr>
      <w:r>
        <w:rPr>
          <w:rFonts w:hint="eastAsia" w:hAnsi="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4268DED0">
      <w:pPr>
        <w:pStyle w:val="18"/>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4C38966C">
      <w:pPr>
        <w:pStyle w:val="18"/>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依据本磋商文件规定享受扶持政策获得政府采购合同的，小微企业不得将合同分包给大中型企业，中型企业不得将合同分包给大型企业。</w:t>
      </w:r>
    </w:p>
    <w:p w14:paraId="31EF844D">
      <w:pPr>
        <w:pStyle w:val="18"/>
        <w:snapToGrid w:val="0"/>
        <w:rPr>
          <w:rFonts w:ascii="黑体" w:hAnsi="黑体" w:eastAsia="黑体" w:cs="黑体"/>
          <w:bCs/>
          <w:color w:val="auto"/>
          <w:sz w:val="32"/>
          <w:szCs w:val="32"/>
          <w:highlight w:val="none"/>
        </w:rPr>
      </w:pPr>
      <w:r>
        <w:rPr>
          <w:rFonts w:hAnsi="宋体" w:cs="宋体"/>
          <w:color w:val="auto"/>
          <w:kern w:val="2"/>
          <w:sz w:val="21"/>
          <w:highlight w:val="none"/>
        </w:rPr>
        <w:br w:type="page"/>
      </w:r>
      <w:r>
        <w:rPr>
          <w:rFonts w:hint="eastAsia" w:ascii="黑体" w:hAnsi="黑体" w:eastAsia="黑体" w:cs="黑体"/>
          <w:bCs/>
          <w:color w:val="auto"/>
          <w:sz w:val="32"/>
          <w:szCs w:val="32"/>
          <w:highlight w:val="none"/>
        </w:rPr>
        <w:t>附件1：</w:t>
      </w:r>
    </w:p>
    <w:p w14:paraId="4CB35A5C">
      <w:pPr>
        <w:pStyle w:val="18"/>
        <w:snapToGrid w:val="0"/>
        <w:rPr>
          <w:rFonts w:hAnsi="宋体"/>
          <w:color w:val="auto"/>
          <w:highlight w:val="none"/>
        </w:rPr>
      </w:pPr>
    </w:p>
    <w:p w14:paraId="179E53D7">
      <w:pPr>
        <w:widowControl/>
        <w:shd w:val="clear" w:color="auto" w:fill="FFFFFF"/>
        <w:spacing w:line="480" w:lineRule="atLeast"/>
        <w:jc w:val="center"/>
        <w:rPr>
          <w:rFonts w:ascii="仿宋" w:hAnsi="仿宋" w:eastAsia="仿宋" w:cs="宋体"/>
          <w:color w:val="auto"/>
          <w:kern w:val="0"/>
          <w:sz w:val="32"/>
          <w:szCs w:val="32"/>
          <w:highlight w:val="none"/>
        </w:rPr>
      </w:pPr>
      <w:r>
        <w:rPr>
          <w:rFonts w:hint="eastAsia" w:ascii="宋体" w:hAnsi="宋体" w:cs="宋体"/>
          <w:b/>
          <w:bCs/>
          <w:color w:val="auto"/>
          <w:kern w:val="0"/>
          <w:sz w:val="32"/>
          <w:szCs w:val="32"/>
          <w:highlight w:val="none"/>
        </w:rPr>
        <w:t>广西壮族自治区政府采购项目合同验收书（格式）</w:t>
      </w:r>
    </w:p>
    <w:p w14:paraId="30031F78">
      <w:pPr>
        <w:widowControl/>
        <w:shd w:val="clear" w:color="auto" w:fill="FFFFFF"/>
        <w:spacing w:line="480" w:lineRule="atLeast"/>
        <w:jc w:val="center"/>
        <w:rPr>
          <w:rFonts w:ascii="仿宋" w:hAnsi="仿宋" w:eastAsia="仿宋" w:cs="宋体"/>
          <w:color w:val="auto"/>
          <w:kern w:val="0"/>
          <w:sz w:val="32"/>
          <w:szCs w:val="32"/>
          <w:highlight w:val="none"/>
        </w:rPr>
      </w:pPr>
    </w:p>
    <w:p w14:paraId="02DB1990">
      <w:pPr>
        <w:widowControl/>
        <w:shd w:val="clear" w:color="auto" w:fill="FFFFFF"/>
        <w:snapToGrid w:val="0"/>
        <w:spacing w:line="320" w:lineRule="atLeast"/>
        <w:ind w:firstLine="480"/>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根据政府采购项目（</w:t>
      </w:r>
      <w:r>
        <w:rPr>
          <w:rFonts w:hint="eastAsia" w:ascii="仿宋" w:hAnsi="仿宋" w:eastAsia="仿宋" w:cs="宋体"/>
          <w:color w:val="auto"/>
          <w:kern w:val="0"/>
          <w:szCs w:val="21"/>
          <w:highlight w:val="none"/>
          <w:u w:val="single"/>
        </w:rPr>
        <w:t>采购合同编号：</w:t>
      </w:r>
      <w:r>
        <w:rPr>
          <w:rFonts w:hint="eastAsia" w:ascii="仿宋" w:hAnsi="仿宋" w:eastAsia="仿宋" w:cs="宋体"/>
          <w:color w:val="auto"/>
          <w:kern w:val="0"/>
          <w:szCs w:val="21"/>
          <w:highlight w:val="none"/>
          <w:u w:val="single"/>
        </w:rPr>
        <w:softHyphen/>
      </w:r>
      <w:r>
        <w:rPr>
          <w:rFonts w:hint="eastAsia" w:ascii="仿宋" w:hAnsi="仿宋" w:eastAsia="仿宋" w:cs="宋体"/>
          <w:color w:val="auto"/>
          <w:kern w:val="0"/>
          <w:szCs w:val="21"/>
          <w:highlight w:val="none"/>
        </w:rPr>
        <w:t>）的约定，我单位对（</w:t>
      </w:r>
      <w:r>
        <w:rPr>
          <w:rFonts w:hint="eastAsia" w:ascii="仿宋" w:hAnsi="仿宋" w:eastAsia="仿宋" w:cs="宋体"/>
          <w:color w:val="auto"/>
          <w:kern w:val="0"/>
          <w:szCs w:val="21"/>
          <w:highlight w:val="none"/>
          <w:u w:val="single"/>
        </w:rPr>
        <w:t xml:space="preserve"> 项目名称 </w:t>
      </w:r>
      <w:r>
        <w:rPr>
          <w:rFonts w:hint="eastAsia" w:ascii="仿宋" w:hAnsi="仿宋" w:eastAsia="仿宋" w:cs="宋体"/>
          <w:color w:val="auto"/>
          <w:kern w:val="0"/>
          <w:szCs w:val="21"/>
          <w:highlight w:val="none"/>
        </w:rPr>
        <w:t>） 政府采购项目成交供应商（</w:t>
      </w:r>
      <w:r>
        <w:rPr>
          <w:rFonts w:hint="eastAsia" w:ascii="仿宋" w:hAnsi="仿宋" w:eastAsia="仿宋" w:cs="宋体"/>
          <w:color w:val="auto"/>
          <w:kern w:val="0"/>
          <w:szCs w:val="21"/>
          <w:highlight w:val="none"/>
          <w:u w:val="single"/>
        </w:rPr>
        <w:t xml:space="preserve"> 公司名称 </w:t>
      </w:r>
      <w:r>
        <w:rPr>
          <w:rFonts w:hint="eastAsia" w:ascii="仿宋" w:hAnsi="仿宋" w:eastAsia="仿宋" w:cs="宋体"/>
          <w:color w:val="auto"/>
          <w:kern w:val="0"/>
          <w:szCs w:val="21"/>
          <w:highlight w:val="none"/>
        </w:rPr>
        <w:t>） 提供的货物（或工程、服务）进行了验收，验收情况如下：</w:t>
      </w:r>
    </w:p>
    <w:tbl>
      <w:tblPr>
        <w:tblStyle w:val="28"/>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188137D1">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2A704A0F">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验收方式</w:t>
            </w:r>
            <w:r>
              <w:rPr>
                <w:rFonts w:hint="eastAsia" w:ascii="Verdana" w:hAnsi="Verdana" w:cs="宋体"/>
                <w:color w:val="auto"/>
                <w:kern w:val="0"/>
                <w:szCs w:val="21"/>
                <w:highlight w:val="none"/>
              </w:rPr>
              <w:t>：</w:t>
            </w:r>
          </w:p>
        </w:tc>
        <w:tc>
          <w:tcPr>
            <w:tcW w:w="5193" w:type="dxa"/>
            <w:gridSpan w:val="6"/>
            <w:tcBorders>
              <w:top w:val="single" w:color="auto" w:sz="8" w:space="0"/>
              <w:left w:val="nil"/>
              <w:bottom w:val="single" w:color="auto" w:sz="8" w:space="0"/>
              <w:right w:val="single" w:color="auto" w:sz="8" w:space="0"/>
            </w:tcBorders>
            <w:vAlign w:val="center"/>
          </w:tcPr>
          <w:p w14:paraId="30D5E364">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hint="eastAsia" w:ascii="Verdana" w:hAnsi="Verdana" w:cs="宋体"/>
                <w:color w:val="auto"/>
                <w:kern w:val="0"/>
                <w:szCs w:val="21"/>
                <w:highlight w:val="none"/>
              </w:rPr>
              <w:t>（</w:t>
            </w:r>
            <w:r>
              <w:rPr>
                <w:rFonts w:ascii="Verdana" w:hAnsi="Verdana" w:cs="宋体"/>
                <w:color w:val="auto"/>
                <w:kern w:val="0"/>
                <w:szCs w:val="21"/>
                <w:highlight w:val="none"/>
              </w:rPr>
              <w:t>自行验收</w:t>
            </w:r>
            <w:r>
              <w:rPr>
                <w:rFonts w:hint="eastAsia" w:ascii="Verdana" w:hAnsi="Verdana" w:cs="宋体"/>
                <w:color w:val="auto"/>
                <w:kern w:val="0"/>
                <w:szCs w:val="21"/>
                <w:highlight w:val="none"/>
              </w:rPr>
              <w:t>（</w:t>
            </w:r>
            <w:r>
              <w:rPr>
                <w:rFonts w:ascii="Verdana" w:hAnsi="Verdana" w:cs="宋体"/>
                <w:color w:val="auto"/>
                <w:kern w:val="0"/>
                <w:szCs w:val="21"/>
                <w:highlight w:val="none"/>
              </w:rPr>
              <w:t>委托验收</w:t>
            </w:r>
          </w:p>
        </w:tc>
      </w:tr>
      <w:tr w14:paraId="7463956C">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30470127">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14:paraId="2F03FFCC">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14:paraId="47790BA7">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货物型号规格、标准及配置等（或服务内容、标准）</w:t>
            </w:r>
          </w:p>
        </w:tc>
        <w:tc>
          <w:tcPr>
            <w:tcW w:w="863" w:type="dxa"/>
            <w:gridSpan w:val="2"/>
            <w:tcBorders>
              <w:top w:val="nil"/>
              <w:left w:val="nil"/>
              <w:bottom w:val="single" w:color="auto" w:sz="8" w:space="0"/>
              <w:right w:val="single" w:color="auto" w:sz="8" w:space="0"/>
            </w:tcBorders>
            <w:vAlign w:val="center"/>
          </w:tcPr>
          <w:p w14:paraId="09C0D7A5">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14:paraId="461D7D7A">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金额</w:t>
            </w:r>
          </w:p>
        </w:tc>
      </w:tr>
      <w:tr w14:paraId="47A59BC7">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2B6843DA">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59FFC029">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437BC70D">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7E90159C">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789A0458">
            <w:pPr>
              <w:widowControl/>
              <w:spacing w:before="100" w:beforeAutospacing="1" w:after="100" w:afterAutospacing="1" w:line="240" w:lineRule="atLeast"/>
              <w:jc w:val="center"/>
              <w:rPr>
                <w:rFonts w:ascii="Verdana" w:hAnsi="Verdana" w:cs="宋体"/>
                <w:color w:val="auto"/>
                <w:kern w:val="0"/>
                <w:szCs w:val="21"/>
                <w:highlight w:val="none"/>
              </w:rPr>
            </w:pPr>
          </w:p>
        </w:tc>
      </w:tr>
      <w:tr w14:paraId="78D8830A">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37560C37">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7B1F7B89">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01D323A5">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1C0B2193">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7213B375">
            <w:pPr>
              <w:widowControl/>
              <w:spacing w:before="100" w:beforeAutospacing="1" w:after="100" w:afterAutospacing="1" w:line="240" w:lineRule="atLeast"/>
              <w:jc w:val="center"/>
              <w:rPr>
                <w:rFonts w:ascii="Verdana" w:hAnsi="Verdana" w:cs="宋体"/>
                <w:color w:val="auto"/>
                <w:kern w:val="0"/>
                <w:szCs w:val="21"/>
                <w:highlight w:val="none"/>
              </w:rPr>
            </w:pPr>
          </w:p>
        </w:tc>
      </w:tr>
      <w:tr w14:paraId="297FB1A3">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25281A6F">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0E8ADB49">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000B3386">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48C45167">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2E73BF53">
            <w:pPr>
              <w:widowControl/>
              <w:spacing w:before="100" w:beforeAutospacing="1" w:after="100" w:afterAutospacing="1" w:line="240" w:lineRule="atLeast"/>
              <w:jc w:val="center"/>
              <w:rPr>
                <w:rFonts w:ascii="Verdana" w:hAnsi="Verdana" w:cs="宋体"/>
                <w:color w:val="auto"/>
                <w:kern w:val="0"/>
                <w:szCs w:val="21"/>
                <w:highlight w:val="none"/>
              </w:rPr>
            </w:pPr>
          </w:p>
        </w:tc>
      </w:tr>
      <w:tr w14:paraId="69DEE4F1">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22CE95EE">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合计</w:t>
            </w:r>
          </w:p>
        </w:tc>
        <w:tc>
          <w:tcPr>
            <w:tcW w:w="863" w:type="dxa"/>
            <w:gridSpan w:val="2"/>
            <w:tcBorders>
              <w:top w:val="nil"/>
              <w:left w:val="nil"/>
              <w:bottom w:val="single" w:color="auto" w:sz="8" w:space="0"/>
              <w:right w:val="single" w:color="auto" w:sz="8" w:space="0"/>
            </w:tcBorders>
            <w:vAlign w:val="center"/>
          </w:tcPr>
          <w:p w14:paraId="6A5A8B86">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2EA77922">
            <w:pPr>
              <w:widowControl/>
              <w:spacing w:before="100" w:beforeAutospacing="1" w:after="100" w:afterAutospacing="1" w:line="240" w:lineRule="atLeast"/>
              <w:jc w:val="center"/>
              <w:rPr>
                <w:rFonts w:ascii="Verdana" w:hAnsi="Verdana" w:cs="宋体"/>
                <w:color w:val="auto"/>
                <w:kern w:val="0"/>
                <w:szCs w:val="21"/>
                <w:highlight w:val="none"/>
              </w:rPr>
            </w:pPr>
          </w:p>
        </w:tc>
      </w:tr>
      <w:tr w14:paraId="0CD5D6A1">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2701D85B">
            <w:pPr>
              <w:widowControl/>
              <w:snapToGrid w:val="0"/>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合计大写金额</w:t>
            </w:r>
            <w:r>
              <w:rPr>
                <w:rFonts w:hint="eastAsia" w:ascii="Verdana" w:hAnsi="Verdana" w:cs="宋体"/>
                <w:color w:val="auto"/>
                <w:kern w:val="0"/>
                <w:szCs w:val="21"/>
                <w:highlight w:val="none"/>
              </w:rPr>
              <w:t>：</w:t>
            </w:r>
            <w:r>
              <w:rPr>
                <w:rFonts w:ascii="Verdana" w:hAnsi="Verdana" w:cs="宋体"/>
                <w:color w:val="auto"/>
                <w:kern w:val="0"/>
                <w:szCs w:val="21"/>
                <w:highlight w:val="none"/>
              </w:rPr>
              <w:t>仟佰拾万仟佰拾元</w:t>
            </w:r>
          </w:p>
        </w:tc>
      </w:tr>
      <w:tr w14:paraId="7BAD7807">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0297A17A">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14:paraId="0E1A87A3">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2AD2222E">
            <w:pPr>
              <w:widowControl/>
              <w:snapToGrid w:val="0"/>
              <w:spacing w:before="100" w:beforeAutospacing="1" w:after="100" w:afterAutospacing="1" w:line="320" w:lineRule="atLeast"/>
              <w:ind w:firstLine="46"/>
              <w:jc w:val="center"/>
              <w:rPr>
                <w:rFonts w:ascii="Verdana" w:hAnsi="Verdana" w:cs="宋体"/>
                <w:color w:val="auto"/>
                <w:kern w:val="0"/>
                <w:szCs w:val="21"/>
                <w:highlight w:val="none"/>
              </w:rPr>
            </w:pPr>
            <w:r>
              <w:rPr>
                <w:rFonts w:ascii="Verdana" w:hAnsi="Verdana"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14:paraId="5A75FE66">
            <w:pPr>
              <w:widowControl/>
              <w:spacing w:before="100" w:beforeAutospacing="1" w:after="100" w:afterAutospacing="1" w:line="240" w:lineRule="atLeast"/>
              <w:jc w:val="center"/>
              <w:rPr>
                <w:rFonts w:ascii="Verdana" w:hAnsi="Verdana" w:cs="宋体"/>
                <w:color w:val="auto"/>
                <w:kern w:val="0"/>
                <w:szCs w:val="21"/>
                <w:highlight w:val="none"/>
              </w:rPr>
            </w:pPr>
          </w:p>
        </w:tc>
      </w:tr>
      <w:tr w14:paraId="05797909">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8E290BD">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36D78797">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应按采购合同、竞争性磋商文件、竞标响应文件及验收方案等进行验收；并核对成交供应商在安装调试等方面是否违反合同约定或服务规范要求、提供的质量保证证明材料是否齐全、应有的配件及附件是否达到合同约定等。可附件</w:t>
            </w:r>
            <w:r>
              <w:rPr>
                <w:rFonts w:hint="eastAsia" w:ascii="Verdana" w:hAnsi="Verdana" w:cs="宋体"/>
                <w:color w:val="auto"/>
                <w:kern w:val="0"/>
                <w:szCs w:val="21"/>
                <w:highlight w:val="none"/>
              </w:rPr>
              <w:t>）</w:t>
            </w:r>
          </w:p>
        </w:tc>
      </w:tr>
      <w:tr w14:paraId="3E54F5CF">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0250532">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14:paraId="4745081C">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验收结论性意见</w:t>
            </w:r>
            <w:r>
              <w:rPr>
                <w:rFonts w:hint="eastAsia" w:ascii="Verdana" w:hAnsi="Verdana" w:cs="宋体"/>
                <w:color w:val="auto"/>
                <w:kern w:val="0"/>
                <w:szCs w:val="21"/>
                <w:highlight w:val="none"/>
              </w:rPr>
              <w:t>：</w:t>
            </w:r>
          </w:p>
        </w:tc>
      </w:tr>
      <w:tr w14:paraId="1AD0EB01">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5C66E5A8">
            <w:pPr>
              <w:widowControl/>
              <w:jc w:val="left"/>
              <w:rPr>
                <w:rFonts w:ascii="Verdana" w:hAnsi="Verdana" w:cs="宋体"/>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14:paraId="7285479A">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有异议的意见和说明理由</w:t>
            </w:r>
            <w:r>
              <w:rPr>
                <w:rFonts w:hint="eastAsia" w:ascii="Verdana" w:hAnsi="Verdana" w:cs="宋体"/>
                <w:color w:val="auto"/>
                <w:kern w:val="0"/>
                <w:szCs w:val="21"/>
                <w:highlight w:val="none"/>
              </w:rPr>
              <w:t>：</w:t>
            </w:r>
          </w:p>
          <w:p w14:paraId="7E18DC86">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签字</w:t>
            </w:r>
            <w:r>
              <w:rPr>
                <w:rFonts w:hint="eastAsia" w:ascii="Verdana" w:hAnsi="Verdana" w:cs="宋体"/>
                <w:color w:val="auto"/>
                <w:kern w:val="0"/>
                <w:szCs w:val="21"/>
                <w:highlight w:val="none"/>
              </w:rPr>
              <w:t>：</w:t>
            </w:r>
          </w:p>
        </w:tc>
      </w:tr>
      <w:tr w14:paraId="7BE5301D">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BD4559C">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验收小组成员签字</w:t>
            </w:r>
            <w:r>
              <w:rPr>
                <w:rFonts w:hint="eastAsia" w:ascii="Verdana" w:hAnsi="Verdana" w:cs="宋体"/>
                <w:color w:val="auto"/>
                <w:kern w:val="0"/>
                <w:szCs w:val="21"/>
                <w:highlight w:val="none"/>
              </w:rPr>
              <w:t>：</w:t>
            </w:r>
          </w:p>
        </w:tc>
      </w:tr>
      <w:tr w14:paraId="1B1B24CB">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273BEB3">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监督人员或其他相关人员签字</w:t>
            </w:r>
            <w:r>
              <w:rPr>
                <w:rFonts w:hint="eastAsia" w:ascii="Verdana" w:hAnsi="Verdana" w:cs="宋体"/>
                <w:color w:val="auto"/>
                <w:kern w:val="0"/>
                <w:szCs w:val="21"/>
                <w:highlight w:val="none"/>
              </w:rPr>
              <w:t>：</w:t>
            </w:r>
          </w:p>
          <w:p w14:paraId="4D679DBC">
            <w:pPr>
              <w:widowControl/>
              <w:spacing w:before="100" w:beforeAutospacing="1" w:after="100" w:afterAutospacing="1" w:line="320" w:lineRule="atLeast"/>
              <w:ind w:firstLine="74"/>
              <w:jc w:val="left"/>
              <w:rPr>
                <w:rFonts w:ascii="Verdana" w:hAnsi="Verdana" w:cs="宋体"/>
                <w:color w:val="auto"/>
                <w:kern w:val="0"/>
                <w:szCs w:val="21"/>
                <w:highlight w:val="none"/>
              </w:rPr>
            </w:pPr>
            <w:r>
              <w:rPr>
                <w:rFonts w:ascii="Verdana" w:hAnsi="Verdana" w:cs="宋体"/>
                <w:color w:val="auto"/>
                <w:kern w:val="0"/>
                <w:szCs w:val="21"/>
                <w:highlight w:val="none"/>
              </w:rPr>
              <w:t>或受邀机构的意见（盖章）</w:t>
            </w:r>
            <w:r>
              <w:rPr>
                <w:rFonts w:hint="eastAsia" w:ascii="Verdana" w:hAnsi="Verdana" w:cs="宋体"/>
                <w:color w:val="auto"/>
                <w:kern w:val="0"/>
                <w:szCs w:val="21"/>
                <w:highlight w:val="none"/>
              </w:rPr>
              <w:t>：</w:t>
            </w:r>
          </w:p>
        </w:tc>
      </w:tr>
      <w:tr w14:paraId="63481DCA">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7B5F3E02">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成交供应商负责人签字或盖章</w:t>
            </w:r>
            <w:r>
              <w:rPr>
                <w:rFonts w:hint="eastAsia" w:ascii="Verdana" w:hAnsi="Verdana" w:cs="宋体"/>
                <w:color w:val="auto"/>
                <w:kern w:val="0"/>
                <w:szCs w:val="21"/>
                <w:highlight w:val="none"/>
              </w:rPr>
              <w:t>：</w:t>
            </w:r>
          </w:p>
          <w:p w14:paraId="0FDAD0C2">
            <w:pPr>
              <w:widowControl/>
              <w:spacing w:before="100" w:beforeAutospacing="1" w:after="100" w:afterAutospacing="1" w:line="320" w:lineRule="atLeast"/>
              <w:jc w:val="left"/>
              <w:rPr>
                <w:rFonts w:ascii="Verdana" w:hAnsi="Verdana" w:cs="宋体"/>
                <w:color w:val="auto"/>
                <w:kern w:val="0"/>
                <w:szCs w:val="21"/>
                <w:highlight w:val="none"/>
              </w:rPr>
            </w:pPr>
          </w:p>
          <w:p w14:paraId="58876A08">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w:t>
            </w:r>
            <w:r>
              <w:rPr>
                <w:rFonts w:ascii="Verdana" w:hAnsi="Verdana" w:cs="宋体"/>
                <w:color w:val="auto"/>
                <w:kern w:val="0"/>
                <w:szCs w:val="21"/>
                <w:highlight w:val="none"/>
              </w:rPr>
              <w:t>年月日</w:t>
            </w:r>
          </w:p>
        </w:tc>
        <w:tc>
          <w:tcPr>
            <w:tcW w:w="4293" w:type="dxa"/>
            <w:gridSpan w:val="4"/>
            <w:tcBorders>
              <w:top w:val="nil"/>
              <w:left w:val="nil"/>
              <w:bottom w:val="single" w:color="auto" w:sz="8" w:space="0"/>
              <w:right w:val="single" w:color="auto" w:sz="8" w:space="0"/>
            </w:tcBorders>
            <w:vAlign w:val="center"/>
          </w:tcPr>
          <w:p w14:paraId="5DFBA0A7">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采购人或受托机构的意见（盖章）</w:t>
            </w:r>
            <w:r>
              <w:rPr>
                <w:rFonts w:hint="eastAsia" w:ascii="Verdana" w:hAnsi="Verdana" w:cs="宋体"/>
                <w:color w:val="auto"/>
                <w:kern w:val="0"/>
                <w:szCs w:val="21"/>
                <w:highlight w:val="none"/>
              </w:rPr>
              <w:t>：</w:t>
            </w:r>
          </w:p>
          <w:p w14:paraId="194F0827">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p>
          <w:p w14:paraId="07F87FB6">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w:t>
            </w:r>
            <w:r>
              <w:rPr>
                <w:rFonts w:ascii="Verdana" w:hAnsi="Verdana" w:cs="宋体"/>
                <w:color w:val="auto"/>
                <w:kern w:val="0"/>
                <w:szCs w:val="21"/>
                <w:highlight w:val="none"/>
              </w:rPr>
              <w:t>年月日</w:t>
            </w:r>
          </w:p>
        </w:tc>
      </w:tr>
    </w:tbl>
    <w:p w14:paraId="60ABC2D2">
      <w:pPr>
        <w:pStyle w:val="18"/>
        <w:spacing w:line="360" w:lineRule="auto"/>
        <w:textAlignment w:val="center"/>
        <w:rPr>
          <w:rFonts w:hAnsi="宋体"/>
          <w:b/>
          <w:color w:val="auto"/>
          <w:sz w:val="32"/>
          <w:szCs w:val="32"/>
          <w:highlight w:val="none"/>
        </w:rPr>
      </w:pPr>
      <w:r>
        <w:rPr>
          <w:color w:val="auto"/>
          <w:highlight w:val="none"/>
        </w:rPr>
        <w:br w:type="page"/>
      </w:r>
    </w:p>
    <w:p w14:paraId="385DD678">
      <w:pPr>
        <w:pStyle w:val="5"/>
        <w:jc w:val="center"/>
        <w:rPr>
          <w:color w:val="auto"/>
          <w:highlight w:val="none"/>
        </w:rPr>
      </w:pPr>
      <w:bookmarkStart w:id="74" w:name="_Toc20857"/>
      <w:r>
        <w:rPr>
          <w:rFonts w:hint="eastAsia"/>
          <w:color w:val="auto"/>
          <w:highlight w:val="none"/>
        </w:rPr>
        <w:t>第三章采购需求</w:t>
      </w:r>
      <w:bookmarkEnd w:id="74"/>
    </w:p>
    <w:p w14:paraId="02F98DD1">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说明：</w:t>
      </w:r>
    </w:p>
    <w:p w14:paraId="3AC244B2">
      <w:pPr>
        <w:spacing w:line="360" w:lineRule="auto"/>
        <w:ind w:firstLine="420" w:firstLineChars="200"/>
        <w:jc w:val="left"/>
        <w:rPr>
          <w:rFonts w:ascii="宋体" w:hAnsi="宋体" w:cs="宋体"/>
          <w:color w:val="auto"/>
          <w:szCs w:val="21"/>
          <w:highlight w:val="none"/>
        </w:rPr>
      </w:pPr>
      <w:r>
        <w:rPr>
          <w:rFonts w:hint="eastAsia" w:ascii="宋体" w:hAnsi="宋体"/>
          <w:color w:val="auto"/>
          <w:highlight w:val="none"/>
        </w:rPr>
        <w:t>1</w:t>
      </w:r>
      <w:r>
        <w:rPr>
          <w:rFonts w:hint="eastAsia"/>
          <w:color w:val="auto"/>
          <w:highlight w:val="none"/>
        </w:rPr>
        <w:t>. 为落实政府采购政策需满足的要求</w:t>
      </w:r>
    </w:p>
    <w:p w14:paraId="49D23C3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（1）本竞争性磋商采购文件所称中小企业必须符合《政府采购促进中小企业发展管理办法》（财库〔2020〕46号）的规定。</w:t>
      </w:r>
    </w:p>
    <w:p w14:paraId="215D6C9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（2）根据《财政部司法部关于政府采购支持监狱企业发展有关问题的通知》（财库〔2014〕68号）的规定，如供应商为监狱企业，视同小型、微型企业。</w:t>
      </w:r>
    </w:p>
    <w:p w14:paraId="181AB4F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（3）根据《关于促进残疾人就业政府采购政策的通知》（财库〔2017〕141号）的规定，如供应商为残疾人福利性单位，视同小型、微型企业。</w:t>
      </w:r>
    </w:p>
    <w:p w14:paraId="539C5937">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2.“实质性要求”是指采购需求中带“▲”的条款或者不能负偏离的条款或者已经指明不满足按响应文件按无效处理的条款。</w:t>
      </w:r>
    </w:p>
    <w:p w14:paraId="301780C0">
      <w:pPr>
        <w:spacing w:line="360" w:lineRule="auto"/>
        <w:ind w:firstLine="424" w:firstLineChars="202"/>
        <w:jc w:val="left"/>
        <w:rPr>
          <w:color w:val="auto"/>
          <w:highlight w:val="none"/>
        </w:rPr>
      </w:pPr>
      <w:r>
        <w:rPr>
          <w:rFonts w:hint="eastAsia" w:ascii="宋体" w:hAnsi="宋体" w:cs="宋体"/>
          <w:color w:val="auto"/>
          <w:szCs w:val="21"/>
          <w:highlight w:val="none"/>
        </w:rPr>
        <w:t>3.供应商应根据自身实际情况如实响应磋商文件</w:t>
      </w:r>
      <w:r>
        <w:rPr>
          <w:rFonts w:hint="eastAsia" w:ascii="宋体" w:hAnsi="宋体"/>
          <w:color w:val="auto"/>
          <w:szCs w:val="21"/>
          <w:highlight w:val="none"/>
        </w:rPr>
        <w:t>，对磋商文件提出的要求和条件作出明确响应</w:t>
      </w:r>
      <w:r>
        <w:rPr>
          <w:rFonts w:hint="eastAsia" w:ascii="宋体" w:hAnsi="宋体"/>
          <w:b/>
          <w:bCs/>
          <w:color w:val="auto"/>
          <w:szCs w:val="21"/>
          <w:highlight w:val="none"/>
        </w:rPr>
        <w:t>，否则将作无效响应处理。</w:t>
      </w:r>
      <w:r>
        <w:rPr>
          <w:rFonts w:hint="eastAsia"/>
          <w:color w:val="auto"/>
          <w:highlight w:val="none"/>
        </w:rPr>
        <w:t>对于重要技术条款或技术参数应当在响应文件中提供技术支持资料，技术支持资料以磋商文件中规定的形式为准，否则将视为无效技术支持资料。</w:t>
      </w:r>
    </w:p>
    <w:p w14:paraId="10B32390">
      <w:pPr>
        <w:spacing w:line="360" w:lineRule="auto"/>
        <w:ind w:firstLine="424" w:firstLineChars="202"/>
        <w:jc w:val="left"/>
        <w:rPr>
          <w:color w:val="auto"/>
          <w:highlight w:val="none"/>
        </w:rPr>
      </w:pPr>
      <w:r>
        <w:rPr>
          <w:rFonts w:hint="eastAsia" w:ascii="宋体" w:hAnsi="宋体" w:cs="宋体"/>
          <w:color w:val="auto"/>
          <w:szCs w:val="21"/>
          <w:highlight w:val="none"/>
        </w:rPr>
        <w:t>4.</w:t>
      </w:r>
      <w:r>
        <w:rPr>
          <w:rFonts w:hint="eastAsia"/>
          <w:color w:val="auto"/>
          <w:highlight w:val="none"/>
        </w:rPr>
        <w:t>供应商必须自行为其竞标产品侵犯他人的知识产权或者专利成果的行为承担相应法律责任。</w:t>
      </w:r>
    </w:p>
    <w:p w14:paraId="43680EAC">
      <w:pPr>
        <w:spacing w:line="360" w:lineRule="auto"/>
        <w:ind w:firstLine="310" w:firstLineChars="147"/>
        <w:rPr>
          <w:rFonts w:ascii="宋体" w:hAnsi="宋体"/>
          <w:b/>
          <w:color w:val="auto"/>
          <w:sz w:val="24"/>
          <w:szCs w:val="21"/>
          <w:highlight w:val="none"/>
        </w:rPr>
      </w:pPr>
      <w:r>
        <w:rPr>
          <w:rFonts w:ascii="宋体" w:hAnsi="宋体"/>
          <w:b/>
          <w:color w:val="auto"/>
          <w:highlight w:val="none"/>
        </w:rPr>
        <w:t>5</w:t>
      </w:r>
      <w:r>
        <w:rPr>
          <w:rFonts w:hint="eastAsia" w:ascii="宋体" w:hAnsi="宋体"/>
          <w:b/>
          <w:color w:val="auto"/>
          <w:highlight w:val="none"/>
        </w:rPr>
        <w:t>.本项目</w:t>
      </w:r>
      <w:r>
        <w:rPr>
          <w:rFonts w:ascii="宋体" w:hAnsi="宋体"/>
          <w:b/>
          <w:color w:val="auto"/>
          <w:highlight w:val="none"/>
        </w:rPr>
        <w:t>所属行业</w:t>
      </w:r>
      <w:r>
        <w:rPr>
          <w:rFonts w:hint="eastAsia" w:ascii="宋体" w:hAnsi="宋体"/>
          <w:b/>
          <w:bCs/>
          <w:color w:val="auto"/>
          <w:highlight w:val="none"/>
        </w:rPr>
        <w:t>：其他未列明行业。</w:t>
      </w:r>
      <w:r>
        <w:rPr>
          <w:rFonts w:hint="eastAsia" w:ascii="宋体" w:hAnsi="宋体"/>
          <w:color w:val="auto"/>
          <w:highlight w:val="none"/>
        </w:rPr>
        <w:t>从业人员300人以下的为中小微型企业。其中，从业人员100人及以上的为中型企业；从业人员10人及以上的为小型企业；从业人员10人以下的为微型企业。</w:t>
      </w:r>
    </w:p>
    <w:tbl>
      <w:tblPr>
        <w:tblStyle w:val="28"/>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2"/>
        <w:gridCol w:w="1033"/>
        <w:gridCol w:w="139"/>
        <w:gridCol w:w="660"/>
        <w:gridCol w:w="690"/>
        <w:gridCol w:w="5641"/>
      </w:tblGrid>
      <w:tr w14:paraId="04202A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14:paraId="0A07C1A4">
            <w:pPr>
              <w:tabs>
                <w:tab w:val="left" w:pos="180"/>
                <w:tab w:val="left" w:pos="1620"/>
              </w:tabs>
              <w:wordWrap w:val="0"/>
              <w:spacing w:line="400" w:lineRule="exact"/>
              <w:jc w:val="center"/>
              <w:rPr>
                <w:rFonts w:ascii="宋体" w:hAnsi="宋体" w:cs="宋体"/>
                <w:color w:val="auto"/>
                <w:szCs w:val="21"/>
                <w:highlight w:val="none"/>
              </w:rPr>
            </w:pPr>
            <w:r>
              <w:rPr>
                <w:rFonts w:hint="eastAsia" w:ascii="宋体" w:hAnsi="宋体" w:cs="宋体"/>
                <w:b/>
                <w:bCs/>
                <w:color w:val="auto"/>
                <w:szCs w:val="21"/>
                <w:highlight w:val="none"/>
              </w:rPr>
              <w:t>序号</w:t>
            </w:r>
          </w:p>
        </w:tc>
        <w:tc>
          <w:tcPr>
            <w:tcW w:w="1172" w:type="dxa"/>
            <w:gridSpan w:val="2"/>
            <w:tcBorders>
              <w:top w:val="single" w:color="auto" w:sz="4" w:space="0"/>
              <w:left w:val="single" w:color="auto" w:sz="4" w:space="0"/>
              <w:bottom w:val="single" w:color="auto" w:sz="4" w:space="0"/>
              <w:right w:val="single" w:color="auto" w:sz="4" w:space="0"/>
            </w:tcBorders>
            <w:vAlign w:val="center"/>
          </w:tcPr>
          <w:p w14:paraId="669C6C4B">
            <w:pPr>
              <w:tabs>
                <w:tab w:val="left" w:pos="180"/>
                <w:tab w:val="left" w:pos="1620"/>
              </w:tabs>
              <w:wordWrap w:val="0"/>
              <w:spacing w:line="400" w:lineRule="exact"/>
              <w:jc w:val="center"/>
              <w:rPr>
                <w:rFonts w:ascii="宋体" w:hAnsi="宋体" w:cs="宋体"/>
                <w:color w:val="auto"/>
                <w:szCs w:val="21"/>
                <w:highlight w:val="none"/>
              </w:rPr>
            </w:pPr>
            <w:r>
              <w:rPr>
                <w:rFonts w:hint="eastAsia" w:ascii="宋体" w:hAnsi="宋体" w:cs="宋体"/>
                <w:b/>
                <w:bCs/>
                <w:color w:val="auto"/>
                <w:szCs w:val="21"/>
                <w:highlight w:val="none"/>
              </w:rPr>
              <w:t>服务名称</w:t>
            </w:r>
          </w:p>
        </w:tc>
        <w:tc>
          <w:tcPr>
            <w:tcW w:w="660" w:type="dxa"/>
            <w:tcBorders>
              <w:top w:val="single" w:color="auto" w:sz="4" w:space="0"/>
              <w:left w:val="single" w:color="auto" w:sz="4" w:space="0"/>
              <w:bottom w:val="single" w:color="auto" w:sz="4" w:space="0"/>
              <w:right w:val="single" w:color="auto" w:sz="4" w:space="0"/>
            </w:tcBorders>
            <w:vAlign w:val="center"/>
          </w:tcPr>
          <w:p w14:paraId="19F37089">
            <w:pPr>
              <w:tabs>
                <w:tab w:val="left" w:pos="180"/>
                <w:tab w:val="left" w:pos="1620"/>
              </w:tabs>
              <w:wordWrap w:val="0"/>
              <w:spacing w:line="400" w:lineRule="exact"/>
              <w:jc w:val="center"/>
              <w:rPr>
                <w:rFonts w:ascii="宋体" w:hAnsi="宋体" w:cs="宋体"/>
                <w:color w:val="auto"/>
                <w:szCs w:val="21"/>
                <w:highlight w:val="none"/>
              </w:rPr>
            </w:pPr>
            <w:r>
              <w:rPr>
                <w:rFonts w:hint="eastAsia" w:ascii="宋体" w:hAnsi="宋体" w:cs="宋体"/>
                <w:b/>
                <w:bCs/>
                <w:color w:val="auto"/>
                <w:szCs w:val="21"/>
                <w:highlight w:val="none"/>
              </w:rPr>
              <w:t>数量</w:t>
            </w:r>
          </w:p>
        </w:tc>
        <w:tc>
          <w:tcPr>
            <w:tcW w:w="690" w:type="dxa"/>
            <w:tcBorders>
              <w:top w:val="single" w:color="auto" w:sz="4" w:space="0"/>
              <w:left w:val="single" w:color="auto" w:sz="4" w:space="0"/>
              <w:bottom w:val="single" w:color="auto" w:sz="4" w:space="0"/>
              <w:right w:val="single" w:color="auto" w:sz="4" w:space="0"/>
            </w:tcBorders>
            <w:vAlign w:val="center"/>
          </w:tcPr>
          <w:p w14:paraId="2B30F1D7">
            <w:pPr>
              <w:tabs>
                <w:tab w:val="left" w:pos="180"/>
                <w:tab w:val="left" w:pos="1620"/>
              </w:tabs>
              <w:wordWrap w:val="0"/>
              <w:spacing w:line="400" w:lineRule="exact"/>
              <w:jc w:val="center"/>
              <w:rPr>
                <w:rFonts w:ascii="宋体" w:hAnsi="宋体" w:cs="宋体"/>
                <w:color w:val="auto"/>
                <w:szCs w:val="21"/>
                <w:highlight w:val="none"/>
              </w:rPr>
            </w:pPr>
            <w:r>
              <w:rPr>
                <w:rFonts w:hint="eastAsia" w:ascii="宋体" w:hAnsi="宋体" w:cs="宋体"/>
                <w:b/>
                <w:bCs/>
                <w:color w:val="auto"/>
                <w:szCs w:val="21"/>
                <w:highlight w:val="none"/>
              </w:rPr>
              <w:t>单位</w:t>
            </w:r>
          </w:p>
        </w:tc>
        <w:tc>
          <w:tcPr>
            <w:tcW w:w="5641" w:type="dxa"/>
            <w:tcBorders>
              <w:top w:val="single" w:color="auto" w:sz="4" w:space="0"/>
              <w:left w:val="single" w:color="auto" w:sz="4" w:space="0"/>
              <w:bottom w:val="single" w:color="auto" w:sz="4" w:space="0"/>
              <w:right w:val="single" w:color="auto" w:sz="4" w:space="0"/>
            </w:tcBorders>
            <w:vAlign w:val="center"/>
          </w:tcPr>
          <w:p w14:paraId="0FBA962E">
            <w:pPr>
              <w:tabs>
                <w:tab w:val="left" w:pos="180"/>
                <w:tab w:val="left" w:pos="1620"/>
              </w:tabs>
              <w:wordWrap w:val="0"/>
              <w:spacing w:line="400" w:lineRule="exact"/>
              <w:jc w:val="center"/>
              <w:rPr>
                <w:rFonts w:ascii="宋体" w:hAnsi="宋体" w:cs="宋体"/>
                <w:b/>
                <w:bCs/>
                <w:color w:val="auto"/>
                <w:szCs w:val="21"/>
                <w:highlight w:val="none"/>
              </w:rPr>
            </w:pPr>
            <w:r>
              <w:rPr>
                <w:rFonts w:hint="eastAsia" w:ascii="宋体" w:hAnsi="宋体" w:cs="宋体"/>
                <w:color w:val="auto"/>
                <w:szCs w:val="21"/>
                <w:highlight w:val="none"/>
              </w:rPr>
              <w:t>▲</w:t>
            </w:r>
            <w:r>
              <w:rPr>
                <w:rFonts w:hint="eastAsia" w:ascii="宋体" w:hAnsi="宋体" w:cs="宋体"/>
                <w:b/>
                <w:bCs/>
                <w:color w:val="auto"/>
                <w:szCs w:val="21"/>
                <w:highlight w:val="none"/>
              </w:rPr>
              <w:t>技术要求</w:t>
            </w:r>
          </w:p>
        </w:tc>
      </w:tr>
      <w:tr w14:paraId="4F65A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14:paraId="61139DAC">
            <w:pPr>
              <w:wordWrap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172" w:type="dxa"/>
            <w:gridSpan w:val="2"/>
            <w:tcBorders>
              <w:top w:val="single" w:color="auto" w:sz="4" w:space="0"/>
              <w:left w:val="single" w:color="auto" w:sz="4" w:space="0"/>
              <w:bottom w:val="single" w:color="auto" w:sz="4" w:space="0"/>
              <w:right w:val="single" w:color="auto" w:sz="4" w:space="0"/>
            </w:tcBorders>
            <w:vAlign w:val="center"/>
          </w:tcPr>
          <w:p w14:paraId="4894BE9A">
            <w:pPr>
              <w:tabs>
                <w:tab w:val="left" w:pos="180"/>
                <w:tab w:val="left" w:pos="1620"/>
              </w:tabs>
              <w:wordWrap w:val="0"/>
              <w:spacing w:line="400" w:lineRule="exact"/>
              <w:jc w:val="center"/>
              <w:rPr>
                <w:rFonts w:ascii="宋体" w:hAnsi="宋体" w:cs="宋体"/>
                <w:b/>
                <w:bCs/>
                <w:color w:val="auto"/>
                <w:szCs w:val="21"/>
                <w:highlight w:val="none"/>
              </w:rPr>
            </w:pPr>
            <w:r>
              <w:rPr>
                <w:rFonts w:hint="eastAsia" w:ascii="宋体" w:hAnsi="宋体" w:cs="宋体"/>
                <w:color w:val="auto"/>
                <w:szCs w:val="21"/>
                <w:highlight w:val="none"/>
              </w:rPr>
              <w:t>海城区廉州湾沙脚对出海域非法养殖占海设施清理整治项目</w:t>
            </w:r>
          </w:p>
        </w:tc>
        <w:tc>
          <w:tcPr>
            <w:tcW w:w="660" w:type="dxa"/>
            <w:tcBorders>
              <w:top w:val="single" w:color="auto" w:sz="4" w:space="0"/>
              <w:left w:val="single" w:color="auto" w:sz="4" w:space="0"/>
              <w:bottom w:val="single" w:color="auto" w:sz="4" w:space="0"/>
              <w:right w:val="single" w:color="auto" w:sz="4" w:space="0"/>
            </w:tcBorders>
            <w:vAlign w:val="center"/>
          </w:tcPr>
          <w:p w14:paraId="0D610219">
            <w:pPr>
              <w:pStyle w:val="2"/>
              <w:wordWrap w:val="0"/>
              <w:spacing w:after="0"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690" w:type="dxa"/>
            <w:tcBorders>
              <w:top w:val="single" w:color="auto" w:sz="4" w:space="0"/>
              <w:left w:val="single" w:color="auto" w:sz="4" w:space="0"/>
              <w:bottom w:val="single" w:color="auto" w:sz="4" w:space="0"/>
              <w:right w:val="single" w:color="auto" w:sz="4" w:space="0"/>
            </w:tcBorders>
            <w:vAlign w:val="center"/>
          </w:tcPr>
          <w:p w14:paraId="5D9A3EFD">
            <w:pPr>
              <w:wordWrap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w:t>
            </w:r>
          </w:p>
        </w:tc>
        <w:tc>
          <w:tcPr>
            <w:tcW w:w="5641" w:type="dxa"/>
            <w:tcBorders>
              <w:top w:val="single" w:color="auto" w:sz="4" w:space="0"/>
              <w:left w:val="single" w:color="auto" w:sz="4" w:space="0"/>
              <w:bottom w:val="single" w:color="auto" w:sz="4" w:space="0"/>
              <w:right w:val="single" w:color="auto" w:sz="4" w:space="0"/>
            </w:tcBorders>
            <w:shd w:val="clear" w:color="auto" w:fill="auto"/>
            <w:vAlign w:val="center"/>
          </w:tcPr>
          <w:p w14:paraId="016F5BD0">
            <w:pPr>
              <w:pStyle w:val="14"/>
              <w:numPr>
                <w:ilvl w:val="0"/>
                <w:numId w:val="1"/>
              </w:numPr>
              <w:wordWrap w:val="0"/>
              <w:spacing w:line="400" w:lineRule="exact"/>
              <w:jc w:val="both"/>
              <w:rPr>
                <w:rFonts w:ascii="宋体" w:hAnsi="宋体" w:cs="宋体"/>
                <w:color w:val="auto"/>
                <w:szCs w:val="21"/>
                <w:highlight w:val="none"/>
              </w:rPr>
            </w:pPr>
            <w:r>
              <w:rPr>
                <w:rFonts w:hint="eastAsia" w:ascii="宋体" w:hAnsi="宋体" w:cs="宋体"/>
                <w:b/>
                <w:color w:val="auto"/>
                <w:szCs w:val="21"/>
                <w:highlight w:val="none"/>
              </w:rPr>
              <w:t>项目概况：</w:t>
            </w:r>
          </w:p>
          <w:p w14:paraId="2821DD42">
            <w:pPr>
              <w:pStyle w:val="14"/>
              <w:wordWrap w:val="0"/>
              <w:spacing w:line="400" w:lineRule="exact"/>
              <w:jc w:val="both"/>
              <w:rPr>
                <w:rFonts w:ascii="宋体" w:hAnsi="宋体" w:cs="宋体"/>
                <w:color w:val="auto"/>
                <w:szCs w:val="21"/>
                <w:highlight w:val="none"/>
              </w:rPr>
            </w:pPr>
            <w:r>
              <w:rPr>
                <w:rFonts w:hint="eastAsia" w:ascii="宋体" w:hAnsi="宋体" w:cs="宋体"/>
                <w:color w:val="auto"/>
                <w:szCs w:val="21"/>
                <w:highlight w:val="none"/>
              </w:rPr>
              <w:t>1.清理对象：北海市廉州湾沙脚对出海域存在的非法养殖设施。</w:t>
            </w:r>
          </w:p>
          <w:p w14:paraId="3631E447">
            <w:pPr>
              <w:pStyle w:val="14"/>
              <w:wordWrap w:val="0"/>
              <w:spacing w:line="400" w:lineRule="exact"/>
              <w:jc w:val="both"/>
              <w:rPr>
                <w:rFonts w:ascii="宋体" w:hAnsi="宋体" w:cs="宋体"/>
                <w:color w:val="auto"/>
                <w:szCs w:val="21"/>
                <w:highlight w:val="none"/>
              </w:rPr>
            </w:pPr>
            <w:r>
              <w:rPr>
                <w:rFonts w:hint="eastAsia" w:ascii="宋体" w:hAnsi="宋体" w:cs="宋体"/>
                <w:color w:val="auto"/>
                <w:szCs w:val="21"/>
                <w:highlight w:val="none"/>
              </w:rPr>
              <w:t>2.清理整治范围：北海市廉州湾沙脚对出海域内，海域坐标详见附件1。</w:t>
            </w:r>
          </w:p>
          <w:p w14:paraId="330F38B8">
            <w:pPr>
              <w:pStyle w:val="14"/>
              <w:wordWrap w:val="0"/>
              <w:spacing w:line="400" w:lineRule="exact"/>
              <w:jc w:val="both"/>
              <w:rPr>
                <w:rFonts w:ascii="宋体" w:hAnsi="宋体" w:cs="宋体"/>
                <w:color w:val="auto"/>
                <w:szCs w:val="21"/>
                <w:highlight w:val="none"/>
              </w:rPr>
            </w:pPr>
            <w:r>
              <w:rPr>
                <w:rFonts w:hint="eastAsia" w:ascii="宋体" w:hAnsi="宋体" w:cs="宋体"/>
                <w:color w:val="auto"/>
                <w:szCs w:val="21"/>
                <w:highlight w:val="none"/>
              </w:rPr>
              <w:t>3.清理内容为：对海城区廉州湾沙脚对出海域内存在的非法养殖占海设施进行清理拆除，凡在上述区域内的蚝桩、废弃蚝堆、渔箔等非法养殖设施，按照采购人提供的航拍、定位、测量图或范围进行清理。</w:t>
            </w:r>
          </w:p>
          <w:p w14:paraId="69FFC08F">
            <w:pPr>
              <w:pStyle w:val="14"/>
              <w:wordWrap w:val="0"/>
              <w:spacing w:line="400" w:lineRule="exact"/>
              <w:jc w:val="both"/>
              <w:rPr>
                <w:rFonts w:ascii="宋体" w:hAnsi="宋体" w:cs="宋体"/>
                <w:color w:val="auto"/>
                <w:szCs w:val="21"/>
                <w:highlight w:val="none"/>
              </w:rPr>
            </w:pPr>
            <w:r>
              <w:rPr>
                <w:rFonts w:hint="eastAsia" w:ascii="宋体" w:hAnsi="宋体" w:cs="宋体"/>
                <w:color w:val="auto"/>
                <w:szCs w:val="21"/>
                <w:highlight w:val="none"/>
              </w:rPr>
              <w:t>4.清理方式：采用机械和人工相结合的方式进行。</w:t>
            </w:r>
          </w:p>
          <w:p w14:paraId="138B265D">
            <w:pPr>
              <w:pStyle w:val="14"/>
              <w:wordWrap w:val="0"/>
              <w:spacing w:line="400" w:lineRule="exact"/>
              <w:jc w:val="both"/>
              <w:rPr>
                <w:rFonts w:ascii="宋体" w:hAnsi="宋体" w:cs="宋体"/>
                <w:b/>
                <w:color w:val="auto"/>
                <w:szCs w:val="21"/>
                <w:highlight w:val="none"/>
              </w:rPr>
            </w:pPr>
            <w:r>
              <w:rPr>
                <w:rFonts w:hint="eastAsia" w:ascii="宋体" w:hAnsi="宋体" w:cs="宋体"/>
                <w:b/>
                <w:color w:val="auto"/>
                <w:szCs w:val="21"/>
                <w:highlight w:val="none"/>
              </w:rPr>
              <w:t>二、服务内容及要求</w:t>
            </w:r>
          </w:p>
          <w:p w14:paraId="5C4B6D4A">
            <w:pPr>
              <w:pStyle w:val="14"/>
              <w:wordWrap w:val="0"/>
              <w:spacing w:line="400" w:lineRule="exact"/>
              <w:jc w:val="both"/>
              <w:rPr>
                <w:rFonts w:ascii="宋体" w:hAnsi="宋体" w:cs="宋体"/>
                <w:color w:val="auto"/>
                <w:szCs w:val="21"/>
                <w:highlight w:val="none"/>
              </w:rPr>
            </w:pPr>
            <w:r>
              <w:rPr>
                <w:rFonts w:hint="eastAsia" w:ascii="宋体" w:hAnsi="宋体" w:cs="宋体"/>
                <w:color w:val="auto"/>
                <w:szCs w:val="21"/>
                <w:highlight w:val="none"/>
              </w:rPr>
              <w:t>1.清理整治内容包括：</w:t>
            </w:r>
          </w:p>
          <w:p w14:paraId="54AC8FDD">
            <w:pPr>
              <w:pStyle w:val="14"/>
              <w:wordWrap w:val="0"/>
              <w:spacing w:line="400" w:lineRule="exact"/>
              <w:jc w:val="both"/>
              <w:rPr>
                <w:rFonts w:ascii="宋体" w:hAnsi="宋体" w:cs="宋体"/>
                <w:color w:val="auto"/>
                <w:szCs w:val="21"/>
                <w:highlight w:val="none"/>
              </w:rPr>
            </w:pPr>
            <w:r>
              <w:rPr>
                <w:rFonts w:hint="eastAsia" w:ascii="宋体" w:hAnsi="宋体" w:cs="宋体"/>
                <w:color w:val="auto"/>
                <w:szCs w:val="21"/>
                <w:highlight w:val="none"/>
              </w:rPr>
              <w:t>水泥蚝桩拆除、废弃蚝堆拆除、渔箔拆除，具体服务项目、具体技术要求及单价最高限价等内容详见本项目附件2《项目服务清单》。</w:t>
            </w:r>
          </w:p>
          <w:p w14:paraId="7B180545">
            <w:pPr>
              <w:pStyle w:val="14"/>
              <w:wordWrap w:val="0"/>
              <w:spacing w:line="400" w:lineRule="exact"/>
              <w:jc w:val="both"/>
              <w:rPr>
                <w:rFonts w:ascii="宋体" w:hAnsi="宋体" w:cs="宋体"/>
                <w:color w:val="auto"/>
                <w:szCs w:val="21"/>
                <w:highlight w:val="none"/>
              </w:rPr>
            </w:pPr>
            <w:r>
              <w:rPr>
                <w:rFonts w:hint="eastAsia" w:ascii="宋体" w:hAnsi="宋体" w:cs="宋体"/>
                <w:color w:val="auto"/>
                <w:szCs w:val="21"/>
                <w:highlight w:val="none"/>
              </w:rPr>
              <w:t>2.清理后的蚝桩等不得随意丢弃、填埋，需符合环保等相关规定进行妥善处置。</w:t>
            </w:r>
          </w:p>
          <w:p w14:paraId="638F2F29">
            <w:pPr>
              <w:pStyle w:val="14"/>
              <w:wordWrap w:val="0"/>
              <w:spacing w:line="400" w:lineRule="exact"/>
              <w:jc w:val="both"/>
              <w:rPr>
                <w:rFonts w:ascii="宋体" w:hAnsi="宋体" w:cs="宋体"/>
                <w:color w:val="auto"/>
                <w:szCs w:val="21"/>
                <w:highlight w:val="none"/>
              </w:rPr>
            </w:pPr>
            <w:r>
              <w:rPr>
                <w:rFonts w:hint="eastAsia" w:ascii="宋体" w:hAnsi="宋体" w:cs="宋体"/>
                <w:color w:val="auto"/>
                <w:szCs w:val="21"/>
                <w:highlight w:val="none"/>
              </w:rPr>
              <w:t>3.清理整治验收要求：单次清理行动结束后（即按照采购人提供的清理范围内非法养殖设施需清理完成后），在当日（次日）最低潮清理验收时，要求清理范围内无竖立的蚝柱；渔箔、废弃蚝堆等非法养殖设施予以拆除。</w:t>
            </w:r>
          </w:p>
          <w:p w14:paraId="071124EB">
            <w:pPr>
              <w:pStyle w:val="14"/>
              <w:wordWrap w:val="0"/>
              <w:spacing w:line="400" w:lineRule="exact"/>
              <w:jc w:val="both"/>
              <w:rPr>
                <w:rFonts w:ascii="宋体" w:hAnsi="宋体" w:cs="宋体"/>
                <w:color w:val="auto"/>
                <w:szCs w:val="21"/>
                <w:highlight w:val="none"/>
              </w:rPr>
            </w:pPr>
            <w:r>
              <w:rPr>
                <w:rFonts w:hint="eastAsia" w:ascii="宋体" w:hAnsi="宋体" w:cs="宋体"/>
                <w:color w:val="auto"/>
                <w:szCs w:val="21"/>
                <w:highlight w:val="none"/>
              </w:rPr>
              <w:t>4.成交人根据潮汐变化及现状，在合同签订后3个工作日内向采购人提供包含但不限于投入的机械设备和相关人员信息的方案计划，经采购人审核确认后，按成交人制定的方案计划执行。成交人必须严格按照采购人确定的计划执行清理工作，清理过程需全程至少以照片的形式记录，如有特殊情况，需要增加清理工作或不能按计划清理，必须提前1天以书面形式上报采购人。</w:t>
            </w:r>
          </w:p>
          <w:p w14:paraId="37C209DD">
            <w:pPr>
              <w:pStyle w:val="14"/>
              <w:wordWrap w:val="0"/>
              <w:spacing w:line="400" w:lineRule="exact"/>
              <w:jc w:val="both"/>
              <w:rPr>
                <w:rFonts w:ascii="宋体" w:hAnsi="宋体" w:cs="宋体"/>
                <w:color w:val="auto"/>
                <w:szCs w:val="21"/>
                <w:highlight w:val="none"/>
              </w:rPr>
            </w:pPr>
            <w:r>
              <w:rPr>
                <w:rFonts w:hint="eastAsia" w:ascii="宋体" w:hAnsi="宋体" w:cs="宋体"/>
                <w:color w:val="auto"/>
                <w:szCs w:val="21"/>
                <w:highlight w:val="none"/>
              </w:rPr>
              <w:t>5.在清理过程中，如果与群众发生了冲突，由供应商负责协调和解决，因冲突导致人员伤亡财产损失或者工期延误，由此产生的后果均由供应商负责。</w:t>
            </w:r>
          </w:p>
          <w:p w14:paraId="2A01297F">
            <w:pPr>
              <w:pStyle w:val="14"/>
              <w:wordWrap w:val="0"/>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6.设备及人员要求：</w:t>
            </w:r>
          </w:p>
          <w:p w14:paraId="09A1A82F">
            <w:pPr>
              <w:pStyle w:val="14"/>
              <w:wordWrap w:val="0"/>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（1）供应商须指定1名项目负责人，拟提供的清理工作人员不少于10名，响应文件中提供项目实施人员一览表，否则按无效竞标处理。</w:t>
            </w:r>
          </w:p>
          <w:p w14:paraId="19BDCBA6">
            <w:pPr>
              <w:pStyle w:val="14"/>
              <w:wordWrap w:val="0"/>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（2）供应商能提供满足实施所需的相关机械和设备，如水上挖掘机、工作船、清运车等。（响应文件中提供相关承诺函，格式自拟，否则按无效竞标处理）</w:t>
            </w:r>
          </w:p>
          <w:p w14:paraId="213A581A">
            <w:pPr>
              <w:pStyle w:val="14"/>
              <w:wordWrap w:val="0"/>
              <w:spacing w:line="400" w:lineRule="exact"/>
              <w:jc w:val="both"/>
              <w:rPr>
                <w:rFonts w:ascii="宋体" w:hAnsi="宋体" w:cs="宋体"/>
                <w:color w:val="auto"/>
                <w:szCs w:val="21"/>
                <w:highlight w:val="none"/>
              </w:rPr>
            </w:pPr>
            <w:r>
              <w:rPr>
                <w:rFonts w:hint="eastAsia" w:ascii="宋体" w:hAnsi="宋体" w:cs="宋体"/>
                <w:color w:val="auto"/>
                <w:szCs w:val="21"/>
                <w:highlight w:val="none"/>
              </w:rPr>
              <w:t>（3）采购人协助成交人办理机械、船舶进行水上作业的通行许可手续。</w:t>
            </w:r>
          </w:p>
          <w:p w14:paraId="5652AB25">
            <w:pPr>
              <w:pStyle w:val="14"/>
              <w:wordWrap w:val="0"/>
              <w:spacing w:line="400" w:lineRule="exact"/>
              <w:jc w:val="both"/>
              <w:rPr>
                <w:rFonts w:ascii="宋体" w:hAnsi="宋体" w:cs="宋体"/>
                <w:color w:val="auto"/>
                <w:szCs w:val="21"/>
                <w:highlight w:val="none"/>
              </w:rPr>
            </w:pPr>
            <w:r>
              <w:rPr>
                <w:rFonts w:hint="eastAsia" w:ascii="宋体" w:hAnsi="宋体" w:cs="宋体"/>
                <w:color w:val="auto"/>
                <w:szCs w:val="21"/>
                <w:highlight w:val="none"/>
              </w:rPr>
              <w:t>（4）在清理过程必须全程至少以照片的形式记录，并进行留存档案，作为申请清理费用的资料一并提交给采购人。</w:t>
            </w:r>
          </w:p>
          <w:p w14:paraId="3C7C9225">
            <w:pPr>
              <w:pStyle w:val="14"/>
              <w:wordWrap w:val="0"/>
              <w:spacing w:line="400" w:lineRule="exact"/>
              <w:jc w:val="both"/>
              <w:rPr>
                <w:rFonts w:ascii="宋体" w:hAnsi="宋体" w:cs="宋体"/>
                <w:color w:val="auto"/>
                <w:szCs w:val="21"/>
                <w:highlight w:val="none"/>
              </w:rPr>
            </w:pPr>
            <w:r>
              <w:rPr>
                <w:rFonts w:hint="eastAsia" w:ascii="宋体" w:hAnsi="宋体" w:cs="宋体"/>
                <w:color w:val="auto"/>
                <w:szCs w:val="21"/>
                <w:highlight w:val="none"/>
              </w:rPr>
              <w:t>（5）成交人负责实施项目人员的人身安全及财产安全，要求清理工作时，现场所有工作人员必须穿戴救生衣，船上配备急救用品，严格要求工作人员进行安全作业。成交人出现安全问题或因成交人原因致使第三方出现财产损失、人身安全问题，采购人概不负责。</w:t>
            </w:r>
          </w:p>
          <w:p w14:paraId="11FF57E8">
            <w:pPr>
              <w:pStyle w:val="14"/>
              <w:wordWrap w:val="0"/>
              <w:spacing w:line="400" w:lineRule="exact"/>
              <w:jc w:val="both"/>
              <w:rPr>
                <w:rFonts w:ascii="宋体" w:hAnsi="宋体" w:cs="宋体"/>
                <w:b/>
                <w:color w:val="auto"/>
                <w:szCs w:val="21"/>
                <w:highlight w:val="none"/>
              </w:rPr>
            </w:pPr>
            <w:r>
              <w:rPr>
                <w:rFonts w:hint="eastAsia" w:ascii="宋体" w:hAnsi="宋体" w:cs="宋体"/>
                <w:b/>
                <w:color w:val="auto"/>
                <w:szCs w:val="21"/>
                <w:highlight w:val="none"/>
              </w:rPr>
              <w:t>三、质量控制要求</w:t>
            </w:r>
          </w:p>
          <w:p w14:paraId="0BDC172E">
            <w:pPr>
              <w:pStyle w:val="14"/>
              <w:wordWrap w:val="0"/>
              <w:spacing w:line="400" w:lineRule="exact"/>
              <w:jc w:val="both"/>
              <w:rPr>
                <w:rFonts w:ascii="宋体" w:hAnsi="宋体" w:cs="宋体"/>
                <w:color w:val="auto"/>
                <w:szCs w:val="21"/>
                <w:highlight w:val="none"/>
              </w:rPr>
            </w:pPr>
            <w:r>
              <w:rPr>
                <w:rFonts w:hint="eastAsia" w:ascii="宋体" w:hAnsi="宋体" w:cs="宋体"/>
                <w:color w:val="auto"/>
                <w:szCs w:val="21"/>
                <w:highlight w:val="none"/>
              </w:rPr>
              <w:t>1.实施前质量控制要求</w:t>
            </w:r>
          </w:p>
          <w:p w14:paraId="15720685">
            <w:pPr>
              <w:pStyle w:val="14"/>
              <w:wordWrap w:val="0"/>
              <w:spacing w:line="400" w:lineRule="exact"/>
              <w:jc w:val="both"/>
              <w:rPr>
                <w:rFonts w:ascii="宋体" w:hAnsi="宋体" w:cs="宋体"/>
                <w:color w:val="auto"/>
                <w:szCs w:val="21"/>
                <w:highlight w:val="none"/>
              </w:rPr>
            </w:pPr>
            <w:r>
              <w:rPr>
                <w:rFonts w:hint="eastAsia" w:ascii="宋体" w:hAnsi="宋体" w:cs="宋体"/>
                <w:color w:val="auto"/>
                <w:szCs w:val="21"/>
                <w:highlight w:val="none"/>
              </w:rPr>
              <w:t>（1）核查人员配备、职责与分工的落实情况。</w:t>
            </w:r>
          </w:p>
          <w:p w14:paraId="5270E8BE">
            <w:pPr>
              <w:pStyle w:val="14"/>
              <w:wordWrap w:val="0"/>
              <w:spacing w:line="400" w:lineRule="exact"/>
              <w:jc w:val="both"/>
              <w:rPr>
                <w:rFonts w:ascii="宋体" w:hAnsi="宋体" w:cs="宋体"/>
                <w:color w:val="auto"/>
                <w:szCs w:val="21"/>
                <w:highlight w:val="none"/>
              </w:rPr>
            </w:pPr>
            <w:r>
              <w:rPr>
                <w:rFonts w:hint="eastAsia" w:ascii="宋体" w:hAnsi="宋体" w:cs="宋体"/>
                <w:color w:val="auto"/>
                <w:szCs w:val="21"/>
                <w:highlight w:val="none"/>
              </w:rPr>
              <w:t>（2）完成各级专职质量检查人员的配备。</w:t>
            </w:r>
          </w:p>
          <w:p w14:paraId="509DA55A">
            <w:pPr>
              <w:pStyle w:val="14"/>
              <w:wordWrap w:val="0"/>
              <w:spacing w:line="400" w:lineRule="exact"/>
              <w:jc w:val="both"/>
              <w:rPr>
                <w:rFonts w:ascii="宋体" w:hAnsi="宋体" w:cs="宋体"/>
                <w:color w:val="auto"/>
                <w:szCs w:val="21"/>
                <w:highlight w:val="none"/>
              </w:rPr>
            </w:pPr>
            <w:r>
              <w:rPr>
                <w:rFonts w:hint="eastAsia" w:ascii="宋体" w:hAnsi="宋体" w:cs="宋体"/>
                <w:color w:val="auto"/>
                <w:szCs w:val="21"/>
                <w:highlight w:val="none"/>
              </w:rPr>
              <w:t>（3）检查各项管理制度是否健全。</w:t>
            </w:r>
          </w:p>
          <w:p w14:paraId="4ADD4FDA">
            <w:pPr>
              <w:pStyle w:val="14"/>
              <w:wordWrap w:val="0"/>
              <w:spacing w:line="400" w:lineRule="exact"/>
              <w:jc w:val="both"/>
              <w:rPr>
                <w:rFonts w:ascii="宋体" w:hAnsi="宋体" w:cs="宋体"/>
                <w:color w:val="auto"/>
                <w:szCs w:val="21"/>
                <w:highlight w:val="none"/>
              </w:rPr>
            </w:pPr>
            <w:r>
              <w:rPr>
                <w:rFonts w:hint="eastAsia" w:ascii="宋体" w:hAnsi="宋体" w:cs="宋体"/>
                <w:color w:val="auto"/>
                <w:szCs w:val="21"/>
                <w:highlight w:val="none"/>
              </w:rPr>
              <w:t>2.实施阶段中质量控制要求</w:t>
            </w:r>
          </w:p>
          <w:p w14:paraId="274D3617">
            <w:pPr>
              <w:pStyle w:val="14"/>
              <w:wordWrap w:val="0"/>
              <w:spacing w:line="400" w:lineRule="exact"/>
              <w:jc w:val="both"/>
              <w:rPr>
                <w:rFonts w:ascii="宋体" w:hAnsi="宋体" w:cs="宋体"/>
                <w:color w:val="auto"/>
                <w:szCs w:val="21"/>
                <w:highlight w:val="none"/>
              </w:rPr>
            </w:pPr>
            <w:r>
              <w:rPr>
                <w:rFonts w:hint="eastAsia" w:ascii="宋体" w:hAnsi="宋体" w:cs="宋体"/>
                <w:color w:val="auto"/>
                <w:szCs w:val="21"/>
                <w:highlight w:val="none"/>
              </w:rPr>
              <w:t>（1）对实施现场有目的的进行巡回检查，及时地发现和纠正实施中存在的问题。</w:t>
            </w:r>
          </w:p>
          <w:p w14:paraId="5820C64D">
            <w:pPr>
              <w:pStyle w:val="14"/>
              <w:wordWrap w:val="0"/>
              <w:spacing w:line="400" w:lineRule="exact"/>
              <w:jc w:val="both"/>
              <w:rPr>
                <w:rFonts w:ascii="宋体" w:hAnsi="宋体" w:cs="宋体"/>
                <w:color w:val="auto"/>
                <w:szCs w:val="21"/>
                <w:highlight w:val="none"/>
              </w:rPr>
            </w:pPr>
            <w:r>
              <w:rPr>
                <w:rFonts w:hint="eastAsia" w:ascii="宋体" w:hAnsi="宋体" w:cs="宋体"/>
                <w:color w:val="auto"/>
                <w:szCs w:val="21"/>
                <w:highlight w:val="none"/>
              </w:rPr>
              <w:t>（2）在服务区域进行自检、核查，发现不合格的立即进行整改，合格后再进行复查。</w:t>
            </w:r>
          </w:p>
          <w:p w14:paraId="7C646FC8">
            <w:pPr>
              <w:pStyle w:val="14"/>
              <w:wordWrap w:val="0"/>
              <w:spacing w:line="400" w:lineRule="exact"/>
              <w:jc w:val="both"/>
              <w:rPr>
                <w:rFonts w:ascii="宋体" w:hAnsi="宋体" w:cs="宋体"/>
                <w:color w:val="auto"/>
                <w:szCs w:val="21"/>
                <w:highlight w:val="none"/>
              </w:rPr>
            </w:pPr>
            <w:r>
              <w:rPr>
                <w:rFonts w:hint="eastAsia" w:ascii="宋体" w:hAnsi="宋体" w:cs="宋体"/>
                <w:color w:val="auto"/>
                <w:szCs w:val="21"/>
                <w:highlight w:val="none"/>
              </w:rPr>
              <w:t>3.质量问题和质量事故处理要求</w:t>
            </w:r>
          </w:p>
          <w:p w14:paraId="34213681">
            <w:pPr>
              <w:pStyle w:val="14"/>
              <w:wordWrap w:val="0"/>
              <w:spacing w:line="400" w:lineRule="exact"/>
              <w:jc w:val="both"/>
              <w:rPr>
                <w:rFonts w:ascii="宋体" w:hAnsi="宋体" w:cs="宋体"/>
                <w:color w:val="auto"/>
                <w:szCs w:val="21"/>
                <w:highlight w:val="none"/>
              </w:rPr>
            </w:pPr>
            <w:r>
              <w:rPr>
                <w:rFonts w:hint="eastAsia" w:ascii="宋体" w:hAnsi="宋体" w:cs="宋体"/>
                <w:color w:val="auto"/>
                <w:szCs w:val="21"/>
                <w:highlight w:val="none"/>
              </w:rPr>
              <w:t>（1）实施中发现的质量事故应按有关规定上报处理；</w:t>
            </w:r>
          </w:p>
          <w:p w14:paraId="7934CD99">
            <w:pPr>
              <w:pStyle w:val="14"/>
              <w:wordWrap w:val="0"/>
              <w:spacing w:line="400" w:lineRule="exact"/>
              <w:jc w:val="both"/>
              <w:rPr>
                <w:rFonts w:ascii="宋体" w:hAnsi="宋体" w:cs="宋体"/>
                <w:color w:val="auto"/>
                <w:szCs w:val="21"/>
                <w:highlight w:val="none"/>
              </w:rPr>
            </w:pPr>
            <w:r>
              <w:rPr>
                <w:rFonts w:hint="eastAsia" w:ascii="宋体" w:hAnsi="宋体" w:cs="宋体"/>
                <w:color w:val="auto"/>
                <w:szCs w:val="21"/>
                <w:highlight w:val="none"/>
              </w:rPr>
              <w:t>（2）对质量问题和质量事故的处理结果进行复查。</w:t>
            </w:r>
          </w:p>
          <w:p w14:paraId="79C06582">
            <w:pPr>
              <w:pStyle w:val="14"/>
              <w:wordWrap w:val="0"/>
              <w:spacing w:line="400" w:lineRule="exact"/>
              <w:jc w:val="both"/>
              <w:rPr>
                <w:rFonts w:ascii="宋体" w:hAnsi="宋体" w:cs="宋体"/>
                <w:color w:val="auto"/>
                <w:szCs w:val="21"/>
                <w:highlight w:val="none"/>
              </w:rPr>
            </w:pPr>
            <w:r>
              <w:rPr>
                <w:rFonts w:hint="eastAsia" w:ascii="宋体" w:hAnsi="宋体" w:cs="宋体"/>
                <w:color w:val="auto"/>
                <w:szCs w:val="21"/>
                <w:highlight w:val="none"/>
              </w:rPr>
              <w:t>4.实施后质量控制要求</w:t>
            </w:r>
          </w:p>
          <w:p w14:paraId="6503210A">
            <w:pPr>
              <w:pStyle w:val="14"/>
              <w:wordWrap w:val="0"/>
              <w:spacing w:line="400" w:lineRule="exact"/>
              <w:jc w:val="both"/>
              <w:rPr>
                <w:rFonts w:ascii="宋体" w:hAnsi="宋体" w:cs="宋体"/>
                <w:color w:val="auto"/>
                <w:szCs w:val="21"/>
                <w:highlight w:val="none"/>
              </w:rPr>
            </w:pPr>
            <w:r>
              <w:rPr>
                <w:rFonts w:hint="eastAsia" w:ascii="宋体" w:hAnsi="宋体" w:cs="宋体"/>
                <w:color w:val="auto"/>
                <w:szCs w:val="21"/>
                <w:highlight w:val="none"/>
              </w:rPr>
              <w:t>当项目达到验收条件时，应向采购人提出申请，组织专业人员对项目的服务质量情况进行全面检查。</w:t>
            </w:r>
          </w:p>
          <w:p w14:paraId="44175D5E">
            <w:pPr>
              <w:pStyle w:val="14"/>
              <w:wordWrap w:val="0"/>
              <w:spacing w:line="400" w:lineRule="exact"/>
              <w:jc w:val="both"/>
              <w:rPr>
                <w:rFonts w:ascii="宋体" w:hAnsi="宋体" w:cs="宋体"/>
                <w:color w:val="auto"/>
                <w:szCs w:val="21"/>
                <w:highlight w:val="none"/>
              </w:rPr>
            </w:pPr>
            <w:r>
              <w:rPr>
                <w:rFonts w:hint="eastAsia" w:ascii="宋体" w:hAnsi="宋体" w:cs="宋体"/>
                <w:color w:val="auto"/>
                <w:szCs w:val="21"/>
                <w:highlight w:val="none"/>
              </w:rPr>
              <w:t>5.清理合格率达到100%，登记准确率达到100%；建立完整的作业记录档案；实施过程中发现问题应及时反馈并进行及时整改。</w:t>
            </w:r>
          </w:p>
        </w:tc>
      </w:tr>
      <w:tr w14:paraId="075846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05" w:type="dxa"/>
            <w:gridSpan w:val="6"/>
            <w:tcBorders>
              <w:top w:val="single" w:color="auto" w:sz="4" w:space="0"/>
              <w:left w:val="single" w:color="auto" w:sz="4" w:space="0"/>
              <w:bottom w:val="single" w:color="auto" w:sz="4" w:space="0"/>
              <w:right w:val="single" w:color="auto" w:sz="4" w:space="0"/>
            </w:tcBorders>
          </w:tcPr>
          <w:p w14:paraId="0993D4D3">
            <w:pPr>
              <w:wordWrap w:val="0"/>
              <w:spacing w:line="400" w:lineRule="exact"/>
              <w:jc w:val="center"/>
              <w:rPr>
                <w:rFonts w:ascii="宋体" w:hAnsi="宋体" w:cs="宋体"/>
                <w:color w:val="auto"/>
                <w:szCs w:val="21"/>
                <w:highlight w:val="none"/>
              </w:rPr>
            </w:pPr>
            <w:r>
              <w:rPr>
                <w:rFonts w:hint="eastAsia" w:ascii="宋体" w:hAnsi="宋体" w:cs="宋体"/>
                <w:b/>
                <w:color w:val="auto"/>
                <w:szCs w:val="21"/>
                <w:highlight w:val="none"/>
              </w:rPr>
              <w:t>商务要求</w:t>
            </w:r>
          </w:p>
        </w:tc>
      </w:tr>
      <w:tr w14:paraId="0E75EA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05" w:type="dxa"/>
            <w:gridSpan w:val="6"/>
            <w:tcBorders>
              <w:top w:val="single" w:color="auto" w:sz="4" w:space="0"/>
              <w:left w:val="single" w:color="auto" w:sz="4" w:space="0"/>
              <w:bottom w:val="single" w:color="auto" w:sz="4" w:space="0"/>
              <w:right w:val="single" w:color="auto" w:sz="4" w:space="0"/>
            </w:tcBorders>
          </w:tcPr>
          <w:p w14:paraId="6099FC6E">
            <w:pPr>
              <w:wordWrap w:val="0"/>
              <w:spacing w:line="400" w:lineRule="exact"/>
              <w:jc w:val="left"/>
              <w:rPr>
                <w:rFonts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（一）商务条款</w:t>
            </w:r>
          </w:p>
        </w:tc>
      </w:tr>
      <w:tr w14:paraId="2ECBE1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75" w:type="dxa"/>
            <w:gridSpan w:val="2"/>
            <w:tcBorders>
              <w:top w:val="single" w:color="auto" w:sz="4" w:space="0"/>
              <w:left w:val="single" w:color="auto" w:sz="4" w:space="0"/>
              <w:bottom w:val="single" w:color="auto" w:sz="4" w:space="0"/>
              <w:right w:val="single" w:color="auto" w:sz="4" w:space="0"/>
            </w:tcBorders>
            <w:vAlign w:val="center"/>
          </w:tcPr>
          <w:p w14:paraId="5CAED845">
            <w:pPr>
              <w:wordWrap w:val="0"/>
              <w:spacing w:line="400" w:lineRule="exact"/>
              <w:jc w:val="left"/>
              <w:rPr>
                <w:rFonts w:ascii="宋体" w:hAnsi="宋体" w:cs="宋体"/>
                <w:b/>
                <w:color w:val="auto"/>
                <w:szCs w:val="21"/>
                <w:highlight w:val="none"/>
              </w:rPr>
            </w:pPr>
            <w:r>
              <w:rPr>
                <w:rFonts w:hint="eastAsia" w:ascii="宋体" w:hAnsi="宋体" w:cs="宋体"/>
                <w:color w:val="auto"/>
                <w:szCs w:val="21"/>
                <w:highlight w:val="none"/>
              </w:rPr>
              <w:t>合同履行期限和地点</w:t>
            </w:r>
          </w:p>
        </w:tc>
        <w:tc>
          <w:tcPr>
            <w:tcW w:w="7130" w:type="dxa"/>
            <w:gridSpan w:val="4"/>
            <w:tcBorders>
              <w:top w:val="single" w:color="auto" w:sz="4" w:space="0"/>
              <w:left w:val="single" w:color="auto" w:sz="4" w:space="0"/>
              <w:bottom w:val="single" w:color="auto" w:sz="4" w:space="0"/>
              <w:right w:val="single" w:color="auto" w:sz="4" w:space="0"/>
            </w:tcBorders>
            <w:vAlign w:val="center"/>
          </w:tcPr>
          <w:p w14:paraId="3AABC142">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1.合同履行期限：自合同签订之日起</w:t>
            </w:r>
            <w:r>
              <w:rPr>
                <w:rFonts w:hint="eastAsia" w:ascii="宋体" w:hAnsi="宋体" w:cs="宋体"/>
                <w:color w:val="auto"/>
                <w:szCs w:val="21"/>
                <w:highlight w:val="none"/>
                <w:lang w:eastAsia="zh-CN"/>
              </w:rPr>
              <w:t>3个月</w:t>
            </w:r>
            <w:r>
              <w:rPr>
                <w:rFonts w:hint="eastAsia" w:ascii="宋体" w:hAnsi="宋体" w:cs="宋体"/>
                <w:color w:val="auto"/>
                <w:szCs w:val="21"/>
                <w:highlight w:val="none"/>
              </w:rPr>
              <w:t>内完成整治工作，并达到验收条件。</w:t>
            </w:r>
          </w:p>
          <w:p w14:paraId="6A21D3EC">
            <w:pPr>
              <w:wordWrap w:val="0"/>
              <w:spacing w:line="400" w:lineRule="exact"/>
              <w:rPr>
                <w:rFonts w:ascii="宋体" w:hAnsi="宋体" w:cs="宋体"/>
                <w:b/>
                <w:color w:val="auto"/>
                <w:szCs w:val="21"/>
                <w:highlight w:val="none"/>
              </w:rPr>
            </w:pPr>
            <w:r>
              <w:rPr>
                <w:rFonts w:hint="eastAsia" w:ascii="宋体" w:hAnsi="宋体" w:cs="宋体"/>
                <w:color w:val="auto"/>
                <w:szCs w:val="21"/>
                <w:highlight w:val="none"/>
              </w:rPr>
              <w:t>2.服务地点：北海市廉州湾沙脚对出海域内，海域坐标详见附件1。</w:t>
            </w:r>
          </w:p>
        </w:tc>
      </w:tr>
      <w:tr w14:paraId="5DD4A4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75" w:type="dxa"/>
            <w:gridSpan w:val="2"/>
            <w:tcBorders>
              <w:top w:val="single" w:color="auto" w:sz="4" w:space="0"/>
              <w:left w:val="single" w:color="auto" w:sz="4" w:space="0"/>
              <w:bottom w:val="single" w:color="auto" w:sz="4" w:space="0"/>
              <w:right w:val="single" w:color="auto" w:sz="4" w:space="0"/>
            </w:tcBorders>
            <w:vAlign w:val="center"/>
          </w:tcPr>
          <w:p w14:paraId="5E969A07">
            <w:pPr>
              <w:wordWrap w:val="0"/>
              <w:spacing w:line="400" w:lineRule="exact"/>
              <w:jc w:val="left"/>
              <w:rPr>
                <w:rFonts w:ascii="宋体" w:hAnsi="宋体" w:cs="宋体"/>
                <w:b/>
                <w:color w:val="auto"/>
                <w:szCs w:val="21"/>
                <w:highlight w:val="none"/>
              </w:rPr>
            </w:pPr>
            <w:r>
              <w:rPr>
                <w:rFonts w:hint="eastAsia" w:ascii="宋体" w:hAnsi="宋体" w:cs="宋体"/>
                <w:color w:val="auto"/>
                <w:szCs w:val="21"/>
                <w:highlight w:val="none"/>
              </w:rPr>
              <w:t>合同签订时间</w:t>
            </w:r>
          </w:p>
        </w:tc>
        <w:tc>
          <w:tcPr>
            <w:tcW w:w="7130" w:type="dxa"/>
            <w:gridSpan w:val="4"/>
            <w:tcBorders>
              <w:top w:val="single" w:color="auto" w:sz="4" w:space="0"/>
              <w:left w:val="single" w:color="auto" w:sz="4" w:space="0"/>
              <w:bottom w:val="single" w:color="auto" w:sz="4" w:space="0"/>
              <w:right w:val="single" w:color="auto" w:sz="4" w:space="0"/>
            </w:tcBorders>
            <w:vAlign w:val="center"/>
          </w:tcPr>
          <w:p w14:paraId="529FF707">
            <w:pPr>
              <w:wordWrap w:val="0"/>
              <w:spacing w:line="400" w:lineRule="exact"/>
              <w:rPr>
                <w:rFonts w:ascii="宋体" w:hAnsi="宋体" w:cs="宋体"/>
                <w:b/>
                <w:color w:val="auto"/>
                <w:szCs w:val="21"/>
                <w:highlight w:val="none"/>
              </w:rPr>
            </w:pPr>
            <w:r>
              <w:rPr>
                <w:rFonts w:hint="eastAsia" w:ascii="宋体" w:hAnsi="宋体" w:cs="宋体"/>
                <w:color w:val="auto"/>
                <w:szCs w:val="21"/>
                <w:highlight w:val="none"/>
              </w:rPr>
              <w:t>自成交通知书发出之日起25日内</w:t>
            </w:r>
          </w:p>
        </w:tc>
      </w:tr>
      <w:tr w14:paraId="444FC8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75" w:type="dxa"/>
            <w:gridSpan w:val="2"/>
            <w:tcBorders>
              <w:top w:val="single" w:color="auto" w:sz="4" w:space="0"/>
              <w:left w:val="single" w:color="auto" w:sz="4" w:space="0"/>
              <w:bottom w:val="single" w:color="auto" w:sz="4" w:space="0"/>
              <w:right w:val="single" w:color="auto" w:sz="4" w:space="0"/>
            </w:tcBorders>
            <w:vAlign w:val="center"/>
          </w:tcPr>
          <w:p w14:paraId="41B2F91A">
            <w:pPr>
              <w:wordWrap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报价要求</w:t>
            </w:r>
          </w:p>
        </w:tc>
        <w:tc>
          <w:tcPr>
            <w:tcW w:w="7130" w:type="dxa"/>
            <w:gridSpan w:val="4"/>
            <w:tcBorders>
              <w:top w:val="single" w:color="auto" w:sz="4" w:space="0"/>
              <w:left w:val="single" w:color="auto" w:sz="4" w:space="0"/>
              <w:bottom w:val="single" w:color="auto" w:sz="4" w:space="0"/>
              <w:right w:val="single" w:color="auto" w:sz="4" w:space="0"/>
            </w:tcBorders>
            <w:vAlign w:val="center"/>
          </w:tcPr>
          <w:p w14:paraId="0A0B2873">
            <w:pPr>
              <w:tabs>
                <w:tab w:val="left" w:pos="180"/>
                <w:tab w:val="left" w:pos="1620"/>
              </w:tabs>
              <w:wordWrap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1.本项目采购预算：2935000.00元；单价最高限价详见附件1《项目服务清单》</w:t>
            </w:r>
            <w:r>
              <w:rPr>
                <w:rFonts w:hint="eastAsia" w:ascii="宋体" w:hAnsi="宋体" w:cs="宋体"/>
                <w:color w:val="auto"/>
                <w:szCs w:val="21"/>
                <w:highlight w:val="none"/>
              </w:rPr>
              <w:t>；</w:t>
            </w:r>
            <w:r>
              <w:rPr>
                <w:rFonts w:hint="eastAsia" w:ascii="宋体" w:hAnsi="宋体" w:cs="宋体"/>
                <w:b/>
                <w:color w:val="auto"/>
                <w:szCs w:val="21"/>
                <w:highlight w:val="none"/>
              </w:rPr>
              <w:t>供应商磋商报价超过采购预算或单价最高限价的，按无效响应处理。</w:t>
            </w:r>
          </w:p>
          <w:p w14:paraId="691B7A9F">
            <w:pPr>
              <w:wordWrap w:val="0"/>
              <w:autoSpaceDE w:val="0"/>
              <w:autoSpaceDN w:val="0"/>
              <w:adjustRightInd w:val="0"/>
              <w:snapToGrid w:val="0"/>
              <w:spacing w:line="400" w:lineRule="exact"/>
              <w:rPr>
                <w:rFonts w:ascii="宋体" w:hAnsi="宋体" w:cs="宋体"/>
                <w:color w:val="auto"/>
                <w:szCs w:val="21"/>
                <w:highlight w:val="none"/>
              </w:rPr>
            </w:pPr>
            <w:r>
              <w:rPr>
                <w:rFonts w:hint="eastAsia" w:ascii="宋体" w:hAnsi="宋体" w:cs="宋体"/>
                <w:b/>
                <w:bCs/>
                <w:color w:val="auto"/>
                <w:szCs w:val="21"/>
                <w:highlight w:val="none"/>
              </w:rPr>
              <w:t>2.凡属于本项目清理整治范围内的，如结算总额已达到合同总金额的，清理数量超过采购文件所列数量的部分，采购人不再追加支付金额，供应商报价时应充分考虑各项风险。</w:t>
            </w:r>
            <w:r>
              <w:rPr>
                <w:rFonts w:hint="eastAsia" w:ascii="宋体" w:hAnsi="宋体" w:cs="宋体"/>
                <w:color w:val="auto"/>
                <w:szCs w:val="21"/>
                <w:highlight w:val="none"/>
              </w:rPr>
              <w:t>如采购人需要增加或调整清理范围的，费用由双方协商确定，可参照本项目相关标准执行，所需费用均在本项目中列支；如需追加服务费用须签订补充合同，且补充合同采购金额不得超过原合同采购金额的百分之十。</w:t>
            </w:r>
          </w:p>
          <w:p w14:paraId="5E3C2477">
            <w:pPr>
              <w:wordWrap w:val="0"/>
              <w:autoSpaceDE w:val="0"/>
              <w:autoSpaceDN w:val="0"/>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3.本项目磋商报价应包括但不限于整体服务价格及设备、人员成本、管理、利润、税金、保险、搬运、包装、运输、培训、验收、检测及其它所有成本、费用的总和。</w:t>
            </w:r>
          </w:p>
        </w:tc>
      </w:tr>
      <w:tr w14:paraId="268418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675" w:type="dxa"/>
            <w:gridSpan w:val="2"/>
            <w:tcBorders>
              <w:top w:val="single" w:color="auto" w:sz="4" w:space="0"/>
              <w:left w:val="single" w:color="auto" w:sz="4" w:space="0"/>
              <w:bottom w:val="single" w:color="auto" w:sz="4" w:space="0"/>
              <w:right w:val="single" w:color="auto" w:sz="4" w:space="0"/>
            </w:tcBorders>
            <w:vAlign w:val="center"/>
          </w:tcPr>
          <w:p w14:paraId="43DE70FF">
            <w:pPr>
              <w:wordWrap w:val="0"/>
              <w:spacing w:line="400" w:lineRule="exact"/>
              <w:jc w:val="left"/>
              <w:rPr>
                <w:rFonts w:ascii="宋体" w:hAnsi="宋体" w:cs="宋体"/>
                <w:b/>
                <w:color w:val="auto"/>
                <w:szCs w:val="21"/>
                <w:highlight w:val="none"/>
              </w:rPr>
            </w:pPr>
            <w:bookmarkStart w:id="75" w:name="OLE_LINK6" w:colFirst="1" w:colLast="1"/>
            <w:r>
              <w:rPr>
                <w:rFonts w:hint="eastAsia" w:ascii="宋体" w:hAnsi="宋体" w:cs="宋体"/>
                <w:color w:val="auto"/>
                <w:szCs w:val="21"/>
                <w:highlight w:val="none"/>
              </w:rPr>
              <w:t>付款方式</w:t>
            </w:r>
          </w:p>
        </w:tc>
        <w:tc>
          <w:tcPr>
            <w:tcW w:w="7130" w:type="dxa"/>
            <w:gridSpan w:val="4"/>
            <w:tcBorders>
              <w:top w:val="single" w:color="auto" w:sz="4" w:space="0"/>
              <w:left w:val="single" w:color="auto" w:sz="4" w:space="0"/>
              <w:bottom w:val="single" w:color="auto" w:sz="4" w:space="0"/>
              <w:right w:val="single" w:color="auto" w:sz="4" w:space="0"/>
            </w:tcBorders>
            <w:vAlign w:val="center"/>
          </w:tcPr>
          <w:p w14:paraId="47A1AD5E">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1.结算时，工作量少于采购文件中的工作量时，按实际工作量*成交单价（元）结算；工作量多于采购文件中的工作量时，结算最高总额按合同总金额结算</w:t>
            </w:r>
            <w:r>
              <w:rPr>
                <w:rFonts w:hint="eastAsia" w:ascii="宋体" w:hAnsi="宋体" w:cs="宋体"/>
                <w:b/>
                <w:bCs/>
                <w:color w:val="auto"/>
                <w:szCs w:val="21"/>
                <w:highlight w:val="none"/>
              </w:rPr>
              <w:t>。</w:t>
            </w:r>
          </w:p>
          <w:p w14:paraId="2084DAF9">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2.付款进度（每次付款时，成交人应向采购人开具相应金额的合法正式发票，否则采购人有权延长付款期限，并不承担延期付款的违约责任）：</w:t>
            </w:r>
          </w:p>
          <w:p w14:paraId="23D1448C">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①签订合同后十个工作日内，采购人向国库支付机构提出申请支付令、办理国库支付手续，国库支付机构在规定时间内（不计入采购人付款期限）将合同总金额的30%作为预付款支付给成交人；</w:t>
            </w:r>
          </w:p>
          <w:p w14:paraId="2E3F6A47">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②项目完工后，成交人向采购人提交结算材料，采购人根据实际工作量计算初步的结算金额，采购人向国库支付机构提出申请支付令、办理国库支付手续，国库支付机构在规定时间内（不计入采购人付款期限）将初步结算金额的80%支付给成交人；</w:t>
            </w:r>
          </w:p>
          <w:p w14:paraId="51DD0134">
            <w:pPr>
              <w:wordWrap w:val="0"/>
              <w:spacing w:line="400" w:lineRule="exact"/>
              <w:rPr>
                <w:rFonts w:ascii="宋体" w:hAnsi="宋体" w:cs="宋体"/>
                <w:b/>
                <w:color w:val="auto"/>
                <w:szCs w:val="21"/>
                <w:highlight w:val="none"/>
              </w:rPr>
            </w:pPr>
            <w:r>
              <w:rPr>
                <w:rFonts w:hint="eastAsia" w:ascii="宋体" w:hAnsi="宋体" w:cs="宋体"/>
                <w:color w:val="auto"/>
                <w:szCs w:val="21"/>
                <w:highlight w:val="none"/>
              </w:rPr>
              <w:t>③项目验收合格后十个工作日内，采购人根据通过验收的实际工作量计算最终结算金额，采购人向国库支付机构提出申请支付令、办理国库支付手续，国库支付机构在规定时间内（不计入采购人付款期限）将合同剩余款项支付给成交人。</w:t>
            </w:r>
          </w:p>
        </w:tc>
      </w:tr>
      <w:bookmarkEnd w:id="75"/>
      <w:tr w14:paraId="543B97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75" w:type="dxa"/>
            <w:gridSpan w:val="2"/>
            <w:tcBorders>
              <w:top w:val="single" w:color="auto" w:sz="4" w:space="0"/>
              <w:left w:val="single" w:color="auto" w:sz="4" w:space="0"/>
              <w:bottom w:val="single" w:color="auto" w:sz="4" w:space="0"/>
              <w:right w:val="single" w:color="auto" w:sz="4" w:space="0"/>
            </w:tcBorders>
            <w:vAlign w:val="center"/>
          </w:tcPr>
          <w:p w14:paraId="34B88CC6">
            <w:pPr>
              <w:wordWrap w:val="0"/>
              <w:autoSpaceDE w:val="0"/>
              <w:autoSpaceDN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服务要求</w:t>
            </w:r>
          </w:p>
        </w:tc>
        <w:tc>
          <w:tcPr>
            <w:tcW w:w="7130" w:type="dxa"/>
            <w:gridSpan w:val="4"/>
            <w:tcBorders>
              <w:top w:val="single" w:color="auto" w:sz="4" w:space="0"/>
              <w:left w:val="single" w:color="auto" w:sz="4" w:space="0"/>
              <w:bottom w:val="single" w:color="auto" w:sz="4" w:space="0"/>
              <w:right w:val="single" w:color="auto" w:sz="4" w:space="0"/>
            </w:tcBorders>
            <w:vAlign w:val="center"/>
          </w:tcPr>
          <w:p w14:paraId="26FD5E06">
            <w:pPr>
              <w:wordWrap w:val="0"/>
              <w:autoSpaceDE w:val="0"/>
              <w:autoSpaceDN w:val="0"/>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1.按国家、自治区有关规定和响应文件中的承诺负责组织落实好实施队伍并按安全生产有关规定组织好实施工作。</w:t>
            </w:r>
          </w:p>
          <w:p w14:paraId="610CDAB4">
            <w:pPr>
              <w:wordWrap w:val="0"/>
              <w:autoSpaceDE w:val="0"/>
              <w:autoSpaceDN w:val="0"/>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2.根据潮汐变化对清理范围内的清理内容开展经常性巡查，巡查发现后需及时沟通采购人共同参与清理。</w:t>
            </w:r>
          </w:p>
          <w:p w14:paraId="452F1304">
            <w:pPr>
              <w:wordWrap w:val="0"/>
              <w:autoSpaceDE w:val="0"/>
              <w:autoSpaceDN w:val="0"/>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3.按时支付项目人员工资并按有关规定落实有关保险事项，负责项目人员的人身安全。</w:t>
            </w:r>
          </w:p>
          <w:p w14:paraId="39F9624F">
            <w:pPr>
              <w:wordWrap w:val="0"/>
              <w:autoSpaceDE w:val="0"/>
              <w:autoSpaceDN w:val="0"/>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4.供应商自行负责实施过程中所需的工具。</w:t>
            </w:r>
          </w:p>
          <w:p w14:paraId="2F3D5315">
            <w:pPr>
              <w:wordWrap w:val="0"/>
              <w:autoSpaceDE w:val="0"/>
              <w:autoSpaceDN w:val="0"/>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5.派驻专人负责对清理及实施全过程进行监管及向采购人进行实时汇报，监管应对清理过程拍摄相应照片等进行保存归档，并做好数量统计，接受采购人的检查。</w:t>
            </w:r>
          </w:p>
          <w:p w14:paraId="5EA9130F">
            <w:pPr>
              <w:wordWrap w:val="0"/>
              <w:autoSpaceDE w:val="0"/>
              <w:autoSpaceDN w:val="0"/>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6.服从采购人的工作安排和监督管理。</w:t>
            </w:r>
          </w:p>
          <w:p w14:paraId="174D1CC4">
            <w:pPr>
              <w:wordWrap w:val="0"/>
              <w:autoSpaceDE w:val="0"/>
              <w:autoSpaceDN w:val="0"/>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7.按时报送清理数据给采购人。</w:t>
            </w:r>
          </w:p>
          <w:p w14:paraId="0455376A">
            <w:pPr>
              <w:wordWrap w:val="0"/>
              <w:autoSpaceDE w:val="0"/>
              <w:autoSpaceDN w:val="0"/>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8.合同履行期间，成交人应全力配合采购人相关工作，应及时与采购人就履约相关事项进行沟通，原则上成交人接到采购人处理问题通知后2小时内响应，24个小时内到达现场，24个小时内提出问题解决方案。服务期间现场服务次数由双方协商约定。</w:t>
            </w:r>
          </w:p>
        </w:tc>
      </w:tr>
      <w:tr w14:paraId="241B57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75" w:type="dxa"/>
            <w:gridSpan w:val="2"/>
            <w:tcBorders>
              <w:top w:val="single" w:color="auto" w:sz="4" w:space="0"/>
              <w:left w:val="single" w:color="auto" w:sz="4" w:space="0"/>
              <w:bottom w:val="single" w:color="auto" w:sz="4" w:space="0"/>
              <w:right w:val="single" w:color="auto" w:sz="4" w:space="0"/>
            </w:tcBorders>
            <w:vAlign w:val="center"/>
          </w:tcPr>
          <w:p w14:paraId="0D2D1A1A">
            <w:pPr>
              <w:wordWrap w:val="0"/>
              <w:spacing w:line="400" w:lineRule="exact"/>
              <w:rPr>
                <w:rFonts w:ascii="宋体" w:hAnsi="宋体" w:cs="宋体"/>
                <w:b/>
                <w:color w:val="auto"/>
                <w:szCs w:val="21"/>
                <w:highlight w:val="none"/>
              </w:rPr>
            </w:pPr>
            <w:r>
              <w:rPr>
                <w:rFonts w:hint="eastAsia" w:ascii="宋体" w:hAnsi="宋体" w:cs="宋体"/>
                <w:bCs/>
                <w:color w:val="auto"/>
                <w:szCs w:val="21"/>
                <w:highlight w:val="none"/>
              </w:rPr>
              <w:t>验收标准</w:t>
            </w:r>
          </w:p>
        </w:tc>
        <w:tc>
          <w:tcPr>
            <w:tcW w:w="7130" w:type="dxa"/>
            <w:gridSpan w:val="4"/>
            <w:tcBorders>
              <w:top w:val="single" w:color="auto" w:sz="4" w:space="0"/>
              <w:left w:val="single" w:color="auto" w:sz="4" w:space="0"/>
              <w:bottom w:val="single" w:color="auto" w:sz="4" w:space="0"/>
              <w:right w:val="single" w:color="auto" w:sz="4" w:space="0"/>
            </w:tcBorders>
            <w:vAlign w:val="center"/>
          </w:tcPr>
          <w:p w14:paraId="164F0155">
            <w:pPr>
              <w:tabs>
                <w:tab w:val="left" w:pos="180"/>
                <w:tab w:val="left" w:pos="1620"/>
              </w:tabs>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kern w:val="0"/>
                <w:szCs w:val="21"/>
                <w:highlight w:val="none"/>
              </w:rPr>
              <w:t>成交人须配合采购人完成项目验收工作，验收过程中产生的一切费用均由成交人承担，包括但不限于验收过程中可能使用到的无人机等相关设备费、检验检测费用等。</w:t>
            </w:r>
            <w:r>
              <w:rPr>
                <w:rFonts w:hint="eastAsia" w:ascii="宋体" w:hAnsi="宋体" w:cs="宋体"/>
                <w:color w:val="auto"/>
                <w:szCs w:val="21"/>
                <w:highlight w:val="none"/>
              </w:rPr>
              <w:t>报价时应考虑相关费用。</w:t>
            </w:r>
          </w:p>
          <w:p w14:paraId="6FF2E1F5">
            <w:pPr>
              <w:tabs>
                <w:tab w:val="left" w:pos="180"/>
                <w:tab w:val="left" w:pos="1620"/>
              </w:tabs>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2.项目整体清理完成后，采购人在收到成交人提供的验收申请书后10天内组织验收。成交人在项目验收时由采购人对照采购文件及响应文件的服务内容及指标全面核对检验，如不符合采购文件的技术要求以及提供虚假承诺的，按相关规定做违约处理，成交供应商承担所有责任和费用，采购人保留进一步追究责任的权利。</w:t>
            </w:r>
          </w:p>
          <w:p w14:paraId="53D36A2A">
            <w:pPr>
              <w:tabs>
                <w:tab w:val="left" w:pos="180"/>
                <w:tab w:val="left" w:pos="1620"/>
              </w:tabs>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3.成交人根据清理计划进行清理，要求对验收成果进行验收时，须提前通知采购人进行现场验收，成交人对验收过程必须全程录制视频监控。</w:t>
            </w:r>
          </w:p>
          <w:p w14:paraId="709CB854">
            <w:pPr>
              <w:tabs>
                <w:tab w:val="left" w:pos="180"/>
                <w:tab w:val="left" w:pos="1620"/>
              </w:tabs>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4.验收标准应达到：单次清理行动结束后（即按照采购人提供的清理范围内非法养殖设施需清理完成后），在当日（次日）最低潮清理验收时，要求清理范围内无竖立的蚝柱；渔箔、废弃蚝堆等非法养殖设施予以拆除。</w:t>
            </w:r>
          </w:p>
          <w:p w14:paraId="47585E02">
            <w:pPr>
              <w:tabs>
                <w:tab w:val="left" w:pos="180"/>
                <w:tab w:val="left" w:pos="1620"/>
              </w:tabs>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5.采购项目有其他要求的按其要求。</w:t>
            </w:r>
          </w:p>
        </w:tc>
      </w:tr>
      <w:tr w14:paraId="20F71F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75" w:type="dxa"/>
            <w:gridSpan w:val="2"/>
            <w:tcBorders>
              <w:top w:val="single" w:color="auto" w:sz="4" w:space="0"/>
              <w:left w:val="single" w:color="auto" w:sz="4" w:space="0"/>
              <w:bottom w:val="single" w:color="auto" w:sz="4" w:space="0"/>
              <w:right w:val="single" w:color="auto" w:sz="4" w:space="0"/>
            </w:tcBorders>
            <w:vAlign w:val="center"/>
          </w:tcPr>
          <w:p w14:paraId="47F315B9">
            <w:pPr>
              <w:wordWrap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执行标准、规范</w:t>
            </w:r>
          </w:p>
        </w:tc>
        <w:tc>
          <w:tcPr>
            <w:tcW w:w="7130" w:type="dxa"/>
            <w:gridSpan w:val="4"/>
            <w:tcBorders>
              <w:top w:val="single" w:color="auto" w:sz="4" w:space="0"/>
              <w:left w:val="single" w:color="auto" w:sz="4" w:space="0"/>
              <w:bottom w:val="single" w:color="auto" w:sz="4" w:space="0"/>
              <w:right w:val="single" w:color="auto" w:sz="4" w:space="0"/>
            </w:tcBorders>
            <w:vAlign w:val="center"/>
          </w:tcPr>
          <w:p w14:paraId="539547FA">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采购标的需执行的国家标准、行业标准、地方标准或者其他标准、规范。</w:t>
            </w:r>
          </w:p>
        </w:tc>
      </w:tr>
      <w:tr w14:paraId="6FB468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75" w:type="dxa"/>
            <w:gridSpan w:val="2"/>
            <w:tcBorders>
              <w:top w:val="single" w:color="auto" w:sz="4" w:space="0"/>
              <w:left w:val="single" w:color="auto" w:sz="4" w:space="0"/>
              <w:bottom w:val="single" w:color="auto" w:sz="4" w:space="0"/>
              <w:right w:val="single" w:color="auto" w:sz="4" w:space="0"/>
            </w:tcBorders>
            <w:vAlign w:val="center"/>
          </w:tcPr>
          <w:p w14:paraId="43854D36">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包装和运输</w:t>
            </w:r>
          </w:p>
        </w:tc>
        <w:tc>
          <w:tcPr>
            <w:tcW w:w="7130" w:type="dxa"/>
            <w:gridSpan w:val="4"/>
            <w:tcBorders>
              <w:top w:val="single" w:color="auto" w:sz="4" w:space="0"/>
              <w:left w:val="single" w:color="auto" w:sz="4" w:space="0"/>
              <w:bottom w:val="single" w:color="auto" w:sz="4" w:space="0"/>
              <w:right w:val="single" w:color="auto" w:sz="4" w:space="0"/>
            </w:tcBorders>
            <w:vAlign w:val="center"/>
          </w:tcPr>
          <w:p w14:paraId="6BEFF5C5">
            <w:pPr>
              <w:wordWrap w:val="0"/>
              <w:spacing w:line="400" w:lineRule="exact"/>
              <w:rPr>
                <w:rFonts w:ascii="宋体" w:hAnsi="宋体" w:cs="宋体"/>
                <w:b/>
                <w:color w:val="auto"/>
                <w:szCs w:val="21"/>
                <w:highlight w:val="none"/>
              </w:rPr>
            </w:pPr>
            <w:r>
              <w:rPr>
                <w:rFonts w:hint="eastAsia" w:ascii="宋体" w:hAnsi="宋体" w:cs="宋体"/>
                <w:color w:val="auto"/>
                <w:szCs w:val="21"/>
                <w:highlight w:val="none"/>
              </w:rPr>
              <w:t>满足项目实施要求。</w:t>
            </w:r>
          </w:p>
        </w:tc>
      </w:tr>
      <w:tr w14:paraId="1ED01D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75" w:type="dxa"/>
            <w:gridSpan w:val="2"/>
            <w:tcBorders>
              <w:top w:val="single" w:color="auto" w:sz="4" w:space="0"/>
              <w:left w:val="single" w:color="auto" w:sz="4" w:space="0"/>
              <w:bottom w:val="single" w:color="auto" w:sz="4" w:space="0"/>
              <w:right w:val="single" w:color="auto" w:sz="4" w:space="0"/>
            </w:tcBorders>
            <w:vAlign w:val="center"/>
          </w:tcPr>
          <w:p w14:paraId="771F794D">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保险</w:t>
            </w:r>
          </w:p>
        </w:tc>
        <w:tc>
          <w:tcPr>
            <w:tcW w:w="7130" w:type="dxa"/>
            <w:gridSpan w:val="4"/>
            <w:tcBorders>
              <w:top w:val="single" w:color="auto" w:sz="4" w:space="0"/>
              <w:left w:val="single" w:color="auto" w:sz="4" w:space="0"/>
              <w:bottom w:val="single" w:color="auto" w:sz="4" w:space="0"/>
              <w:right w:val="single" w:color="auto" w:sz="4" w:space="0"/>
            </w:tcBorders>
            <w:vAlign w:val="center"/>
          </w:tcPr>
          <w:p w14:paraId="0D7D6674">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满足项目实施要求。</w:t>
            </w:r>
          </w:p>
        </w:tc>
      </w:tr>
      <w:tr w14:paraId="40F9E6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31130029">
            <w:pPr>
              <w:wordWrap w:val="0"/>
              <w:spacing w:line="400" w:lineRule="exact"/>
              <w:rPr>
                <w:rFonts w:ascii="宋体" w:hAnsi="宋体" w:cs="宋体"/>
                <w:color w:val="auto"/>
                <w:szCs w:val="21"/>
                <w:highlight w:val="none"/>
              </w:rPr>
            </w:pPr>
            <w:r>
              <w:rPr>
                <w:rFonts w:hint="eastAsia" w:ascii="宋体" w:hAnsi="宋体" w:cs="宋体"/>
                <w:b/>
                <w:bCs/>
                <w:color w:val="auto"/>
                <w:szCs w:val="21"/>
                <w:highlight w:val="none"/>
              </w:rPr>
              <w:t>（二）与实现项目目标相关的其他要求</w:t>
            </w:r>
          </w:p>
        </w:tc>
      </w:tr>
      <w:tr w14:paraId="145455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4E0AEDDF">
            <w:pPr>
              <w:wordWrap w:val="0"/>
              <w:spacing w:line="400" w:lineRule="exact"/>
              <w:rPr>
                <w:rFonts w:ascii="宋体" w:hAnsi="宋体" w:cs="宋体"/>
                <w:b/>
                <w:color w:val="auto"/>
                <w:szCs w:val="21"/>
                <w:highlight w:val="none"/>
              </w:rPr>
            </w:pPr>
            <w:r>
              <w:rPr>
                <w:rFonts w:hint="eastAsia" w:ascii="宋体" w:hAnsi="宋体" w:cs="宋体"/>
                <w:b/>
                <w:color w:val="auto"/>
                <w:szCs w:val="21"/>
                <w:highlight w:val="none"/>
              </w:rPr>
              <w:t>1.供应商的履约能力要求</w:t>
            </w:r>
          </w:p>
        </w:tc>
      </w:tr>
      <w:tr w14:paraId="5A3A2B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75" w:type="dxa"/>
            <w:gridSpan w:val="2"/>
            <w:tcBorders>
              <w:top w:val="single" w:color="auto" w:sz="4" w:space="0"/>
              <w:left w:val="single" w:color="auto" w:sz="4" w:space="0"/>
              <w:bottom w:val="single" w:color="auto" w:sz="4" w:space="0"/>
              <w:right w:val="single" w:color="auto" w:sz="4" w:space="0"/>
            </w:tcBorders>
            <w:vAlign w:val="center"/>
          </w:tcPr>
          <w:p w14:paraId="02709394">
            <w:pPr>
              <w:wordWrap w:val="0"/>
              <w:spacing w:line="400" w:lineRule="exact"/>
              <w:jc w:val="left"/>
              <w:rPr>
                <w:rFonts w:ascii="宋体" w:hAnsi="宋体" w:cs="宋体"/>
                <w:b/>
                <w:color w:val="auto"/>
                <w:szCs w:val="21"/>
                <w:highlight w:val="none"/>
              </w:rPr>
            </w:pPr>
            <w:r>
              <w:rPr>
                <w:rFonts w:hint="eastAsia" w:ascii="宋体" w:hAnsi="宋体" w:cs="宋体"/>
                <w:color w:val="auto"/>
                <w:szCs w:val="21"/>
                <w:highlight w:val="none"/>
              </w:rPr>
              <w:t>业绩要求</w:t>
            </w:r>
          </w:p>
        </w:tc>
        <w:tc>
          <w:tcPr>
            <w:tcW w:w="7130" w:type="dxa"/>
            <w:gridSpan w:val="4"/>
            <w:tcBorders>
              <w:top w:val="single" w:color="auto" w:sz="4" w:space="0"/>
              <w:left w:val="single" w:color="auto" w:sz="4" w:space="0"/>
              <w:bottom w:val="single" w:color="auto" w:sz="4" w:space="0"/>
              <w:right w:val="single" w:color="auto" w:sz="4" w:space="0"/>
            </w:tcBorders>
            <w:vAlign w:val="center"/>
          </w:tcPr>
          <w:p w14:paraId="33DA56A1">
            <w:pPr>
              <w:wordWrap w:val="0"/>
              <w:spacing w:line="400" w:lineRule="exact"/>
              <w:rPr>
                <w:rFonts w:ascii="宋体" w:hAnsi="宋体" w:cs="宋体"/>
                <w:b/>
                <w:color w:val="auto"/>
                <w:szCs w:val="21"/>
                <w:highlight w:val="none"/>
              </w:rPr>
            </w:pPr>
            <w:r>
              <w:rPr>
                <w:rFonts w:hint="eastAsia" w:ascii="宋体" w:hAnsi="宋体" w:cs="宋体"/>
                <w:color w:val="auto"/>
                <w:szCs w:val="21"/>
                <w:highlight w:val="none"/>
                <w:u w:val="single"/>
              </w:rPr>
              <w:t>2022</w:t>
            </w:r>
            <w:r>
              <w:rPr>
                <w:rFonts w:hint="eastAsia" w:ascii="宋体" w:hAnsi="宋体" w:cs="宋体"/>
                <w:color w:val="auto"/>
                <w:szCs w:val="21"/>
                <w:highlight w:val="none"/>
              </w:rPr>
              <w:t>年</w:t>
            </w:r>
            <w:r>
              <w:rPr>
                <w:rFonts w:hint="eastAsia" w:ascii="宋体" w:hAnsi="宋体" w:cs="宋体"/>
                <w:color w:val="auto"/>
                <w:szCs w:val="21"/>
                <w:highlight w:val="none"/>
                <w:u w:val="single"/>
              </w:rPr>
              <w:t>1</w:t>
            </w:r>
            <w:r>
              <w:rPr>
                <w:rFonts w:hint="eastAsia" w:ascii="宋体" w:hAnsi="宋体" w:cs="宋体"/>
                <w:color w:val="auto"/>
                <w:szCs w:val="21"/>
                <w:highlight w:val="none"/>
              </w:rPr>
              <w:t>月</w:t>
            </w:r>
            <w:r>
              <w:rPr>
                <w:rFonts w:hint="eastAsia" w:ascii="宋体" w:hAnsi="宋体" w:cs="宋体"/>
                <w:color w:val="auto"/>
                <w:szCs w:val="21"/>
                <w:highlight w:val="none"/>
                <w:u w:val="single"/>
              </w:rPr>
              <w:t>1</w:t>
            </w:r>
            <w:r>
              <w:rPr>
                <w:rFonts w:hint="eastAsia" w:ascii="宋体" w:hAnsi="宋体" w:cs="宋体"/>
                <w:color w:val="auto"/>
                <w:szCs w:val="21"/>
                <w:highlight w:val="none"/>
              </w:rPr>
              <w:t>日以来至响应文件递交截止日期止，供应商提供同类项目业绩，符合第四章“评审标准”的可予以加分。</w:t>
            </w:r>
          </w:p>
        </w:tc>
      </w:tr>
      <w:tr w14:paraId="766CB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75" w:type="dxa"/>
            <w:gridSpan w:val="2"/>
            <w:tcBorders>
              <w:top w:val="single" w:color="auto" w:sz="4" w:space="0"/>
              <w:left w:val="single" w:color="auto" w:sz="4" w:space="0"/>
              <w:bottom w:val="single" w:color="auto" w:sz="4" w:space="0"/>
              <w:right w:val="single" w:color="auto" w:sz="4" w:space="0"/>
            </w:tcBorders>
            <w:vAlign w:val="center"/>
          </w:tcPr>
          <w:p w14:paraId="049E8D91">
            <w:pPr>
              <w:wordWrap w:val="0"/>
              <w:spacing w:line="400" w:lineRule="exact"/>
              <w:jc w:val="left"/>
              <w:rPr>
                <w:rFonts w:ascii="宋体" w:hAnsi="宋体" w:cs="宋体"/>
                <w:color w:val="auto"/>
                <w:szCs w:val="21"/>
                <w:highlight w:val="none"/>
              </w:rPr>
            </w:pPr>
            <w:r>
              <w:rPr>
                <w:rFonts w:hint="eastAsia" w:ascii="宋体" w:hAnsi="宋体" w:cs="宋体"/>
                <w:bCs/>
                <w:color w:val="auto"/>
                <w:szCs w:val="21"/>
                <w:highlight w:val="none"/>
              </w:rPr>
              <w:t>履约能力要求</w:t>
            </w:r>
          </w:p>
        </w:tc>
        <w:tc>
          <w:tcPr>
            <w:tcW w:w="7130" w:type="dxa"/>
            <w:gridSpan w:val="4"/>
            <w:tcBorders>
              <w:top w:val="single" w:color="auto" w:sz="4" w:space="0"/>
              <w:left w:val="single" w:color="auto" w:sz="4" w:space="0"/>
              <w:bottom w:val="single" w:color="auto" w:sz="4" w:space="0"/>
              <w:right w:val="single" w:color="auto" w:sz="4" w:space="0"/>
            </w:tcBorders>
            <w:vAlign w:val="center"/>
          </w:tcPr>
          <w:p w14:paraId="51A9B40A">
            <w:pPr>
              <w:wordWrap w:val="0"/>
              <w:spacing w:line="400" w:lineRule="exact"/>
              <w:rPr>
                <w:rFonts w:ascii="宋体" w:hAnsi="宋体" w:cs="宋体"/>
                <w:b/>
                <w:color w:val="auto"/>
                <w:szCs w:val="21"/>
                <w:highlight w:val="none"/>
              </w:rPr>
            </w:pPr>
            <w:r>
              <w:rPr>
                <w:rFonts w:hint="eastAsia" w:ascii="宋体" w:hAnsi="宋体" w:cs="宋体"/>
                <w:color w:val="auto"/>
                <w:szCs w:val="21"/>
                <w:highlight w:val="none"/>
              </w:rPr>
              <w:t>符合第四章“评审标准”的可予以加分。</w:t>
            </w:r>
          </w:p>
        </w:tc>
      </w:tr>
      <w:tr w14:paraId="497EDA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44D8BAB0">
            <w:pPr>
              <w:wordWrap w:val="0"/>
              <w:spacing w:line="400" w:lineRule="exact"/>
              <w:rPr>
                <w:rFonts w:ascii="宋体" w:hAnsi="宋体" w:cs="宋体"/>
                <w:color w:val="auto"/>
                <w:szCs w:val="21"/>
                <w:highlight w:val="none"/>
              </w:rPr>
            </w:pPr>
            <w:r>
              <w:rPr>
                <w:rFonts w:hint="eastAsia" w:ascii="宋体" w:hAnsi="宋体" w:cs="宋体"/>
                <w:b/>
                <w:color w:val="auto"/>
                <w:szCs w:val="21"/>
                <w:highlight w:val="none"/>
              </w:rPr>
              <w:t>2.其他要求</w:t>
            </w:r>
          </w:p>
        </w:tc>
      </w:tr>
      <w:tr w14:paraId="2F18F2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228A09E1">
            <w:pPr>
              <w:tabs>
                <w:tab w:val="left" w:pos="180"/>
                <w:tab w:val="left" w:pos="1620"/>
              </w:tabs>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1.供应商根据自身情况及第四章“评分内容”自行编制项目实施方案、作业质量和安全保障方案（如有）、应急方案（如有）、服务承诺、人员配置方案，及根据第四章“评分内容”提供相关</w:t>
            </w:r>
            <w:r>
              <w:rPr>
                <w:rFonts w:hint="eastAsia" w:ascii="宋体" w:hAnsi="宋体" w:cs="宋体"/>
                <w:bCs/>
                <w:color w:val="auto"/>
                <w:szCs w:val="21"/>
                <w:highlight w:val="none"/>
              </w:rPr>
              <w:t>业绩等证明材料，否则不予加分</w:t>
            </w:r>
            <w:r>
              <w:rPr>
                <w:rFonts w:hint="eastAsia" w:ascii="宋体" w:hAnsi="宋体" w:cs="宋体"/>
                <w:color w:val="auto"/>
                <w:szCs w:val="21"/>
                <w:highlight w:val="none"/>
              </w:rPr>
              <w:t>。</w:t>
            </w:r>
          </w:p>
          <w:p w14:paraId="24A9B5E9">
            <w:pPr>
              <w:tabs>
                <w:tab w:val="left" w:pos="180"/>
                <w:tab w:val="left" w:pos="1620"/>
              </w:tabs>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▲2.供应商须确保响应文件中的人员信息真实、有效。成交供应商不得将项目非法分包或转包给任何单位和个人，否则采购人有权依法即刻终止合同，并要求成交供应商赔偿相应损失。</w:t>
            </w:r>
          </w:p>
          <w:p w14:paraId="1DB475D3">
            <w:pPr>
              <w:tabs>
                <w:tab w:val="left" w:pos="180"/>
                <w:tab w:val="left" w:pos="1620"/>
              </w:tabs>
              <w:wordWrap w:val="0"/>
              <w:spacing w:line="400" w:lineRule="exact"/>
              <w:rPr>
                <w:rFonts w:ascii="宋体" w:hAnsi="宋体" w:cs="宋体"/>
                <w:bCs/>
                <w:color w:val="auto"/>
                <w:szCs w:val="21"/>
                <w:highlight w:val="none"/>
              </w:rPr>
            </w:pPr>
            <w:r>
              <w:rPr>
                <w:rFonts w:hint="eastAsia" w:ascii="宋体" w:hAnsi="宋体" w:cs="宋体"/>
                <w:color w:val="auto"/>
                <w:szCs w:val="21"/>
                <w:highlight w:val="none"/>
              </w:rPr>
              <w:t>▲3.未经采购人允许，不得使用或者以其它方式给任何第三方提供本项目的相关信息或数据。</w:t>
            </w:r>
          </w:p>
        </w:tc>
      </w:tr>
    </w:tbl>
    <w:p w14:paraId="6B257415">
      <w:pP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br w:type="page"/>
      </w:r>
    </w:p>
    <w:p w14:paraId="16E33CA6">
      <w:pPr>
        <w:widowControl/>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附件1：</w:t>
      </w:r>
    </w:p>
    <w:p w14:paraId="269A58E4">
      <w:pP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drawing>
          <wp:inline distT="0" distB="0" distL="114300" distR="114300">
            <wp:extent cx="5636895" cy="4972685"/>
            <wp:effectExtent l="0" t="0" r="0" b="0"/>
            <wp:docPr id="5" name="图片 5" descr="ff88b2652d84003579e3a7f6c2ddf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f88b2652d84003579e3a7f6c2ddfd6"/>
                    <pic:cNvPicPr>
                      <a:picLocks noChangeAspect="1"/>
                    </pic:cNvPicPr>
                  </pic:nvPicPr>
                  <pic:blipFill>
                    <a:blip r:embed="rId11"/>
                    <a:srcRect b="1830"/>
                    <a:stretch>
                      <a:fillRect/>
                    </a:stretch>
                  </pic:blipFill>
                  <pic:spPr>
                    <a:xfrm>
                      <a:off x="0" y="0"/>
                      <a:ext cx="5636895" cy="4972685"/>
                    </a:xfrm>
                    <a:prstGeom prst="rect">
                      <a:avLst/>
                    </a:prstGeom>
                  </pic:spPr>
                </pic:pic>
              </a:graphicData>
            </a:graphic>
          </wp:inline>
        </w:drawing>
      </w:r>
      <w:r>
        <w:rPr>
          <w:rFonts w:hint="eastAsia" w:ascii="黑体" w:hAnsi="黑体" w:eastAsia="黑体" w:cs="黑体"/>
          <w:color w:val="auto"/>
          <w:sz w:val="32"/>
          <w:szCs w:val="32"/>
          <w:highlight w:val="none"/>
        </w:rPr>
        <w:br w:type="page"/>
      </w:r>
    </w:p>
    <w:p w14:paraId="0A50D93B">
      <w:pPr>
        <w:widowControl/>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附件2：</w:t>
      </w:r>
    </w:p>
    <w:p w14:paraId="5AAA5AF6">
      <w:pPr>
        <w:widowControl/>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项目服务清单</w:t>
      </w:r>
    </w:p>
    <w:tbl>
      <w:tblPr>
        <w:tblStyle w:val="28"/>
        <w:tblW w:w="9238" w:type="dxa"/>
        <w:jc w:val="center"/>
        <w:tblLayout w:type="fixed"/>
        <w:tblCellMar>
          <w:top w:w="0" w:type="dxa"/>
          <w:left w:w="108" w:type="dxa"/>
          <w:bottom w:w="0" w:type="dxa"/>
          <w:right w:w="108" w:type="dxa"/>
        </w:tblCellMar>
      </w:tblPr>
      <w:tblGrid>
        <w:gridCol w:w="683"/>
        <w:gridCol w:w="440"/>
        <w:gridCol w:w="987"/>
        <w:gridCol w:w="1288"/>
        <w:gridCol w:w="702"/>
        <w:gridCol w:w="1364"/>
        <w:gridCol w:w="3774"/>
      </w:tblGrid>
      <w:tr w14:paraId="4F90FE00">
        <w:tblPrEx>
          <w:tblCellMar>
            <w:top w:w="0" w:type="dxa"/>
            <w:left w:w="108" w:type="dxa"/>
            <w:bottom w:w="0" w:type="dxa"/>
            <w:right w:w="108" w:type="dxa"/>
          </w:tblCellMar>
        </w:tblPrEx>
        <w:trPr>
          <w:trHeight w:val="23" w:hRule="atLeast"/>
          <w:jc w:val="center"/>
        </w:trPr>
        <w:tc>
          <w:tcPr>
            <w:tcW w:w="683" w:type="dxa"/>
            <w:tcBorders>
              <w:top w:val="single" w:color="000000" w:sz="4" w:space="0"/>
              <w:left w:val="single" w:color="000000" w:sz="4" w:space="0"/>
              <w:bottom w:val="single" w:color="auto" w:sz="4" w:space="0"/>
              <w:right w:val="single" w:color="000000" w:sz="4" w:space="0"/>
            </w:tcBorders>
            <w:vAlign w:val="center"/>
          </w:tcPr>
          <w:p w14:paraId="547087DA">
            <w:pPr>
              <w:widowControl/>
              <w:wordWrap w:val="0"/>
              <w:spacing w:line="360" w:lineRule="exact"/>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序号</w:t>
            </w:r>
          </w:p>
        </w:tc>
        <w:tc>
          <w:tcPr>
            <w:tcW w:w="1427" w:type="dxa"/>
            <w:gridSpan w:val="2"/>
            <w:tcBorders>
              <w:top w:val="single" w:color="000000" w:sz="4" w:space="0"/>
              <w:left w:val="single" w:color="000000" w:sz="4" w:space="0"/>
              <w:bottom w:val="single" w:color="000000" w:sz="4" w:space="0"/>
              <w:right w:val="single" w:color="000000" w:sz="4" w:space="0"/>
            </w:tcBorders>
            <w:vAlign w:val="center"/>
          </w:tcPr>
          <w:p w14:paraId="7C189307">
            <w:pPr>
              <w:widowControl/>
              <w:wordWrap w:val="0"/>
              <w:spacing w:line="360" w:lineRule="exact"/>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服务名称</w:t>
            </w:r>
          </w:p>
        </w:tc>
        <w:tc>
          <w:tcPr>
            <w:tcW w:w="1288" w:type="dxa"/>
            <w:tcBorders>
              <w:top w:val="single" w:color="000000" w:sz="4" w:space="0"/>
              <w:left w:val="single" w:color="000000" w:sz="4" w:space="0"/>
              <w:bottom w:val="single" w:color="000000" w:sz="4" w:space="0"/>
              <w:right w:val="single" w:color="000000" w:sz="4" w:space="0"/>
            </w:tcBorders>
            <w:vAlign w:val="center"/>
          </w:tcPr>
          <w:p w14:paraId="55CD75C4">
            <w:pPr>
              <w:widowControl/>
              <w:wordWrap w:val="0"/>
              <w:spacing w:line="360" w:lineRule="exact"/>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数量</w:t>
            </w:r>
          </w:p>
        </w:tc>
        <w:tc>
          <w:tcPr>
            <w:tcW w:w="702" w:type="dxa"/>
            <w:tcBorders>
              <w:top w:val="single" w:color="000000" w:sz="4" w:space="0"/>
              <w:left w:val="single" w:color="000000" w:sz="4" w:space="0"/>
              <w:bottom w:val="single" w:color="000000" w:sz="4" w:space="0"/>
              <w:right w:val="single" w:color="000000" w:sz="4" w:space="0"/>
            </w:tcBorders>
            <w:vAlign w:val="center"/>
          </w:tcPr>
          <w:p w14:paraId="462BD4B7">
            <w:pPr>
              <w:widowControl/>
              <w:wordWrap w:val="0"/>
              <w:spacing w:line="360" w:lineRule="exact"/>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单位</w:t>
            </w:r>
          </w:p>
        </w:tc>
        <w:tc>
          <w:tcPr>
            <w:tcW w:w="1364" w:type="dxa"/>
            <w:tcBorders>
              <w:top w:val="single" w:color="000000" w:sz="4" w:space="0"/>
              <w:left w:val="single" w:color="000000" w:sz="4" w:space="0"/>
              <w:bottom w:val="single" w:color="auto" w:sz="4" w:space="0"/>
              <w:right w:val="single" w:color="000000" w:sz="4" w:space="0"/>
            </w:tcBorders>
            <w:vAlign w:val="center"/>
          </w:tcPr>
          <w:p w14:paraId="1A8C5BA1">
            <w:pPr>
              <w:widowControl/>
              <w:wordWrap w:val="0"/>
              <w:spacing w:line="360" w:lineRule="exact"/>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单价最高限价（元）</w:t>
            </w:r>
          </w:p>
        </w:tc>
        <w:tc>
          <w:tcPr>
            <w:tcW w:w="3774" w:type="dxa"/>
            <w:tcBorders>
              <w:top w:val="single" w:color="000000" w:sz="4" w:space="0"/>
              <w:left w:val="single" w:color="000000" w:sz="4" w:space="0"/>
              <w:bottom w:val="single" w:color="auto" w:sz="4" w:space="0"/>
              <w:right w:val="single" w:color="000000" w:sz="4" w:space="0"/>
            </w:tcBorders>
            <w:vAlign w:val="center"/>
          </w:tcPr>
          <w:p w14:paraId="15A3FF97">
            <w:pPr>
              <w:widowControl/>
              <w:wordWrap w:val="0"/>
              <w:spacing w:line="360" w:lineRule="exact"/>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具体技术要求</w:t>
            </w:r>
          </w:p>
        </w:tc>
      </w:tr>
      <w:tr w14:paraId="08BEECE4">
        <w:tblPrEx>
          <w:tblCellMar>
            <w:top w:w="0" w:type="dxa"/>
            <w:left w:w="108" w:type="dxa"/>
            <w:bottom w:w="0" w:type="dxa"/>
            <w:right w:w="108" w:type="dxa"/>
          </w:tblCellMar>
        </w:tblPrEx>
        <w:trPr>
          <w:trHeight w:val="2875"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086D1E0B">
            <w:pPr>
              <w:widowControl/>
              <w:wordWrap w:val="0"/>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440" w:type="dxa"/>
            <w:vMerge w:val="restart"/>
            <w:tcBorders>
              <w:top w:val="single" w:color="000000" w:sz="4" w:space="0"/>
              <w:left w:val="single" w:color="auto" w:sz="4" w:space="0"/>
              <w:right w:val="single" w:color="auto" w:sz="4" w:space="0"/>
            </w:tcBorders>
            <w:vAlign w:val="center"/>
          </w:tcPr>
          <w:p w14:paraId="5D264FE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水泥蚝桩拆除</w:t>
            </w:r>
          </w:p>
        </w:tc>
        <w:tc>
          <w:tcPr>
            <w:tcW w:w="987" w:type="dxa"/>
            <w:tcBorders>
              <w:top w:val="single" w:color="auto" w:sz="4" w:space="0"/>
              <w:left w:val="single" w:color="auto" w:sz="4" w:space="0"/>
              <w:bottom w:val="single" w:color="auto" w:sz="4" w:space="0"/>
              <w:right w:val="single" w:color="auto" w:sz="4" w:space="0"/>
            </w:tcBorders>
            <w:vAlign w:val="center"/>
          </w:tcPr>
          <w:p w14:paraId="21D35A4F">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近岸海域（0-2公里）</w:t>
            </w:r>
          </w:p>
        </w:tc>
        <w:tc>
          <w:tcPr>
            <w:tcW w:w="1288" w:type="dxa"/>
            <w:tcBorders>
              <w:top w:val="single" w:color="auto" w:sz="4" w:space="0"/>
              <w:left w:val="single" w:color="auto" w:sz="4" w:space="0"/>
              <w:bottom w:val="single" w:color="auto" w:sz="4" w:space="0"/>
              <w:right w:val="single" w:color="auto" w:sz="4" w:space="0"/>
            </w:tcBorders>
            <w:vAlign w:val="center"/>
          </w:tcPr>
          <w:p w14:paraId="443C4DEF">
            <w:pPr>
              <w:widowControl/>
              <w:jc w:val="center"/>
              <w:textAlignment w:val="center"/>
              <w:rPr>
                <w:rFonts w:ascii="宋体" w:hAnsi="宋体" w:cs="宋体"/>
                <w:color w:val="auto"/>
                <w:szCs w:val="21"/>
                <w:highlight w:val="none"/>
              </w:rPr>
            </w:pPr>
            <w:r>
              <w:rPr>
                <w:rFonts w:ascii="宋体" w:hAnsi="宋体" w:cs="宋体"/>
                <w:color w:val="auto"/>
                <w:szCs w:val="21"/>
                <w:highlight w:val="none"/>
              </w:rPr>
              <w:t>1348785</w:t>
            </w:r>
            <w:r>
              <w:rPr>
                <w:rFonts w:hint="eastAsia" w:ascii="宋体" w:hAnsi="宋体" w:cs="宋体"/>
                <w:color w:val="auto"/>
                <w:szCs w:val="21"/>
                <w:highlight w:val="none"/>
              </w:rPr>
              <w:t>.00</w:t>
            </w:r>
          </w:p>
        </w:tc>
        <w:tc>
          <w:tcPr>
            <w:tcW w:w="702" w:type="dxa"/>
            <w:tcBorders>
              <w:top w:val="single" w:color="auto" w:sz="4" w:space="0"/>
              <w:left w:val="single" w:color="auto" w:sz="4" w:space="0"/>
              <w:bottom w:val="single" w:color="auto" w:sz="4" w:space="0"/>
              <w:right w:val="single" w:color="auto" w:sz="4" w:space="0"/>
            </w:tcBorders>
            <w:vAlign w:val="center"/>
          </w:tcPr>
          <w:p w14:paraId="58869D5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根</w:t>
            </w:r>
          </w:p>
        </w:tc>
        <w:tc>
          <w:tcPr>
            <w:tcW w:w="1364" w:type="dxa"/>
            <w:tcBorders>
              <w:top w:val="single" w:color="auto" w:sz="4" w:space="0"/>
              <w:left w:val="single" w:color="auto" w:sz="4" w:space="0"/>
              <w:bottom w:val="single" w:color="auto" w:sz="4" w:space="0"/>
              <w:right w:val="single" w:color="auto" w:sz="4" w:space="0"/>
            </w:tcBorders>
            <w:vAlign w:val="center"/>
          </w:tcPr>
          <w:p w14:paraId="3F500D4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0.93 </w:t>
            </w:r>
          </w:p>
        </w:tc>
        <w:tc>
          <w:tcPr>
            <w:tcW w:w="3774" w:type="dxa"/>
            <w:tcBorders>
              <w:top w:val="single" w:color="auto" w:sz="4" w:space="0"/>
              <w:left w:val="single" w:color="auto" w:sz="4" w:space="0"/>
              <w:bottom w:val="single" w:color="auto" w:sz="4" w:space="0"/>
              <w:right w:val="single" w:color="auto" w:sz="4" w:space="0"/>
            </w:tcBorders>
            <w:vAlign w:val="center"/>
          </w:tcPr>
          <w:p w14:paraId="7D1AD088">
            <w:pPr>
              <w:widowControl/>
              <w:wordWrap w:val="0"/>
              <w:spacing w:line="360" w:lineRule="exact"/>
              <w:textAlignment w:val="center"/>
              <w:rPr>
                <w:rFonts w:ascii="宋体" w:hAnsi="宋体" w:cs="宋体"/>
                <w:color w:val="auto"/>
                <w:szCs w:val="21"/>
                <w:highlight w:val="none"/>
              </w:rPr>
            </w:pPr>
            <w:r>
              <w:rPr>
                <w:rFonts w:hint="eastAsia" w:ascii="宋体" w:hAnsi="宋体" w:cs="宋体"/>
                <w:color w:val="auto"/>
                <w:kern w:val="0"/>
                <w:szCs w:val="21"/>
                <w:highlight w:val="none"/>
              </w:rPr>
              <w:t>1.拆除方式：可采用水上挖掘机等方式拆除。</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2.拆除构件的规格尺寸：水泥蚝桩的粗细约8-10cm，高度约</w:t>
            </w:r>
            <w:r>
              <w:rPr>
                <w:rFonts w:hint="eastAsia" w:ascii="宋体" w:hAnsi="宋体" w:cs="宋体"/>
                <w:color w:val="auto"/>
                <w:kern w:val="0"/>
                <w:szCs w:val="21"/>
                <w:highlight w:val="none"/>
                <w:lang w:eastAsia="zh-CN"/>
              </w:rPr>
              <w:t>60cm</w:t>
            </w:r>
            <w:r>
              <w:rPr>
                <w:rFonts w:hint="eastAsia" w:ascii="宋体" w:hAnsi="宋体" w:cs="宋体"/>
                <w:color w:val="auto"/>
                <w:kern w:val="0"/>
                <w:szCs w:val="21"/>
                <w:highlight w:val="none"/>
              </w:rPr>
              <w:t>，具体尺寸根据实施现场确定。</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3.服务内容含拔除、拆除、破碎、废渣清理成堆、人工装卸、运输、上船等。</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4.水上运输运距：拆除点至最近码头，距离约</w:t>
            </w:r>
            <w:r>
              <w:rPr>
                <w:rFonts w:ascii="宋体" w:hAnsi="宋体" w:cs="宋体"/>
                <w:color w:val="auto"/>
                <w:kern w:val="0"/>
                <w:szCs w:val="21"/>
                <w:highlight w:val="none"/>
              </w:rPr>
              <w:t>1</w:t>
            </w:r>
            <w:r>
              <w:rPr>
                <w:rFonts w:hint="eastAsia" w:ascii="宋体" w:hAnsi="宋体" w:cs="宋体"/>
                <w:color w:val="auto"/>
                <w:kern w:val="0"/>
                <w:szCs w:val="21"/>
                <w:highlight w:val="none"/>
              </w:rPr>
              <w:t>0公里，实际距离由实施现场确定；服务内容含人工装卸、运输、卸至岸边码头、空回等。</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5.陆地运输运距：运距约</w:t>
            </w:r>
            <w:r>
              <w:rPr>
                <w:rFonts w:ascii="宋体" w:hAnsi="宋体" w:cs="宋体"/>
                <w:color w:val="auto"/>
                <w:kern w:val="0"/>
                <w:szCs w:val="21"/>
                <w:highlight w:val="none"/>
              </w:rPr>
              <w:t>1</w:t>
            </w:r>
            <w:r>
              <w:rPr>
                <w:rFonts w:hint="eastAsia" w:ascii="宋体" w:hAnsi="宋体" w:cs="宋体"/>
                <w:color w:val="auto"/>
                <w:kern w:val="0"/>
                <w:szCs w:val="21"/>
                <w:highlight w:val="none"/>
              </w:rPr>
              <w:t>5公里，实际距离由实施现场确定；弃置至保护区范围以外的弃置点（弃置费已包含在磋商报价中，采购人不再另行支付），要求不得对环境造成污染。</w:t>
            </w:r>
          </w:p>
        </w:tc>
      </w:tr>
      <w:tr w14:paraId="6E5BCA45">
        <w:tblPrEx>
          <w:tblCellMar>
            <w:top w:w="0" w:type="dxa"/>
            <w:left w:w="108" w:type="dxa"/>
            <w:bottom w:w="0" w:type="dxa"/>
            <w:right w:w="108" w:type="dxa"/>
          </w:tblCellMar>
        </w:tblPrEx>
        <w:trPr>
          <w:trHeight w:val="2875"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1F92A77E">
            <w:pPr>
              <w:widowControl/>
              <w:wordWrap w:val="0"/>
              <w:spacing w:line="360" w:lineRule="exact"/>
              <w:jc w:val="center"/>
              <w:textAlignment w:val="center"/>
              <w:rPr>
                <w:color w:val="auto"/>
                <w:highlight w:val="none"/>
              </w:rPr>
            </w:pPr>
            <w:r>
              <w:rPr>
                <w:rFonts w:hint="eastAsia" w:ascii="宋体" w:hAnsi="宋体" w:cs="宋体"/>
                <w:color w:val="auto"/>
                <w:kern w:val="0"/>
                <w:szCs w:val="21"/>
                <w:highlight w:val="none"/>
              </w:rPr>
              <w:t>2</w:t>
            </w:r>
          </w:p>
        </w:tc>
        <w:tc>
          <w:tcPr>
            <w:tcW w:w="440" w:type="dxa"/>
            <w:vMerge w:val="continue"/>
            <w:tcBorders>
              <w:left w:val="single" w:color="auto" w:sz="4" w:space="0"/>
              <w:bottom w:val="single" w:color="000000" w:sz="4" w:space="0"/>
              <w:right w:val="single" w:color="auto" w:sz="4" w:space="0"/>
            </w:tcBorders>
            <w:vAlign w:val="center"/>
          </w:tcPr>
          <w:p w14:paraId="58305D3F">
            <w:pPr>
              <w:widowControl/>
              <w:jc w:val="center"/>
              <w:textAlignment w:val="center"/>
              <w:rPr>
                <w:color w:val="auto"/>
                <w:highlight w:val="none"/>
              </w:rPr>
            </w:pPr>
          </w:p>
        </w:tc>
        <w:tc>
          <w:tcPr>
            <w:tcW w:w="987" w:type="dxa"/>
            <w:tcBorders>
              <w:top w:val="single" w:color="auto" w:sz="4" w:space="0"/>
              <w:left w:val="single" w:color="auto" w:sz="4" w:space="0"/>
              <w:bottom w:val="single" w:color="auto" w:sz="4" w:space="0"/>
              <w:right w:val="single" w:color="auto" w:sz="4" w:space="0"/>
            </w:tcBorders>
            <w:vAlign w:val="center"/>
          </w:tcPr>
          <w:p w14:paraId="527616DF">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远岸海域（2.01-5公里）</w:t>
            </w:r>
          </w:p>
        </w:tc>
        <w:tc>
          <w:tcPr>
            <w:tcW w:w="1288" w:type="dxa"/>
            <w:tcBorders>
              <w:top w:val="single" w:color="auto" w:sz="4" w:space="0"/>
              <w:left w:val="single" w:color="auto" w:sz="4" w:space="0"/>
              <w:bottom w:val="single" w:color="auto" w:sz="4" w:space="0"/>
              <w:right w:val="single" w:color="auto" w:sz="4" w:space="0"/>
            </w:tcBorders>
            <w:vAlign w:val="center"/>
          </w:tcPr>
          <w:p w14:paraId="175852D0">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497212.00</w:t>
            </w:r>
          </w:p>
        </w:tc>
        <w:tc>
          <w:tcPr>
            <w:tcW w:w="702" w:type="dxa"/>
            <w:tcBorders>
              <w:top w:val="single" w:color="auto" w:sz="4" w:space="0"/>
              <w:left w:val="single" w:color="auto" w:sz="4" w:space="0"/>
              <w:bottom w:val="single" w:color="auto" w:sz="4" w:space="0"/>
              <w:right w:val="single" w:color="auto" w:sz="4" w:space="0"/>
            </w:tcBorders>
            <w:vAlign w:val="center"/>
          </w:tcPr>
          <w:p w14:paraId="326DBB52">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根</w:t>
            </w:r>
          </w:p>
        </w:tc>
        <w:tc>
          <w:tcPr>
            <w:tcW w:w="1364" w:type="dxa"/>
            <w:tcBorders>
              <w:top w:val="single" w:color="auto" w:sz="4" w:space="0"/>
              <w:left w:val="single" w:color="auto" w:sz="4" w:space="0"/>
              <w:bottom w:val="single" w:color="auto" w:sz="4" w:space="0"/>
              <w:right w:val="single" w:color="auto" w:sz="4" w:space="0"/>
            </w:tcBorders>
            <w:vAlign w:val="center"/>
          </w:tcPr>
          <w:p w14:paraId="36B816C0">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0.98 </w:t>
            </w:r>
          </w:p>
        </w:tc>
        <w:tc>
          <w:tcPr>
            <w:tcW w:w="3774" w:type="dxa"/>
            <w:tcBorders>
              <w:top w:val="single" w:color="auto" w:sz="4" w:space="0"/>
              <w:left w:val="single" w:color="auto" w:sz="4" w:space="0"/>
              <w:bottom w:val="single" w:color="auto" w:sz="4" w:space="0"/>
              <w:right w:val="single" w:color="auto" w:sz="4" w:space="0"/>
            </w:tcBorders>
            <w:shd w:val="clear" w:color="auto" w:fill="auto"/>
            <w:vAlign w:val="center"/>
          </w:tcPr>
          <w:p w14:paraId="4F4D950C">
            <w:pPr>
              <w:widowControl/>
              <w:wordWrap w:val="0"/>
              <w:spacing w:line="360" w:lineRule="exact"/>
              <w:textAlignment w:val="center"/>
              <w:rPr>
                <w:rFonts w:ascii="宋体" w:hAnsi="宋体" w:cs="宋体"/>
                <w:color w:val="auto"/>
                <w:szCs w:val="21"/>
                <w:highlight w:val="none"/>
              </w:rPr>
            </w:pPr>
            <w:r>
              <w:rPr>
                <w:rFonts w:hint="eastAsia" w:ascii="宋体" w:hAnsi="宋体" w:cs="宋体"/>
                <w:color w:val="auto"/>
                <w:kern w:val="0"/>
                <w:szCs w:val="21"/>
                <w:highlight w:val="none"/>
              </w:rPr>
              <w:t>1.拆除方式：可采用水上挖掘机等方式拆除。</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2.拆除构件的规格尺寸：水泥蚝桩的粗细约8-10cm，高度约</w:t>
            </w:r>
            <w:r>
              <w:rPr>
                <w:rFonts w:hint="eastAsia" w:ascii="宋体" w:hAnsi="宋体" w:cs="宋体"/>
                <w:color w:val="auto"/>
                <w:kern w:val="0"/>
                <w:szCs w:val="21"/>
                <w:highlight w:val="none"/>
                <w:lang w:eastAsia="zh-CN"/>
              </w:rPr>
              <w:t>60cm</w:t>
            </w:r>
            <w:r>
              <w:rPr>
                <w:rFonts w:hint="eastAsia" w:ascii="宋体" w:hAnsi="宋体" w:cs="宋体"/>
                <w:color w:val="auto"/>
                <w:kern w:val="0"/>
                <w:szCs w:val="21"/>
                <w:highlight w:val="none"/>
              </w:rPr>
              <w:t>，具体尺寸根据实施现场确定。</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3.服务内容含拔除、拆除、破碎、废渣清理成堆、人工装卸、运输、上船等。</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4.水上运输运距：拆除点至最近码头，距离约</w:t>
            </w:r>
            <w:r>
              <w:rPr>
                <w:rFonts w:ascii="宋体" w:hAnsi="宋体" w:cs="宋体"/>
                <w:color w:val="auto"/>
                <w:kern w:val="0"/>
                <w:szCs w:val="21"/>
                <w:highlight w:val="none"/>
              </w:rPr>
              <w:t>1</w:t>
            </w:r>
            <w:r>
              <w:rPr>
                <w:rFonts w:hint="eastAsia" w:ascii="宋体" w:hAnsi="宋体" w:cs="宋体"/>
                <w:color w:val="auto"/>
                <w:kern w:val="0"/>
                <w:szCs w:val="21"/>
                <w:highlight w:val="none"/>
              </w:rPr>
              <w:t>0公里，实际距离由实施现场确定；服务内容含人工装卸、运输、卸至岸边码头、空回等。</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5.陆地运输运距：运距约</w:t>
            </w:r>
            <w:r>
              <w:rPr>
                <w:rFonts w:ascii="宋体" w:hAnsi="宋体" w:cs="宋体"/>
                <w:color w:val="auto"/>
                <w:kern w:val="0"/>
                <w:szCs w:val="21"/>
                <w:highlight w:val="none"/>
              </w:rPr>
              <w:t>1</w:t>
            </w:r>
            <w:r>
              <w:rPr>
                <w:rFonts w:hint="eastAsia" w:ascii="宋体" w:hAnsi="宋体" w:cs="宋体"/>
                <w:color w:val="auto"/>
                <w:kern w:val="0"/>
                <w:szCs w:val="21"/>
                <w:highlight w:val="none"/>
              </w:rPr>
              <w:t>5公里，实际距离由实施现场确定；弃置至保护区范围以外的弃置点（弃置费已包含在磋商报价中，采购人不再另行支付），要求不得对环境造成污染。</w:t>
            </w:r>
          </w:p>
        </w:tc>
      </w:tr>
      <w:tr w14:paraId="4C593658">
        <w:tblPrEx>
          <w:tblCellMar>
            <w:top w:w="0" w:type="dxa"/>
            <w:left w:w="108" w:type="dxa"/>
            <w:bottom w:w="0" w:type="dxa"/>
            <w:right w:w="108" w:type="dxa"/>
          </w:tblCellMar>
        </w:tblPrEx>
        <w:trPr>
          <w:trHeight w:val="23" w:hRule="atLeast"/>
          <w:jc w:val="center"/>
        </w:trPr>
        <w:tc>
          <w:tcPr>
            <w:tcW w:w="683" w:type="dxa"/>
            <w:tcBorders>
              <w:top w:val="single" w:color="auto" w:sz="4" w:space="0"/>
              <w:left w:val="single" w:color="000000" w:sz="4" w:space="0"/>
              <w:bottom w:val="single" w:color="000000" w:sz="4" w:space="0"/>
              <w:right w:val="single" w:color="000000" w:sz="4" w:space="0"/>
            </w:tcBorders>
            <w:vAlign w:val="center"/>
          </w:tcPr>
          <w:p w14:paraId="526B9BE5">
            <w:pPr>
              <w:widowControl/>
              <w:wordWrap w:val="0"/>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w:t>
            </w:r>
          </w:p>
        </w:tc>
        <w:tc>
          <w:tcPr>
            <w:tcW w:w="1427" w:type="dxa"/>
            <w:gridSpan w:val="2"/>
            <w:tcBorders>
              <w:top w:val="single" w:color="000000" w:sz="4" w:space="0"/>
              <w:left w:val="single" w:color="000000" w:sz="4" w:space="0"/>
              <w:bottom w:val="single" w:color="000000" w:sz="4" w:space="0"/>
              <w:right w:val="single" w:color="000000" w:sz="4" w:space="0"/>
            </w:tcBorders>
            <w:vAlign w:val="center"/>
          </w:tcPr>
          <w:p w14:paraId="0548908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废弃蚝堆拆除</w:t>
            </w:r>
          </w:p>
        </w:tc>
        <w:tc>
          <w:tcPr>
            <w:tcW w:w="1288" w:type="dxa"/>
            <w:tcBorders>
              <w:top w:val="single" w:color="000000" w:sz="4" w:space="0"/>
              <w:left w:val="single" w:color="000000" w:sz="4" w:space="0"/>
              <w:bottom w:val="single" w:color="000000" w:sz="4" w:space="0"/>
              <w:right w:val="single" w:color="000000" w:sz="4" w:space="0"/>
            </w:tcBorders>
            <w:vAlign w:val="center"/>
          </w:tcPr>
          <w:p w14:paraId="4BDCAFC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61.50</w:t>
            </w:r>
          </w:p>
        </w:tc>
        <w:tc>
          <w:tcPr>
            <w:tcW w:w="702" w:type="dxa"/>
            <w:tcBorders>
              <w:top w:val="single" w:color="000000" w:sz="4" w:space="0"/>
              <w:left w:val="single" w:color="000000" w:sz="4" w:space="0"/>
              <w:bottom w:val="single" w:color="000000" w:sz="4" w:space="0"/>
              <w:right w:val="single" w:color="000000" w:sz="4" w:space="0"/>
            </w:tcBorders>
            <w:vAlign w:val="center"/>
          </w:tcPr>
          <w:p w14:paraId="6C505C5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亩</w:t>
            </w:r>
          </w:p>
        </w:tc>
        <w:tc>
          <w:tcPr>
            <w:tcW w:w="1364" w:type="dxa"/>
            <w:tcBorders>
              <w:top w:val="single" w:color="auto" w:sz="4" w:space="0"/>
              <w:left w:val="single" w:color="000000" w:sz="4" w:space="0"/>
              <w:bottom w:val="single" w:color="000000" w:sz="4" w:space="0"/>
              <w:right w:val="single" w:color="000000" w:sz="4" w:space="0"/>
            </w:tcBorders>
            <w:vAlign w:val="center"/>
          </w:tcPr>
          <w:p w14:paraId="61F3DA9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19136.60 </w:t>
            </w:r>
          </w:p>
        </w:tc>
        <w:tc>
          <w:tcPr>
            <w:tcW w:w="3774" w:type="dxa"/>
            <w:tcBorders>
              <w:top w:val="single" w:color="auto" w:sz="4" w:space="0"/>
              <w:left w:val="single" w:color="000000" w:sz="4" w:space="0"/>
              <w:bottom w:val="single" w:color="000000" w:sz="4" w:space="0"/>
              <w:right w:val="single" w:color="000000" w:sz="4" w:space="0"/>
            </w:tcBorders>
            <w:vAlign w:val="center"/>
          </w:tcPr>
          <w:p w14:paraId="631589ED">
            <w:pPr>
              <w:widowControl/>
              <w:wordWrap w:val="0"/>
              <w:spacing w:line="360" w:lineRule="exact"/>
              <w:textAlignment w:val="center"/>
              <w:rPr>
                <w:rFonts w:ascii="宋体" w:hAnsi="宋体" w:cs="宋体"/>
                <w:color w:val="auto"/>
                <w:szCs w:val="21"/>
                <w:highlight w:val="none"/>
              </w:rPr>
            </w:pPr>
            <w:r>
              <w:rPr>
                <w:rFonts w:hint="eastAsia" w:ascii="宋体" w:hAnsi="宋体" w:cs="宋体"/>
                <w:color w:val="auto"/>
                <w:kern w:val="0"/>
                <w:szCs w:val="21"/>
                <w:highlight w:val="none"/>
              </w:rPr>
              <w:t>1.拆除方式：可采用水上挖掘机等方式拆除。</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2.拆除构件的规格尺寸：蚝堆的高度约1.5米，具体尺寸根据实施现场确定。</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3.服务内容含拔除、拆除、破碎、废渣清理成堆、人工装卸、运输、上船等</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4.水上运输运距：拆除点至最近码头，距离约</w:t>
            </w:r>
            <w:r>
              <w:rPr>
                <w:rFonts w:ascii="宋体" w:hAnsi="宋体" w:cs="宋体"/>
                <w:color w:val="auto"/>
                <w:kern w:val="0"/>
                <w:szCs w:val="21"/>
                <w:highlight w:val="none"/>
              </w:rPr>
              <w:t>1</w:t>
            </w:r>
            <w:r>
              <w:rPr>
                <w:rFonts w:hint="eastAsia" w:ascii="宋体" w:hAnsi="宋体" w:cs="宋体"/>
                <w:color w:val="auto"/>
                <w:kern w:val="0"/>
                <w:szCs w:val="21"/>
                <w:highlight w:val="none"/>
              </w:rPr>
              <w:t>0公里，实际距离由实施现场确定；含人工装卸、运输、卸至岸边码头、空回等。</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5.陆地运输运距：运距约</w:t>
            </w:r>
            <w:r>
              <w:rPr>
                <w:rFonts w:ascii="宋体" w:hAnsi="宋体" w:cs="宋体"/>
                <w:color w:val="auto"/>
                <w:kern w:val="0"/>
                <w:szCs w:val="21"/>
                <w:highlight w:val="none"/>
              </w:rPr>
              <w:t>1</w:t>
            </w:r>
            <w:r>
              <w:rPr>
                <w:rFonts w:hint="eastAsia" w:ascii="宋体" w:hAnsi="宋体" w:cs="宋体"/>
                <w:color w:val="auto"/>
                <w:kern w:val="0"/>
                <w:szCs w:val="21"/>
                <w:highlight w:val="none"/>
              </w:rPr>
              <w:t>5公里，实际距离由实施现场确定；弃置至保护区范围以外的弃置点（弃置费已包含在磋商报价中，采购人不再另行支付），要求不得对环境造成污染</w:t>
            </w:r>
          </w:p>
        </w:tc>
      </w:tr>
      <w:tr w14:paraId="77E40E2D">
        <w:tblPrEx>
          <w:tblCellMar>
            <w:top w:w="0" w:type="dxa"/>
            <w:left w:w="108" w:type="dxa"/>
            <w:bottom w:w="0" w:type="dxa"/>
            <w:right w:w="108" w:type="dxa"/>
          </w:tblCellMar>
        </w:tblPrEx>
        <w:trPr>
          <w:trHeight w:val="23" w:hRule="atLeast"/>
          <w:jc w:val="center"/>
        </w:trPr>
        <w:tc>
          <w:tcPr>
            <w:tcW w:w="683" w:type="dxa"/>
            <w:tcBorders>
              <w:top w:val="single" w:color="000000" w:sz="4" w:space="0"/>
              <w:left w:val="single" w:color="000000" w:sz="4" w:space="0"/>
              <w:bottom w:val="single" w:color="000000" w:sz="4" w:space="0"/>
              <w:right w:val="single" w:color="000000" w:sz="4" w:space="0"/>
            </w:tcBorders>
            <w:vAlign w:val="center"/>
          </w:tcPr>
          <w:p w14:paraId="1586A15E">
            <w:pPr>
              <w:widowControl/>
              <w:wordWrap w:val="0"/>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w:t>
            </w:r>
          </w:p>
        </w:tc>
        <w:tc>
          <w:tcPr>
            <w:tcW w:w="1427" w:type="dxa"/>
            <w:gridSpan w:val="2"/>
            <w:tcBorders>
              <w:top w:val="single" w:color="000000" w:sz="4" w:space="0"/>
              <w:left w:val="single" w:color="000000" w:sz="4" w:space="0"/>
              <w:bottom w:val="single" w:color="000000" w:sz="4" w:space="0"/>
              <w:right w:val="single" w:color="000000" w:sz="4" w:space="0"/>
            </w:tcBorders>
            <w:vAlign w:val="center"/>
          </w:tcPr>
          <w:p w14:paraId="68E94CF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渔箔拆除</w:t>
            </w:r>
          </w:p>
        </w:tc>
        <w:tc>
          <w:tcPr>
            <w:tcW w:w="1288" w:type="dxa"/>
            <w:tcBorders>
              <w:top w:val="single" w:color="000000" w:sz="4" w:space="0"/>
              <w:left w:val="single" w:color="000000" w:sz="4" w:space="0"/>
              <w:bottom w:val="single" w:color="000000" w:sz="4" w:space="0"/>
              <w:right w:val="single" w:color="000000" w:sz="4" w:space="0"/>
            </w:tcBorders>
            <w:vAlign w:val="center"/>
          </w:tcPr>
          <w:p w14:paraId="593B8EC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4134.00</w:t>
            </w:r>
          </w:p>
        </w:tc>
        <w:tc>
          <w:tcPr>
            <w:tcW w:w="702" w:type="dxa"/>
            <w:tcBorders>
              <w:top w:val="single" w:color="000000" w:sz="4" w:space="0"/>
              <w:left w:val="single" w:color="000000" w:sz="4" w:space="0"/>
              <w:bottom w:val="single" w:color="000000" w:sz="4" w:space="0"/>
              <w:right w:val="single" w:color="000000" w:sz="4" w:space="0"/>
            </w:tcBorders>
            <w:vAlign w:val="center"/>
          </w:tcPr>
          <w:p w14:paraId="5CE2493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米</w:t>
            </w:r>
          </w:p>
        </w:tc>
        <w:tc>
          <w:tcPr>
            <w:tcW w:w="1364" w:type="dxa"/>
            <w:tcBorders>
              <w:top w:val="single" w:color="000000" w:sz="4" w:space="0"/>
              <w:left w:val="single" w:color="000000" w:sz="4" w:space="0"/>
              <w:bottom w:val="single" w:color="000000" w:sz="4" w:space="0"/>
              <w:right w:val="single" w:color="000000" w:sz="4" w:space="0"/>
            </w:tcBorders>
            <w:vAlign w:val="center"/>
          </w:tcPr>
          <w:p w14:paraId="701F3DF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3.99 </w:t>
            </w:r>
          </w:p>
        </w:tc>
        <w:tc>
          <w:tcPr>
            <w:tcW w:w="3774" w:type="dxa"/>
            <w:tcBorders>
              <w:top w:val="single" w:color="000000" w:sz="4" w:space="0"/>
              <w:left w:val="single" w:color="000000" w:sz="4" w:space="0"/>
              <w:bottom w:val="single" w:color="000000" w:sz="4" w:space="0"/>
              <w:right w:val="single" w:color="000000" w:sz="4" w:space="0"/>
            </w:tcBorders>
            <w:vAlign w:val="center"/>
          </w:tcPr>
          <w:p w14:paraId="7998D9AF">
            <w:pPr>
              <w:widowControl/>
              <w:wordWrap w:val="0"/>
              <w:spacing w:line="360" w:lineRule="exact"/>
              <w:textAlignment w:val="center"/>
              <w:rPr>
                <w:rFonts w:ascii="宋体" w:hAnsi="宋体" w:cs="宋体"/>
                <w:color w:val="auto"/>
                <w:szCs w:val="21"/>
                <w:highlight w:val="none"/>
              </w:rPr>
            </w:pPr>
            <w:r>
              <w:rPr>
                <w:rFonts w:hint="eastAsia" w:ascii="宋体" w:hAnsi="宋体" w:cs="宋体"/>
                <w:color w:val="auto"/>
                <w:kern w:val="0"/>
                <w:szCs w:val="21"/>
                <w:highlight w:val="none"/>
              </w:rPr>
              <w:t>1.拆除方式：可采用水上挖掘机等方式拆除。</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2.拆除构件的规格尺寸：木桩，粗细约6cm，高度约5米，具体尺寸根据实施现场确定。</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3.服务内容含拔除、拆除、破碎、废渣清理成堆、人工装卸、运输、上船等。</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4.水上运输运距：拆除点至最近码头，距离约</w:t>
            </w:r>
            <w:r>
              <w:rPr>
                <w:rFonts w:ascii="宋体" w:hAnsi="宋体" w:cs="宋体"/>
                <w:color w:val="auto"/>
                <w:kern w:val="0"/>
                <w:szCs w:val="21"/>
                <w:highlight w:val="none"/>
              </w:rPr>
              <w:t>1</w:t>
            </w:r>
            <w:r>
              <w:rPr>
                <w:rFonts w:hint="eastAsia" w:ascii="宋体" w:hAnsi="宋体" w:cs="宋体"/>
                <w:color w:val="auto"/>
                <w:kern w:val="0"/>
                <w:szCs w:val="21"/>
                <w:highlight w:val="none"/>
              </w:rPr>
              <w:t>0公里，实际距离由实施现场确定；含人工装卸、运输、卸至岸边码头、空回等。</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5.陆地运输运距：运距约</w:t>
            </w:r>
            <w:r>
              <w:rPr>
                <w:rFonts w:ascii="宋体" w:hAnsi="宋体" w:cs="宋体"/>
                <w:color w:val="auto"/>
                <w:kern w:val="0"/>
                <w:szCs w:val="21"/>
                <w:highlight w:val="none"/>
              </w:rPr>
              <w:t>1</w:t>
            </w:r>
            <w:r>
              <w:rPr>
                <w:rFonts w:hint="eastAsia" w:ascii="宋体" w:hAnsi="宋体" w:cs="宋体"/>
                <w:color w:val="auto"/>
                <w:kern w:val="0"/>
                <w:szCs w:val="21"/>
                <w:highlight w:val="none"/>
              </w:rPr>
              <w:t>5公里，实际距离由实施现场确定；弃置至保护区范围以外的弃置点（弃置费已包含在磋商报价中，采购人不再另行支付），要求不得对环境造成污染。</w:t>
            </w:r>
          </w:p>
        </w:tc>
      </w:tr>
    </w:tbl>
    <w:p w14:paraId="0300BB14">
      <w:pPr>
        <w:pStyle w:val="5"/>
        <w:jc w:val="center"/>
        <w:rPr>
          <w:color w:val="auto"/>
          <w:highlight w:val="none"/>
        </w:rPr>
      </w:pPr>
      <w:r>
        <w:rPr>
          <w:rFonts w:hint="eastAsia" w:ascii="黑体" w:hAnsi="黑体" w:eastAsia="黑体" w:cs="黑体"/>
          <w:color w:val="auto"/>
          <w:sz w:val="32"/>
          <w:szCs w:val="32"/>
          <w:highlight w:val="none"/>
        </w:rPr>
        <w:br w:type="page"/>
      </w:r>
      <w:bookmarkStart w:id="76" w:name="_Toc4095"/>
      <w:r>
        <w:rPr>
          <w:rFonts w:hint="eastAsia"/>
          <w:color w:val="auto"/>
          <w:highlight w:val="none"/>
        </w:rPr>
        <w:t>第四章评审程序、评审方法和评审标准</w:t>
      </w:r>
      <w:bookmarkEnd w:id="76"/>
    </w:p>
    <w:p w14:paraId="4E15A2F1">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一、评审程序和评审方法</w:t>
      </w:r>
    </w:p>
    <w:p w14:paraId="2F18C5A1">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.资格审查</w:t>
      </w:r>
    </w:p>
    <w:p w14:paraId="6462864E">
      <w:pPr>
        <w:snapToGrid w:val="0"/>
        <w:spacing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w:t>
      </w:r>
      <w:r>
        <w:rPr>
          <w:rFonts w:hint="eastAsia" w:ascii="宋体" w:hAnsi="宋体"/>
          <w:color w:val="auto"/>
          <w:szCs w:val="21"/>
          <w:highlight w:val="none"/>
        </w:rPr>
        <w:t>响应文件开启后，磋商小组依法对供应商的资格证明文件进行审查。</w:t>
      </w:r>
    </w:p>
    <w:p w14:paraId="32C74FD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r>
        <w:rPr>
          <w:rFonts w:hint="eastAsia"/>
          <w:color w:val="auto"/>
          <w:highlight w:val="none"/>
        </w:rPr>
        <w:t>磋商小组</w:t>
      </w:r>
      <w:r>
        <w:rPr>
          <w:rFonts w:hint="eastAsia" w:ascii="宋体" w:hAnsi="宋体" w:cs="宋体"/>
          <w:color w:val="auto"/>
          <w:szCs w:val="21"/>
          <w:highlight w:val="none"/>
        </w:rPr>
        <w:t>在资格审查结束前，对供应商进行信用查询。</w:t>
      </w:r>
    </w:p>
    <w:p w14:paraId="234F3F2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（1）查询渠道：“信用中国”网站（www.creditchina.gov.cn）、中国政府采购网（www.ccgp.gov.cn）。</w:t>
      </w:r>
    </w:p>
    <w:p w14:paraId="323696A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733E7C8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（3）查询记录和证据留存方式：在查询网站中直接查询，截图另存为电子文档作为评审资料保存。</w:t>
      </w:r>
    </w:p>
    <w:p w14:paraId="3F3D1F0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color w:val="auto"/>
          <w:szCs w:val="21"/>
          <w:highlight w:val="none"/>
        </w:rPr>
        <w:t>。</w:t>
      </w:r>
    </w:p>
    <w:p w14:paraId="26DC992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.2资格审查标准为本磋商文件中载明对供应商资格要求的条件。资格审查采用合格制，凡符合磋商文件规定的供应商资格要求的响应文件均通过资格审查。</w:t>
      </w:r>
    </w:p>
    <w:p w14:paraId="77ED2551">
      <w:pPr>
        <w:spacing w:line="360" w:lineRule="auto"/>
        <w:ind w:firstLine="422" w:firstLineChars="200"/>
        <w:rPr>
          <w:rFonts w:ascii="宋体" w:hAnsi="宋体" w:cs="宋体"/>
          <w:b/>
          <w:bCs/>
          <w:color w:val="auto"/>
          <w:szCs w:val="21"/>
          <w:highlight w:val="none"/>
        </w:rPr>
      </w:pPr>
      <w:r>
        <w:rPr>
          <w:rFonts w:ascii="宋体" w:hAnsi="宋体" w:cs="宋体"/>
          <w:b/>
          <w:bCs/>
          <w:color w:val="auto"/>
          <w:szCs w:val="21"/>
          <w:highlight w:val="none"/>
        </w:rPr>
        <w:t>1</w:t>
      </w:r>
      <w:r>
        <w:rPr>
          <w:rFonts w:hint="eastAsia" w:ascii="宋体" w:hAnsi="宋体" w:cs="宋体"/>
          <w:b/>
          <w:bCs/>
          <w:color w:val="auto"/>
          <w:szCs w:val="21"/>
          <w:highlight w:val="none"/>
        </w:rPr>
        <w:t>.3供应商有下列情形之一的，资格审查不通过，其响应文件按无效响应处理：</w:t>
      </w:r>
    </w:p>
    <w:p w14:paraId="5FBD89B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）不具备磋商文件中规定的资格要求的；</w:t>
      </w:r>
    </w:p>
    <w:p w14:paraId="055809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（2）未按磋商文件规定的方式获取本磋商文件的供应商；</w:t>
      </w:r>
    </w:p>
    <w:p w14:paraId="1D6298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）响应文件的资格证明文件缺少任一项“供应商须知前附表”资格证明文件规定的“必须提供”的文件资料的；</w:t>
      </w:r>
    </w:p>
    <w:p w14:paraId="6A7297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）响应文件中的资格证明文件出现任一项不符合“供应商须知前附表”资格证明文件规定的“必须提供”的文件资料要求或者无效的；</w:t>
      </w:r>
    </w:p>
    <w:p w14:paraId="4918E9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）同一合同项下的不同供应商，单位负责人为同一人或者存在直接控股、管理关系的；为本项目提供过整体设计、规范编制或者项目管理、监理、检测等服务的供应商，再参加该采购项目的其他采购活动的。</w:t>
      </w:r>
    </w:p>
    <w:p w14:paraId="5BC1791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.4通过资格审查的合格供应商不足3家的，不得进入符合性审查环节，</w:t>
      </w:r>
      <w:r>
        <w:rPr>
          <w:rFonts w:hint="eastAsia" w:ascii="宋体" w:hAnsi="宋体"/>
          <w:color w:val="auto"/>
          <w:szCs w:val="21"/>
          <w:highlight w:val="none"/>
        </w:rPr>
        <w:t>采购人或者采购代理机构应当重新开展采购活动。</w:t>
      </w:r>
    </w:p>
    <w:p w14:paraId="284F0853">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.符合性审查</w:t>
      </w:r>
    </w:p>
    <w:p w14:paraId="7AFF2EFE">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2.1由磋商小组对通过资格审查的合格供应商的响应文件的竞标报价、商务、技术等实质性要求进行符合性审查，以确定其是否满足磋商文件的实质性要求。</w:t>
      </w:r>
    </w:p>
    <w:p w14:paraId="2ABAB41F">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79CC7D3">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签章。</w:t>
      </w:r>
    </w:p>
    <w:p w14:paraId="34AADD31">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19F47E17">
      <w:pPr>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 xml:space="preserve">2.4首次响应文件报价出现前后不一致的，按照下列规定修正： </w:t>
      </w:r>
    </w:p>
    <w:p w14:paraId="5395F14D">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（1）响应文件中报价表内容与响应文件中相应内容不一致的，以报价表为准；</w:t>
      </w:r>
    </w:p>
    <w:p w14:paraId="3A56F29C">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（2）大写金额和小写金额不一致的，以大写金额为准；</w:t>
      </w:r>
    </w:p>
    <w:p w14:paraId="34A62A2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（3）单价金额小数点或者百分比有明显错位的，以报价表的总价为准，并修改单价；</w:t>
      </w:r>
    </w:p>
    <w:p w14:paraId="65AB1D8F">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（4）总价金额与按单价汇总金额不一致的，以单价金额计算结果为准。</w:t>
      </w:r>
    </w:p>
    <w:p w14:paraId="7099F487">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同时出现两种以上不一致的，按照以上（1）-（4）规定的顺序逐条进行修正。修正后的报价经供应商确认后产生约束力，供应商不确认的，其响应文件按无效响应处理。</w:t>
      </w:r>
    </w:p>
    <w:p w14:paraId="5D46C95D">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2.5商务技术报价评审</w:t>
      </w:r>
    </w:p>
    <w:p w14:paraId="7FA7EB65">
      <w:pPr>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在评审时，如发现下列情形之一的，将被视为响应文件无效处理：</w:t>
      </w:r>
    </w:p>
    <w:p w14:paraId="67FE702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（1）商务技术评审</w:t>
      </w:r>
    </w:p>
    <w:p w14:paraId="2720BEAA">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1）响应文件未按磋商文件要求签署、盖章；</w:t>
      </w:r>
    </w:p>
    <w:p w14:paraId="2E3F525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2）委托代理人未能出具有效身份证或者出具的身份证与授权委托书中的信息不符的； </w:t>
      </w:r>
    </w:p>
    <w:p w14:paraId="4E4640CC">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3）提交的磋商保证金无效的或者未按照磋商文件的规定提交磋商保证金；</w:t>
      </w:r>
    </w:p>
    <w:p w14:paraId="7830BB9B">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009A1FED">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5）商务、技术要求允许负偏离的条款数超过“供应商须知前附表”规定项数的；</w:t>
      </w:r>
    </w:p>
    <w:p w14:paraId="33C768E4">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6）未对竞标有效期作出响应或者响应文件承诺的竞标有效期不满足磋商文件要求；</w:t>
      </w:r>
    </w:p>
    <w:p w14:paraId="040FC99A">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7）响应文件的实质性内容未使用中文表述、使用计量单位不符合磋商文件要求；</w:t>
      </w:r>
    </w:p>
    <w:p w14:paraId="6CB5BE9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8）响应文件中的文件资料因填写不齐全或者内容虚假或者出现其他情形而导致被磋商小组认定无效；</w:t>
      </w:r>
    </w:p>
    <w:p w14:paraId="135DC4C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9）响应文件含有采购人不能接受的附加条件；</w:t>
      </w:r>
    </w:p>
    <w:p w14:paraId="0F5278E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10）属于“供应商须知正文”第7.5条情形；</w:t>
      </w:r>
    </w:p>
    <w:p w14:paraId="69F43C3B">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11）虚假竞标，或者出现其他情形而导致被磋商小组认定无效；</w:t>
      </w:r>
    </w:p>
    <w:p w14:paraId="59B7A43C">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12）磋商文件未载明允许提供备选（替代）竞标方案或明确不允许提供备选（替代）竞标方案时，供应商提供了备选（替代）竞标方案的；</w:t>
      </w:r>
    </w:p>
    <w:p w14:paraId="752474D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13）响应文件标注的项目名称或者项目编号与磋商文件标注的项目名称或者项目编号不一致的；</w:t>
      </w:r>
    </w:p>
    <w:p w14:paraId="12A3ADFC">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14）竞争性磋商文件明确不允许分包，响应文件拟分包的；</w:t>
      </w:r>
    </w:p>
    <w:p w14:paraId="2C56477B">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15）未响应磋商文件实质性要求；</w:t>
      </w:r>
    </w:p>
    <w:p w14:paraId="0501169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16）法律、法规和磋商文件规定的其他无效情形。</w:t>
      </w:r>
    </w:p>
    <w:p w14:paraId="15CCA80D">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（2）报价评审</w:t>
      </w:r>
    </w:p>
    <w:p w14:paraId="6757C49A">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 响应文件未提供“供应商须知前附表” 报价文件中规定的“竞标报价表”；</w:t>
      </w:r>
    </w:p>
    <w:p w14:paraId="2D1E258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2）未采用人民币报价或者未按照磋商文件标明的币种报价；</w:t>
      </w:r>
    </w:p>
    <w:p w14:paraId="7892A73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2D26273A">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4）竞标报价（包含首次报价、最后报价）超过所竞标分标规定的采购预算金额的；</w:t>
      </w:r>
    </w:p>
    <w:p w14:paraId="2BBB96BE">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5）修正后的报价，供应商不确认的；或者经供应商确认修正后的竞标报价（包含首次报价、最后报价）超过所竞标分标规定的采购预算金额的；</w:t>
      </w:r>
    </w:p>
    <w:p w14:paraId="5692B31D">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6）响应文件响应的标的数量及单位与竞争性磋商采购文件要求实质性不一致的。</w:t>
      </w:r>
    </w:p>
    <w:p w14:paraId="54EE534C">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55FE7CCD">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2.7通过符合性审查的合格供应商不足3家的，不得进入磋商环节，采购人或者采购代理机构应当重新开展采购活动。</w:t>
      </w:r>
    </w:p>
    <w:p w14:paraId="1F06976C">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.磋商程序</w:t>
      </w:r>
    </w:p>
    <w:p w14:paraId="5AEBC0A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磋商小组集中与单一供应商分别进行磋商，并给予所有参加磋商的供应商平等的磋商机会。符合磋商资格的供应商必须在接到磋商通知后在规定时间内在广西政府采购云平台上参加磋商，未在规定时间内参加磋商的视同放弃参加磋商权利，其响应文件按无效响应处理。</w:t>
      </w:r>
    </w:p>
    <w:p w14:paraId="2149DBB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2980008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对磋商文件作出的实质性变动是磋商文件的有效组成部分，由磋商小组及时以电子澄清函形式同时通知所有参加磋商的供应商。</w:t>
      </w:r>
    </w:p>
    <w:p w14:paraId="2EA05810">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3.4</w:t>
      </w:r>
      <w:r>
        <w:rPr>
          <w:rFonts w:hint="eastAsia" w:ascii="宋体" w:hAnsi="宋体" w:cs="宋体"/>
          <w:color w:val="auto"/>
          <w:szCs w:val="21"/>
          <w:highlight w:val="none"/>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585F39A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3.5</w:t>
      </w:r>
      <w:r>
        <w:rPr>
          <w:rFonts w:hint="eastAsia" w:ascii="宋体" w:hAnsi="宋体" w:cs="宋体"/>
          <w:color w:val="auto"/>
          <w:szCs w:val="21"/>
          <w:highlight w:val="none"/>
        </w:rPr>
        <w:t>磋商中，</w:t>
      </w:r>
      <w:r>
        <w:rPr>
          <w:rFonts w:hint="eastAsia" w:ascii="宋体" w:hAnsi="宋体" w:cs="宋体"/>
          <w:color w:val="auto"/>
          <w:spacing w:val="-6"/>
          <w:szCs w:val="21"/>
          <w:highlight w:val="none"/>
        </w:rPr>
        <w:t>磋商的任何一方不得透露与磋商有关的其他供应商的技术资料、价格和其他信息。</w:t>
      </w:r>
    </w:p>
    <w:p w14:paraId="58346FD9">
      <w:pPr>
        <w:widowControl/>
        <w:tabs>
          <w:tab w:val="left" w:pos="540"/>
        </w:tabs>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3.6</w:t>
      </w:r>
      <w:r>
        <w:rPr>
          <w:rFonts w:hint="eastAsia" w:ascii="宋体" w:hAnsi="宋体" w:cs="宋体"/>
          <w:color w:val="auto"/>
          <w:szCs w:val="21"/>
          <w:highlight w:val="none"/>
        </w:rPr>
        <w:t>采购代理机构对磋商过程和重要磋商内容进行记录。</w:t>
      </w:r>
    </w:p>
    <w:p w14:paraId="6EB3B50A">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.7</w:t>
      </w:r>
      <w:r>
        <w:rPr>
          <w:color w:val="auto"/>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7F353F55">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3.8除</w:t>
      </w:r>
      <w:r>
        <w:rPr>
          <w:color w:val="auto"/>
          <w:highlight w:val="none"/>
        </w:rPr>
        <w:t>本章第3.7条情形</w:t>
      </w:r>
      <w:r>
        <w:rPr>
          <w:rFonts w:hint="eastAsia"/>
          <w:color w:val="auto"/>
          <w:highlight w:val="none"/>
        </w:rPr>
        <w:t>外，</w:t>
      </w:r>
      <w:r>
        <w:rPr>
          <w:rFonts w:hint="eastAsia" w:ascii="宋体" w:hAnsi="宋体"/>
          <w:color w:val="auto"/>
          <w:szCs w:val="21"/>
          <w:highlight w:val="none"/>
        </w:rPr>
        <w:t>对磋商过程提交的响应文件进行有效性、完整性和响应程度审查，通过审查的合格供应商不足3家的，采购人或者采购代理机构应当重新开展采购活动。</w:t>
      </w:r>
    </w:p>
    <w:p w14:paraId="38CBA614">
      <w:pPr>
        <w:spacing w:line="360" w:lineRule="auto"/>
        <w:ind w:firstLine="482" w:firstLineChars="200"/>
        <w:rPr>
          <w:rFonts w:ascii="宋体" w:hAnsi="宋体" w:cs="宋体"/>
          <w:color w:val="auto"/>
          <w:szCs w:val="21"/>
          <w:highlight w:val="none"/>
        </w:rPr>
      </w:pPr>
      <w:r>
        <w:rPr>
          <w:rFonts w:ascii="黑体" w:hAnsi="黑体" w:eastAsia="黑体" w:cs="宋体"/>
          <w:b/>
          <w:bCs/>
          <w:color w:val="auto"/>
          <w:sz w:val="24"/>
          <w:highlight w:val="none"/>
        </w:rPr>
        <w:t>4.</w:t>
      </w:r>
      <w:r>
        <w:rPr>
          <w:rFonts w:hint="eastAsia" w:ascii="黑体" w:hAnsi="黑体" w:eastAsia="黑体" w:cs="宋体"/>
          <w:b/>
          <w:bCs/>
          <w:color w:val="auto"/>
          <w:sz w:val="24"/>
          <w:highlight w:val="none"/>
        </w:rPr>
        <w:t xml:space="preserve"> 最后报价</w:t>
      </w:r>
    </w:p>
    <w:p w14:paraId="77AF0D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磋商文件能够详细列明采购标的的技术、服务要求的，磋商结束后，磋商小组应当要求所有继续参加磋商的供应商在规定时间内在广西政府采购云平台开标大厅提交最后报价，除本章第</w:t>
      </w:r>
      <w:r>
        <w:rPr>
          <w:rFonts w:ascii="宋体" w:hAnsi="宋体" w:cs="宋体"/>
          <w:color w:val="auto"/>
          <w:szCs w:val="21"/>
          <w:highlight w:val="none"/>
        </w:rPr>
        <w:t>4.3</w:t>
      </w:r>
      <w:r>
        <w:rPr>
          <w:rFonts w:hint="eastAsia" w:ascii="宋体" w:hAnsi="宋体" w:cs="宋体"/>
          <w:color w:val="auto"/>
          <w:szCs w:val="21"/>
          <w:highlight w:val="none"/>
        </w:rPr>
        <w:t>条外，提交最后报价的供应商不得少于3家，否则必须重新采购。</w:t>
      </w:r>
    </w:p>
    <w:p w14:paraId="1193B5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14:paraId="6AA63E4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 xml:space="preserve"> 最后报价是供应商响应文件的有效组成部分。符合《政府采购竞争性磋商采购方式管理暂行办法》（财库〔2014〕214号）第三条第四项“市场竞争不充分的科研项目，以及需要扶持的科技成果转化项目”和</w:t>
      </w:r>
      <w:r>
        <w:rPr>
          <w:color w:val="auto"/>
          <w:highlight w:val="none"/>
        </w:rPr>
        <w:t>本章第3.7条情形的，</w:t>
      </w:r>
      <w:r>
        <w:rPr>
          <w:rFonts w:hint="eastAsia" w:ascii="宋体" w:hAnsi="宋体" w:cs="宋体"/>
          <w:color w:val="auto"/>
          <w:szCs w:val="21"/>
          <w:highlight w:val="none"/>
        </w:rPr>
        <w:t>提交最后报价的供应商可以为2家。</w:t>
      </w:r>
    </w:p>
    <w:p w14:paraId="06AFD04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已经提交响应文件的供应商，在提交最后报价之前，可以根据磋商情况退出磋商，退出磋商的供应商的响应文件按无效响应处理。采购人、采购代理机构将退还退出磋商的供应商的保证金。</w:t>
      </w:r>
    </w:p>
    <w:p w14:paraId="21D7281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供应商未在规定时间内提交最后报价的，视同退出磋商，其响应文件按无效处理。</w:t>
      </w:r>
    </w:p>
    <w:p w14:paraId="562AA9F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最后报价统一开启后，磋商小组对最后报价进行有效性、完整性和响应程度的审查。</w:t>
      </w:r>
    </w:p>
    <w:p w14:paraId="3DC742D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最后报价出现前后不一致的，按照本章第</w:t>
      </w:r>
      <w:r>
        <w:rPr>
          <w:rFonts w:ascii="宋体" w:hAnsi="宋体" w:cs="宋体"/>
          <w:color w:val="auto"/>
          <w:szCs w:val="21"/>
          <w:highlight w:val="none"/>
        </w:rPr>
        <w:t>2.4</w:t>
      </w:r>
      <w:r>
        <w:rPr>
          <w:rFonts w:hint="eastAsia" w:ascii="宋体" w:hAnsi="宋体" w:cs="宋体"/>
          <w:color w:val="auto"/>
          <w:szCs w:val="21"/>
          <w:highlight w:val="none"/>
        </w:rPr>
        <w:t xml:space="preserve">条的规定修正。 </w:t>
      </w:r>
    </w:p>
    <w:p w14:paraId="205D2C3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修正后的报价出现下列情形的，按无效响应处理：</w:t>
      </w:r>
    </w:p>
    <w:p w14:paraId="317543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7A9AD94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（2）经供应商确认修正后的竞标报价（包含首次报价、最后报价）超过所竞标分标规定的采购预算金额的；</w:t>
      </w:r>
    </w:p>
    <w:p w14:paraId="218DC35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4.9</w:t>
      </w:r>
      <w:r>
        <w:rPr>
          <w:rFonts w:hint="eastAsia" w:ascii="宋体" w:hAnsi="宋体" w:cs="宋体"/>
          <w:color w:val="auto"/>
          <w:szCs w:val="21"/>
          <w:highlight w:val="none"/>
        </w:rPr>
        <w:t>经供应商确认修正后的最后报价作为评审及签订合同的依据。</w:t>
      </w:r>
    </w:p>
    <w:p w14:paraId="568CD9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4.10供应商出现最后报价按无效响应处理或者响应文件按无效处理时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748F08F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1最后报价结束后，磋商小组不得再与供应商进行任何形式的商谈。</w:t>
      </w:r>
    </w:p>
    <w:p w14:paraId="2E58CEF8">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14:paraId="2008B9B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评审方法：综合评分法。</w:t>
      </w:r>
    </w:p>
    <w:p w14:paraId="09C96F1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14:paraId="0FB83F8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2A6A7E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5273A32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3946D97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评审价为供应商的最后报价（如有修正，以确认修正后的最后报价为准）。</w:t>
      </w:r>
    </w:p>
    <w:p w14:paraId="6E12BE2B">
      <w:pPr>
        <w:spacing w:line="360" w:lineRule="auto"/>
        <w:ind w:firstLine="420" w:firstLineChars="200"/>
        <w:rPr>
          <w:rFonts w:ascii="宋体" w:hAnsi="宋体"/>
          <w:color w:val="auto"/>
          <w:kern w:val="0"/>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由磋商小组根据综合评分情况，按照评审得分由高到低顺序推荐3名以上成交候选供应商，并编写评</w:t>
      </w:r>
      <w:r>
        <w:rPr>
          <w:rFonts w:hint="eastAsia" w:ascii="宋体" w:hAnsi="宋体"/>
          <w:color w:val="auto"/>
          <w:kern w:val="0"/>
          <w:szCs w:val="21"/>
          <w:highlight w:val="none"/>
        </w:rPr>
        <w:t>审报告。符合本章第</w:t>
      </w:r>
      <w:r>
        <w:rPr>
          <w:rFonts w:ascii="宋体" w:hAnsi="宋体"/>
          <w:color w:val="auto"/>
          <w:kern w:val="0"/>
          <w:szCs w:val="21"/>
          <w:highlight w:val="none"/>
        </w:rPr>
        <w:t>4.3</w:t>
      </w:r>
      <w:r>
        <w:rPr>
          <w:rFonts w:hint="eastAsia" w:ascii="宋体" w:hAnsi="宋体"/>
          <w:color w:val="auto"/>
          <w:kern w:val="0"/>
          <w:szCs w:val="21"/>
          <w:highlight w:val="none"/>
        </w:rPr>
        <w:t>条情形的，可以推荐2家成交候选供应商。评审得分相同的，按照最后报价由低到高的顺序推荐。评审得分且最后报价相同的，按照技术指标优劣顺序推荐。</w:t>
      </w:r>
    </w:p>
    <w:p w14:paraId="60165A13">
      <w:pPr>
        <w:spacing w:line="360" w:lineRule="auto"/>
        <w:ind w:firstLine="420" w:firstLineChars="200"/>
        <w:rPr>
          <w:rFonts w:ascii="宋体" w:hAnsi="宋体" w:cs="宋体"/>
          <w:color w:val="auto"/>
          <w:szCs w:val="21"/>
          <w:highlight w:val="none"/>
        </w:rPr>
      </w:pPr>
      <w:r>
        <w:rPr>
          <w:rFonts w:ascii="宋体" w:hAnsi="宋体"/>
          <w:color w:val="auto"/>
          <w:kern w:val="0"/>
          <w:szCs w:val="21"/>
          <w:highlight w:val="none"/>
        </w:rPr>
        <w:t>5.6</w:t>
      </w:r>
      <w:r>
        <w:rPr>
          <w:rFonts w:hint="eastAsia" w:ascii="宋体" w:hAnsi="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48A7ED1">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二、评审标准</w:t>
      </w:r>
    </w:p>
    <w:p w14:paraId="602FF1B0">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w:t>
      </w:r>
      <w:r>
        <w:rPr>
          <w:rFonts w:ascii="宋体" w:hAnsi="宋体"/>
          <w:bCs/>
          <w:color w:val="auto"/>
          <w:szCs w:val="21"/>
          <w:highlight w:val="none"/>
        </w:rPr>
        <w:t>.</w:t>
      </w:r>
      <w:r>
        <w:rPr>
          <w:rFonts w:hint="eastAsia" w:ascii="宋体" w:hAnsi="宋体"/>
          <w:bCs/>
          <w:color w:val="auto"/>
          <w:szCs w:val="21"/>
          <w:highlight w:val="none"/>
        </w:rPr>
        <w:t>评审依据：磋商小组将以磋商响应文件为评审依据，对供应商的报价、技术、商务等方面内容按百分制打分。（计分方法按四舍五入取至百分位）</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377"/>
        <w:gridCol w:w="6155"/>
        <w:gridCol w:w="851"/>
      </w:tblGrid>
      <w:tr w14:paraId="6E1C7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7" w:type="dxa"/>
            <w:vAlign w:val="center"/>
          </w:tcPr>
          <w:p w14:paraId="2A57DE02">
            <w:pPr>
              <w:widowControl/>
              <w:wordWrap w:val="0"/>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377" w:type="dxa"/>
            <w:vAlign w:val="center"/>
          </w:tcPr>
          <w:p w14:paraId="07ECA9E1">
            <w:pPr>
              <w:widowControl/>
              <w:wordWrap w:val="0"/>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评审因素</w:t>
            </w:r>
          </w:p>
        </w:tc>
        <w:tc>
          <w:tcPr>
            <w:tcW w:w="6155" w:type="dxa"/>
            <w:vAlign w:val="center"/>
          </w:tcPr>
          <w:p w14:paraId="1D3DC43A">
            <w:pPr>
              <w:widowControl/>
              <w:wordWrap w:val="0"/>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评审因素具体内容</w:t>
            </w:r>
          </w:p>
        </w:tc>
        <w:tc>
          <w:tcPr>
            <w:tcW w:w="851" w:type="dxa"/>
            <w:vAlign w:val="center"/>
          </w:tcPr>
          <w:p w14:paraId="659DB458">
            <w:pPr>
              <w:widowControl/>
              <w:wordWrap w:val="0"/>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分值</w:t>
            </w:r>
          </w:p>
        </w:tc>
      </w:tr>
      <w:tr w14:paraId="79324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7" w:type="dxa"/>
            <w:vAlign w:val="center"/>
          </w:tcPr>
          <w:p w14:paraId="54B0243B">
            <w:pPr>
              <w:widowControl/>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377" w:type="dxa"/>
            <w:vAlign w:val="center"/>
          </w:tcPr>
          <w:p w14:paraId="046AD191">
            <w:pPr>
              <w:widowControl/>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价格分</w:t>
            </w:r>
          </w:p>
        </w:tc>
        <w:tc>
          <w:tcPr>
            <w:tcW w:w="6155" w:type="dxa"/>
          </w:tcPr>
          <w:p w14:paraId="10F64AE5">
            <w:pPr>
              <w:wordWrap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（1）本项目为专门面向中小企业，磋商报价不再进行政府采购政策性扣除。</w:t>
            </w:r>
          </w:p>
          <w:p w14:paraId="53A3F4E7">
            <w:pPr>
              <w:wordWrap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（3）以进入比较与评审环节的最低的最后报价为基准价，基准价得分为10分。</w:t>
            </w:r>
          </w:p>
          <w:p w14:paraId="53F72738">
            <w:pPr>
              <w:wordWrap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（4）价格分计算公式：</w:t>
            </w:r>
          </w:p>
          <w:p w14:paraId="4BA87F5C">
            <w:pPr>
              <w:wordWrap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报价得分=（基准价/最后报价）×10分</w:t>
            </w:r>
          </w:p>
        </w:tc>
        <w:tc>
          <w:tcPr>
            <w:tcW w:w="851" w:type="dxa"/>
            <w:vAlign w:val="center"/>
          </w:tcPr>
          <w:p w14:paraId="1A2ADB78">
            <w:pPr>
              <w:widowControl/>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10分</w:t>
            </w:r>
          </w:p>
        </w:tc>
      </w:tr>
      <w:tr w14:paraId="4E24A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7" w:type="dxa"/>
            <w:vAlign w:val="center"/>
          </w:tcPr>
          <w:p w14:paraId="189DBD8A">
            <w:pPr>
              <w:widowControl/>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377" w:type="dxa"/>
            <w:vAlign w:val="center"/>
          </w:tcPr>
          <w:p w14:paraId="767D1C4A">
            <w:pPr>
              <w:widowControl/>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技术分</w:t>
            </w:r>
          </w:p>
        </w:tc>
        <w:tc>
          <w:tcPr>
            <w:tcW w:w="7006" w:type="dxa"/>
            <w:gridSpan w:val="2"/>
          </w:tcPr>
          <w:p w14:paraId="38B335D3">
            <w:pPr>
              <w:widowControl/>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评审因素</w:t>
            </w:r>
          </w:p>
        </w:tc>
      </w:tr>
      <w:tr w14:paraId="7E365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07" w:type="dxa"/>
            <w:vAlign w:val="center"/>
          </w:tcPr>
          <w:p w14:paraId="6FDC003D">
            <w:pPr>
              <w:wordWrap w:val="0"/>
              <w:adjustRightInd w:val="0"/>
              <w:spacing w:line="360" w:lineRule="exact"/>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1377" w:type="dxa"/>
            <w:vAlign w:val="center"/>
          </w:tcPr>
          <w:p w14:paraId="66021AEB">
            <w:pPr>
              <w:wordWrap w:val="0"/>
              <w:spacing w:line="360" w:lineRule="exact"/>
              <w:jc w:val="center"/>
              <w:rPr>
                <w:rFonts w:ascii="宋体" w:hAnsi="宋体" w:cs="宋体"/>
                <w:color w:val="auto"/>
                <w:kern w:val="0"/>
                <w:szCs w:val="21"/>
                <w:highlight w:val="none"/>
              </w:rPr>
            </w:pPr>
            <w:r>
              <w:rPr>
                <w:rFonts w:hint="eastAsia" w:ascii="宋体" w:hAnsi="宋体" w:cs="宋体"/>
                <w:bCs/>
                <w:color w:val="auto"/>
                <w:szCs w:val="21"/>
                <w:highlight w:val="none"/>
              </w:rPr>
              <w:t>项目实施方案分</w:t>
            </w:r>
          </w:p>
        </w:tc>
        <w:tc>
          <w:tcPr>
            <w:tcW w:w="6155" w:type="dxa"/>
            <w:vAlign w:val="center"/>
          </w:tcPr>
          <w:p w14:paraId="79CFA5D3">
            <w:pPr>
              <w:pStyle w:val="18"/>
              <w:wordWrap w:val="0"/>
              <w:spacing w:line="360" w:lineRule="exact"/>
              <w:rPr>
                <w:rFonts w:hAnsi="宋体" w:cs="宋体"/>
                <w:color w:val="auto"/>
                <w:kern w:val="2"/>
                <w:sz w:val="21"/>
                <w:highlight w:val="none"/>
              </w:rPr>
            </w:pPr>
            <w:r>
              <w:rPr>
                <w:rFonts w:hint="eastAsia" w:hAnsi="宋体" w:cs="宋体"/>
                <w:color w:val="auto"/>
                <w:kern w:val="2"/>
                <w:sz w:val="21"/>
                <w:highlight w:val="none"/>
              </w:rPr>
              <w:t>由磋商小组根据供应商提供的项目实施方案进行独立评审，</w:t>
            </w:r>
            <w:r>
              <w:rPr>
                <w:rFonts w:hint="eastAsia" w:hAnsi="宋体" w:cs="宋体"/>
                <w:b/>
                <w:bCs/>
                <w:color w:val="auto"/>
                <w:sz w:val="21"/>
                <w:highlight w:val="none"/>
              </w:rPr>
              <w:t>提供的方案内容未达到一档要求的不得分：</w:t>
            </w:r>
          </w:p>
          <w:p w14:paraId="2E19848B">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一档（5分）：供应商提供的项目实施方案对项目的整体要求理解不够准确，方案可操作性不强；</w:t>
            </w:r>
          </w:p>
          <w:p w14:paraId="23FE89C3">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二档（10分）：供应商提供的项目实施方案基本理解项目的整体要求，提供有作业流程和作业规范，基本合理，提供对项目的重点和难点理解基本准确，方案基本可行；</w:t>
            </w:r>
          </w:p>
          <w:p w14:paraId="76F7B954">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三档（15分）：供应商提供的项目实施方案对项目的整体要求理解正确，提供合理的作业流程和作业规范，有具体技术路线措施，对项目的重点和难点、工作内容理解准确，对项目政策背景的理解正确全面；提供蚝桩后期处理方案，处理方式符合环保要求，整体方案具有可行性。</w:t>
            </w:r>
          </w:p>
          <w:p w14:paraId="188DD443">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四档（20分）：供应商提供的项目实施方案对项目的整体要求理解正确，作业流程科学合理，能详细说明作业流程细节并符合作业规范，方案操作性强，技术路线科学合理，对项目的重点和难点、工作内容理解和掌握完全准确，并提供明确的技术路线、技术分析和具体措施，对项目政策背景的理解正确全面；提供详细的蚝桩后期处理方案，处理方式符合环保要求，提供可行的再利用的方案，能确保资源的有效利用；整体方案可行性强，完全满足项目的实际需求。</w:t>
            </w:r>
          </w:p>
        </w:tc>
        <w:tc>
          <w:tcPr>
            <w:tcW w:w="851" w:type="dxa"/>
            <w:vAlign w:val="center"/>
          </w:tcPr>
          <w:p w14:paraId="1414D4DA">
            <w:pPr>
              <w:wordWrap w:val="0"/>
              <w:spacing w:line="360" w:lineRule="exact"/>
              <w:jc w:val="center"/>
              <w:rPr>
                <w:rFonts w:ascii="宋体" w:hAnsi="宋体" w:cs="宋体"/>
                <w:color w:val="auto"/>
                <w:kern w:val="0"/>
                <w:szCs w:val="21"/>
                <w:highlight w:val="none"/>
              </w:rPr>
            </w:pPr>
            <w:r>
              <w:rPr>
                <w:rFonts w:hint="eastAsia" w:ascii="宋体" w:hAnsi="宋体" w:cs="宋体"/>
                <w:color w:val="auto"/>
                <w:szCs w:val="21"/>
                <w:highlight w:val="none"/>
              </w:rPr>
              <w:t>20</w:t>
            </w:r>
            <w:r>
              <w:rPr>
                <w:rFonts w:hint="eastAsia" w:ascii="宋体" w:hAnsi="宋体" w:cs="宋体"/>
                <w:color w:val="auto"/>
                <w:kern w:val="0"/>
                <w:szCs w:val="21"/>
                <w:highlight w:val="none"/>
              </w:rPr>
              <w:t>分</w:t>
            </w:r>
          </w:p>
        </w:tc>
      </w:tr>
      <w:tr w14:paraId="783A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7" w:type="dxa"/>
            <w:vAlign w:val="center"/>
          </w:tcPr>
          <w:p w14:paraId="07041734">
            <w:pPr>
              <w:wordWrap w:val="0"/>
              <w:adjustRightInd w:val="0"/>
              <w:spacing w:line="360" w:lineRule="exact"/>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1377" w:type="dxa"/>
            <w:vAlign w:val="center"/>
          </w:tcPr>
          <w:p w14:paraId="42FAE043">
            <w:pPr>
              <w:wordWrap w:val="0"/>
              <w:adjustRightInd w:val="0"/>
              <w:spacing w:line="360" w:lineRule="exact"/>
              <w:jc w:val="center"/>
              <w:textAlignment w:val="baseline"/>
              <w:rPr>
                <w:rFonts w:ascii="宋体" w:hAnsi="宋体" w:cs="宋体"/>
                <w:color w:val="auto"/>
                <w:kern w:val="0"/>
                <w:szCs w:val="21"/>
                <w:highlight w:val="none"/>
              </w:rPr>
            </w:pPr>
            <w:r>
              <w:rPr>
                <w:rFonts w:hint="eastAsia" w:ascii="宋体" w:hAnsi="宋体" w:cs="宋体"/>
                <w:bCs/>
                <w:color w:val="auto"/>
                <w:szCs w:val="21"/>
                <w:highlight w:val="none"/>
              </w:rPr>
              <w:t>作业质量和安全保障方案分</w:t>
            </w:r>
          </w:p>
        </w:tc>
        <w:tc>
          <w:tcPr>
            <w:tcW w:w="6155" w:type="dxa"/>
          </w:tcPr>
          <w:p w14:paraId="2D7A30EC">
            <w:pPr>
              <w:pStyle w:val="18"/>
              <w:wordWrap w:val="0"/>
              <w:spacing w:line="360" w:lineRule="exact"/>
              <w:rPr>
                <w:rFonts w:hAnsi="宋体" w:cs="宋体"/>
                <w:color w:val="auto"/>
                <w:kern w:val="2"/>
                <w:sz w:val="21"/>
                <w:highlight w:val="none"/>
              </w:rPr>
            </w:pPr>
            <w:r>
              <w:rPr>
                <w:rFonts w:hint="eastAsia" w:hAnsi="宋体" w:cs="宋体"/>
                <w:color w:val="auto"/>
                <w:kern w:val="2"/>
                <w:sz w:val="21"/>
                <w:highlight w:val="none"/>
              </w:rPr>
              <w:t>由磋商小组根据供应商提供的服务质量控制措施进行独立评审，</w:t>
            </w:r>
            <w:r>
              <w:rPr>
                <w:rFonts w:hint="eastAsia" w:hAnsi="宋体" w:cs="宋体"/>
                <w:b/>
                <w:bCs/>
                <w:color w:val="auto"/>
                <w:sz w:val="21"/>
                <w:highlight w:val="none"/>
              </w:rPr>
              <w:t>未提供作业质量和安全保障方案或提供的方案内容未达到一档要求的不得分：</w:t>
            </w:r>
          </w:p>
          <w:p w14:paraId="43B3AB9F">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一档（5分）：提供有作业质量和安全保障方案，整体质控措施不够完善。</w:t>
            </w:r>
          </w:p>
          <w:p w14:paraId="5ECBBD17">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二档（10分）：提供的作业质量和安全保障方案内容基本贴合项目实际，提供有用船安全措施，上述内容基本可行。</w:t>
            </w:r>
          </w:p>
          <w:p w14:paraId="4921FC63">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三档（15分）：提供的作业质量和安全保障方案内容贴合项目实际，提供有作业质量控制、用船安全措施和作业安全措施，上述内容基本完整，整体质控措施可行。</w:t>
            </w:r>
          </w:p>
          <w:p w14:paraId="37DC446C">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四档（20分）：作业质量和安全保障方案科学、完善，具有针对性的作业数据检查、作业质量控制以及反馈纠错措施；具有切实有效地用船安全措施和作业安全措施，能有效的保障项目的开展。</w:t>
            </w:r>
          </w:p>
        </w:tc>
        <w:tc>
          <w:tcPr>
            <w:tcW w:w="851" w:type="dxa"/>
            <w:vAlign w:val="center"/>
          </w:tcPr>
          <w:p w14:paraId="1839B0A3">
            <w:pPr>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r>
              <w:rPr>
                <w:rFonts w:ascii="宋体" w:hAnsi="宋体" w:cs="宋体"/>
                <w:color w:val="auto"/>
                <w:kern w:val="0"/>
                <w:szCs w:val="21"/>
                <w:highlight w:val="none"/>
              </w:rPr>
              <w:t>0</w:t>
            </w:r>
            <w:r>
              <w:rPr>
                <w:rFonts w:hint="eastAsia" w:ascii="宋体" w:hAnsi="宋体" w:cs="宋体"/>
                <w:color w:val="auto"/>
                <w:kern w:val="0"/>
                <w:szCs w:val="21"/>
                <w:highlight w:val="none"/>
              </w:rPr>
              <w:t>分</w:t>
            </w:r>
          </w:p>
        </w:tc>
      </w:tr>
      <w:tr w14:paraId="45B91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7" w:type="dxa"/>
            <w:vAlign w:val="center"/>
          </w:tcPr>
          <w:p w14:paraId="6A455DF1">
            <w:pPr>
              <w:wordWrap w:val="0"/>
              <w:adjustRightInd w:val="0"/>
              <w:spacing w:line="360" w:lineRule="exact"/>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1377" w:type="dxa"/>
            <w:vAlign w:val="center"/>
          </w:tcPr>
          <w:p w14:paraId="0231C364">
            <w:pPr>
              <w:wordWrap w:val="0"/>
              <w:adjustRightInd w:val="0"/>
              <w:spacing w:line="360" w:lineRule="exact"/>
              <w:jc w:val="center"/>
              <w:textAlignment w:val="baseline"/>
              <w:rPr>
                <w:rFonts w:ascii="宋体" w:hAnsi="宋体" w:cs="宋体"/>
                <w:bCs/>
                <w:color w:val="auto"/>
                <w:szCs w:val="21"/>
                <w:highlight w:val="none"/>
              </w:rPr>
            </w:pPr>
            <w:r>
              <w:rPr>
                <w:rFonts w:hint="eastAsia" w:ascii="宋体" w:hAnsi="宋体" w:cs="宋体"/>
                <w:bCs/>
                <w:color w:val="auto"/>
                <w:szCs w:val="21"/>
                <w:highlight w:val="none"/>
              </w:rPr>
              <w:t>应急方案</w:t>
            </w:r>
          </w:p>
        </w:tc>
        <w:tc>
          <w:tcPr>
            <w:tcW w:w="6155" w:type="dxa"/>
            <w:vAlign w:val="center"/>
          </w:tcPr>
          <w:p w14:paraId="4A2188D4">
            <w:pPr>
              <w:wordWrap w:val="0"/>
              <w:adjustRightInd w:val="0"/>
              <w:snapToGrid w:val="0"/>
              <w:spacing w:line="360" w:lineRule="exact"/>
              <w:rPr>
                <w:rFonts w:ascii="宋体" w:hAnsi="宋体" w:cs="宋体"/>
                <w:b/>
                <w:bCs/>
                <w:color w:val="auto"/>
                <w:szCs w:val="21"/>
                <w:highlight w:val="none"/>
              </w:rPr>
            </w:pPr>
            <w:r>
              <w:rPr>
                <w:rFonts w:hint="eastAsia" w:hAnsi="宋体" w:cs="宋体"/>
                <w:color w:val="auto"/>
                <w:highlight w:val="none"/>
              </w:rPr>
              <w:t>由磋商小组根据供应商提供的</w:t>
            </w:r>
            <w:r>
              <w:rPr>
                <w:rFonts w:hint="eastAsia" w:ascii="宋体" w:hAnsi="宋体" w:cs="宋体"/>
                <w:color w:val="auto"/>
                <w:szCs w:val="21"/>
                <w:highlight w:val="none"/>
              </w:rPr>
              <w:t>应急方案</w:t>
            </w:r>
            <w:r>
              <w:rPr>
                <w:rFonts w:hint="eastAsia" w:hAnsi="宋体" w:cs="宋体"/>
                <w:color w:val="auto"/>
                <w:highlight w:val="none"/>
              </w:rPr>
              <w:t>进行独立评审，</w:t>
            </w:r>
            <w:r>
              <w:rPr>
                <w:rFonts w:hint="eastAsia" w:ascii="宋体" w:hAnsi="宋体" w:cs="宋体"/>
                <w:color w:val="auto"/>
                <w:szCs w:val="21"/>
                <w:highlight w:val="none"/>
              </w:rPr>
              <w:t>应急方案里有对突发事件、工人意外事故、特殊天气（如台风、暴雨、暴风等）等的应急预案。</w:t>
            </w:r>
            <w:r>
              <w:rPr>
                <w:rFonts w:hint="eastAsia" w:ascii="宋体" w:hAnsi="宋体" w:cs="宋体"/>
                <w:b/>
                <w:bCs/>
                <w:color w:val="auto"/>
                <w:szCs w:val="21"/>
                <w:highlight w:val="none"/>
              </w:rPr>
              <w:t>未提供应急方案或方案内容未达到一档要求的不得分。</w:t>
            </w:r>
          </w:p>
          <w:p w14:paraId="038AFB06">
            <w:pPr>
              <w:wordWrap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一档（6分）：提供的应急方案不够完整，与本项目实际情况偏离较大，不够切合实际；</w:t>
            </w:r>
          </w:p>
          <w:p w14:paraId="05CCBCAC">
            <w:pPr>
              <w:wordWrap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二档（9分）：方案内容基本完整、部分具有可操作性；</w:t>
            </w:r>
          </w:p>
          <w:p w14:paraId="1A6EBB66">
            <w:pPr>
              <w:wordWrap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三档（12分）：方案内容完整、有合理性和可操作性；</w:t>
            </w:r>
          </w:p>
          <w:p w14:paraId="2517F247">
            <w:pPr>
              <w:wordWrap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四档（15分）：方案内容明确、详尽，有科学性、合理性及可操作性，根据各种突发事件，提供相应有效的应对处置流程措施，提供完善的</w:t>
            </w:r>
            <w:r>
              <w:rPr>
                <w:rFonts w:hint="eastAsia" w:ascii="宋体" w:hAnsi="宋体" w:cs="宋体"/>
                <w:bCs/>
                <w:color w:val="auto"/>
                <w:szCs w:val="21"/>
                <w:highlight w:val="none"/>
              </w:rPr>
              <w:t>遇险方案措施</w:t>
            </w:r>
            <w:r>
              <w:rPr>
                <w:rFonts w:hint="eastAsia" w:ascii="宋体" w:hAnsi="宋体" w:cs="宋体"/>
                <w:color w:val="auto"/>
                <w:szCs w:val="21"/>
                <w:highlight w:val="none"/>
              </w:rPr>
              <w:t>。</w:t>
            </w:r>
          </w:p>
        </w:tc>
        <w:tc>
          <w:tcPr>
            <w:tcW w:w="851" w:type="dxa"/>
            <w:vAlign w:val="center"/>
          </w:tcPr>
          <w:p w14:paraId="22B64671">
            <w:pPr>
              <w:widowControl/>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15分</w:t>
            </w:r>
          </w:p>
        </w:tc>
      </w:tr>
      <w:tr w14:paraId="3D7B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7" w:type="dxa"/>
            <w:vAlign w:val="center"/>
          </w:tcPr>
          <w:p w14:paraId="69934781">
            <w:pPr>
              <w:widowControl/>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377" w:type="dxa"/>
            <w:vAlign w:val="center"/>
          </w:tcPr>
          <w:p w14:paraId="522B07F0">
            <w:pPr>
              <w:widowControl/>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商务分</w:t>
            </w:r>
          </w:p>
        </w:tc>
        <w:tc>
          <w:tcPr>
            <w:tcW w:w="7006" w:type="dxa"/>
            <w:gridSpan w:val="2"/>
            <w:vAlign w:val="center"/>
          </w:tcPr>
          <w:p w14:paraId="57DC677D">
            <w:pPr>
              <w:widowControl/>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评审因素</w:t>
            </w:r>
          </w:p>
        </w:tc>
      </w:tr>
      <w:tr w14:paraId="6245A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7" w:type="dxa"/>
            <w:vAlign w:val="center"/>
          </w:tcPr>
          <w:p w14:paraId="361842A4">
            <w:pPr>
              <w:widowControl/>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3.1</w:t>
            </w:r>
          </w:p>
        </w:tc>
        <w:tc>
          <w:tcPr>
            <w:tcW w:w="1377" w:type="dxa"/>
            <w:vAlign w:val="center"/>
          </w:tcPr>
          <w:p w14:paraId="5BC16EC2">
            <w:pPr>
              <w:widowControl/>
              <w:wordWrap w:val="0"/>
              <w:spacing w:line="360" w:lineRule="exact"/>
              <w:jc w:val="center"/>
              <w:rPr>
                <w:rFonts w:ascii="宋体" w:hAnsi="宋体" w:cs="宋体"/>
                <w:color w:val="auto"/>
                <w:kern w:val="0"/>
                <w:szCs w:val="21"/>
                <w:highlight w:val="none"/>
              </w:rPr>
            </w:pPr>
            <w:r>
              <w:rPr>
                <w:rFonts w:hint="eastAsia" w:ascii="宋体" w:hAnsi="宋体" w:cs="宋体"/>
                <w:color w:val="auto"/>
                <w:szCs w:val="21"/>
                <w:highlight w:val="none"/>
              </w:rPr>
              <w:t>服务承诺分</w:t>
            </w:r>
          </w:p>
        </w:tc>
        <w:tc>
          <w:tcPr>
            <w:tcW w:w="6155" w:type="dxa"/>
          </w:tcPr>
          <w:p w14:paraId="26C2F8DF">
            <w:pPr>
              <w:pStyle w:val="18"/>
              <w:wordWrap w:val="0"/>
              <w:spacing w:line="360" w:lineRule="exact"/>
              <w:rPr>
                <w:rFonts w:hAnsi="宋体" w:cs="宋体"/>
                <w:b/>
                <w:bCs/>
                <w:color w:val="auto"/>
                <w:sz w:val="21"/>
                <w:highlight w:val="none"/>
              </w:rPr>
            </w:pPr>
            <w:r>
              <w:rPr>
                <w:rFonts w:hint="eastAsia" w:hAnsi="宋体" w:cs="宋体"/>
                <w:color w:val="auto"/>
                <w:kern w:val="2"/>
                <w:sz w:val="21"/>
                <w:highlight w:val="none"/>
              </w:rPr>
              <w:t>由磋商小组根据供应商提供的服务承诺进行独立评审，</w:t>
            </w:r>
            <w:r>
              <w:rPr>
                <w:rFonts w:hint="eastAsia" w:hAnsi="宋体" w:cs="宋体"/>
                <w:b/>
                <w:bCs/>
                <w:color w:val="auto"/>
                <w:sz w:val="21"/>
                <w:highlight w:val="none"/>
              </w:rPr>
              <w:t>提供的方案内容未达到一档要求的不得分：</w:t>
            </w:r>
          </w:p>
          <w:p w14:paraId="20D2482C">
            <w:pPr>
              <w:pStyle w:val="18"/>
              <w:wordWrap w:val="0"/>
              <w:spacing w:line="360" w:lineRule="exact"/>
              <w:rPr>
                <w:rFonts w:hAnsi="宋体" w:cs="宋体"/>
                <w:color w:val="auto"/>
                <w:kern w:val="2"/>
                <w:sz w:val="21"/>
                <w:highlight w:val="none"/>
              </w:rPr>
            </w:pPr>
            <w:r>
              <w:rPr>
                <w:rFonts w:hint="eastAsia" w:hAnsi="宋体" w:cs="宋体"/>
                <w:color w:val="auto"/>
                <w:kern w:val="2"/>
                <w:sz w:val="21"/>
                <w:highlight w:val="none"/>
              </w:rPr>
              <w:t>一档（5分）：服务承诺基本满足采购文件要求，响应程度满足项目要求。</w:t>
            </w:r>
          </w:p>
          <w:p w14:paraId="3E278C90">
            <w:pPr>
              <w:pStyle w:val="18"/>
              <w:wordWrap w:val="0"/>
              <w:spacing w:line="360" w:lineRule="exact"/>
              <w:rPr>
                <w:rFonts w:hAnsi="宋体" w:cs="宋体"/>
                <w:color w:val="auto"/>
                <w:kern w:val="2"/>
                <w:sz w:val="21"/>
                <w:highlight w:val="none"/>
              </w:rPr>
            </w:pPr>
            <w:r>
              <w:rPr>
                <w:rFonts w:hint="eastAsia" w:hAnsi="宋体" w:cs="宋体"/>
                <w:color w:val="auto"/>
                <w:kern w:val="2"/>
                <w:sz w:val="21"/>
                <w:highlight w:val="none"/>
              </w:rPr>
              <w:t>二档（10分）：服务承诺满足采购文件要求，内容基本完整、可行，响应程度满足项目要求，承诺在服务期限内接到采购人通知后30分钟内响应，12小时内到达服务现场；提供的项目移交方案内容不够具体。</w:t>
            </w:r>
          </w:p>
          <w:p w14:paraId="0E483C38">
            <w:pPr>
              <w:pStyle w:val="18"/>
              <w:wordWrap w:val="0"/>
              <w:spacing w:line="360" w:lineRule="exact"/>
              <w:rPr>
                <w:rFonts w:hAnsi="宋体" w:cs="宋体"/>
                <w:color w:val="auto"/>
                <w:kern w:val="2"/>
                <w:sz w:val="21"/>
                <w:highlight w:val="none"/>
              </w:rPr>
            </w:pPr>
            <w:r>
              <w:rPr>
                <w:rFonts w:hint="eastAsia" w:hAnsi="宋体" w:cs="宋体"/>
                <w:color w:val="auto"/>
                <w:kern w:val="2"/>
                <w:sz w:val="21"/>
                <w:highlight w:val="none"/>
              </w:rPr>
              <w:t>三档（15分）：服务承诺优于采购文件要求，内容完整、齐全、可行，响应程度高，承诺在服务期限内接到采购人通知后15分钟内响应，6小时内到达服务现场；提供有详细的项目移交方案（至少包括管理资料移交和工作移交等），且提供有成果文件移交的后续服务承诺，后续服务承诺内容具体，有利于采购人对项目的整体管控。</w:t>
            </w:r>
          </w:p>
        </w:tc>
        <w:tc>
          <w:tcPr>
            <w:tcW w:w="851" w:type="dxa"/>
            <w:vAlign w:val="center"/>
          </w:tcPr>
          <w:p w14:paraId="043AE3E6">
            <w:pPr>
              <w:widowControl/>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15分</w:t>
            </w:r>
          </w:p>
        </w:tc>
      </w:tr>
      <w:tr w14:paraId="0F870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7" w:type="dxa"/>
            <w:vAlign w:val="center"/>
          </w:tcPr>
          <w:p w14:paraId="2437E0A6">
            <w:pPr>
              <w:widowControl/>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3.2</w:t>
            </w:r>
          </w:p>
        </w:tc>
        <w:tc>
          <w:tcPr>
            <w:tcW w:w="1377" w:type="dxa"/>
            <w:vAlign w:val="center"/>
          </w:tcPr>
          <w:p w14:paraId="0EB20EE8">
            <w:pPr>
              <w:widowControl/>
              <w:wordWrap w:val="0"/>
              <w:spacing w:line="360" w:lineRule="exact"/>
              <w:jc w:val="center"/>
              <w:rPr>
                <w:rFonts w:ascii="宋体" w:hAnsi="宋体" w:cs="宋体"/>
                <w:color w:val="auto"/>
                <w:szCs w:val="21"/>
                <w:highlight w:val="none"/>
              </w:rPr>
            </w:pPr>
            <w:r>
              <w:rPr>
                <w:rFonts w:hint="eastAsia" w:ascii="宋体" w:hAnsi="宋体" w:cs="宋体"/>
                <w:bCs/>
                <w:color w:val="auto"/>
                <w:kern w:val="0"/>
                <w:szCs w:val="21"/>
                <w:highlight w:val="none"/>
              </w:rPr>
              <w:t>人员配置方案分</w:t>
            </w:r>
          </w:p>
        </w:tc>
        <w:tc>
          <w:tcPr>
            <w:tcW w:w="6155" w:type="dxa"/>
            <w:vAlign w:val="center"/>
          </w:tcPr>
          <w:p w14:paraId="5FF2A283">
            <w:pPr>
              <w:pStyle w:val="18"/>
              <w:wordWrap w:val="0"/>
              <w:spacing w:line="360" w:lineRule="exact"/>
              <w:rPr>
                <w:rFonts w:hAnsi="宋体" w:cs="宋体"/>
                <w:b/>
                <w:bCs/>
                <w:color w:val="auto"/>
                <w:sz w:val="21"/>
                <w:highlight w:val="none"/>
              </w:rPr>
            </w:pPr>
            <w:r>
              <w:rPr>
                <w:rFonts w:hint="eastAsia" w:hAnsi="宋体" w:cs="宋体"/>
                <w:color w:val="auto"/>
                <w:kern w:val="2"/>
                <w:sz w:val="21"/>
                <w:highlight w:val="none"/>
              </w:rPr>
              <w:t>由磋商小组根据供应商提供的人员配置方案进行独立评审，</w:t>
            </w:r>
            <w:r>
              <w:rPr>
                <w:rFonts w:hint="eastAsia" w:hAnsi="宋体" w:cs="宋体"/>
                <w:b/>
                <w:bCs/>
                <w:color w:val="auto"/>
                <w:sz w:val="21"/>
                <w:highlight w:val="none"/>
              </w:rPr>
              <w:t>提供的方案内容未达到一档要求的不得分：</w:t>
            </w:r>
          </w:p>
          <w:p w14:paraId="7A515952">
            <w:pPr>
              <w:pStyle w:val="18"/>
              <w:wordWrap w:val="0"/>
              <w:spacing w:line="360" w:lineRule="exact"/>
              <w:rPr>
                <w:rFonts w:hAnsi="宋体" w:cs="宋体"/>
                <w:color w:val="auto"/>
                <w:kern w:val="2"/>
                <w:sz w:val="21"/>
                <w:highlight w:val="none"/>
              </w:rPr>
            </w:pPr>
            <w:r>
              <w:rPr>
                <w:rFonts w:hint="eastAsia" w:hAnsi="宋体" w:cs="宋体"/>
                <w:color w:val="auto"/>
                <w:kern w:val="2"/>
                <w:sz w:val="21"/>
                <w:highlight w:val="none"/>
              </w:rPr>
              <w:t>一档（6分）：供应商提供了人员配置方案，人员数量满足服务要求，对岗位、分工、人员工作进度计划的描述不够完整；</w:t>
            </w:r>
          </w:p>
          <w:p w14:paraId="1DDCA7E9">
            <w:pPr>
              <w:pStyle w:val="18"/>
              <w:wordWrap w:val="0"/>
              <w:spacing w:line="360" w:lineRule="exact"/>
              <w:rPr>
                <w:rFonts w:hAnsi="宋体" w:cs="宋体"/>
                <w:color w:val="auto"/>
                <w:kern w:val="2"/>
                <w:sz w:val="21"/>
                <w:highlight w:val="none"/>
              </w:rPr>
            </w:pPr>
            <w:r>
              <w:rPr>
                <w:rFonts w:hint="eastAsia" w:hAnsi="宋体" w:cs="宋体"/>
                <w:color w:val="auto"/>
                <w:kern w:val="2"/>
                <w:sz w:val="21"/>
                <w:highlight w:val="none"/>
              </w:rPr>
              <w:t>二档（9分）：供应商提供了可行的人员配置方案，人员数量满足服务要求，对岗位、分工、人员工作进度计划的描述基本完整；</w:t>
            </w:r>
          </w:p>
          <w:p w14:paraId="352258B5">
            <w:pPr>
              <w:pStyle w:val="18"/>
              <w:wordWrap w:val="0"/>
              <w:spacing w:line="360" w:lineRule="exact"/>
              <w:rPr>
                <w:rFonts w:hAnsi="宋体" w:cs="宋体"/>
                <w:color w:val="auto"/>
                <w:kern w:val="2"/>
                <w:sz w:val="21"/>
                <w:highlight w:val="none"/>
              </w:rPr>
            </w:pPr>
            <w:r>
              <w:rPr>
                <w:rFonts w:hint="eastAsia" w:hAnsi="宋体" w:cs="宋体"/>
                <w:color w:val="auto"/>
                <w:kern w:val="2"/>
                <w:sz w:val="21"/>
                <w:highlight w:val="none"/>
              </w:rPr>
              <w:t>三档（12分）：供应商提供了完善的人员配置方案，人员配备数量满足项目要求，人员岗位分工、工作内容清晰明确，人员工作进度计划合理和绩效考核。</w:t>
            </w:r>
          </w:p>
          <w:p w14:paraId="01B1E10A">
            <w:pPr>
              <w:pStyle w:val="18"/>
              <w:wordWrap w:val="0"/>
              <w:spacing w:line="360" w:lineRule="exact"/>
              <w:rPr>
                <w:rFonts w:hAnsi="宋体" w:cs="宋体"/>
                <w:color w:val="auto"/>
                <w:kern w:val="2"/>
                <w:sz w:val="21"/>
                <w:highlight w:val="none"/>
              </w:rPr>
            </w:pPr>
            <w:r>
              <w:rPr>
                <w:rFonts w:hint="eastAsia" w:hAnsi="宋体" w:cs="宋体"/>
                <w:color w:val="auto"/>
                <w:kern w:val="2"/>
                <w:sz w:val="21"/>
                <w:highlight w:val="none"/>
              </w:rPr>
              <w:t>四档（15分）：供应商提供了完善的人员配置方案，人员配备数量优于项目要求，人员岗位、分工、工作内容清晰，对人员有明确的绩效考核和奖惩制度，人员工作计划安排合理；针对特殊岗位的作业人员提供相应培训，培训方案具有针对性、可行性。</w:t>
            </w:r>
          </w:p>
        </w:tc>
        <w:tc>
          <w:tcPr>
            <w:tcW w:w="851" w:type="dxa"/>
            <w:vAlign w:val="center"/>
          </w:tcPr>
          <w:p w14:paraId="2012E279">
            <w:pPr>
              <w:widowControl/>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15分</w:t>
            </w:r>
          </w:p>
        </w:tc>
      </w:tr>
      <w:tr w14:paraId="3170E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7" w:type="dxa"/>
            <w:vAlign w:val="center"/>
          </w:tcPr>
          <w:p w14:paraId="4ACC8DC3">
            <w:pPr>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3</w:t>
            </w:r>
          </w:p>
        </w:tc>
        <w:tc>
          <w:tcPr>
            <w:tcW w:w="1377" w:type="dxa"/>
            <w:vAlign w:val="center"/>
          </w:tcPr>
          <w:p w14:paraId="24673F8B">
            <w:pPr>
              <w:widowControl/>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项目业绩分</w:t>
            </w:r>
          </w:p>
        </w:tc>
        <w:tc>
          <w:tcPr>
            <w:tcW w:w="6155" w:type="dxa"/>
          </w:tcPr>
          <w:p w14:paraId="27FD78D6">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2022年1月1日以来至响应文件提交截止日期止，供应商同类项目的业绩，每提供一份证明材料得2.5分，满分5分。（响应文件中提供合同复印件并加盖供应商电子公章，否则不得分）</w:t>
            </w:r>
          </w:p>
        </w:tc>
        <w:tc>
          <w:tcPr>
            <w:tcW w:w="851" w:type="dxa"/>
            <w:vAlign w:val="center"/>
          </w:tcPr>
          <w:p w14:paraId="42116C34">
            <w:pPr>
              <w:widowControl/>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5分</w:t>
            </w:r>
          </w:p>
        </w:tc>
      </w:tr>
      <w:tr w14:paraId="3A1E7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90" w:type="dxa"/>
            <w:gridSpan w:val="4"/>
            <w:vAlign w:val="center"/>
          </w:tcPr>
          <w:p w14:paraId="5313CFF9">
            <w:pPr>
              <w:widowControl/>
              <w:wordWrap w:val="0"/>
              <w:spacing w:line="360" w:lineRule="exact"/>
              <w:jc w:val="center"/>
              <w:rPr>
                <w:rFonts w:ascii="宋体" w:hAnsi="宋体" w:cs="宋体"/>
                <w:b/>
                <w:bCs/>
                <w:color w:val="auto"/>
                <w:kern w:val="0"/>
                <w:szCs w:val="21"/>
                <w:highlight w:val="none"/>
              </w:rPr>
            </w:pPr>
            <w:r>
              <w:rPr>
                <w:rFonts w:hint="eastAsia" w:ascii="宋体" w:hAnsi="宋体" w:cs="宋体"/>
                <w:b/>
                <w:bCs/>
                <w:color w:val="auto"/>
                <w:szCs w:val="21"/>
                <w:highlight w:val="none"/>
              </w:rPr>
              <w:t>总得分为以上各项评审因素得分合计</w:t>
            </w:r>
          </w:p>
        </w:tc>
      </w:tr>
    </w:tbl>
    <w:p w14:paraId="3DAB3337">
      <w:pPr>
        <w:spacing w:line="360" w:lineRule="auto"/>
        <w:ind w:firstLine="420" w:firstLineChars="200"/>
        <w:rPr>
          <w:rFonts w:ascii="宋体" w:hAnsi="宋体"/>
          <w:color w:val="auto"/>
          <w:szCs w:val="21"/>
          <w:highlight w:val="none"/>
        </w:rPr>
      </w:pPr>
      <w:r>
        <w:rPr>
          <w:rFonts w:ascii="宋体" w:hAnsi="宋体"/>
          <w:bCs/>
          <w:color w:val="auto"/>
          <w:szCs w:val="21"/>
          <w:highlight w:val="none"/>
        </w:rPr>
        <w:t>7.</w:t>
      </w:r>
      <w:r>
        <w:rPr>
          <w:rFonts w:hint="eastAsia" w:ascii="宋体" w:hAnsi="宋体"/>
          <w:bCs/>
          <w:color w:val="auto"/>
          <w:szCs w:val="21"/>
          <w:highlight w:val="none"/>
        </w:rPr>
        <w:t>由磋商小组根据综合评分情况，按照评审得分由高到低顺序推荐3名以上成交候选供应商，并编写评审报告，</w:t>
      </w:r>
      <w:r>
        <w:rPr>
          <w:rFonts w:hint="eastAsia" w:ascii="宋体" w:hAnsi="宋体" w:cs="宋体"/>
          <w:color w:val="auto"/>
          <w:highlight w:val="none"/>
        </w:rPr>
        <w:t>评审报告</w:t>
      </w:r>
      <w:r>
        <w:rPr>
          <w:rFonts w:hint="eastAsia" w:hAnsi="宋体"/>
          <w:color w:val="auto"/>
          <w:highlight w:val="none"/>
        </w:rPr>
        <w:t>通过电子交易平台向采购人、采购代理机构提交。</w:t>
      </w:r>
      <w:r>
        <w:rPr>
          <w:rFonts w:hint="eastAsia" w:ascii="宋体" w:hAnsi="宋体"/>
          <w:bCs/>
          <w:color w:val="auto"/>
          <w:szCs w:val="21"/>
          <w:highlight w:val="none"/>
        </w:rPr>
        <w:t>符合本章第</w:t>
      </w:r>
      <w:r>
        <w:rPr>
          <w:rFonts w:ascii="宋体" w:hAnsi="宋体"/>
          <w:bCs/>
          <w:color w:val="auto"/>
          <w:szCs w:val="21"/>
          <w:highlight w:val="none"/>
        </w:rPr>
        <w:t>4.3</w:t>
      </w:r>
      <w:r>
        <w:rPr>
          <w:rFonts w:hint="eastAsia" w:ascii="宋体" w:hAnsi="宋体"/>
          <w:bCs/>
          <w:color w:val="auto"/>
          <w:szCs w:val="21"/>
          <w:highlight w:val="none"/>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p>
    <w:p w14:paraId="6BD8A722">
      <w:pPr>
        <w:spacing w:line="400" w:lineRule="exact"/>
        <w:ind w:firstLine="420" w:firstLineChars="200"/>
        <w:rPr>
          <w:rFonts w:ascii="宋体" w:hAnsi="宋体" w:cs="宋体"/>
          <w:color w:val="auto"/>
          <w:highlight w:val="none"/>
        </w:rPr>
      </w:pPr>
    </w:p>
    <w:p w14:paraId="7190C19A">
      <w:pPr>
        <w:spacing w:line="400" w:lineRule="exact"/>
        <w:ind w:firstLine="420" w:firstLineChars="200"/>
        <w:rPr>
          <w:rFonts w:ascii="宋体" w:hAnsi="宋体" w:cs="宋体"/>
          <w:color w:val="auto"/>
          <w:highlight w:val="none"/>
        </w:rPr>
      </w:pPr>
    </w:p>
    <w:p w14:paraId="596033B2">
      <w:pPr>
        <w:pStyle w:val="5"/>
        <w:jc w:val="center"/>
        <w:rPr>
          <w:color w:val="auto"/>
          <w:highlight w:val="none"/>
        </w:rPr>
      </w:pPr>
      <w:r>
        <w:rPr>
          <w:color w:val="auto"/>
          <w:highlight w:val="none"/>
        </w:rPr>
        <w:br w:type="page"/>
      </w:r>
    </w:p>
    <w:p w14:paraId="5AAC0C27">
      <w:pPr>
        <w:rPr>
          <w:color w:val="auto"/>
          <w:highlight w:val="none"/>
        </w:rPr>
      </w:pPr>
    </w:p>
    <w:p w14:paraId="155B21DE">
      <w:pPr>
        <w:rPr>
          <w:color w:val="auto"/>
          <w:highlight w:val="none"/>
        </w:rPr>
      </w:pPr>
    </w:p>
    <w:p w14:paraId="642EF220">
      <w:pPr>
        <w:rPr>
          <w:color w:val="auto"/>
          <w:highlight w:val="none"/>
        </w:rPr>
      </w:pPr>
    </w:p>
    <w:p w14:paraId="780BA377">
      <w:pPr>
        <w:rPr>
          <w:color w:val="auto"/>
          <w:highlight w:val="none"/>
        </w:rPr>
      </w:pPr>
    </w:p>
    <w:p w14:paraId="718B175F">
      <w:pPr>
        <w:rPr>
          <w:color w:val="auto"/>
          <w:highlight w:val="none"/>
        </w:rPr>
      </w:pPr>
    </w:p>
    <w:p w14:paraId="000C7D32">
      <w:pPr>
        <w:rPr>
          <w:color w:val="auto"/>
          <w:highlight w:val="none"/>
        </w:rPr>
      </w:pPr>
    </w:p>
    <w:p w14:paraId="7A2B8701">
      <w:pPr>
        <w:rPr>
          <w:color w:val="auto"/>
          <w:highlight w:val="none"/>
        </w:rPr>
      </w:pPr>
    </w:p>
    <w:p w14:paraId="72E73922">
      <w:pPr>
        <w:rPr>
          <w:color w:val="auto"/>
          <w:highlight w:val="none"/>
        </w:rPr>
      </w:pPr>
    </w:p>
    <w:p w14:paraId="2B87BA13">
      <w:pPr>
        <w:rPr>
          <w:color w:val="auto"/>
          <w:highlight w:val="none"/>
        </w:rPr>
      </w:pPr>
    </w:p>
    <w:p w14:paraId="10FA33F6">
      <w:pPr>
        <w:rPr>
          <w:color w:val="auto"/>
          <w:highlight w:val="none"/>
        </w:rPr>
      </w:pPr>
    </w:p>
    <w:p w14:paraId="69A81BA9">
      <w:pPr>
        <w:rPr>
          <w:color w:val="auto"/>
          <w:highlight w:val="none"/>
        </w:rPr>
      </w:pPr>
    </w:p>
    <w:p w14:paraId="713A248B">
      <w:pPr>
        <w:rPr>
          <w:color w:val="auto"/>
          <w:highlight w:val="none"/>
        </w:rPr>
      </w:pPr>
    </w:p>
    <w:p w14:paraId="5E98D5E4">
      <w:pPr>
        <w:rPr>
          <w:color w:val="auto"/>
          <w:highlight w:val="none"/>
        </w:rPr>
      </w:pPr>
    </w:p>
    <w:p w14:paraId="28526D29">
      <w:pPr>
        <w:pStyle w:val="5"/>
        <w:jc w:val="center"/>
        <w:rPr>
          <w:color w:val="auto"/>
          <w:highlight w:val="none"/>
        </w:rPr>
      </w:pPr>
      <w:bookmarkStart w:id="77" w:name="_Toc3198"/>
      <w:r>
        <w:rPr>
          <w:rFonts w:hint="eastAsia"/>
          <w:color w:val="auto"/>
          <w:highlight w:val="none"/>
        </w:rPr>
        <w:t>第五章响应文件格式</w:t>
      </w:r>
      <w:bookmarkEnd w:id="77"/>
    </w:p>
    <w:p w14:paraId="7D3295DB">
      <w:pPr>
        <w:spacing w:line="240" w:lineRule="atLeast"/>
        <w:rPr>
          <w:rFonts w:ascii="宋体" w:hAnsi="宋体"/>
          <w:b/>
          <w:color w:val="auto"/>
          <w:sz w:val="32"/>
          <w:szCs w:val="32"/>
          <w:highlight w:val="none"/>
        </w:rPr>
      </w:pPr>
    </w:p>
    <w:p w14:paraId="18ABFC34">
      <w:pPr>
        <w:spacing w:line="240" w:lineRule="atLeast"/>
        <w:rPr>
          <w:rFonts w:ascii="宋体" w:hAnsi="宋体"/>
          <w:b/>
          <w:color w:val="auto"/>
          <w:sz w:val="32"/>
          <w:szCs w:val="32"/>
          <w:highlight w:val="none"/>
        </w:rPr>
      </w:pPr>
    </w:p>
    <w:p w14:paraId="18F7244B">
      <w:pPr>
        <w:spacing w:line="240" w:lineRule="atLeast"/>
        <w:rPr>
          <w:rFonts w:ascii="宋体" w:hAnsi="宋体"/>
          <w:b/>
          <w:color w:val="auto"/>
          <w:sz w:val="32"/>
          <w:szCs w:val="32"/>
          <w:highlight w:val="none"/>
        </w:rPr>
      </w:pPr>
    </w:p>
    <w:p w14:paraId="5C381D12">
      <w:pPr>
        <w:spacing w:line="240" w:lineRule="atLeast"/>
        <w:rPr>
          <w:rFonts w:ascii="宋体" w:hAnsi="宋体"/>
          <w:b/>
          <w:color w:val="auto"/>
          <w:sz w:val="32"/>
          <w:szCs w:val="32"/>
          <w:highlight w:val="none"/>
        </w:rPr>
      </w:pPr>
    </w:p>
    <w:p w14:paraId="6FC034D8">
      <w:pPr>
        <w:spacing w:line="240" w:lineRule="atLeast"/>
        <w:rPr>
          <w:rFonts w:ascii="宋体" w:hAnsi="宋体"/>
          <w:b/>
          <w:color w:val="auto"/>
          <w:sz w:val="32"/>
          <w:szCs w:val="32"/>
          <w:highlight w:val="none"/>
        </w:rPr>
      </w:pPr>
    </w:p>
    <w:p w14:paraId="3BB84598">
      <w:pPr>
        <w:spacing w:line="240" w:lineRule="atLeast"/>
        <w:rPr>
          <w:rFonts w:ascii="宋体" w:hAnsi="宋体"/>
          <w:b/>
          <w:color w:val="auto"/>
          <w:sz w:val="32"/>
          <w:szCs w:val="32"/>
          <w:highlight w:val="none"/>
        </w:rPr>
      </w:pPr>
    </w:p>
    <w:p w14:paraId="2752AD44">
      <w:pPr>
        <w:spacing w:line="240" w:lineRule="atLeast"/>
        <w:rPr>
          <w:rFonts w:ascii="宋体" w:hAnsi="宋体"/>
          <w:b/>
          <w:color w:val="auto"/>
          <w:sz w:val="32"/>
          <w:szCs w:val="32"/>
          <w:highlight w:val="none"/>
        </w:rPr>
      </w:pPr>
    </w:p>
    <w:p w14:paraId="29CDC366">
      <w:pPr>
        <w:spacing w:line="240" w:lineRule="atLeast"/>
        <w:rPr>
          <w:rFonts w:ascii="宋体" w:hAnsi="宋体"/>
          <w:b/>
          <w:color w:val="auto"/>
          <w:sz w:val="32"/>
          <w:szCs w:val="32"/>
          <w:highlight w:val="none"/>
        </w:rPr>
      </w:pPr>
    </w:p>
    <w:p w14:paraId="55CDF4A6">
      <w:pPr>
        <w:spacing w:line="240" w:lineRule="atLeast"/>
        <w:rPr>
          <w:rFonts w:ascii="宋体" w:hAnsi="宋体"/>
          <w:b/>
          <w:color w:val="auto"/>
          <w:sz w:val="32"/>
          <w:szCs w:val="32"/>
          <w:highlight w:val="none"/>
        </w:rPr>
      </w:pPr>
    </w:p>
    <w:p w14:paraId="592F60EA">
      <w:pPr>
        <w:spacing w:line="240" w:lineRule="atLeast"/>
        <w:rPr>
          <w:rFonts w:ascii="宋体" w:hAnsi="宋体"/>
          <w:b/>
          <w:color w:val="auto"/>
          <w:sz w:val="32"/>
          <w:szCs w:val="32"/>
          <w:highlight w:val="none"/>
        </w:rPr>
      </w:pPr>
    </w:p>
    <w:p w14:paraId="09A5DE55">
      <w:pPr>
        <w:spacing w:line="240" w:lineRule="atLeast"/>
        <w:rPr>
          <w:rFonts w:ascii="宋体" w:hAnsi="宋体"/>
          <w:b/>
          <w:color w:val="auto"/>
          <w:sz w:val="32"/>
          <w:szCs w:val="32"/>
          <w:highlight w:val="none"/>
        </w:rPr>
      </w:pPr>
    </w:p>
    <w:p w14:paraId="3B4F16E1">
      <w:pPr>
        <w:snapToGrid w:val="0"/>
        <w:spacing w:before="50" w:after="50"/>
        <w:outlineLvl w:val="1"/>
        <w:rPr>
          <w:rFonts w:ascii="宋体" w:hAnsi="宋体"/>
          <w:b/>
          <w:bCs/>
          <w:color w:val="auto"/>
          <w:sz w:val="24"/>
          <w:highlight w:val="none"/>
        </w:rPr>
      </w:pPr>
    </w:p>
    <w:p w14:paraId="642D91D3">
      <w:pPr>
        <w:snapToGrid w:val="0"/>
        <w:spacing w:before="156" w:beforeLines="50" w:after="50"/>
        <w:jc w:val="center"/>
        <w:rPr>
          <w:rFonts w:ascii="仿宋_GB2312" w:hAnsi="仿宋_GB2312" w:eastAsia="仿宋_GB2312" w:cs="仿宋_GB2312"/>
          <w:bCs/>
          <w:color w:val="auto"/>
          <w:sz w:val="32"/>
          <w:szCs w:val="32"/>
          <w:highlight w:val="none"/>
        </w:rPr>
      </w:pPr>
    </w:p>
    <w:p w14:paraId="43402E8F">
      <w:pPr>
        <w:rPr>
          <w:b/>
          <w:color w:val="auto"/>
          <w:sz w:val="32"/>
          <w:szCs w:val="32"/>
          <w:highlight w:val="none"/>
        </w:rPr>
      </w:pPr>
      <w:bookmarkStart w:id="78" w:name="_Toc44229899"/>
      <w:bookmarkStart w:id="79" w:name="_Toc35611516"/>
      <w:bookmarkStart w:id="80" w:name="_Toc35611438"/>
      <w:bookmarkStart w:id="81" w:name="_Toc31723070"/>
      <w:bookmarkStart w:id="82" w:name="_Toc71366186"/>
      <w:bookmarkStart w:id="83" w:name="_Toc31728084"/>
      <w:r>
        <w:rPr>
          <w:rFonts w:hint="eastAsia"/>
          <w:b/>
          <w:color w:val="auto"/>
          <w:sz w:val="32"/>
          <w:szCs w:val="32"/>
          <w:highlight w:val="none"/>
        </w:rPr>
        <w:br w:type="page"/>
      </w:r>
    </w:p>
    <w:p w14:paraId="1046F4CD">
      <w:pPr>
        <w:rPr>
          <w:b/>
          <w:color w:val="auto"/>
          <w:sz w:val="32"/>
          <w:szCs w:val="32"/>
          <w:highlight w:val="none"/>
        </w:rPr>
      </w:pPr>
      <w:r>
        <w:rPr>
          <w:rFonts w:hint="eastAsia"/>
          <w:b/>
          <w:color w:val="auto"/>
          <w:sz w:val="32"/>
          <w:szCs w:val="32"/>
          <w:highlight w:val="none"/>
        </w:rPr>
        <w:t>一、资格证明文件格式</w:t>
      </w:r>
      <w:bookmarkEnd w:id="78"/>
      <w:bookmarkEnd w:id="79"/>
      <w:bookmarkEnd w:id="80"/>
      <w:bookmarkEnd w:id="81"/>
      <w:bookmarkEnd w:id="82"/>
      <w:bookmarkEnd w:id="83"/>
    </w:p>
    <w:p w14:paraId="0D2A0F94">
      <w:pPr>
        <w:snapToGrid w:val="0"/>
        <w:spacing w:before="156" w:beforeLines="50" w:after="50" w:line="360" w:lineRule="auto"/>
        <w:jc w:val="left"/>
        <w:rPr>
          <w:rFonts w:ascii="宋体" w:hAnsi="宋体"/>
          <w:b/>
          <w:color w:val="auto"/>
          <w:sz w:val="24"/>
          <w:highlight w:val="none"/>
        </w:rPr>
      </w:pPr>
      <w:r>
        <w:rPr>
          <w:rFonts w:hint="eastAsia" w:ascii="宋体" w:hAnsi="宋体"/>
          <w:b/>
          <w:color w:val="auto"/>
          <w:sz w:val="32"/>
          <w:szCs w:val="32"/>
          <w:highlight w:val="none"/>
        </w:rPr>
        <w:t>1.资格证明文件封面格式</w:t>
      </w:r>
      <w:r>
        <w:rPr>
          <w:rFonts w:hint="eastAsia" w:ascii="宋体" w:hAnsi="宋体"/>
          <w:color w:val="auto"/>
          <w:sz w:val="32"/>
          <w:szCs w:val="32"/>
          <w:highlight w:val="none"/>
        </w:rPr>
        <w:t>：</w:t>
      </w:r>
    </w:p>
    <w:p w14:paraId="21A44F99">
      <w:pPr>
        <w:snapToGrid w:val="0"/>
        <w:spacing w:before="156" w:beforeLines="50" w:after="50"/>
        <w:jc w:val="center"/>
        <w:rPr>
          <w:rFonts w:ascii="宋体" w:hAnsi="宋体"/>
          <w:color w:val="auto"/>
          <w:sz w:val="44"/>
          <w:szCs w:val="44"/>
          <w:highlight w:val="none"/>
        </w:rPr>
      </w:pPr>
    </w:p>
    <w:p w14:paraId="378E6837">
      <w:pPr>
        <w:snapToGrid w:val="0"/>
        <w:spacing w:before="156" w:beforeLines="50" w:after="50"/>
        <w:jc w:val="center"/>
        <w:rPr>
          <w:rFonts w:ascii="宋体" w:hAnsi="宋体"/>
          <w:color w:val="auto"/>
          <w:sz w:val="44"/>
          <w:szCs w:val="44"/>
          <w:highlight w:val="none"/>
        </w:rPr>
      </w:pPr>
      <w:r>
        <w:rPr>
          <w:rFonts w:hint="eastAsia" w:ascii="宋体" w:hAnsi="宋体"/>
          <w:color w:val="auto"/>
          <w:sz w:val="44"/>
          <w:szCs w:val="44"/>
          <w:highlight w:val="none"/>
        </w:rPr>
        <w:t>电 子 响 应 文 件</w:t>
      </w:r>
    </w:p>
    <w:p w14:paraId="6D40D254">
      <w:pPr>
        <w:snapToGrid w:val="0"/>
        <w:spacing w:before="156" w:beforeLines="50" w:after="50"/>
        <w:rPr>
          <w:rFonts w:ascii="宋体" w:hAnsi="宋体"/>
          <w:color w:val="auto"/>
          <w:sz w:val="24"/>
          <w:szCs w:val="20"/>
          <w:highlight w:val="none"/>
        </w:rPr>
      </w:pPr>
    </w:p>
    <w:p w14:paraId="6AD1E43D">
      <w:pPr>
        <w:snapToGrid w:val="0"/>
        <w:spacing w:before="156"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14:paraId="112DDE97">
      <w:pPr>
        <w:snapToGrid w:val="0"/>
        <w:spacing w:before="156" w:beforeLines="50" w:after="50"/>
        <w:rPr>
          <w:rFonts w:ascii="宋体" w:hAnsi="宋体"/>
          <w:bCs/>
          <w:color w:val="auto"/>
          <w:sz w:val="24"/>
          <w:szCs w:val="20"/>
          <w:highlight w:val="none"/>
        </w:rPr>
      </w:pPr>
    </w:p>
    <w:p w14:paraId="27C10606">
      <w:pPr>
        <w:snapToGrid w:val="0"/>
        <w:spacing w:before="156" w:beforeLines="50" w:after="50"/>
        <w:rPr>
          <w:rFonts w:ascii="宋体" w:hAnsi="宋体"/>
          <w:bCs/>
          <w:color w:val="auto"/>
          <w:sz w:val="24"/>
          <w:szCs w:val="20"/>
          <w:highlight w:val="none"/>
        </w:rPr>
      </w:pPr>
    </w:p>
    <w:p w14:paraId="3310CC61">
      <w:pPr>
        <w:snapToGrid w:val="0"/>
        <w:spacing w:before="156" w:beforeLines="50" w:after="50"/>
        <w:rPr>
          <w:rFonts w:ascii="宋体" w:hAnsi="宋体"/>
          <w:bCs/>
          <w:color w:val="auto"/>
          <w:sz w:val="24"/>
          <w:szCs w:val="20"/>
          <w:highlight w:val="none"/>
        </w:rPr>
      </w:pPr>
    </w:p>
    <w:p w14:paraId="267D618F">
      <w:pPr>
        <w:snapToGrid w:val="0"/>
        <w:spacing w:before="156" w:beforeLines="50" w:after="50"/>
        <w:rPr>
          <w:rFonts w:ascii="宋体" w:hAnsi="宋体"/>
          <w:bCs/>
          <w:color w:val="auto"/>
          <w:sz w:val="24"/>
          <w:szCs w:val="20"/>
          <w:highlight w:val="none"/>
        </w:rPr>
      </w:pPr>
    </w:p>
    <w:p w14:paraId="331466E5">
      <w:pPr>
        <w:snapToGrid w:val="0"/>
        <w:spacing w:before="156" w:beforeLines="50" w:after="50"/>
        <w:rPr>
          <w:rFonts w:ascii="宋体" w:hAnsi="宋体"/>
          <w:bCs/>
          <w:color w:val="auto"/>
          <w:sz w:val="24"/>
          <w:szCs w:val="20"/>
          <w:highlight w:val="none"/>
        </w:rPr>
      </w:pPr>
    </w:p>
    <w:p w14:paraId="30BC1EA8">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3BF0E71A">
      <w:pPr>
        <w:snapToGrid w:val="0"/>
        <w:spacing w:before="156" w:beforeLines="50" w:after="50"/>
        <w:ind w:firstLine="720" w:firstLineChars="225"/>
        <w:rPr>
          <w:rFonts w:ascii="宋体" w:hAnsi="宋体" w:cs="仿宋_GB2312"/>
          <w:bCs/>
          <w:color w:val="auto"/>
          <w:sz w:val="32"/>
          <w:szCs w:val="32"/>
          <w:highlight w:val="none"/>
        </w:rPr>
      </w:pPr>
    </w:p>
    <w:p w14:paraId="23DEA2A5">
      <w:pPr>
        <w:snapToGrid w:val="0"/>
        <w:spacing w:before="156"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2F125162">
      <w:pPr>
        <w:snapToGrid w:val="0"/>
        <w:spacing w:before="156" w:beforeLines="50" w:after="50"/>
        <w:ind w:firstLine="720" w:firstLineChars="225"/>
        <w:rPr>
          <w:rFonts w:ascii="宋体" w:hAnsi="宋体" w:cs="仿宋_GB2312"/>
          <w:bCs/>
          <w:color w:val="auto"/>
          <w:sz w:val="32"/>
          <w:szCs w:val="32"/>
          <w:highlight w:val="none"/>
        </w:rPr>
      </w:pPr>
    </w:p>
    <w:p w14:paraId="6CC8F457">
      <w:pPr>
        <w:snapToGrid w:val="0"/>
        <w:spacing w:before="156"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7452A257">
      <w:pPr>
        <w:snapToGrid w:val="0"/>
        <w:spacing w:before="156" w:beforeLines="50" w:after="50"/>
        <w:ind w:firstLine="720" w:firstLineChars="225"/>
        <w:rPr>
          <w:rFonts w:ascii="宋体" w:hAnsi="宋体" w:cs="仿宋_GB2312"/>
          <w:bCs/>
          <w:color w:val="auto"/>
          <w:sz w:val="32"/>
          <w:szCs w:val="32"/>
          <w:highlight w:val="none"/>
        </w:rPr>
      </w:pPr>
    </w:p>
    <w:p w14:paraId="212AE3CF">
      <w:pPr>
        <w:pStyle w:val="9"/>
        <w:snapToGrid w:val="0"/>
        <w:spacing w:before="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05724DF3">
      <w:pPr>
        <w:snapToGrid w:val="0"/>
        <w:spacing w:before="156" w:beforeLines="50" w:after="50"/>
        <w:ind w:firstLine="640" w:firstLineChars="200"/>
        <w:rPr>
          <w:rFonts w:ascii="宋体" w:hAnsi="宋体" w:cs="仿宋_GB2312"/>
          <w:bCs/>
          <w:color w:val="auto"/>
          <w:sz w:val="32"/>
          <w:szCs w:val="32"/>
          <w:highlight w:val="none"/>
        </w:rPr>
      </w:pPr>
    </w:p>
    <w:p w14:paraId="0D251D46">
      <w:pPr>
        <w:pStyle w:val="9"/>
        <w:snapToGrid w:val="0"/>
        <w:spacing w:before="50" w:after="50"/>
        <w:ind w:firstLine="720" w:firstLineChars="225"/>
        <w:rPr>
          <w:rFonts w:ascii="宋体" w:hAnsi="宋体" w:cs="仿宋_GB2312"/>
          <w:bCs/>
          <w:color w:val="auto"/>
          <w:sz w:val="32"/>
          <w:szCs w:val="32"/>
          <w:highlight w:val="none"/>
        </w:rPr>
      </w:pPr>
    </w:p>
    <w:p w14:paraId="63E0D088">
      <w:pPr>
        <w:pStyle w:val="9"/>
        <w:snapToGrid w:val="0"/>
        <w:spacing w:before="50" w:after="50"/>
        <w:ind w:firstLine="720" w:firstLineChars="225"/>
        <w:rPr>
          <w:rFonts w:ascii="宋体" w:hAnsi="宋体" w:cs="仿宋_GB2312"/>
          <w:bCs/>
          <w:color w:val="auto"/>
          <w:sz w:val="32"/>
          <w:szCs w:val="32"/>
          <w:highlight w:val="none"/>
        </w:rPr>
      </w:pPr>
    </w:p>
    <w:p w14:paraId="42ACE3E6">
      <w:pPr>
        <w:pStyle w:val="9"/>
        <w:snapToGrid w:val="0"/>
        <w:spacing w:before="50" w:after="50"/>
        <w:ind w:firstLine="1280" w:firstLineChars="400"/>
        <w:rPr>
          <w:rFonts w:ascii="宋体" w:hAnsi="宋体" w:cs="仿宋_GB2312"/>
          <w:bCs/>
          <w:color w:val="auto"/>
          <w:sz w:val="32"/>
          <w:szCs w:val="32"/>
          <w:highlight w:val="none"/>
        </w:rPr>
      </w:pPr>
    </w:p>
    <w:p w14:paraId="7DAFB702">
      <w:pPr>
        <w:snapToGrid w:val="0"/>
        <w:spacing w:before="156"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590CBA5E">
      <w:pPr>
        <w:snapToGrid w:val="0"/>
        <w:spacing w:before="156" w:beforeLines="50" w:after="50" w:line="360" w:lineRule="auto"/>
        <w:ind w:left="142"/>
        <w:jc w:val="left"/>
        <w:rPr>
          <w:rFonts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14:paraId="58567EB1">
      <w:pPr>
        <w:snapToGrid w:val="0"/>
        <w:spacing w:before="156" w:beforeLines="50" w:after="50" w:line="360" w:lineRule="auto"/>
        <w:ind w:firstLine="645"/>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09471E47">
      <w:pPr>
        <w:snapToGrid w:val="0"/>
        <w:spacing w:before="156" w:beforeLines="50" w:after="50"/>
        <w:rPr>
          <w:rFonts w:ascii="宋体" w:hAnsi="宋体"/>
          <w:color w:val="auto"/>
          <w:sz w:val="24"/>
          <w:szCs w:val="20"/>
          <w:highlight w:val="none"/>
        </w:rPr>
      </w:pPr>
    </w:p>
    <w:p w14:paraId="08613255">
      <w:pPr>
        <w:spacing w:line="300" w:lineRule="auto"/>
        <w:rPr>
          <w:rFonts w:ascii="宋体" w:hAnsi="宋体"/>
          <w:color w:val="auto"/>
          <w:szCs w:val="21"/>
          <w:highlight w:val="none"/>
        </w:rPr>
      </w:pPr>
    </w:p>
    <w:p w14:paraId="13D4A49F">
      <w:pPr>
        <w:spacing w:line="380" w:lineRule="exact"/>
        <w:ind w:left="360"/>
        <w:rPr>
          <w:rFonts w:ascii="宋体" w:hAnsi="宋体"/>
          <w:color w:val="auto"/>
          <w:szCs w:val="21"/>
          <w:highlight w:val="none"/>
        </w:rPr>
      </w:pPr>
    </w:p>
    <w:p w14:paraId="5FBC3503">
      <w:pPr>
        <w:spacing w:line="380" w:lineRule="exact"/>
        <w:ind w:left="360"/>
        <w:rPr>
          <w:rFonts w:ascii="宋体" w:hAnsi="宋体"/>
          <w:color w:val="auto"/>
          <w:szCs w:val="21"/>
          <w:highlight w:val="none"/>
        </w:rPr>
      </w:pPr>
      <w:r>
        <w:rPr>
          <w:rFonts w:hint="eastAsia" w:ascii="宋体" w:hAnsi="宋体"/>
          <w:color w:val="auto"/>
          <w:szCs w:val="21"/>
          <w:highlight w:val="none"/>
        </w:rPr>
        <w:br w:type="page"/>
      </w:r>
    </w:p>
    <w:p w14:paraId="524A9858">
      <w:pPr>
        <w:spacing w:line="380" w:lineRule="exact"/>
        <w:ind w:left="360"/>
        <w:rPr>
          <w:rFonts w:ascii="宋体" w:hAnsi="宋体"/>
          <w:b/>
          <w:bCs/>
          <w:color w:val="auto"/>
          <w:sz w:val="24"/>
          <w:highlight w:val="none"/>
        </w:rPr>
      </w:pPr>
      <w:r>
        <w:rPr>
          <w:rFonts w:hint="eastAsia" w:ascii="宋体" w:hAnsi="宋体"/>
          <w:b/>
          <w:bCs/>
          <w:color w:val="auto"/>
          <w:szCs w:val="21"/>
          <w:highlight w:val="none"/>
        </w:rPr>
        <w:t xml:space="preserve"> 3.</w:t>
      </w:r>
      <w:r>
        <w:rPr>
          <w:rFonts w:hint="eastAsia" w:ascii="宋体" w:hAnsi="宋体"/>
          <w:b/>
          <w:bCs/>
          <w:color w:val="auto"/>
          <w:sz w:val="24"/>
          <w:highlight w:val="none"/>
        </w:rPr>
        <w:t>北海市政府采购供应商信用承诺函（格式）</w:t>
      </w:r>
    </w:p>
    <w:p w14:paraId="12C34329">
      <w:pPr>
        <w:spacing w:line="380" w:lineRule="exact"/>
        <w:ind w:left="142"/>
        <w:rPr>
          <w:rFonts w:ascii="宋体" w:hAnsi="宋体"/>
          <w:b/>
          <w:bCs/>
          <w:color w:val="auto"/>
          <w:sz w:val="24"/>
          <w:highlight w:val="none"/>
        </w:rPr>
      </w:pPr>
    </w:p>
    <w:p w14:paraId="67F4318B">
      <w:pPr>
        <w:spacing w:line="380" w:lineRule="exact"/>
        <w:jc w:val="center"/>
        <w:rPr>
          <w:b/>
          <w:bCs/>
          <w:color w:val="auto"/>
          <w:kern w:val="0"/>
          <w:sz w:val="32"/>
          <w:szCs w:val="32"/>
          <w:highlight w:val="none"/>
        </w:rPr>
      </w:pPr>
      <w:r>
        <w:rPr>
          <w:rFonts w:hint="eastAsia"/>
          <w:b/>
          <w:bCs/>
          <w:color w:val="auto"/>
          <w:kern w:val="0"/>
          <w:sz w:val="32"/>
          <w:szCs w:val="32"/>
          <w:highlight w:val="none"/>
        </w:rPr>
        <w:t>北海市政府采购供应商信用承诺函</w:t>
      </w:r>
    </w:p>
    <w:p w14:paraId="1E1D7D6F">
      <w:pPr>
        <w:spacing w:line="380" w:lineRule="exact"/>
        <w:jc w:val="center"/>
        <w:rPr>
          <w:b/>
          <w:bCs/>
          <w:color w:val="auto"/>
          <w:kern w:val="0"/>
          <w:sz w:val="32"/>
          <w:szCs w:val="32"/>
          <w:highlight w:val="none"/>
        </w:rPr>
      </w:pPr>
    </w:p>
    <w:p w14:paraId="6C61E04A">
      <w:pPr>
        <w:wordWrap w:val="0"/>
        <w:spacing w:line="360" w:lineRule="auto"/>
        <w:rPr>
          <w:color w:val="auto"/>
          <w:kern w:val="0"/>
          <w:sz w:val="24"/>
          <w:highlight w:val="none"/>
        </w:rPr>
      </w:pPr>
      <w:r>
        <w:rPr>
          <w:rFonts w:hint="eastAsia"/>
          <w:color w:val="auto"/>
          <w:kern w:val="0"/>
          <w:sz w:val="24"/>
          <w:highlight w:val="none"/>
        </w:rPr>
        <w:t>致（采购人或采购代理机构）：</w:t>
      </w:r>
    </w:p>
    <w:p w14:paraId="01E67657">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供应商名称：</w:t>
      </w:r>
    </w:p>
    <w:p w14:paraId="01569A09">
      <w:pPr>
        <w:pStyle w:val="27"/>
        <w:ind w:firstLine="210"/>
        <w:rPr>
          <w:color w:val="auto"/>
          <w:highlight w:val="none"/>
        </w:rPr>
      </w:pPr>
    </w:p>
    <w:p w14:paraId="7260081C">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统一社会信用代码：</w:t>
      </w:r>
    </w:p>
    <w:p w14:paraId="69241DE3">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供应商地址：</w:t>
      </w:r>
    </w:p>
    <w:p w14:paraId="299B8713">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4E99B62C">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1.我单位具有符合采购文件资格要求独立承担民事责任的能力。</w:t>
      </w:r>
    </w:p>
    <w:p w14:paraId="79EEA0C1">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2.我单位具有符合采购文件资格要求的财务状况报告。</w:t>
      </w:r>
    </w:p>
    <w:p w14:paraId="529A0619">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3.我单位具有符合采购文件资格要求的依法缴纳税收和社会保障记录的良好记录。</w:t>
      </w:r>
    </w:p>
    <w:p w14:paraId="79E8BBD4">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4.我单位具有符合采购文件资格要求履行合同所必需的设备和专业技术能力。</w:t>
      </w:r>
    </w:p>
    <w:p w14:paraId="707AB08B">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5.参加政府采购活动前三年内，在经营活动中没有重大违法记录。</w:t>
      </w:r>
    </w:p>
    <w:p w14:paraId="2DD3C081">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若我单位承诺不实，自愿承担提供虚假材料谋取中标、成交的法律责任。</w:t>
      </w:r>
    </w:p>
    <w:p w14:paraId="2F8CE005">
      <w:pPr>
        <w:snapToGrid w:val="0"/>
        <w:spacing w:line="360" w:lineRule="auto"/>
        <w:jc w:val="left"/>
        <w:rPr>
          <w:rFonts w:ascii="宋体" w:hAnsi="宋体"/>
          <w:color w:val="auto"/>
          <w:sz w:val="24"/>
          <w:highlight w:val="none"/>
        </w:rPr>
      </w:pPr>
    </w:p>
    <w:p w14:paraId="4A7ADA69">
      <w:pPr>
        <w:snapToGrid w:val="0"/>
        <w:spacing w:line="360" w:lineRule="auto"/>
        <w:ind w:left="-2" w:leftChars="-1" w:right="-817" w:rightChars="-389"/>
        <w:rPr>
          <w:rFonts w:ascii="宋体" w:hAnsi="宋体" w:cs="宋体"/>
          <w:color w:val="auto"/>
          <w:kern w:val="0"/>
          <w:sz w:val="24"/>
          <w:highlight w:val="none"/>
        </w:rPr>
      </w:pPr>
      <w:r>
        <w:rPr>
          <w:rFonts w:hint="eastAsia" w:ascii="宋体" w:hAnsi="宋体" w:cs="宋体"/>
          <w:color w:val="auto"/>
          <w:kern w:val="0"/>
          <w:sz w:val="24"/>
          <w:highlight w:val="none"/>
        </w:rPr>
        <w:t xml:space="preserve">   法定代表人或者委托代理人（签字或者电子签名）： </w:t>
      </w:r>
    </w:p>
    <w:p w14:paraId="6619C9A1">
      <w:pPr>
        <w:snapToGrid w:val="0"/>
        <w:spacing w:line="360" w:lineRule="auto"/>
        <w:ind w:left="-3" w:leftChars="-15" w:right="-817" w:rightChars="-389" w:hanging="28" w:hangingChars="12"/>
        <w:rPr>
          <w:rFonts w:ascii="宋体" w:hAnsi="宋体" w:cs="宋体"/>
          <w:color w:val="auto"/>
          <w:kern w:val="0"/>
          <w:sz w:val="24"/>
          <w:highlight w:val="none"/>
        </w:rPr>
      </w:pPr>
      <w:r>
        <w:rPr>
          <w:rFonts w:hint="eastAsia" w:ascii="宋体" w:hAnsi="宋体" w:cs="宋体"/>
          <w:color w:val="auto"/>
          <w:kern w:val="0"/>
          <w:sz w:val="24"/>
          <w:highlight w:val="none"/>
        </w:rPr>
        <w:t xml:space="preserve">                                    供应商名称（电子签章）：</w:t>
      </w:r>
    </w:p>
    <w:p w14:paraId="06591D61">
      <w:pPr>
        <w:wordWrap w:val="0"/>
        <w:spacing w:line="360" w:lineRule="auto"/>
        <w:ind w:firstLine="480" w:firstLineChars="200"/>
        <w:jc w:val="right"/>
        <w:rPr>
          <w:rFonts w:ascii="宋体" w:hAnsi="宋体" w:cs="宋体"/>
          <w:color w:val="auto"/>
          <w:kern w:val="0"/>
          <w:sz w:val="24"/>
          <w:highlight w:val="none"/>
        </w:rPr>
      </w:pPr>
      <w:r>
        <w:rPr>
          <w:rFonts w:hint="eastAsia" w:ascii="宋体" w:hAnsi="宋体" w:cs="宋体"/>
          <w:color w:val="auto"/>
          <w:kern w:val="0"/>
          <w:sz w:val="24"/>
          <w:highlight w:val="none"/>
        </w:rPr>
        <w:t>日 期： 年 月 日</w:t>
      </w:r>
    </w:p>
    <w:p w14:paraId="23C8B754">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注：1.供应商须在响应文件中按此模板提供承诺函，未提供视为未实质性响应招标（采购）文件要求，按无效磋商处理。</w:t>
      </w:r>
    </w:p>
    <w:p w14:paraId="662DE7FB">
      <w:pPr>
        <w:spacing w:line="320" w:lineRule="exact"/>
        <w:jc w:val="left"/>
        <w:rPr>
          <w:rFonts w:ascii="宋体" w:hAnsi="宋体"/>
          <w:color w:val="auto"/>
          <w:szCs w:val="21"/>
          <w:highlight w:val="none"/>
        </w:rPr>
      </w:pPr>
      <w:r>
        <w:rPr>
          <w:rFonts w:hint="eastAsia" w:ascii="宋体" w:hAnsi="宋体" w:cs="宋体"/>
          <w:color w:val="auto"/>
          <w:kern w:val="0"/>
          <w:sz w:val="24"/>
          <w:highlight w:val="none"/>
        </w:rPr>
        <w:t>2.供应商的法定代表人（其他组织的为负责人）或者委托代理人的签名或盖章应真实、有效，如委托代理人签名或盖章的，应提供“法定代表人授权委托书”。</w:t>
      </w:r>
    </w:p>
    <w:p w14:paraId="0A29798E">
      <w:pPr>
        <w:spacing w:line="300" w:lineRule="auto"/>
        <w:rPr>
          <w:rFonts w:ascii="宋体" w:hAnsi="宋体"/>
          <w:color w:val="auto"/>
          <w:szCs w:val="21"/>
          <w:highlight w:val="none"/>
        </w:rPr>
      </w:pPr>
    </w:p>
    <w:p w14:paraId="7428E93E">
      <w:pPr>
        <w:spacing w:line="300" w:lineRule="auto"/>
        <w:rPr>
          <w:rFonts w:ascii="宋体" w:hAnsi="宋体"/>
          <w:color w:val="auto"/>
          <w:szCs w:val="21"/>
          <w:highlight w:val="none"/>
        </w:rPr>
      </w:pPr>
    </w:p>
    <w:p w14:paraId="6088D340">
      <w:pPr>
        <w:spacing w:line="300" w:lineRule="auto"/>
        <w:rPr>
          <w:rFonts w:ascii="宋体" w:hAnsi="宋体"/>
          <w:color w:val="auto"/>
          <w:szCs w:val="21"/>
          <w:highlight w:val="none"/>
        </w:rPr>
      </w:pPr>
    </w:p>
    <w:p w14:paraId="7C1D3575">
      <w:pPr>
        <w:spacing w:line="300" w:lineRule="auto"/>
        <w:rPr>
          <w:rFonts w:ascii="宋体" w:hAnsi="宋体"/>
          <w:color w:val="auto"/>
          <w:szCs w:val="21"/>
          <w:highlight w:val="none"/>
        </w:rPr>
      </w:pPr>
    </w:p>
    <w:p w14:paraId="0798C956">
      <w:pPr>
        <w:spacing w:line="320" w:lineRule="exact"/>
        <w:jc w:val="left"/>
        <w:rPr>
          <w:rFonts w:ascii="宋体" w:hAnsi="宋体"/>
          <w:b/>
          <w:color w:val="auto"/>
          <w:sz w:val="24"/>
          <w:highlight w:val="none"/>
        </w:rPr>
      </w:pPr>
      <w:r>
        <w:rPr>
          <w:rFonts w:ascii="宋体" w:hAnsi="宋体"/>
          <w:color w:val="auto"/>
          <w:szCs w:val="21"/>
          <w:highlight w:val="none"/>
        </w:rPr>
        <w:br w:type="page"/>
      </w:r>
      <w:r>
        <w:rPr>
          <w:rFonts w:hint="eastAsia" w:ascii="宋体" w:hAnsi="宋体"/>
          <w:color w:val="auto"/>
          <w:szCs w:val="21"/>
          <w:highlight w:val="none"/>
        </w:rPr>
        <w:t>4</w:t>
      </w:r>
      <w:r>
        <w:rPr>
          <w:rFonts w:hint="eastAsia" w:ascii="宋体" w:hAnsi="宋体"/>
          <w:b/>
          <w:color w:val="auto"/>
          <w:sz w:val="24"/>
          <w:highlight w:val="none"/>
        </w:rPr>
        <w:t>.</w:t>
      </w:r>
      <w:r>
        <w:rPr>
          <w:rFonts w:hint="eastAsia" w:ascii="宋体" w:hAnsi="宋体"/>
          <w:b/>
          <w:color w:val="auto"/>
          <w:sz w:val="28"/>
          <w:szCs w:val="28"/>
          <w:highlight w:val="none"/>
        </w:rPr>
        <w:t>供应商直接控股股东信息表</w:t>
      </w:r>
    </w:p>
    <w:p w14:paraId="0B70973A">
      <w:pPr>
        <w:snapToGrid w:val="0"/>
        <w:spacing w:before="50" w:after="156" w:afterLines="50"/>
        <w:jc w:val="center"/>
        <w:rPr>
          <w:rFonts w:ascii="宋体" w:hAnsi="宋体"/>
          <w:b/>
          <w:color w:val="auto"/>
          <w:sz w:val="28"/>
          <w:szCs w:val="28"/>
          <w:highlight w:val="none"/>
        </w:rPr>
      </w:pPr>
    </w:p>
    <w:p w14:paraId="79663B46">
      <w:pPr>
        <w:snapToGrid w:val="0"/>
        <w:spacing w:before="50" w:after="156" w:afterLines="50" w:line="360" w:lineRule="auto"/>
        <w:jc w:val="center"/>
        <w:rPr>
          <w:rFonts w:ascii="宋体" w:hAnsi="宋体"/>
          <w:b/>
          <w:color w:val="auto"/>
          <w:sz w:val="32"/>
          <w:szCs w:val="32"/>
          <w:highlight w:val="none"/>
        </w:rPr>
      </w:pPr>
      <w:r>
        <w:rPr>
          <w:rFonts w:hint="eastAsia" w:ascii="宋体" w:hAnsi="宋体"/>
          <w:b/>
          <w:color w:val="auto"/>
          <w:sz w:val="32"/>
          <w:szCs w:val="32"/>
          <w:highlight w:val="none"/>
        </w:rPr>
        <w:t>供应商直接控股股东信息表</w:t>
      </w:r>
    </w:p>
    <w:tbl>
      <w:tblPr>
        <w:tblStyle w:val="28"/>
        <w:tblW w:w="9476" w:type="dxa"/>
        <w:tblInd w:w="0" w:type="dxa"/>
        <w:shd w:val="clear" w:color="auto" w:fill="FBFBFB"/>
        <w:tblLayout w:type="fixed"/>
        <w:tblCellMar>
          <w:top w:w="0" w:type="dxa"/>
          <w:left w:w="0" w:type="dxa"/>
          <w:bottom w:w="0" w:type="dxa"/>
          <w:right w:w="0" w:type="dxa"/>
        </w:tblCellMar>
      </w:tblPr>
      <w:tblGrid>
        <w:gridCol w:w="828"/>
        <w:gridCol w:w="2269"/>
        <w:gridCol w:w="1657"/>
        <w:gridCol w:w="3304"/>
        <w:gridCol w:w="1418"/>
      </w:tblGrid>
      <w:tr w14:paraId="4D2F0B7B">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1FCD6E7">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BCD3A1A">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657"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B3ADDA6">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30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C55F9DB">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95F0425">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7113AA68">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0D85A42">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70B5106">
            <w:pPr>
              <w:spacing w:line="360" w:lineRule="auto"/>
              <w:jc w:val="center"/>
              <w:rPr>
                <w:rFonts w:ascii="宋体" w:hAnsi="宋体" w:cs="宋体"/>
                <w:color w:val="auto"/>
                <w:kern w:val="0"/>
                <w:sz w:val="24"/>
                <w:highlight w:val="none"/>
              </w:rPr>
            </w:pPr>
          </w:p>
        </w:tc>
        <w:tc>
          <w:tcPr>
            <w:tcW w:w="165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8300BBF">
            <w:pPr>
              <w:spacing w:line="360" w:lineRule="auto"/>
              <w:jc w:val="center"/>
              <w:rPr>
                <w:rFonts w:ascii="宋体" w:hAnsi="宋体" w:cs="宋体"/>
                <w:color w:val="auto"/>
                <w:kern w:val="0"/>
                <w:sz w:val="24"/>
                <w:highlight w:val="none"/>
              </w:rPr>
            </w:pPr>
          </w:p>
        </w:tc>
        <w:tc>
          <w:tcPr>
            <w:tcW w:w="33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63FA3E8">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7FEF7F">
            <w:pPr>
              <w:spacing w:line="360" w:lineRule="auto"/>
              <w:jc w:val="center"/>
              <w:rPr>
                <w:rFonts w:ascii="宋体" w:hAnsi="宋体" w:cs="宋体"/>
                <w:color w:val="auto"/>
                <w:kern w:val="0"/>
                <w:sz w:val="24"/>
                <w:highlight w:val="none"/>
              </w:rPr>
            </w:pPr>
          </w:p>
        </w:tc>
      </w:tr>
      <w:tr w14:paraId="33DFED41">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A7D5EBB">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6A7E4A7">
            <w:pPr>
              <w:spacing w:line="360" w:lineRule="auto"/>
              <w:jc w:val="center"/>
              <w:rPr>
                <w:rFonts w:ascii="宋体" w:hAnsi="宋体" w:cs="宋体"/>
                <w:color w:val="auto"/>
                <w:kern w:val="0"/>
                <w:sz w:val="24"/>
                <w:highlight w:val="none"/>
              </w:rPr>
            </w:pPr>
          </w:p>
        </w:tc>
        <w:tc>
          <w:tcPr>
            <w:tcW w:w="165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FBC7C5">
            <w:pPr>
              <w:spacing w:line="360" w:lineRule="auto"/>
              <w:jc w:val="center"/>
              <w:rPr>
                <w:rFonts w:ascii="宋体" w:hAnsi="宋体" w:cs="宋体"/>
                <w:color w:val="auto"/>
                <w:kern w:val="0"/>
                <w:sz w:val="24"/>
                <w:highlight w:val="none"/>
              </w:rPr>
            </w:pPr>
          </w:p>
        </w:tc>
        <w:tc>
          <w:tcPr>
            <w:tcW w:w="33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2B6FAA">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678ED9">
            <w:pPr>
              <w:spacing w:line="360" w:lineRule="auto"/>
              <w:jc w:val="center"/>
              <w:rPr>
                <w:rFonts w:ascii="宋体" w:hAnsi="宋体" w:cs="宋体"/>
                <w:color w:val="auto"/>
                <w:kern w:val="0"/>
                <w:sz w:val="24"/>
                <w:highlight w:val="none"/>
              </w:rPr>
            </w:pPr>
          </w:p>
        </w:tc>
      </w:tr>
      <w:tr w14:paraId="47D35DC0">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09DA8F6">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67B0BF">
            <w:pPr>
              <w:spacing w:line="360" w:lineRule="auto"/>
              <w:jc w:val="center"/>
              <w:rPr>
                <w:rFonts w:ascii="宋体" w:hAnsi="宋体" w:cs="宋体"/>
                <w:color w:val="auto"/>
                <w:kern w:val="0"/>
                <w:sz w:val="24"/>
                <w:highlight w:val="none"/>
              </w:rPr>
            </w:pPr>
          </w:p>
        </w:tc>
        <w:tc>
          <w:tcPr>
            <w:tcW w:w="165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F45EE3">
            <w:pPr>
              <w:spacing w:line="360" w:lineRule="auto"/>
              <w:jc w:val="center"/>
              <w:rPr>
                <w:rFonts w:ascii="宋体" w:hAnsi="宋体" w:cs="宋体"/>
                <w:color w:val="auto"/>
                <w:kern w:val="0"/>
                <w:sz w:val="24"/>
                <w:highlight w:val="none"/>
              </w:rPr>
            </w:pPr>
          </w:p>
        </w:tc>
        <w:tc>
          <w:tcPr>
            <w:tcW w:w="33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E8F998">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BBE880">
            <w:pPr>
              <w:spacing w:line="360" w:lineRule="auto"/>
              <w:jc w:val="center"/>
              <w:rPr>
                <w:rFonts w:ascii="宋体" w:hAnsi="宋体" w:cs="宋体"/>
                <w:color w:val="auto"/>
                <w:kern w:val="0"/>
                <w:sz w:val="24"/>
                <w:highlight w:val="none"/>
              </w:rPr>
            </w:pPr>
          </w:p>
        </w:tc>
      </w:tr>
      <w:tr w14:paraId="6FBB3626">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C07422">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C33E69C">
            <w:pPr>
              <w:spacing w:line="360" w:lineRule="auto"/>
              <w:jc w:val="center"/>
              <w:rPr>
                <w:rFonts w:ascii="宋体" w:hAnsi="宋体" w:cs="宋体"/>
                <w:color w:val="auto"/>
                <w:kern w:val="0"/>
                <w:sz w:val="24"/>
                <w:highlight w:val="none"/>
              </w:rPr>
            </w:pPr>
          </w:p>
        </w:tc>
        <w:tc>
          <w:tcPr>
            <w:tcW w:w="165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22D998">
            <w:pPr>
              <w:spacing w:line="360" w:lineRule="auto"/>
              <w:jc w:val="center"/>
              <w:rPr>
                <w:rFonts w:ascii="宋体" w:hAnsi="宋体" w:cs="宋体"/>
                <w:color w:val="auto"/>
                <w:kern w:val="0"/>
                <w:sz w:val="24"/>
                <w:highlight w:val="none"/>
              </w:rPr>
            </w:pPr>
          </w:p>
        </w:tc>
        <w:tc>
          <w:tcPr>
            <w:tcW w:w="33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027DDA">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CA2E1BF">
            <w:pPr>
              <w:spacing w:line="360" w:lineRule="auto"/>
              <w:jc w:val="center"/>
              <w:rPr>
                <w:rFonts w:ascii="宋体" w:hAnsi="宋体" w:cs="宋体"/>
                <w:color w:val="auto"/>
                <w:kern w:val="0"/>
                <w:sz w:val="24"/>
                <w:highlight w:val="none"/>
              </w:rPr>
            </w:pPr>
          </w:p>
        </w:tc>
      </w:tr>
    </w:tbl>
    <w:p w14:paraId="7C1940DE">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6FDA8898">
      <w:pPr>
        <w:snapToGrid w:val="0"/>
        <w:spacing w:line="360" w:lineRule="auto"/>
        <w:jc w:val="left"/>
        <w:rPr>
          <w:rFonts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DB72A7A">
      <w:pPr>
        <w:snapToGrid w:val="0"/>
        <w:spacing w:line="360" w:lineRule="auto"/>
        <w:jc w:val="left"/>
        <w:rPr>
          <w:rFonts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14:paraId="66E55C84">
      <w:pPr>
        <w:snapToGrid w:val="0"/>
        <w:spacing w:line="360" w:lineRule="auto"/>
        <w:jc w:val="left"/>
        <w:rPr>
          <w:rFonts w:ascii="宋体" w:hAnsi="宋体"/>
          <w:color w:val="auto"/>
          <w:sz w:val="24"/>
          <w:highlight w:val="none"/>
        </w:rPr>
      </w:pPr>
      <w:r>
        <w:rPr>
          <w:rFonts w:hint="eastAsia" w:ascii="宋体" w:hAnsi="宋体"/>
          <w:color w:val="auto"/>
          <w:sz w:val="24"/>
          <w:highlight w:val="none"/>
        </w:rPr>
        <w:t>3.供应商不存在直接控股股东的，则在“</w:t>
      </w:r>
      <w:r>
        <w:rPr>
          <w:rFonts w:hint="eastAsia" w:ascii="宋体" w:hAnsi="宋体" w:cs="宋体"/>
          <w:b/>
          <w:bCs/>
          <w:color w:val="auto"/>
          <w:kern w:val="0"/>
          <w:sz w:val="24"/>
          <w:highlight w:val="none"/>
        </w:rPr>
        <w:t>直接控股股东名称</w:t>
      </w:r>
      <w:r>
        <w:rPr>
          <w:rFonts w:hint="eastAsia" w:ascii="宋体" w:hAnsi="宋体"/>
          <w:color w:val="auto"/>
          <w:sz w:val="24"/>
          <w:highlight w:val="none"/>
        </w:rPr>
        <w:t>”中填“无”。</w:t>
      </w:r>
    </w:p>
    <w:p w14:paraId="081B17C3">
      <w:pPr>
        <w:snapToGrid w:val="0"/>
        <w:spacing w:line="360" w:lineRule="auto"/>
        <w:jc w:val="left"/>
        <w:rPr>
          <w:rFonts w:ascii="宋体" w:hAnsi="宋体"/>
          <w:color w:val="auto"/>
          <w:sz w:val="24"/>
          <w:highlight w:val="none"/>
        </w:rPr>
      </w:pPr>
    </w:p>
    <w:p w14:paraId="126B4538">
      <w:pPr>
        <w:snapToGrid w:val="0"/>
        <w:spacing w:line="360" w:lineRule="auto"/>
        <w:jc w:val="left"/>
        <w:rPr>
          <w:rFonts w:ascii="宋体" w:hAnsi="宋体"/>
          <w:color w:val="auto"/>
          <w:sz w:val="24"/>
          <w:highlight w:val="none"/>
        </w:rPr>
      </w:pPr>
    </w:p>
    <w:p w14:paraId="384B43B8">
      <w:pPr>
        <w:snapToGrid w:val="0"/>
        <w:spacing w:line="360" w:lineRule="auto"/>
        <w:jc w:val="left"/>
        <w:rPr>
          <w:rFonts w:ascii="宋体" w:hAnsi="宋体"/>
          <w:color w:val="auto"/>
          <w:sz w:val="24"/>
          <w:highlight w:val="none"/>
        </w:rPr>
      </w:pPr>
    </w:p>
    <w:p w14:paraId="3A71C389">
      <w:pPr>
        <w:snapToGrid w:val="0"/>
        <w:spacing w:line="360" w:lineRule="auto"/>
        <w:ind w:left="-2" w:leftChars="-1" w:right="-817" w:rightChars="-389"/>
        <w:rPr>
          <w:rFonts w:ascii="宋体" w:hAnsi="宋体"/>
          <w:color w:val="auto"/>
          <w:sz w:val="24"/>
          <w:highlight w:val="none"/>
        </w:rPr>
      </w:pPr>
      <w:r>
        <w:rPr>
          <w:rFonts w:hint="eastAsia" w:ascii="宋体" w:hAnsi="宋体"/>
          <w:color w:val="auto"/>
          <w:sz w:val="24"/>
          <w:highlight w:val="none"/>
        </w:rPr>
        <w:t xml:space="preserve">             法定代表人或者委托代理人（签字或者电子签名）：</w:t>
      </w:r>
    </w:p>
    <w:p w14:paraId="39672281">
      <w:pPr>
        <w:snapToGrid w:val="0"/>
        <w:spacing w:line="360" w:lineRule="auto"/>
        <w:ind w:left="-3" w:leftChars="-15" w:right="-817" w:rightChars="-389" w:hanging="28" w:hangingChars="12"/>
        <w:rPr>
          <w:rFonts w:ascii="宋体" w:hAnsi="宋体"/>
          <w:color w:val="auto"/>
          <w:sz w:val="24"/>
          <w:highlight w:val="none"/>
        </w:rPr>
      </w:pPr>
      <w:r>
        <w:rPr>
          <w:rFonts w:hint="eastAsia" w:ascii="宋体" w:hAnsi="宋体"/>
          <w:color w:val="auto"/>
          <w:sz w:val="24"/>
          <w:highlight w:val="none"/>
        </w:rPr>
        <w:t xml:space="preserve">                                    供应商名称（电子签章）：</w:t>
      </w:r>
    </w:p>
    <w:p w14:paraId="44A3907F">
      <w:pPr>
        <w:snapToGrid w:val="0"/>
        <w:spacing w:line="360" w:lineRule="auto"/>
        <w:jc w:val="left"/>
        <w:rPr>
          <w:rFonts w:ascii="宋体" w:hAnsi="宋体"/>
          <w:color w:val="auto"/>
          <w:szCs w:val="21"/>
          <w:highlight w:val="none"/>
        </w:rPr>
      </w:pPr>
      <w:r>
        <w:rPr>
          <w:rFonts w:hint="eastAsia" w:ascii="宋体" w:hAnsi="宋体"/>
          <w:color w:val="auto"/>
          <w:sz w:val="24"/>
          <w:highlight w:val="none"/>
        </w:rPr>
        <w:t xml:space="preserve">                                    日期：    年   月   日</w:t>
      </w:r>
    </w:p>
    <w:p w14:paraId="51EB259D">
      <w:pPr>
        <w:snapToGrid w:val="0"/>
        <w:jc w:val="center"/>
        <w:rPr>
          <w:rFonts w:ascii="宋体" w:hAnsi="宋体"/>
          <w:b/>
          <w:color w:val="auto"/>
          <w:sz w:val="28"/>
          <w:szCs w:val="28"/>
          <w:highlight w:val="none"/>
        </w:rPr>
      </w:pPr>
    </w:p>
    <w:p w14:paraId="450ECAD5">
      <w:pPr>
        <w:snapToGrid w:val="0"/>
        <w:spacing w:line="360" w:lineRule="auto"/>
        <w:jc w:val="left"/>
        <w:rPr>
          <w:rFonts w:ascii="宋体" w:hAnsi="宋体"/>
          <w:b/>
          <w:color w:val="auto"/>
          <w:sz w:val="32"/>
          <w:szCs w:val="32"/>
          <w:highlight w:val="none"/>
        </w:rPr>
      </w:pPr>
      <w:r>
        <w:rPr>
          <w:rFonts w:hint="eastAsia" w:ascii="宋体" w:hAnsi="宋体"/>
          <w:b/>
          <w:color w:val="auto"/>
          <w:sz w:val="32"/>
          <w:szCs w:val="32"/>
          <w:highlight w:val="none"/>
        </w:rPr>
        <w:br w:type="page"/>
      </w:r>
      <w:r>
        <w:rPr>
          <w:rFonts w:hint="eastAsia" w:ascii="宋体" w:hAnsi="宋体"/>
          <w:b/>
          <w:color w:val="auto"/>
          <w:sz w:val="24"/>
          <w:highlight w:val="none"/>
        </w:rPr>
        <w:t>5.</w:t>
      </w:r>
      <w:r>
        <w:rPr>
          <w:rFonts w:hint="eastAsia" w:ascii="宋体" w:hAnsi="宋体"/>
          <w:b/>
          <w:color w:val="auto"/>
          <w:sz w:val="28"/>
          <w:szCs w:val="28"/>
          <w:highlight w:val="none"/>
        </w:rPr>
        <w:t>供应商直接管理关系信息表</w:t>
      </w:r>
    </w:p>
    <w:p w14:paraId="63881C34">
      <w:pPr>
        <w:snapToGrid w:val="0"/>
        <w:spacing w:line="360" w:lineRule="auto"/>
        <w:jc w:val="center"/>
        <w:rPr>
          <w:rFonts w:ascii="宋体" w:hAnsi="宋体"/>
          <w:color w:val="auto"/>
          <w:sz w:val="32"/>
          <w:szCs w:val="32"/>
          <w:highlight w:val="none"/>
        </w:rPr>
      </w:pPr>
      <w:r>
        <w:rPr>
          <w:rFonts w:hint="eastAsia" w:ascii="宋体" w:hAnsi="宋体"/>
          <w:b/>
          <w:color w:val="auto"/>
          <w:sz w:val="32"/>
          <w:szCs w:val="32"/>
          <w:highlight w:val="none"/>
        </w:rPr>
        <w:t>供应商直接管理关系信息表</w:t>
      </w:r>
    </w:p>
    <w:tbl>
      <w:tblPr>
        <w:tblStyle w:val="28"/>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2919CC62">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7AED406">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908E1EB">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4CFB20A">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EEDEFEB">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5198C6BF">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DC2A66A">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F77100B">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AF402C">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F3DD172">
            <w:pPr>
              <w:spacing w:line="360" w:lineRule="auto"/>
              <w:jc w:val="center"/>
              <w:rPr>
                <w:rFonts w:ascii="宋体" w:hAnsi="宋体" w:cs="宋体"/>
                <w:color w:val="auto"/>
                <w:kern w:val="0"/>
                <w:sz w:val="24"/>
                <w:highlight w:val="none"/>
              </w:rPr>
            </w:pPr>
          </w:p>
        </w:tc>
      </w:tr>
      <w:tr w14:paraId="10B56AD1">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D0D8066">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03C24A">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D4166D3">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112939B">
            <w:pPr>
              <w:spacing w:line="360" w:lineRule="auto"/>
              <w:jc w:val="center"/>
              <w:rPr>
                <w:rFonts w:ascii="宋体" w:hAnsi="宋体" w:cs="宋体"/>
                <w:color w:val="auto"/>
                <w:kern w:val="0"/>
                <w:sz w:val="24"/>
                <w:highlight w:val="none"/>
              </w:rPr>
            </w:pPr>
          </w:p>
        </w:tc>
      </w:tr>
      <w:tr w14:paraId="4E8DE5A8">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ACF8EAC">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7A11F8C">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B440723">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D2BC48">
            <w:pPr>
              <w:spacing w:line="360" w:lineRule="auto"/>
              <w:jc w:val="center"/>
              <w:rPr>
                <w:rFonts w:ascii="宋体" w:hAnsi="宋体" w:cs="宋体"/>
                <w:color w:val="auto"/>
                <w:kern w:val="0"/>
                <w:sz w:val="24"/>
                <w:highlight w:val="none"/>
              </w:rPr>
            </w:pPr>
          </w:p>
        </w:tc>
      </w:tr>
      <w:tr w14:paraId="2A3456FE">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4B02D28">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C12A2D">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7BE799">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70BDF6">
            <w:pPr>
              <w:spacing w:line="360" w:lineRule="auto"/>
              <w:jc w:val="center"/>
              <w:rPr>
                <w:rFonts w:ascii="宋体" w:hAnsi="宋体" w:cs="宋体"/>
                <w:color w:val="auto"/>
                <w:kern w:val="0"/>
                <w:sz w:val="24"/>
                <w:highlight w:val="none"/>
              </w:rPr>
            </w:pPr>
          </w:p>
        </w:tc>
      </w:tr>
    </w:tbl>
    <w:p w14:paraId="34FA12D5">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78B156EF">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4660FBB2">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11A4B2A9">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3.供应商不存在直接管理关系的，则在“</w:t>
      </w:r>
      <w:r>
        <w:rPr>
          <w:rFonts w:hint="eastAsia" w:ascii="宋体" w:hAnsi="宋体" w:cs="宋体"/>
          <w:b/>
          <w:bCs/>
          <w:color w:val="auto"/>
          <w:kern w:val="0"/>
          <w:sz w:val="24"/>
          <w:highlight w:val="none"/>
        </w:rPr>
        <w:t>直接管理关系单位名称</w:t>
      </w:r>
      <w:r>
        <w:rPr>
          <w:rFonts w:hint="eastAsia" w:ascii="宋体" w:hAnsi="宋体"/>
          <w:color w:val="auto"/>
          <w:sz w:val="24"/>
          <w:highlight w:val="none"/>
        </w:rPr>
        <w:t>”中填“无”。</w:t>
      </w:r>
    </w:p>
    <w:p w14:paraId="7666AC72">
      <w:pPr>
        <w:snapToGrid w:val="0"/>
        <w:spacing w:line="360" w:lineRule="auto"/>
        <w:jc w:val="left"/>
        <w:rPr>
          <w:rFonts w:ascii="宋体" w:hAnsi="宋体"/>
          <w:color w:val="auto"/>
          <w:sz w:val="24"/>
          <w:highlight w:val="none"/>
        </w:rPr>
      </w:pPr>
    </w:p>
    <w:p w14:paraId="5BF29450">
      <w:pPr>
        <w:snapToGrid w:val="0"/>
        <w:spacing w:line="360" w:lineRule="auto"/>
        <w:jc w:val="left"/>
        <w:rPr>
          <w:rFonts w:ascii="宋体" w:hAnsi="宋体"/>
          <w:color w:val="auto"/>
          <w:sz w:val="24"/>
          <w:highlight w:val="none"/>
        </w:rPr>
      </w:pPr>
    </w:p>
    <w:p w14:paraId="0430A77E">
      <w:pPr>
        <w:snapToGrid w:val="0"/>
        <w:spacing w:line="360" w:lineRule="auto"/>
        <w:jc w:val="left"/>
        <w:rPr>
          <w:rFonts w:ascii="宋体" w:hAnsi="宋体"/>
          <w:color w:val="auto"/>
          <w:sz w:val="24"/>
          <w:highlight w:val="none"/>
        </w:rPr>
      </w:pPr>
    </w:p>
    <w:p w14:paraId="59964BDD">
      <w:pPr>
        <w:snapToGrid w:val="0"/>
        <w:spacing w:line="360" w:lineRule="auto"/>
        <w:jc w:val="left"/>
        <w:rPr>
          <w:color w:val="auto"/>
          <w:sz w:val="24"/>
          <w:highlight w:val="none"/>
        </w:rPr>
      </w:pPr>
    </w:p>
    <w:p w14:paraId="75E934E0">
      <w:pPr>
        <w:snapToGrid w:val="0"/>
        <w:spacing w:line="360" w:lineRule="auto"/>
        <w:ind w:left="-2" w:leftChars="-1" w:right="-817" w:rightChars="-389"/>
        <w:rPr>
          <w:rFonts w:ascii="宋体" w:hAnsi="宋体"/>
          <w:color w:val="auto"/>
          <w:sz w:val="24"/>
          <w:highlight w:val="none"/>
        </w:rPr>
      </w:pPr>
      <w:r>
        <w:rPr>
          <w:rFonts w:hint="eastAsia" w:ascii="宋体" w:hAnsi="宋体"/>
          <w:color w:val="auto"/>
          <w:sz w:val="24"/>
          <w:highlight w:val="none"/>
        </w:rPr>
        <w:t xml:space="preserve">            法定代表人或者委托代理人（签字或者电子签名）：</w:t>
      </w:r>
    </w:p>
    <w:p w14:paraId="0E9E5C2E">
      <w:pPr>
        <w:snapToGrid w:val="0"/>
        <w:spacing w:line="360" w:lineRule="auto"/>
        <w:ind w:left="-3" w:leftChars="-15" w:right="-817" w:rightChars="-389" w:hanging="28" w:hangingChars="12"/>
        <w:rPr>
          <w:rFonts w:ascii="宋体" w:hAnsi="宋体"/>
          <w:color w:val="auto"/>
          <w:sz w:val="24"/>
          <w:highlight w:val="none"/>
        </w:rPr>
      </w:pPr>
      <w:r>
        <w:rPr>
          <w:rFonts w:hint="eastAsia" w:ascii="宋体" w:hAnsi="宋体"/>
          <w:color w:val="auto"/>
          <w:sz w:val="24"/>
          <w:highlight w:val="none"/>
        </w:rPr>
        <w:t xml:space="preserve">                                  供应商名称（电子签章）：</w:t>
      </w:r>
    </w:p>
    <w:p w14:paraId="6C430C47">
      <w:pPr>
        <w:snapToGrid w:val="0"/>
        <w:spacing w:line="360" w:lineRule="auto"/>
        <w:ind w:right="480" w:firstLine="240" w:firstLineChars="100"/>
        <w:jc w:val="left"/>
        <w:rPr>
          <w:rFonts w:ascii="宋体" w:hAnsi="宋体"/>
          <w:color w:val="auto"/>
          <w:szCs w:val="21"/>
          <w:highlight w:val="none"/>
        </w:rPr>
      </w:pPr>
      <w:r>
        <w:rPr>
          <w:rFonts w:hint="eastAsia" w:ascii="宋体" w:hAnsi="宋体"/>
          <w:color w:val="auto"/>
          <w:sz w:val="24"/>
          <w:highlight w:val="none"/>
        </w:rPr>
        <w:t xml:space="preserve">                                日期：    年   月   日</w:t>
      </w:r>
    </w:p>
    <w:p w14:paraId="633AE924">
      <w:pPr>
        <w:snapToGrid w:val="0"/>
        <w:spacing w:before="156" w:beforeLines="50" w:after="50"/>
        <w:jc w:val="left"/>
        <w:rPr>
          <w:rFonts w:ascii="宋体" w:hAnsi="宋体"/>
          <w:color w:val="auto"/>
          <w:sz w:val="24"/>
          <w:highlight w:val="none"/>
        </w:rPr>
      </w:pPr>
    </w:p>
    <w:p w14:paraId="660EF2E7">
      <w:pPr>
        <w:spacing w:line="320" w:lineRule="exact"/>
        <w:rPr>
          <w:rFonts w:ascii="宋体" w:hAnsi="宋体"/>
          <w:b/>
          <w:color w:val="auto"/>
          <w:sz w:val="28"/>
          <w:szCs w:val="28"/>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6.竞标声明</w:t>
      </w:r>
    </w:p>
    <w:p w14:paraId="6689662D">
      <w:pPr>
        <w:spacing w:line="320" w:lineRule="exact"/>
        <w:jc w:val="center"/>
        <w:rPr>
          <w:rFonts w:ascii="宋体" w:hAnsi="宋体"/>
          <w:b/>
          <w:color w:val="auto"/>
          <w:sz w:val="32"/>
          <w:szCs w:val="32"/>
          <w:highlight w:val="none"/>
        </w:rPr>
      </w:pPr>
    </w:p>
    <w:p w14:paraId="4021B985">
      <w:pPr>
        <w:spacing w:line="320" w:lineRule="exact"/>
        <w:jc w:val="center"/>
        <w:rPr>
          <w:rFonts w:ascii="宋体" w:hAnsi="宋体"/>
          <w:b/>
          <w:color w:val="auto"/>
          <w:sz w:val="32"/>
          <w:szCs w:val="32"/>
          <w:highlight w:val="none"/>
        </w:rPr>
      </w:pPr>
      <w:r>
        <w:rPr>
          <w:rFonts w:hint="eastAsia" w:ascii="宋体" w:hAnsi="宋体"/>
          <w:b/>
          <w:color w:val="auto"/>
          <w:sz w:val="32"/>
          <w:szCs w:val="32"/>
          <w:highlight w:val="none"/>
        </w:rPr>
        <w:t>竞标声明</w:t>
      </w:r>
    </w:p>
    <w:p w14:paraId="68D6EFBE">
      <w:pPr>
        <w:spacing w:line="320" w:lineRule="exact"/>
        <w:jc w:val="center"/>
        <w:rPr>
          <w:rFonts w:ascii="宋体" w:hAnsi="宋体"/>
          <w:color w:val="auto"/>
          <w:sz w:val="24"/>
          <w:szCs w:val="20"/>
          <w:highlight w:val="none"/>
        </w:rPr>
      </w:pPr>
    </w:p>
    <w:p w14:paraId="18B8305B">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6D23CED9">
      <w:pPr>
        <w:wordWrap w:val="0"/>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p>
    <w:p w14:paraId="11C3591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0E3D7D6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67FFCAA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5B0E4F6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3.在此，我方宣布同意如下：</w:t>
      </w:r>
    </w:p>
    <w:p w14:paraId="4F08B0A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1B6DE42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61D5FB0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690B9C4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（4）响应磋商文件规定的竞标有效期。</w:t>
      </w:r>
    </w:p>
    <w:p w14:paraId="7D77F34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7DBC418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A29EEE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75BF8D5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09EA9A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1E07F4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C80C04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025D683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5472F81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59A37CF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6FFE09F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p>
    <w:p w14:paraId="7FD01FD7">
      <w:pPr>
        <w:pStyle w:val="18"/>
        <w:spacing w:line="360" w:lineRule="auto"/>
        <w:ind w:firstLine="480" w:firstLineChars="200"/>
        <w:contextualSpacing/>
        <w:rPr>
          <w:rFonts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7.与本磋商有关的一切正式往来信函请寄：邮政编号：</w:t>
      </w:r>
    </w:p>
    <w:p w14:paraId="6E626B6C">
      <w:pPr>
        <w:pStyle w:val="18"/>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电话/传真： 电子邮箱：</w:t>
      </w:r>
    </w:p>
    <w:p w14:paraId="50BFF2DD">
      <w:pPr>
        <w:pStyle w:val="16"/>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开户银行：  账号：</w:t>
      </w:r>
    </w:p>
    <w:p w14:paraId="6ED4E006">
      <w:pPr>
        <w:pStyle w:val="16"/>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77A33AEA">
      <w:pPr>
        <w:pStyle w:val="16"/>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14:paraId="4C182336">
      <w:pPr>
        <w:spacing w:line="360" w:lineRule="auto"/>
        <w:contextualSpacing/>
        <w:jc w:val="left"/>
        <w:rPr>
          <w:rFonts w:ascii="宋体" w:hAnsi="宋体"/>
          <w:b/>
          <w:color w:val="auto"/>
          <w:sz w:val="24"/>
          <w:highlight w:val="none"/>
        </w:rPr>
      </w:pPr>
      <w:r>
        <w:rPr>
          <w:rFonts w:hint="eastAsia" w:ascii="宋体" w:hAnsi="宋体" w:cs="宋体"/>
          <w:b/>
          <w:color w:val="auto"/>
          <w:sz w:val="24"/>
          <w:highlight w:val="none"/>
        </w:rPr>
        <w:t>注</w:t>
      </w:r>
      <w:r>
        <w:rPr>
          <w:rFonts w:hint="eastAsia" w:ascii="宋体" w:hAnsi="宋体" w:cs="宋体"/>
          <w:color w:val="auto"/>
          <w:sz w:val="24"/>
          <w:highlight w:val="none"/>
        </w:rPr>
        <w:t>：</w:t>
      </w:r>
      <w:r>
        <w:rPr>
          <w:rFonts w:hint="eastAsia" w:ascii="宋体" w:hAnsi="宋体"/>
          <w:b/>
          <w:color w:val="auto"/>
          <w:sz w:val="24"/>
          <w:highlight w:val="none"/>
        </w:rPr>
        <w:t>如为联合体竞标，盖章处须加盖联合体牵头人电子签章并由联合体牵头人法定代表人分别签字或者盖章或者电子签名，否则响应文件按无效处理。</w:t>
      </w:r>
    </w:p>
    <w:p w14:paraId="550BA05D">
      <w:pPr>
        <w:spacing w:line="360" w:lineRule="auto"/>
        <w:contextualSpacing/>
        <w:jc w:val="left"/>
        <w:rPr>
          <w:rFonts w:ascii="宋体" w:hAnsi="宋体" w:cs="宋体"/>
          <w:color w:val="auto"/>
          <w:szCs w:val="21"/>
          <w:highlight w:val="none"/>
        </w:rPr>
      </w:pPr>
    </w:p>
    <w:p w14:paraId="3A13F025">
      <w:pPr>
        <w:spacing w:line="360" w:lineRule="auto"/>
        <w:ind w:firstLine="1800" w:firstLineChars="750"/>
        <w:contextualSpacing/>
        <w:rPr>
          <w:color w:val="auto"/>
          <w:highlight w:val="none"/>
        </w:rPr>
      </w:pPr>
      <w:r>
        <w:rPr>
          <w:rFonts w:hint="eastAsia" w:ascii="宋体" w:hAnsi="宋体"/>
          <w:color w:val="auto"/>
          <w:sz w:val="24"/>
          <w:highlight w:val="none"/>
        </w:rPr>
        <w:t>法定代表人（签字或者盖章或者电子签名）</w:t>
      </w:r>
      <w:r>
        <w:rPr>
          <w:rFonts w:hint="eastAsia"/>
          <w:color w:val="auto"/>
          <w:highlight w:val="none"/>
        </w:rPr>
        <w:t>：</w:t>
      </w:r>
    </w:p>
    <w:p w14:paraId="29F0858C">
      <w:pPr>
        <w:spacing w:line="360" w:lineRule="auto"/>
        <w:ind w:firstLine="4320" w:firstLineChars="1800"/>
        <w:contextualSpacing/>
        <w:rPr>
          <w:rFonts w:ascii="宋体" w:hAnsi="宋体" w:cs="宋体"/>
          <w:color w:val="auto"/>
          <w:szCs w:val="21"/>
          <w:highlight w:val="none"/>
          <w:u w:val="single"/>
        </w:rPr>
      </w:pPr>
      <w:r>
        <w:rPr>
          <w:rFonts w:hint="eastAsia" w:ascii="宋体" w:hAnsi="宋体"/>
          <w:color w:val="auto"/>
          <w:sz w:val="24"/>
          <w:highlight w:val="none"/>
        </w:rPr>
        <w:t>供应商名称（电子签章）</w:t>
      </w:r>
      <w:r>
        <w:rPr>
          <w:rFonts w:hint="eastAsia"/>
          <w:color w:val="auto"/>
          <w:highlight w:val="none"/>
        </w:rPr>
        <w:t>：</w:t>
      </w:r>
    </w:p>
    <w:p w14:paraId="0B4017FD">
      <w:pPr>
        <w:pStyle w:val="16"/>
        <w:tabs>
          <w:tab w:val="left" w:pos="939"/>
        </w:tabs>
        <w:spacing w:line="360" w:lineRule="auto"/>
        <w:ind w:left="0" w:leftChars="0" w:firstLine="480" w:firstLineChars="200"/>
        <w:rPr>
          <w:color w:val="auto"/>
          <w:sz w:val="24"/>
          <w:highlight w:val="none"/>
        </w:rPr>
      </w:pPr>
      <w:r>
        <w:rPr>
          <w:rFonts w:hint="eastAsia"/>
          <w:color w:val="auto"/>
          <w:sz w:val="24"/>
          <w:highlight w:val="none"/>
        </w:rPr>
        <w:t>年月日</w:t>
      </w:r>
    </w:p>
    <w:p w14:paraId="34E50D5E">
      <w:pPr>
        <w:pStyle w:val="9"/>
        <w:overflowPunct w:val="0"/>
        <w:spacing w:line="520" w:lineRule="exact"/>
        <w:ind w:firstLine="0"/>
        <w:jc w:val="center"/>
        <w:rPr>
          <w:rFonts w:ascii="微软雅黑" w:hAnsi="微软雅黑" w:eastAsia="微软雅黑" w:cs="微软雅黑"/>
          <w:color w:val="auto"/>
          <w:sz w:val="44"/>
          <w:szCs w:val="44"/>
          <w:highlight w:val="none"/>
        </w:rPr>
      </w:pPr>
      <w:r>
        <w:rPr>
          <w:rFonts w:hint="eastAsia"/>
          <w:color w:val="auto"/>
          <w:sz w:val="24"/>
          <w:highlight w:val="none"/>
        </w:rPr>
        <w:br w:type="page"/>
      </w:r>
      <w:r>
        <w:rPr>
          <w:rFonts w:hint="eastAsia" w:ascii="微软雅黑" w:hAnsi="微软雅黑" w:eastAsia="微软雅黑" w:cs="微软雅黑"/>
          <w:color w:val="auto"/>
          <w:sz w:val="44"/>
          <w:szCs w:val="44"/>
          <w:highlight w:val="none"/>
        </w:rPr>
        <w:t>联合体竞标协议书</w:t>
      </w:r>
    </w:p>
    <w:p w14:paraId="523E9B6D">
      <w:pPr>
        <w:pStyle w:val="9"/>
        <w:overflowPunct w:val="0"/>
        <w:spacing w:line="360" w:lineRule="auto"/>
        <w:ind w:firstLine="0"/>
        <w:rPr>
          <w:rFonts w:ascii="宋体" w:hAnsi="宋体"/>
          <w:color w:val="auto"/>
          <w:sz w:val="24"/>
          <w:szCs w:val="24"/>
          <w:highlight w:val="none"/>
        </w:rPr>
      </w:pPr>
    </w:p>
    <w:p w14:paraId="46DD7AFD">
      <w:pPr>
        <w:pStyle w:val="9"/>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（所有成员单位名称）自愿组成（联合体名称）联合体，共同参加（项目名称）采购项目竞标。现就联合体竞标事宜订立如下协议。</w:t>
      </w:r>
    </w:p>
    <w:p w14:paraId="39C4264F">
      <w:pPr>
        <w:pStyle w:val="9"/>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1.</w:t>
      </w:r>
      <w:r>
        <w:rPr>
          <w:rFonts w:hint="eastAsia" w:ascii="宋体" w:hAnsi="宋体" w:cs="仿宋_GB2312"/>
          <w:color w:val="auto"/>
          <w:sz w:val="24"/>
          <w:szCs w:val="24"/>
          <w:highlight w:val="none"/>
          <w:u w:val="single"/>
        </w:rPr>
        <w:tab/>
      </w:r>
      <w:r>
        <w:rPr>
          <w:rFonts w:hint="eastAsia" w:ascii="宋体" w:hAnsi="宋体" w:cs="仿宋_GB2312"/>
          <w:color w:val="auto"/>
          <w:sz w:val="24"/>
          <w:szCs w:val="24"/>
          <w:highlight w:val="none"/>
        </w:rPr>
        <w:t>（某成员单位名称）为（联合体名称）牵头人。</w:t>
      </w:r>
    </w:p>
    <w:p w14:paraId="34FE7BD8">
      <w:pPr>
        <w:pStyle w:val="9"/>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14:paraId="21E1CA76">
      <w:pPr>
        <w:pStyle w:val="9"/>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3.联合体牵头人在本项目中签署和盖章的一切文件和处理的一切事宜，联合体各成员均予以承认。联合体各成员将严格按照磋商文件、响应文件和合同的要求全面履行义务，并向采购人承担连带责任。</w:t>
      </w:r>
    </w:p>
    <w:p w14:paraId="6E20E529">
      <w:pPr>
        <w:pStyle w:val="9"/>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4.联合体各成员单位内部的职责分工如下：。</w:t>
      </w:r>
    </w:p>
    <w:p w14:paraId="7F043CFE">
      <w:pPr>
        <w:pStyle w:val="9"/>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5.本</w:t>
      </w:r>
      <w:r>
        <w:rPr>
          <w:rFonts w:hint="eastAsia" w:ascii="宋体" w:hAnsi="宋体" w:cs="仿宋_GB2312"/>
          <w:color w:val="auto"/>
          <w:spacing w:val="-6"/>
          <w:sz w:val="24"/>
          <w:szCs w:val="24"/>
          <w:highlight w:val="none"/>
        </w:rPr>
        <w:t>协议书自所有成员单位法定代表人（单位负责人）或者其委托代理人签字或者盖单位章之日起生效，合同履行完毕后自动失效。</w:t>
      </w:r>
    </w:p>
    <w:p w14:paraId="60A4DA14">
      <w:pPr>
        <w:pStyle w:val="9"/>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6.本协议书一式</w:t>
      </w:r>
      <w:r>
        <w:rPr>
          <w:rFonts w:hint="eastAsia" w:ascii="宋体" w:hAnsi="宋体" w:cs="仿宋_GB2312"/>
          <w:color w:val="auto"/>
          <w:sz w:val="24"/>
          <w:szCs w:val="24"/>
          <w:highlight w:val="none"/>
          <w:u w:val="single"/>
        </w:rPr>
        <w:tab/>
      </w:r>
      <w:r>
        <w:rPr>
          <w:rFonts w:hint="eastAsia" w:ascii="宋体" w:hAnsi="宋体" w:cs="仿宋_GB2312"/>
          <w:color w:val="auto"/>
          <w:sz w:val="24"/>
          <w:szCs w:val="24"/>
          <w:highlight w:val="none"/>
        </w:rPr>
        <w:t>份，联合体成员和采购人各执一份。</w:t>
      </w:r>
    </w:p>
    <w:p w14:paraId="2F4F0A35">
      <w:pPr>
        <w:pStyle w:val="9"/>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注：本协议书应附法定代表人身份证明书；有委托代理的，应附授权委托书（格式自拟）。</w:t>
      </w:r>
    </w:p>
    <w:p w14:paraId="06475E09">
      <w:pPr>
        <w:pStyle w:val="9"/>
        <w:overflowPunct w:val="0"/>
        <w:spacing w:line="360" w:lineRule="auto"/>
        <w:ind w:firstLineChars="175"/>
        <w:contextualSpacing/>
        <w:rPr>
          <w:rFonts w:ascii="宋体" w:hAnsi="宋体" w:cs="仿宋_GB2312"/>
          <w:color w:val="auto"/>
          <w:sz w:val="24"/>
          <w:szCs w:val="24"/>
          <w:highlight w:val="none"/>
        </w:rPr>
      </w:pPr>
    </w:p>
    <w:p w14:paraId="7AEF3D62">
      <w:pPr>
        <w:pStyle w:val="9"/>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联合体牵头人名称（电子签章）：</w:t>
      </w:r>
    </w:p>
    <w:p w14:paraId="4712C8B2">
      <w:pPr>
        <w:pStyle w:val="9"/>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36AA2450">
      <w:pPr>
        <w:pStyle w:val="9"/>
        <w:overflowPunct w:val="0"/>
        <w:spacing w:line="360" w:lineRule="auto"/>
        <w:ind w:firstLine="0"/>
        <w:contextualSpacing/>
        <w:rPr>
          <w:rFonts w:ascii="宋体" w:hAnsi="宋体" w:cs="仿宋_GB2312"/>
          <w:color w:val="auto"/>
          <w:sz w:val="24"/>
          <w:szCs w:val="24"/>
          <w:highlight w:val="none"/>
        </w:rPr>
      </w:pPr>
    </w:p>
    <w:p w14:paraId="383FEE20">
      <w:pPr>
        <w:pStyle w:val="9"/>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联合体成员名称（盖公章或者电子签章）：</w:t>
      </w:r>
    </w:p>
    <w:p w14:paraId="079F0C08">
      <w:pPr>
        <w:pStyle w:val="9"/>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7B9D508A">
      <w:pPr>
        <w:pStyle w:val="9"/>
        <w:overflowPunct w:val="0"/>
        <w:spacing w:line="360" w:lineRule="auto"/>
        <w:ind w:firstLine="0"/>
        <w:contextualSpacing/>
        <w:rPr>
          <w:rFonts w:ascii="宋体" w:hAnsi="宋体" w:cs="仿宋_GB2312"/>
          <w:color w:val="auto"/>
          <w:sz w:val="24"/>
          <w:szCs w:val="24"/>
          <w:highlight w:val="none"/>
        </w:rPr>
      </w:pPr>
    </w:p>
    <w:p w14:paraId="5D27C2D4">
      <w:pPr>
        <w:pStyle w:val="9"/>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联合体成员名称（盖公章或者电子签章）：</w:t>
      </w:r>
    </w:p>
    <w:p w14:paraId="596A333A">
      <w:pPr>
        <w:pStyle w:val="9"/>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5A3C2DB5">
      <w:pPr>
        <w:pStyle w:val="9"/>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w:t>
      </w:r>
    </w:p>
    <w:p w14:paraId="51B25956">
      <w:pPr>
        <w:spacing w:line="360" w:lineRule="auto"/>
        <w:ind w:right="480" w:firstLine="240" w:firstLineChars="100"/>
        <w:contextualSpacing/>
        <w:jc w:val="center"/>
        <w:rPr>
          <w:rFonts w:ascii="宋体" w:hAnsi="宋体" w:cs="仿宋_GB2312"/>
          <w:color w:val="auto"/>
          <w:sz w:val="24"/>
          <w:highlight w:val="none"/>
        </w:rPr>
      </w:pPr>
    </w:p>
    <w:p w14:paraId="421A1740">
      <w:pPr>
        <w:spacing w:line="360" w:lineRule="auto"/>
        <w:ind w:right="480" w:firstLine="240" w:firstLineChars="100"/>
        <w:contextualSpacing/>
        <w:jc w:val="center"/>
        <w:rPr>
          <w:rFonts w:ascii="宋体" w:hAnsi="宋体"/>
          <w:b/>
          <w:bCs/>
          <w:color w:val="auto"/>
          <w:sz w:val="32"/>
          <w:szCs w:val="32"/>
          <w:highlight w:val="none"/>
        </w:rPr>
      </w:pPr>
      <w:r>
        <w:rPr>
          <w:rFonts w:hint="eastAsia" w:ascii="宋体" w:hAnsi="宋体" w:cs="仿宋_GB2312"/>
          <w:color w:val="auto"/>
          <w:sz w:val="24"/>
          <w:highlight w:val="none"/>
        </w:rPr>
        <w:t xml:space="preserve">                                                年  </w:t>
      </w:r>
      <w:r>
        <w:rPr>
          <w:rFonts w:hint="eastAsia" w:ascii="宋体" w:hAnsi="宋体" w:cs="仿宋_GB2312"/>
          <w:color w:val="auto"/>
          <w:sz w:val="24"/>
          <w:highlight w:val="none"/>
        </w:rPr>
        <w:tab/>
      </w:r>
      <w:r>
        <w:rPr>
          <w:rFonts w:hint="eastAsia" w:ascii="宋体" w:hAnsi="宋体" w:cs="仿宋_GB2312"/>
          <w:color w:val="auto"/>
          <w:sz w:val="24"/>
          <w:highlight w:val="none"/>
        </w:rPr>
        <w:t xml:space="preserve">月  </w:t>
      </w:r>
      <w:r>
        <w:rPr>
          <w:rFonts w:hint="eastAsia" w:ascii="宋体" w:hAnsi="宋体" w:cs="仿宋_GB2312"/>
          <w:color w:val="auto"/>
          <w:sz w:val="24"/>
          <w:highlight w:val="none"/>
        </w:rPr>
        <w:tab/>
      </w:r>
      <w:r>
        <w:rPr>
          <w:rFonts w:hint="eastAsia" w:ascii="宋体" w:hAnsi="宋体" w:cs="仿宋_GB2312"/>
          <w:color w:val="auto"/>
          <w:sz w:val="24"/>
          <w:highlight w:val="none"/>
        </w:rPr>
        <w:t>日</w:t>
      </w:r>
    </w:p>
    <w:p w14:paraId="7DFAD860">
      <w:pPr>
        <w:spacing w:line="360" w:lineRule="auto"/>
        <w:ind w:right="420"/>
        <w:contextualSpacing/>
        <w:jc w:val="left"/>
        <w:rPr>
          <w:rFonts w:ascii="宋体" w:hAnsi="宋体"/>
          <w:b/>
          <w:color w:val="auto"/>
          <w:sz w:val="32"/>
          <w:szCs w:val="32"/>
          <w:highlight w:val="none"/>
        </w:rPr>
      </w:pPr>
      <w:r>
        <w:rPr>
          <w:rFonts w:ascii="宋体" w:hAnsi="宋体"/>
          <w:b/>
          <w:bCs/>
          <w:color w:val="auto"/>
          <w:sz w:val="32"/>
          <w:szCs w:val="32"/>
          <w:highlight w:val="none"/>
        </w:rPr>
        <w:br w:type="page"/>
      </w:r>
      <w:r>
        <w:rPr>
          <w:rFonts w:hint="eastAsia" w:ascii="宋体" w:hAnsi="宋体"/>
          <w:b/>
          <w:bCs/>
          <w:color w:val="auto"/>
          <w:sz w:val="32"/>
          <w:szCs w:val="32"/>
          <w:highlight w:val="none"/>
        </w:rPr>
        <w:t>二、</w:t>
      </w:r>
      <w:r>
        <w:rPr>
          <w:rFonts w:hint="eastAsia" w:ascii="宋体" w:hAnsi="宋体"/>
          <w:b/>
          <w:color w:val="auto"/>
          <w:sz w:val="32"/>
          <w:szCs w:val="32"/>
          <w:highlight w:val="none"/>
        </w:rPr>
        <w:t xml:space="preserve">报价文件格式 </w:t>
      </w:r>
    </w:p>
    <w:p w14:paraId="1B4BCAD2">
      <w:pPr>
        <w:snapToGrid w:val="0"/>
        <w:spacing w:before="156"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1.报价文件封面格式</w:t>
      </w:r>
    </w:p>
    <w:p w14:paraId="45B09C27">
      <w:pPr>
        <w:snapToGrid w:val="0"/>
        <w:spacing w:before="156" w:beforeLines="50" w:after="50"/>
        <w:rPr>
          <w:rFonts w:ascii="宋体" w:hAnsi="宋体"/>
          <w:bCs/>
          <w:color w:val="auto"/>
          <w:sz w:val="32"/>
          <w:szCs w:val="20"/>
          <w:highlight w:val="none"/>
        </w:rPr>
      </w:pPr>
    </w:p>
    <w:p w14:paraId="2363510C">
      <w:pPr>
        <w:snapToGrid w:val="0"/>
        <w:spacing w:before="156" w:beforeLines="50" w:after="50"/>
        <w:jc w:val="center"/>
        <w:rPr>
          <w:rFonts w:ascii="宋体" w:hAnsi="宋体"/>
          <w:color w:val="auto"/>
          <w:sz w:val="24"/>
          <w:szCs w:val="20"/>
          <w:highlight w:val="none"/>
        </w:rPr>
      </w:pPr>
      <w:r>
        <w:rPr>
          <w:rFonts w:hint="eastAsia" w:ascii="宋体" w:hAnsi="宋体"/>
          <w:color w:val="auto"/>
          <w:sz w:val="44"/>
          <w:szCs w:val="44"/>
          <w:highlight w:val="none"/>
        </w:rPr>
        <w:t>电 子 响 应 文 件</w:t>
      </w:r>
    </w:p>
    <w:p w14:paraId="3428FAC6">
      <w:pPr>
        <w:snapToGrid w:val="0"/>
        <w:spacing w:before="156" w:beforeLines="50" w:after="50"/>
        <w:rPr>
          <w:rFonts w:ascii="宋体" w:hAnsi="宋体"/>
          <w:color w:val="auto"/>
          <w:sz w:val="24"/>
          <w:szCs w:val="20"/>
          <w:highlight w:val="none"/>
        </w:rPr>
      </w:pPr>
    </w:p>
    <w:p w14:paraId="2329475D">
      <w:pPr>
        <w:snapToGrid w:val="0"/>
        <w:spacing w:before="156" w:beforeLines="50" w:after="50"/>
        <w:rPr>
          <w:rFonts w:ascii="宋体" w:hAnsi="宋体"/>
          <w:color w:val="auto"/>
          <w:sz w:val="24"/>
          <w:szCs w:val="20"/>
          <w:highlight w:val="none"/>
        </w:rPr>
      </w:pPr>
    </w:p>
    <w:p w14:paraId="01A36E91">
      <w:pPr>
        <w:snapToGrid w:val="0"/>
        <w:spacing w:before="156"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w:t>
      </w:r>
    </w:p>
    <w:p w14:paraId="75D5517E">
      <w:pPr>
        <w:snapToGrid w:val="0"/>
        <w:spacing w:before="156" w:beforeLines="50" w:after="50"/>
        <w:rPr>
          <w:rFonts w:ascii="宋体" w:hAnsi="宋体"/>
          <w:bCs/>
          <w:color w:val="auto"/>
          <w:sz w:val="24"/>
          <w:szCs w:val="20"/>
          <w:highlight w:val="none"/>
        </w:rPr>
      </w:pPr>
    </w:p>
    <w:p w14:paraId="13A43E0C">
      <w:pPr>
        <w:snapToGrid w:val="0"/>
        <w:spacing w:before="156" w:beforeLines="50" w:after="50"/>
        <w:rPr>
          <w:rFonts w:ascii="宋体" w:hAnsi="宋体"/>
          <w:bCs/>
          <w:color w:val="auto"/>
          <w:sz w:val="24"/>
          <w:szCs w:val="20"/>
          <w:highlight w:val="none"/>
        </w:rPr>
      </w:pPr>
    </w:p>
    <w:p w14:paraId="1EED0756">
      <w:pPr>
        <w:snapToGrid w:val="0"/>
        <w:spacing w:before="156" w:beforeLines="50" w:after="50"/>
        <w:rPr>
          <w:rFonts w:ascii="宋体" w:hAnsi="宋体"/>
          <w:bCs/>
          <w:color w:val="auto"/>
          <w:sz w:val="24"/>
          <w:szCs w:val="20"/>
          <w:highlight w:val="none"/>
        </w:rPr>
      </w:pPr>
    </w:p>
    <w:p w14:paraId="063F31D5">
      <w:pPr>
        <w:snapToGrid w:val="0"/>
        <w:spacing w:before="156" w:beforeLines="50" w:after="50"/>
        <w:rPr>
          <w:rFonts w:ascii="宋体" w:hAnsi="宋体"/>
          <w:bCs/>
          <w:color w:val="auto"/>
          <w:sz w:val="24"/>
          <w:szCs w:val="20"/>
          <w:highlight w:val="none"/>
        </w:rPr>
      </w:pPr>
    </w:p>
    <w:p w14:paraId="416765B6">
      <w:pPr>
        <w:snapToGrid w:val="0"/>
        <w:spacing w:before="156" w:beforeLines="50" w:after="50"/>
        <w:rPr>
          <w:rFonts w:ascii="宋体" w:hAnsi="宋体"/>
          <w:bCs/>
          <w:color w:val="auto"/>
          <w:sz w:val="24"/>
          <w:szCs w:val="20"/>
          <w:highlight w:val="none"/>
        </w:rPr>
      </w:pPr>
    </w:p>
    <w:p w14:paraId="36B5CCD6">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777FFFC9">
      <w:pPr>
        <w:snapToGrid w:val="0"/>
        <w:spacing w:before="156" w:beforeLines="50" w:after="50"/>
        <w:ind w:firstLine="720" w:firstLineChars="225"/>
        <w:rPr>
          <w:rFonts w:ascii="宋体" w:hAnsi="宋体" w:cs="仿宋_GB2312"/>
          <w:bCs/>
          <w:color w:val="auto"/>
          <w:sz w:val="32"/>
          <w:szCs w:val="32"/>
          <w:highlight w:val="none"/>
        </w:rPr>
      </w:pPr>
    </w:p>
    <w:p w14:paraId="0484BE41">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73837D61">
      <w:pPr>
        <w:snapToGrid w:val="0"/>
        <w:spacing w:before="156" w:beforeLines="50" w:after="50"/>
        <w:ind w:firstLine="720" w:firstLineChars="225"/>
        <w:rPr>
          <w:rFonts w:ascii="宋体" w:hAnsi="宋体" w:cs="仿宋_GB2312"/>
          <w:bCs/>
          <w:color w:val="auto"/>
          <w:sz w:val="32"/>
          <w:szCs w:val="32"/>
          <w:highlight w:val="none"/>
        </w:rPr>
      </w:pPr>
    </w:p>
    <w:p w14:paraId="166DF42B">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133CC7E7">
      <w:pPr>
        <w:snapToGrid w:val="0"/>
        <w:spacing w:before="156" w:beforeLines="50" w:after="50"/>
        <w:ind w:firstLine="720" w:firstLineChars="225"/>
        <w:rPr>
          <w:rFonts w:ascii="宋体" w:hAnsi="宋体" w:cs="仿宋_GB2312"/>
          <w:bCs/>
          <w:color w:val="auto"/>
          <w:sz w:val="32"/>
          <w:szCs w:val="32"/>
          <w:highlight w:val="none"/>
        </w:rPr>
      </w:pPr>
    </w:p>
    <w:p w14:paraId="1DCD97D3">
      <w:pPr>
        <w:pStyle w:val="9"/>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73464840">
      <w:pPr>
        <w:pStyle w:val="9"/>
        <w:snapToGrid w:val="0"/>
        <w:spacing w:before="50" w:after="50"/>
        <w:ind w:firstLine="640" w:firstLineChars="200"/>
        <w:rPr>
          <w:rFonts w:ascii="宋体" w:hAnsi="宋体" w:cs="仿宋_GB2312"/>
          <w:bCs/>
          <w:color w:val="auto"/>
          <w:sz w:val="32"/>
          <w:szCs w:val="32"/>
          <w:highlight w:val="none"/>
        </w:rPr>
      </w:pPr>
    </w:p>
    <w:p w14:paraId="6A4EADD8">
      <w:pPr>
        <w:pStyle w:val="9"/>
        <w:snapToGrid w:val="0"/>
        <w:spacing w:before="50" w:after="50"/>
        <w:ind w:firstLine="720" w:firstLineChars="225"/>
        <w:rPr>
          <w:rFonts w:ascii="宋体" w:hAnsi="宋体" w:cs="仿宋_GB2312"/>
          <w:bCs/>
          <w:color w:val="auto"/>
          <w:sz w:val="32"/>
          <w:szCs w:val="32"/>
          <w:highlight w:val="none"/>
        </w:rPr>
      </w:pPr>
    </w:p>
    <w:p w14:paraId="67701534">
      <w:pPr>
        <w:pStyle w:val="9"/>
        <w:snapToGrid w:val="0"/>
        <w:spacing w:before="50" w:after="50"/>
        <w:ind w:firstLine="0"/>
        <w:rPr>
          <w:rFonts w:ascii="宋体" w:hAnsi="宋体" w:cs="仿宋_GB2312"/>
          <w:bCs/>
          <w:color w:val="auto"/>
          <w:sz w:val="32"/>
          <w:szCs w:val="32"/>
          <w:highlight w:val="none"/>
        </w:rPr>
      </w:pPr>
    </w:p>
    <w:p w14:paraId="51EA4EA5">
      <w:pPr>
        <w:pStyle w:val="9"/>
        <w:snapToGrid w:val="0"/>
        <w:spacing w:before="50" w:after="50"/>
        <w:ind w:firstLine="1280" w:firstLineChars="400"/>
        <w:rPr>
          <w:rFonts w:ascii="宋体" w:hAnsi="宋体" w:cs="仿宋_GB2312"/>
          <w:bCs/>
          <w:color w:val="auto"/>
          <w:sz w:val="32"/>
          <w:szCs w:val="32"/>
          <w:highlight w:val="none"/>
        </w:rPr>
      </w:pPr>
    </w:p>
    <w:p w14:paraId="24D7F938">
      <w:pPr>
        <w:snapToGrid w:val="0"/>
        <w:spacing w:before="156"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0C8094B1">
      <w:pPr>
        <w:snapToGrid w:val="0"/>
        <w:spacing w:before="156" w:beforeLines="50" w:after="50" w:line="360" w:lineRule="auto"/>
        <w:ind w:left="142"/>
        <w:jc w:val="left"/>
        <w:rPr>
          <w:rFonts w:ascii="宋体" w:hAnsi="宋体"/>
          <w:b/>
          <w:bCs/>
          <w:color w:val="auto"/>
          <w:sz w:val="24"/>
          <w:highlight w:val="none"/>
        </w:rPr>
      </w:pPr>
      <w:r>
        <w:rPr>
          <w:rFonts w:hint="eastAsia" w:ascii="宋体" w:hAnsi="宋体"/>
          <w:color w:val="auto"/>
          <w:szCs w:val="21"/>
          <w:highlight w:val="none"/>
        </w:rPr>
        <w:br w:type="page"/>
      </w:r>
      <w:r>
        <w:rPr>
          <w:rFonts w:hint="eastAsia" w:ascii="宋体" w:hAnsi="宋体"/>
          <w:b/>
          <w:bCs/>
          <w:color w:val="auto"/>
          <w:sz w:val="32"/>
          <w:szCs w:val="32"/>
          <w:highlight w:val="none"/>
        </w:rPr>
        <w:t>2.报价文件目录</w:t>
      </w:r>
    </w:p>
    <w:p w14:paraId="3BD4F862">
      <w:pPr>
        <w:spacing w:line="520" w:lineRule="exact"/>
        <w:jc w:val="center"/>
        <w:rPr>
          <w:rFonts w:ascii="方正小标宋简体" w:hAnsi="方正小标宋简体" w:eastAsia="方正小标宋简体" w:cs="方正小标宋简体"/>
          <w:bCs/>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r>
        <w:rPr>
          <w:rFonts w:ascii="宋体" w:hAnsi="宋体"/>
          <w:b/>
          <w:bCs/>
          <w:color w:val="auto"/>
          <w:sz w:val="32"/>
          <w:szCs w:val="32"/>
          <w:highlight w:val="none"/>
        </w:rPr>
        <w:br w:type="page"/>
      </w:r>
      <w:r>
        <w:rPr>
          <w:rFonts w:hint="eastAsia" w:ascii="方正小标宋简体" w:hAnsi="方正小标宋简体" w:eastAsia="方正小标宋简体" w:cs="方正小标宋简体"/>
          <w:bCs/>
          <w:color w:val="auto"/>
          <w:sz w:val="44"/>
          <w:szCs w:val="44"/>
          <w:highlight w:val="none"/>
        </w:rPr>
        <w:t>竞  标  报  价  表</w:t>
      </w:r>
    </w:p>
    <w:p w14:paraId="74499646">
      <w:pPr>
        <w:spacing w:line="440" w:lineRule="exact"/>
        <w:jc w:val="center"/>
        <w:rPr>
          <w:rFonts w:ascii="方正小标宋简体" w:hAnsi="方正小标宋简体" w:eastAsia="方正小标宋简体" w:cs="方正小标宋简体"/>
          <w:bCs/>
          <w:color w:val="auto"/>
          <w:sz w:val="32"/>
          <w:szCs w:val="32"/>
          <w:highlight w:val="none"/>
        </w:rPr>
      </w:pPr>
    </w:p>
    <w:p w14:paraId="4616F0FE">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项目名称：</w:t>
      </w:r>
    </w:p>
    <w:p w14:paraId="792819F6">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项目编号：</w:t>
      </w:r>
    </w:p>
    <w:p w14:paraId="1278DC78">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p>
    <w:p w14:paraId="41AEA2DD">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单位：元</w:t>
      </w:r>
    </w:p>
    <w:tbl>
      <w:tblPr>
        <w:tblStyle w:val="28"/>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873"/>
        <w:gridCol w:w="1781"/>
        <w:gridCol w:w="1069"/>
        <w:gridCol w:w="873"/>
        <w:gridCol w:w="1444"/>
        <w:gridCol w:w="1800"/>
        <w:gridCol w:w="669"/>
      </w:tblGrid>
      <w:tr w14:paraId="0CB0D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63AAC5C2">
            <w:pPr>
              <w:widowControl/>
              <w:wordWrap w:val="0"/>
              <w:spacing w:line="360" w:lineRule="exact"/>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序号</w:t>
            </w:r>
          </w:p>
        </w:tc>
        <w:tc>
          <w:tcPr>
            <w:tcW w:w="2654" w:type="dxa"/>
            <w:gridSpan w:val="2"/>
            <w:tcBorders>
              <w:top w:val="single" w:color="auto" w:sz="4" w:space="0"/>
              <w:left w:val="single" w:color="auto" w:sz="4" w:space="0"/>
              <w:bottom w:val="single" w:color="auto" w:sz="4" w:space="0"/>
              <w:right w:val="single" w:color="auto" w:sz="4" w:space="0"/>
            </w:tcBorders>
            <w:vAlign w:val="center"/>
          </w:tcPr>
          <w:p w14:paraId="29719CA3">
            <w:pPr>
              <w:widowControl/>
              <w:wordWrap w:val="0"/>
              <w:spacing w:line="360" w:lineRule="exact"/>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服务名称</w:t>
            </w:r>
          </w:p>
        </w:tc>
        <w:tc>
          <w:tcPr>
            <w:tcW w:w="1069" w:type="dxa"/>
            <w:tcBorders>
              <w:top w:val="single" w:color="auto" w:sz="4" w:space="0"/>
              <w:left w:val="single" w:color="auto" w:sz="4" w:space="0"/>
              <w:bottom w:val="single" w:color="auto" w:sz="4" w:space="0"/>
              <w:right w:val="single" w:color="auto" w:sz="4" w:space="0"/>
            </w:tcBorders>
            <w:vAlign w:val="center"/>
          </w:tcPr>
          <w:p w14:paraId="0692E80B">
            <w:pPr>
              <w:widowControl/>
              <w:wordWrap w:val="0"/>
              <w:spacing w:line="360" w:lineRule="exact"/>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数量</w:t>
            </w:r>
          </w:p>
        </w:tc>
        <w:tc>
          <w:tcPr>
            <w:tcW w:w="873" w:type="dxa"/>
            <w:tcBorders>
              <w:top w:val="single" w:color="auto" w:sz="4" w:space="0"/>
              <w:left w:val="single" w:color="auto" w:sz="4" w:space="0"/>
              <w:bottom w:val="single" w:color="auto" w:sz="4" w:space="0"/>
              <w:right w:val="single" w:color="auto" w:sz="4" w:space="0"/>
            </w:tcBorders>
            <w:vAlign w:val="center"/>
          </w:tcPr>
          <w:p w14:paraId="4CDCA4C5">
            <w:pPr>
              <w:widowControl/>
              <w:wordWrap w:val="0"/>
              <w:spacing w:line="360" w:lineRule="exact"/>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单位</w:t>
            </w:r>
          </w:p>
        </w:tc>
        <w:tc>
          <w:tcPr>
            <w:tcW w:w="1444" w:type="dxa"/>
            <w:tcBorders>
              <w:top w:val="single" w:color="auto" w:sz="4" w:space="0"/>
              <w:left w:val="single" w:color="auto" w:sz="4" w:space="0"/>
              <w:bottom w:val="single" w:color="auto" w:sz="4" w:space="0"/>
              <w:right w:val="single" w:color="auto" w:sz="4" w:space="0"/>
            </w:tcBorders>
            <w:vAlign w:val="center"/>
          </w:tcPr>
          <w:p w14:paraId="47A9EAF0">
            <w:pPr>
              <w:widowControl/>
              <w:wordWrap w:val="0"/>
              <w:spacing w:line="360" w:lineRule="exact"/>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单价（元）</w:t>
            </w:r>
          </w:p>
        </w:tc>
        <w:tc>
          <w:tcPr>
            <w:tcW w:w="1800" w:type="dxa"/>
            <w:tcBorders>
              <w:top w:val="single" w:color="auto" w:sz="4" w:space="0"/>
              <w:left w:val="single" w:color="auto" w:sz="4" w:space="0"/>
              <w:bottom w:val="single" w:color="auto" w:sz="4" w:space="0"/>
              <w:right w:val="single" w:color="auto" w:sz="4" w:space="0"/>
            </w:tcBorders>
            <w:vAlign w:val="center"/>
          </w:tcPr>
          <w:p w14:paraId="5CA6DD11">
            <w:pPr>
              <w:widowControl/>
              <w:wordWrap w:val="0"/>
              <w:spacing w:line="360" w:lineRule="exact"/>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单价合计（元）</w:t>
            </w:r>
          </w:p>
        </w:tc>
        <w:tc>
          <w:tcPr>
            <w:tcW w:w="669" w:type="dxa"/>
            <w:tcBorders>
              <w:top w:val="single" w:color="auto" w:sz="4" w:space="0"/>
              <w:left w:val="single" w:color="auto" w:sz="4" w:space="0"/>
              <w:bottom w:val="single" w:color="auto" w:sz="4" w:space="0"/>
              <w:right w:val="single" w:color="auto" w:sz="4" w:space="0"/>
            </w:tcBorders>
            <w:vAlign w:val="center"/>
          </w:tcPr>
          <w:p w14:paraId="087BB3E4">
            <w:pPr>
              <w:widowControl/>
              <w:wordWrap w:val="0"/>
              <w:spacing w:line="360" w:lineRule="exact"/>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51CE5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7703CDE8">
            <w:pPr>
              <w:widowControl/>
              <w:wordWrap w:val="0"/>
              <w:spacing w:line="360" w:lineRule="exact"/>
              <w:jc w:val="center"/>
              <w:textAlignment w:val="center"/>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1</w:t>
            </w:r>
          </w:p>
        </w:tc>
        <w:tc>
          <w:tcPr>
            <w:tcW w:w="873" w:type="dxa"/>
            <w:vMerge w:val="restart"/>
            <w:tcBorders>
              <w:top w:val="single" w:color="auto" w:sz="4" w:space="0"/>
              <w:left w:val="single" w:color="auto" w:sz="4" w:space="0"/>
              <w:bottom w:val="single" w:color="auto" w:sz="4" w:space="0"/>
              <w:right w:val="single" w:color="auto" w:sz="4" w:space="0"/>
            </w:tcBorders>
            <w:vAlign w:val="center"/>
          </w:tcPr>
          <w:p w14:paraId="67FF23DB">
            <w:pPr>
              <w:widowControl/>
              <w:wordWrap w:val="0"/>
              <w:spacing w:line="360" w:lineRule="exact"/>
              <w:jc w:val="center"/>
              <w:textAlignment w:val="center"/>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水泥蚝桩拆除</w:t>
            </w:r>
          </w:p>
        </w:tc>
        <w:tc>
          <w:tcPr>
            <w:tcW w:w="1781" w:type="dxa"/>
            <w:tcBorders>
              <w:top w:val="single" w:color="auto" w:sz="4" w:space="0"/>
              <w:left w:val="single" w:color="auto" w:sz="4" w:space="0"/>
              <w:bottom w:val="single" w:color="auto" w:sz="4" w:space="0"/>
              <w:right w:val="single" w:color="auto" w:sz="4" w:space="0"/>
            </w:tcBorders>
            <w:vAlign w:val="center"/>
          </w:tcPr>
          <w:p w14:paraId="43B5E970">
            <w:pPr>
              <w:widowControl/>
              <w:wordWrap w:val="0"/>
              <w:spacing w:line="360" w:lineRule="exact"/>
              <w:jc w:val="center"/>
              <w:textAlignment w:val="center"/>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近岸海域（0-2公里）</w:t>
            </w:r>
          </w:p>
        </w:tc>
        <w:tc>
          <w:tcPr>
            <w:tcW w:w="1069" w:type="dxa"/>
            <w:tcBorders>
              <w:top w:val="single" w:color="auto" w:sz="4" w:space="0"/>
              <w:left w:val="single" w:color="auto" w:sz="4" w:space="0"/>
              <w:bottom w:val="single" w:color="auto" w:sz="4" w:space="0"/>
              <w:right w:val="single" w:color="auto" w:sz="4" w:space="0"/>
            </w:tcBorders>
            <w:vAlign w:val="center"/>
          </w:tcPr>
          <w:p w14:paraId="7EC10E13">
            <w:pPr>
              <w:widowControl/>
              <w:wordWrap w:val="0"/>
              <w:spacing w:line="360" w:lineRule="exact"/>
              <w:jc w:val="center"/>
              <w:textAlignment w:val="center"/>
              <w:rPr>
                <w:rFonts w:hint="eastAsia" w:ascii="宋体" w:hAnsi="宋体" w:cs="宋体"/>
                <w:b w:val="0"/>
                <w:bCs w:val="0"/>
                <w:color w:val="auto"/>
                <w:kern w:val="0"/>
                <w:sz w:val="24"/>
                <w:highlight w:val="none"/>
              </w:rPr>
            </w:pPr>
          </w:p>
        </w:tc>
        <w:tc>
          <w:tcPr>
            <w:tcW w:w="873" w:type="dxa"/>
            <w:tcBorders>
              <w:top w:val="single" w:color="auto" w:sz="4" w:space="0"/>
              <w:left w:val="single" w:color="auto" w:sz="4" w:space="0"/>
              <w:bottom w:val="single" w:color="auto" w:sz="4" w:space="0"/>
              <w:right w:val="single" w:color="auto" w:sz="4" w:space="0"/>
            </w:tcBorders>
            <w:vAlign w:val="center"/>
          </w:tcPr>
          <w:p w14:paraId="6715C87F">
            <w:pPr>
              <w:widowControl/>
              <w:wordWrap w:val="0"/>
              <w:spacing w:line="360" w:lineRule="exact"/>
              <w:jc w:val="center"/>
              <w:textAlignment w:val="center"/>
              <w:rPr>
                <w:rFonts w:ascii="宋体" w:hAnsi="宋体" w:cs="宋体"/>
                <w:color w:val="auto"/>
                <w:kern w:val="0"/>
                <w:sz w:val="24"/>
                <w:highlight w:val="none"/>
              </w:rPr>
            </w:pPr>
          </w:p>
        </w:tc>
        <w:tc>
          <w:tcPr>
            <w:tcW w:w="1444" w:type="dxa"/>
            <w:tcBorders>
              <w:top w:val="single" w:color="auto" w:sz="4" w:space="0"/>
              <w:left w:val="single" w:color="auto" w:sz="4" w:space="0"/>
              <w:bottom w:val="single" w:color="auto" w:sz="4" w:space="0"/>
              <w:right w:val="single" w:color="auto" w:sz="4" w:space="0"/>
            </w:tcBorders>
            <w:vAlign w:val="center"/>
          </w:tcPr>
          <w:p w14:paraId="49B99391">
            <w:pPr>
              <w:widowControl/>
              <w:wordWrap w:val="0"/>
              <w:spacing w:line="360" w:lineRule="exact"/>
              <w:jc w:val="center"/>
              <w:textAlignment w:val="center"/>
              <w:rPr>
                <w:rFonts w:ascii="宋体" w:hAnsi="宋体" w:cs="宋体"/>
                <w:color w:val="auto"/>
                <w:kern w:val="0"/>
                <w:sz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6F5EFCF0">
            <w:pPr>
              <w:wordWrap w:val="0"/>
              <w:spacing w:line="360" w:lineRule="exact"/>
              <w:jc w:val="center"/>
              <w:rPr>
                <w:rFonts w:ascii="宋体" w:hAnsi="宋体" w:cs="宋体"/>
                <w:color w:val="auto"/>
                <w:sz w:val="24"/>
                <w:highlight w:val="none"/>
              </w:rPr>
            </w:pPr>
          </w:p>
        </w:tc>
        <w:tc>
          <w:tcPr>
            <w:tcW w:w="669" w:type="dxa"/>
            <w:tcBorders>
              <w:top w:val="single" w:color="auto" w:sz="4" w:space="0"/>
              <w:left w:val="single" w:color="auto" w:sz="4" w:space="0"/>
              <w:bottom w:val="single" w:color="auto" w:sz="4" w:space="0"/>
              <w:right w:val="single" w:color="auto" w:sz="4" w:space="0"/>
            </w:tcBorders>
            <w:vAlign w:val="center"/>
          </w:tcPr>
          <w:p w14:paraId="2A1A662B">
            <w:pPr>
              <w:wordWrap w:val="0"/>
              <w:spacing w:line="360" w:lineRule="exact"/>
              <w:jc w:val="center"/>
              <w:rPr>
                <w:rFonts w:ascii="宋体" w:hAnsi="宋体" w:cs="宋体"/>
                <w:color w:val="auto"/>
                <w:sz w:val="24"/>
                <w:highlight w:val="none"/>
              </w:rPr>
            </w:pPr>
          </w:p>
        </w:tc>
      </w:tr>
      <w:tr w14:paraId="4FC4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0B5A7F4C">
            <w:pPr>
              <w:widowControl/>
              <w:wordWrap w:val="0"/>
              <w:spacing w:line="360" w:lineRule="exact"/>
              <w:jc w:val="center"/>
              <w:textAlignment w:val="center"/>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2</w:t>
            </w:r>
          </w:p>
        </w:tc>
        <w:tc>
          <w:tcPr>
            <w:tcW w:w="873" w:type="dxa"/>
            <w:vMerge w:val="continue"/>
            <w:tcBorders>
              <w:top w:val="single" w:color="auto" w:sz="4" w:space="0"/>
              <w:left w:val="single" w:color="auto" w:sz="4" w:space="0"/>
              <w:bottom w:val="single" w:color="auto" w:sz="4" w:space="0"/>
              <w:right w:val="single" w:color="auto" w:sz="4" w:space="0"/>
            </w:tcBorders>
            <w:vAlign w:val="center"/>
          </w:tcPr>
          <w:p w14:paraId="6AEFB7E9">
            <w:pPr>
              <w:widowControl/>
              <w:wordWrap w:val="0"/>
              <w:spacing w:line="360" w:lineRule="exact"/>
              <w:jc w:val="center"/>
              <w:textAlignment w:val="center"/>
              <w:rPr>
                <w:rFonts w:hint="eastAsia" w:ascii="宋体" w:hAnsi="宋体" w:cs="宋体"/>
                <w:b w:val="0"/>
                <w:bCs w:val="0"/>
                <w:color w:val="auto"/>
                <w:kern w:val="0"/>
                <w:sz w:val="24"/>
                <w:highlight w:val="none"/>
              </w:rPr>
            </w:pPr>
          </w:p>
        </w:tc>
        <w:tc>
          <w:tcPr>
            <w:tcW w:w="1781" w:type="dxa"/>
            <w:tcBorders>
              <w:top w:val="single" w:color="auto" w:sz="4" w:space="0"/>
              <w:left w:val="single" w:color="auto" w:sz="4" w:space="0"/>
              <w:bottom w:val="single" w:color="auto" w:sz="4" w:space="0"/>
              <w:right w:val="single" w:color="auto" w:sz="4" w:space="0"/>
            </w:tcBorders>
            <w:vAlign w:val="center"/>
          </w:tcPr>
          <w:p w14:paraId="5F4B4774">
            <w:pPr>
              <w:widowControl/>
              <w:wordWrap w:val="0"/>
              <w:spacing w:line="360" w:lineRule="exact"/>
              <w:jc w:val="center"/>
              <w:textAlignment w:val="center"/>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远岸海域（2.01-5公里）</w:t>
            </w:r>
          </w:p>
        </w:tc>
        <w:tc>
          <w:tcPr>
            <w:tcW w:w="1069" w:type="dxa"/>
            <w:tcBorders>
              <w:top w:val="single" w:color="auto" w:sz="4" w:space="0"/>
              <w:left w:val="single" w:color="auto" w:sz="4" w:space="0"/>
              <w:bottom w:val="single" w:color="auto" w:sz="4" w:space="0"/>
              <w:right w:val="single" w:color="auto" w:sz="4" w:space="0"/>
            </w:tcBorders>
            <w:vAlign w:val="center"/>
          </w:tcPr>
          <w:p w14:paraId="66FD2018">
            <w:pPr>
              <w:widowControl/>
              <w:wordWrap w:val="0"/>
              <w:spacing w:line="360" w:lineRule="exact"/>
              <w:jc w:val="center"/>
              <w:textAlignment w:val="center"/>
              <w:rPr>
                <w:rFonts w:hint="eastAsia" w:ascii="宋体" w:hAnsi="宋体" w:cs="宋体"/>
                <w:b w:val="0"/>
                <w:bCs w:val="0"/>
                <w:color w:val="auto"/>
                <w:kern w:val="0"/>
                <w:sz w:val="24"/>
                <w:highlight w:val="none"/>
              </w:rPr>
            </w:pPr>
          </w:p>
        </w:tc>
        <w:tc>
          <w:tcPr>
            <w:tcW w:w="873" w:type="dxa"/>
            <w:tcBorders>
              <w:top w:val="single" w:color="auto" w:sz="4" w:space="0"/>
              <w:left w:val="single" w:color="auto" w:sz="4" w:space="0"/>
              <w:bottom w:val="single" w:color="auto" w:sz="4" w:space="0"/>
              <w:right w:val="single" w:color="auto" w:sz="4" w:space="0"/>
            </w:tcBorders>
            <w:vAlign w:val="center"/>
          </w:tcPr>
          <w:p w14:paraId="39DF3564">
            <w:pPr>
              <w:widowControl/>
              <w:wordWrap w:val="0"/>
              <w:spacing w:line="360" w:lineRule="exact"/>
              <w:jc w:val="center"/>
              <w:textAlignment w:val="center"/>
              <w:rPr>
                <w:rFonts w:ascii="宋体" w:hAnsi="宋体" w:cs="宋体"/>
                <w:color w:val="auto"/>
                <w:kern w:val="0"/>
                <w:sz w:val="24"/>
                <w:highlight w:val="none"/>
              </w:rPr>
            </w:pPr>
          </w:p>
        </w:tc>
        <w:tc>
          <w:tcPr>
            <w:tcW w:w="1444" w:type="dxa"/>
            <w:tcBorders>
              <w:top w:val="single" w:color="auto" w:sz="4" w:space="0"/>
              <w:left w:val="single" w:color="auto" w:sz="4" w:space="0"/>
              <w:bottom w:val="single" w:color="auto" w:sz="4" w:space="0"/>
              <w:right w:val="single" w:color="auto" w:sz="4" w:space="0"/>
            </w:tcBorders>
            <w:vAlign w:val="center"/>
          </w:tcPr>
          <w:p w14:paraId="09B54BBA">
            <w:pPr>
              <w:widowControl/>
              <w:wordWrap w:val="0"/>
              <w:spacing w:line="360" w:lineRule="exact"/>
              <w:jc w:val="center"/>
              <w:textAlignment w:val="center"/>
              <w:rPr>
                <w:rFonts w:ascii="宋体" w:hAnsi="宋体" w:cs="宋体"/>
                <w:color w:val="auto"/>
                <w:kern w:val="0"/>
                <w:sz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017EC4E0">
            <w:pPr>
              <w:wordWrap w:val="0"/>
              <w:spacing w:line="360" w:lineRule="exact"/>
              <w:jc w:val="center"/>
              <w:rPr>
                <w:rFonts w:ascii="宋体" w:hAnsi="宋体" w:cs="宋体"/>
                <w:color w:val="auto"/>
                <w:sz w:val="24"/>
                <w:highlight w:val="none"/>
              </w:rPr>
            </w:pPr>
          </w:p>
        </w:tc>
        <w:tc>
          <w:tcPr>
            <w:tcW w:w="669" w:type="dxa"/>
            <w:tcBorders>
              <w:top w:val="single" w:color="auto" w:sz="4" w:space="0"/>
              <w:left w:val="single" w:color="auto" w:sz="4" w:space="0"/>
              <w:bottom w:val="single" w:color="auto" w:sz="4" w:space="0"/>
              <w:right w:val="single" w:color="auto" w:sz="4" w:space="0"/>
            </w:tcBorders>
            <w:vAlign w:val="center"/>
          </w:tcPr>
          <w:p w14:paraId="0EF99893">
            <w:pPr>
              <w:wordWrap w:val="0"/>
              <w:spacing w:line="360" w:lineRule="exact"/>
              <w:jc w:val="center"/>
              <w:rPr>
                <w:rFonts w:ascii="宋体" w:hAnsi="宋体" w:cs="宋体"/>
                <w:color w:val="auto"/>
                <w:sz w:val="24"/>
                <w:highlight w:val="none"/>
              </w:rPr>
            </w:pPr>
          </w:p>
        </w:tc>
      </w:tr>
      <w:tr w14:paraId="2F498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740018E6">
            <w:pPr>
              <w:widowControl/>
              <w:wordWrap w:val="0"/>
              <w:spacing w:line="360" w:lineRule="exact"/>
              <w:jc w:val="center"/>
              <w:textAlignment w:val="center"/>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3</w:t>
            </w:r>
          </w:p>
        </w:tc>
        <w:tc>
          <w:tcPr>
            <w:tcW w:w="2654" w:type="dxa"/>
            <w:gridSpan w:val="2"/>
            <w:tcBorders>
              <w:top w:val="single" w:color="auto" w:sz="4" w:space="0"/>
              <w:left w:val="single" w:color="auto" w:sz="4" w:space="0"/>
              <w:bottom w:val="single" w:color="auto" w:sz="4" w:space="0"/>
              <w:right w:val="single" w:color="auto" w:sz="4" w:space="0"/>
            </w:tcBorders>
            <w:vAlign w:val="center"/>
          </w:tcPr>
          <w:p w14:paraId="630AAA50">
            <w:pPr>
              <w:widowControl/>
              <w:wordWrap w:val="0"/>
              <w:spacing w:line="360" w:lineRule="exact"/>
              <w:jc w:val="center"/>
              <w:textAlignment w:val="center"/>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废弃蚝堆拆除</w:t>
            </w:r>
          </w:p>
        </w:tc>
        <w:tc>
          <w:tcPr>
            <w:tcW w:w="1069" w:type="dxa"/>
            <w:tcBorders>
              <w:top w:val="single" w:color="auto" w:sz="4" w:space="0"/>
              <w:left w:val="single" w:color="auto" w:sz="4" w:space="0"/>
              <w:bottom w:val="single" w:color="auto" w:sz="4" w:space="0"/>
              <w:right w:val="single" w:color="auto" w:sz="4" w:space="0"/>
            </w:tcBorders>
            <w:vAlign w:val="center"/>
          </w:tcPr>
          <w:p w14:paraId="0E1DEADA">
            <w:pPr>
              <w:widowControl/>
              <w:wordWrap w:val="0"/>
              <w:spacing w:line="360" w:lineRule="exact"/>
              <w:jc w:val="center"/>
              <w:textAlignment w:val="center"/>
              <w:rPr>
                <w:rFonts w:hint="eastAsia" w:ascii="宋体" w:hAnsi="宋体" w:cs="宋体"/>
                <w:b w:val="0"/>
                <w:bCs w:val="0"/>
                <w:color w:val="auto"/>
                <w:kern w:val="0"/>
                <w:sz w:val="24"/>
                <w:highlight w:val="none"/>
              </w:rPr>
            </w:pPr>
          </w:p>
        </w:tc>
        <w:tc>
          <w:tcPr>
            <w:tcW w:w="873" w:type="dxa"/>
            <w:tcBorders>
              <w:top w:val="single" w:color="auto" w:sz="4" w:space="0"/>
              <w:left w:val="single" w:color="auto" w:sz="4" w:space="0"/>
              <w:bottom w:val="single" w:color="auto" w:sz="4" w:space="0"/>
              <w:right w:val="single" w:color="auto" w:sz="4" w:space="0"/>
            </w:tcBorders>
            <w:vAlign w:val="center"/>
          </w:tcPr>
          <w:p w14:paraId="3D36D250">
            <w:pPr>
              <w:widowControl/>
              <w:wordWrap w:val="0"/>
              <w:spacing w:line="360" w:lineRule="exact"/>
              <w:jc w:val="center"/>
              <w:textAlignment w:val="center"/>
              <w:rPr>
                <w:rFonts w:ascii="宋体" w:hAnsi="宋体" w:cs="宋体"/>
                <w:color w:val="auto"/>
                <w:kern w:val="0"/>
                <w:sz w:val="24"/>
                <w:highlight w:val="none"/>
              </w:rPr>
            </w:pPr>
          </w:p>
        </w:tc>
        <w:tc>
          <w:tcPr>
            <w:tcW w:w="1444" w:type="dxa"/>
            <w:tcBorders>
              <w:top w:val="single" w:color="auto" w:sz="4" w:space="0"/>
              <w:left w:val="single" w:color="auto" w:sz="4" w:space="0"/>
              <w:bottom w:val="single" w:color="auto" w:sz="4" w:space="0"/>
              <w:right w:val="single" w:color="auto" w:sz="4" w:space="0"/>
            </w:tcBorders>
            <w:vAlign w:val="center"/>
          </w:tcPr>
          <w:p w14:paraId="7B2F0D91">
            <w:pPr>
              <w:widowControl/>
              <w:wordWrap w:val="0"/>
              <w:spacing w:line="360" w:lineRule="exact"/>
              <w:jc w:val="center"/>
              <w:textAlignment w:val="center"/>
              <w:rPr>
                <w:rFonts w:ascii="宋体" w:hAnsi="宋体" w:cs="宋体"/>
                <w:color w:val="auto"/>
                <w:kern w:val="0"/>
                <w:sz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572870F4">
            <w:pPr>
              <w:wordWrap w:val="0"/>
              <w:spacing w:line="360" w:lineRule="exact"/>
              <w:jc w:val="center"/>
              <w:rPr>
                <w:rFonts w:ascii="宋体" w:hAnsi="宋体" w:cs="宋体"/>
                <w:color w:val="auto"/>
                <w:sz w:val="24"/>
                <w:highlight w:val="none"/>
              </w:rPr>
            </w:pPr>
          </w:p>
        </w:tc>
        <w:tc>
          <w:tcPr>
            <w:tcW w:w="669" w:type="dxa"/>
            <w:tcBorders>
              <w:top w:val="single" w:color="auto" w:sz="4" w:space="0"/>
              <w:left w:val="single" w:color="auto" w:sz="4" w:space="0"/>
              <w:bottom w:val="single" w:color="auto" w:sz="4" w:space="0"/>
              <w:right w:val="single" w:color="auto" w:sz="4" w:space="0"/>
            </w:tcBorders>
            <w:vAlign w:val="center"/>
          </w:tcPr>
          <w:p w14:paraId="45823574">
            <w:pPr>
              <w:wordWrap w:val="0"/>
              <w:spacing w:line="360" w:lineRule="exact"/>
              <w:jc w:val="center"/>
              <w:rPr>
                <w:rFonts w:ascii="宋体" w:hAnsi="宋体" w:cs="宋体"/>
                <w:color w:val="auto"/>
                <w:sz w:val="24"/>
                <w:highlight w:val="none"/>
              </w:rPr>
            </w:pPr>
          </w:p>
        </w:tc>
      </w:tr>
      <w:tr w14:paraId="2DFED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32520F17">
            <w:pPr>
              <w:widowControl/>
              <w:wordWrap w:val="0"/>
              <w:spacing w:line="360" w:lineRule="exact"/>
              <w:jc w:val="center"/>
              <w:textAlignment w:val="center"/>
              <w:rPr>
                <w:rFonts w:hint="eastAsia" w:ascii="宋体" w:hAnsi="宋体" w:cs="宋体"/>
                <w:b w:val="0"/>
                <w:bCs w:val="0"/>
                <w:color w:val="auto"/>
                <w:kern w:val="0"/>
                <w:sz w:val="24"/>
                <w:highlight w:val="none"/>
                <w:lang w:eastAsia="zh-CN"/>
              </w:rPr>
            </w:pPr>
            <w:r>
              <w:rPr>
                <w:rFonts w:hint="eastAsia" w:ascii="宋体" w:hAnsi="宋体" w:cs="宋体"/>
                <w:b w:val="0"/>
                <w:bCs w:val="0"/>
                <w:color w:val="auto"/>
                <w:kern w:val="0"/>
                <w:sz w:val="24"/>
                <w:highlight w:val="none"/>
              </w:rPr>
              <w:t>4</w:t>
            </w:r>
          </w:p>
        </w:tc>
        <w:tc>
          <w:tcPr>
            <w:tcW w:w="2654" w:type="dxa"/>
            <w:gridSpan w:val="2"/>
            <w:tcBorders>
              <w:top w:val="single" w:color="auto" w:sz="4" w:space="0"/>
              <w:left w:val="single" w:color="auto" w:sz="4" w:space="0"/>
              <w:bottom w:val="single" w:color="auto" w:sz="4" w:space="0"/>
              <w:right w:val="single" w:color="auto" w:sz="4" w:space="0"/>
            </w:tcBorders>
            <w:vAlign w:val="center"/>
          </w:tcPr>
          <w:p w14:paraId="235EF5FD">
            <w:pPr>
              <w:widowControl/>
              <w:wordWrap w:val="0"/>
              <w:spacing w:line="360" w:lineRule="exact"/>
              <w:jc w:val="center"/>
              <w:textAlignment w:val="center"/>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渔箔拆除</w:t>
            </w:r>
          </w:p>
        </w:tc>
        <w:tc>
          <w:tcPr>
            <w:tcW w:w="1069" w:type="dxa"/>
            <w:tcBorders>
              <w:top w:val="single" w:color="auto" w:sz="4" w:space="0"/>
              <w:left w:val="single" w:color="auto" w:sz="4" w:space="0"/>
              <w:bottom w:val="single" w:color="auto" w:sz="4" w:space="0"/>
              <w:right w:val="single" w:color="auto" w:sz="4" w:space="0"/>
            </w:tcBorders>
            <w:vAlign w:val="center"/>
          </w:tcPr>
          <w:p w14:paraId="4F73AB09">
            <w:pPr>
              <w:widowControl/>
              <w:wordWrap w:val="0"/>
              <w:spacing w:line="360" w:lineRule="exact"/>
              <w:jc w:val="center"/>
              <w:textAlignment w:val="center"/>
              <w:rPr>
                <w:rFonts w:hint="eastAsia" w:ascii="宋体" w:hAnsi="宋体" w:cs="宋体"/>
                <w:b w:val="0"/>
                <w:bCs w:val="0"/>
                <w:color w:val="auto"/>
                <w:kern w:val="0"/>
                <w:sz w:val="24"/>
                <w:highlight w:val="none"/>
              </w:rPr>
            </w:pPr>
          </w:p>
        </w:tc>
        <w:tc>
          <w:tcPr>
            <w:tcW w:w="873" w:type="dxa"/>
            <w:tcBorders>
              <w:top w:val="single" w:color="auto" w:sz="4" w:space="0"/>
              <w:left w:val="single" w:color="auto" w:sz="4" w:space="0"/>
              <w:bottom w:val="single" w:color="auto" w:sz="4" w:space="0"/>
              <w:right w:val="single" w:color="auto" w:sz="4" w:space="0"/>
            </w:tcBorders>
            <w:vAlign w:val="center"/>
          </w:tcPr>
          <w:p w14:paraId="4CA8E332">
            <w:pPr>
              <w:widowControl/>
              <w:wordWrap w:val="0"/>
              <w:spacing w:line="360" w:lineRule="exact"/>
              <w:jc w:val="center"/>
              <w:textAlignment w:val="center"/>
              <w:rPr>
                <w:rFonts w:ascii="宋体" w:hAnsi="宋体" w:cs="宋体"/>
                <w:color w:val="auto"/>
                <w:kern w:val="0"/>
                <w:sz w:val="24"/>
                <w:highlight w:val="none"/>
              </w:rPr>
            </w:pPr>
          </w:p>
        </w:tc>
        <w:tc>
          <w:tcPr>
            <w:tcW w:w="1444" w:type="dxa"/>
            <w:tcBorders>
              <w:top w:val="single" w:color="auto" w:sz="4" w:space="0"/>
              <w:left w:val="single" w:color="auto" w:sz="4" w:space="0"/>
              <w:bottom w:val="single" w:color="auto" w:sz="4" w:space="0"/>
              <w:right w:val="single" w:color="auto" w:sz="4" w:space="0"/>
            </w:tcBorders>
            <w:vAlign w:val="center"/>
          </w:tcPr>
          <w:p w14:paraId="0620C5DE">
            <w:pPr>
              <w:widowControl/>
              <w:wordWrap w:val="0"/>
              <w:spacing w:line="360" w:lineRule="exact"/>
              <w:jc w:val="center"/>
              <w:textAlignment w:val="center"/>
              <w:rPr>
                <w:rFonts w:ascii="宋体" w:hAnsi="宋体" w:cs="宋体"/>
                <w:color w:val="auto"/>
                <w:kern w:val="0"/>
                <w:sz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32537AD0">
            <w:pPr>
              <w:wordWrap w:val="0"/>
              <w:spacing w:line="360" w:lineRule="exact"/>
              <w:jc w:val="center"/>
              <w:rPr>
                <w:rFonts w:ascii="宋体" w:hAnsi="宋体" w:cs="宋体"/>
                <w:color w:val="auto"/>
                <w:sz w:val="24"/>
                <w:highlight w:val="none"/>
              </w:rPr>
            </w:pPr>
          </w:p>
        </w:tc>
        <w:tc>
          <w:tcPr>
            <w:tcW w:w="669" w:type="dxa"/>
            <w:tcBorders>
              <w:top w:val="single" w:color="auto" w:sz="4" w:space="0"/>
              <w:left w:val="single" w:color="auto" w:sz="4" w:space="0"/>
              <w:bottom w:val="single" w:color="auto" w:sz="4" w:space="0"/>
              <w:right w:val="single" w:color="auto" w:sz="4" w:space="0"/>
            </w:tcBorders>
            <w:vAlign w:val="center"/>
          </w:tcPr>
          <w:p w14:paraId="479B5AFF">
            <w:pPr>
              <w:wordWrap w:val="0"/>
              <w:spacing w:line="360" w:lineRule="exact"/>
              <w:jc w:val="center"/>
              <w:rPr>
                <w:rFonts w:ascii="宋体" w:hAnsi="宋体" w:cs="宋体"/>
                <w:color w:val="auto"/>
                <w:sz w:val="24"/>
                <w:highlight w:val="none"/>
              </w:rPr>
            </w:pPr>
          </w:p>
        </w:tc>
      </w:tr>
      <w:tr w14:paraId="14B2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9217" w:type="dxa"/>
            <w:gridSpan w:val="8"/>
            <w:tcBorders>
              <w:top w:val="single" w:color="auto" w:sz="4" w:space="0"/>
              <w:left w:val="single" w:color="auto" w:sz="4" w:space="0"/>
              <w:bottom w:val="single" w:color="auto" w:sz="4" w:space="0"/>
              <w:right w:val="single" w:color="auto" w:sz="4" w:space="0"/>
            </w:tcBorders>
            <w:vAlign w:val="center"/>
          </w:tcPr>
          <w:p w14:paraId="24601280">
            <w:pPr>
              <w:wordWrap w:val="0"/>
              <w:spacing w:line="360" w:lineRule="exact"/>
              <w:rPr>
                <w:rFonts w:ascii="宋体" w:hAnsi="宋体" w:cs="宋体"/>
                <w:b/>
                <w:bCs/>
                <w:color w:val="auto"/>
                <w:sz w:val="24"/>
                <w:highlight w:val="none"/>
              </w:rPr>
            </w:pPr>
            <w:r>
              <w:rPr>
                <w:rFonts w:hint="eastAsia" w:ascii="宋体" w:hAnsi="宋体" w:cs="宋体"/>
                <w:b/>
                <w:bCs/>
                <w:color w:val="auto"/>
                <w:sz w:val="24"/>
                <w:highlight w:val="none"/>
              </w:rPr>
              <w:t>磋商总报价（人民币）：</w:t>
            </w:r>
            <w:r>
              <w:rPr>
                <w:rFonts w:hint="eastAsia" w:ascii="宋体" w:hAnsi="宋体" w:cs="宋体"/>
                <w:b/>
                <w:bCs/>
                <w:color w:val="auto"/>
                <w:sz w:val="24"/>
                <w:highlight w:val="none"/>
                <w:u w:val="single"/>
              </w:rPr>
              <w:t xml:space="preserve">（大写）                 （小写）             </w:t>
            </w:r>
          </w:p>
        </w:tc>
      </w:tr>
      <w:tr w14:paraId="5E8A0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9217" w:type="dxa"/>
            <w:gridSpan w:val="8"/>
            <w:tcBorders>
              <w:top w:val="single" w:color="auto" w:sz="4" w:space="0"/>
              <w:left w:val="single" w:color="auto" w:sz="4" w:space="0"/>
              <w:bottom w:val="single" w:color="auto" w:sz="4" w:space="0"/>
              <w:right w:val="single" w:color="auto" w:sz="4" w:space="0"/>
            </w:tcBorders>
            <w:vAlign w:val="center"/>
          </w:tcPr>
          <w:p w14:paraId="1CD97C80">
            <w:pPr>
              <w:wordWrap w:val="0"/>
              <w:spacing w:line="360" w:lineRule="exact"/>
              <w:rPr>
                <w:rFonts w:ascii="宋体" w:hAnsi="宋体" w:cs="宋体"/>
                <w:b/>
                <w:bCs/>
                <w:color w:val="auto"/>
                <w:sz w:val="24"/>
                <w:highlight w:val="none"/>
              </w:rPr>
            </w:pPr>
            <w:r>
              <w:rPr>
                <w:rFonts w:hint="eastAsia" w:ascii="宋体" w:hAnsi="宋体" w:cs="宋体"/>
                <w:b/>
                <w:bCs/>
                <w:color w:val="auto"/>
                <w:sz w:val="24"/>
                <w:highlight w:val="none"/>
              </w:rPr>
              <w:t>合同履行期限：</w:t>
            </w:r>
          </w:p>
        </w:tc>
      </w:tr>
    </w:tbl>
    <w:p w14:paraId="716948B7">
      <w:pPr>
        <w:spacing w:line="400" w:lineRule="exact"/>
        <w:contextualSpacing/>
        <w:jc w:val="left"/>
        <w:rPr>
          <w:rFonts w:ascii="宋体" w:hAnsi="宋体" w:cs="仿宋_GB2312"/>
          <w:color w:val="auto"/>
          <w:szCs w:val="21"/>
          <w:highlight w:val="none"/>
        </w:rPr>
      </w:pPr>
      <w:r>
        <w:rPr>
          <w:rFonts w:hint="eastAsia" w:ascii="宋体" w:hAnsi="宋体" w:cs="仿宋_GB2312"/>
          <w:color w:val="auto"/>
          <w:szCs w:val="21"/>
          <w:highlight w:val="none"/>
        </w:rPr>
        <w:t xml:space="preserve">注： </w:t>
      </w:r>
    </w:p>
    <w:p w14:paraId="6F178E29">
      <w:pPr>
        <w:spacing w:line="400" w:lineRule="exact"/>
        <w:ind w:firstLine="420" w:firstLineChars="200"/>
        <w:contextualSpacing/>
        <w:jc w:val="left"/>
        <w:rPr>
          <w:rFonts w:ascii="宋体" w:hAnsi="宋体" w:cs="仿宋_GB2312"/>
          <w:color w:val="auto"/>
          <w:szCs w:val="21"/>
          <w:highlight w:val="none"/>
        </w:rPr>
      </w:pPr>
      <w:r>
        <w:rPr>
          <w:rFonts w:hint="eastAsia" w:ascii="宋体" w:hAnsi="宋体" w:cs="仿宋_GB2312"/>
          <w:color w:val="auto"/>
          <w:szCs w:val="21"/>
          <w:highlight w:val="none"/>
        </w:rPr>
        <w:t>1. 供应商的报价表必须加盖供应商电子签章并由法定代表人或者委托代理人签字或者电子签名，</w:t>
      </w:r>
      <w:r>
        <w:rPr>
          <w:rFonts w:hint="eastAsia" w:ascii="宋体" w:hAnsi="宋体" w:cs="仿宋_GB2312"/>
          <w:b/>
          <w:color w:val="auto"/>
          <w:szCs w:val="21"/>
          <w:highlight w:val="none"/>
        </w:rPr>
        <w:t>否则其响应文件按无效处理</w:t>
      </w:r>
      <w:r>
        <w:rPr>
          <w:rFonts w:hint="eastAsia" w:ascii="宋体" w:hAnsi="宋体" w:cs="仿宋_GB2312"/>
          <w:color w:val="auto"/>
          <w:szCs w:val="21"/>
          <w:highlight w:val="none"/>
        </w:rPr>
        <w:t>。</w:t>
      </w:r>
    </w:p>
    <w:p w14:paraId="75B5BA7F">
      <w:pPr>
        <w:spacing w:line="400" w:lineRule="exact"/>
        <w:ind w:firstLine="420" w:firstLineChars="200"/>
        <w:contextualSpacing/>
        <w:rPr>
          <w:rFonts w:ascii="宋体" w:hAnsi="宋体" w:cs="仿宋_GB2312"/>
          <w:b/>
          <w:color w:val="auto"/>
          <w:szCs w:val="21"/>
          <w:highlight w:val="none"/>
        </w:rPr>
      </w:pPr>
      <w:r>
        <w:rPr>
          <w:rFonts w:hint="eastAsia" w:ascii="宋体" w:hAnsi="宋体" w:cs="仿宋_GB2312"/>
          <w:bCs/>
          <w:color w:val="auto"/>
          <w:szCs w:val="21"/>
          <w:highlight w:val="none"/>
        </w:rPr>
        <w:t>2.</w:t>
      </w:r>
      <w:r>
        <w:rPr>
          <w:rFonts w:hint="eastAsia" w:ascii="宋体" w:hAnsi="宋体" w:cs="仿宋_GB2312"/>
          <w:color w:val="auto"/>
          <w:szCs w:val="21"/>
          <w:highlight w:val="none"/>
        </w:rPr>
        <w:t xml:space="preserve"> 报价一经涂改，应在涂改处加盖供应商公章或者加盖电子签章或者由法定代表人或者授权委托人签字</w:t>
      </w:r>
      <w:r>
        <w:rPr>
          <w:rFonts w:hint="eastAsia" w:ascii="宋体" w:hAnsi="宋体"/>
          <w:color w:val="auto"/>
          <w:szCs w:val="21"/>
          <w:highlight w:val="none"/>
        </w:rPr>
        <w:t>（或者电子签名）</w:t>
      </w:r>
      <w:r>
        <w:rPr>
          <w:rFonts w:hint="eastAsia" w:ascii="宋体" w:hAnsi="宋体" w:cs="仿宋_GB2312"/>
          <w:b/>
          <w:color w:val="auto"/>
          <w:szCs w:val="21"/>
          <w:highlight w:val="none"/>
        </w:rPr>
        <w:t>，否则其响应文件按无效处理。</w:t>
      </w:r>
    </w:p>
    <w:p w14:paraId="57C080DD">
      <w:pPr>
        <w:spacing w:line="400" w:lineRule="exact"/>
        <w:ind w:firstLine="422" w:firstLineChars="200"/>
        <w:contextualSpacing/>
        <w:rPr>
          <w:rFonts w:ascii="宋体" w:hAnsi="宋体" w:cs="仿宋_GB2312"/>
          <w:b/>
          <w:color w:val="auto"/>
          <w:spacing w:val="-6"/>
          <w:szCs w:val="21"/>
          <w:highlight w:val="none"/>
        </w:rPr>
      </w:pPr>
      <w:r>
        <w:rPr>
          <w:rFonts w:hint="eastAsia" w:ascii="宋体" w:hAnsi="宋体" w:cs="仿宋_GB2312"/>
          <w:b/>
          <w:color w:val="auto"/>
          <w:szCs w:val="21"/>
          <w:highlight w:val="none"/>
        </w:rPr>
        <w:t>3.供应商应仔细核对单价与数量的合计值，磋商报价超过采购预算或单价限价的，按无效磋商处理。</w:t>
      </w:r>
    </w:p>
    <w:p w14:paraId="0F1C7954">
      <w:pPr>
        <w:spacing w:line="360" w:lineRule="auto"/>
        <w:ind w:right="-817" w:rightChars="-389"/>
        <w:contextualSpacing/>
        <w:rPr>
          <w:rFonts w:ascii="宋体" w:hAnsi="宋体" w:cs="仿宋_GB2312"/>
          <w:color w:val="auto"/>
          <w:sz w:val="24"/>
          <w:highlight w:val="none"/>
        </w:rPr>
      </w:pPr>
    </w:p>
    <w:p w14:paraId="5267333A">
      <w:pPr>
        <w:spacing w:line="360" w:lineRule="auto"/>
        <w:ind w:right="-817" w:rightChars="-389" w:firstLine="2640" w:firstLineChars="1100"/>
        <w:contextualSpacing/>
        <w:rPr>
          <w:rFonts w:ascii="宋体" w:hAnsi="宋体" w:cs="仿宋_GB2312"/>
          <w:color w:val="auto"/>
          <w:sz w:val="24"/>
          <w:highlight w:val="none"/>
        </w:rPr>
      </w:pPr>
    </w:p>
    <w:p w14:paraId="5C251C3F">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法定代表人或者委托代理人（签字或者电子签名）：                    </w:t>
      </w:r>
    </w:p>
    <w:p w14:paraId="16B99779">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供应商名称（电子签章）：     </w:t>
      </w:r>
    </w:p>
    <w:p w14:paraId="68F4B6B9">
      <w:pPr>
        <w:spacing w:line="360" w:lineRule="auto"/>
        <w:ind w:right="-817" w:rightChars="-389" w:firstLine="4080" w:firstLineChars="1700"/>
        <w:contextualSpacing/>
        <w:rPr>
          <w:rFonts w:ascii="宋体" w:hAnsi="宋体" w:cs="仿宋_GB2312"/>
          <w:b/>
          <w:color w:val="auto"/>
          <w:sz w:val="24"/>
          <w:highlight w:val="none"/>
        </w:rPr>
      </w:pPr>
      <w:r>
        <w:rPr>
          <w:rFonts w:hint="eastAsia" w:ascii="宋体" w:hAnsi="宋体" w:cs="仿宋_GB2312"/>
          <w:color w:val="auto"/>
          <w:sz w:val="24"/>
          <w:highlight w:val="none"/>
        </w:rPr>
        <w:t>日期：   年   月   日</w:t>
      </w:r>
    </w:p>
    <w:p w14:paraId="0F12D923">
      <w:pPr>
        <w:spacing w:line="360" w:lineRule="auto"/>
        <w:ind w:right="420"/>
        <w:contextualSpacing/>
        <w:jc w:val="left"/>
        <w:rPr>
          <w:rFonts w:ascii="宋体" w:hAnsi="宋体"/>
          <w:b/>
          <w:color w:val="auto"/>
          <w:sz w:val="32"/>
          <w:szCs w:val="32"/>
          <w:highlight w:val="none"/>
        </w:rPr>
      </w:pPr>
      <w:r>
        <w:rPr>
          <w:rFonts w:ascii="宋体" w:hAnsi="宋体"/>
          <w:b/>
          <w:bCs/>
          <w:color w:val="auto"/>
          <w:sz w:val="32"/>
          <w:szCs w:val="32"/>
          <w:highlight w:val="none"/>
        </w:rPr>
        <w:br w:type="page"/>
      </w:r>
      <w:r>
        <w:rPr>
          <w:rFonts w:hint="eastAsia" w:ascii="宋体" w:hAnsi="宋体"/>
          <w:b/>
          <w:bCs/>
          <w:color w:val="auto"/>
          <w:sz w:val="32"/>
          <w:szCs w:val="32"/>
          <w:highlight w:val="none"/>
        </w:rPr>
        <w:t>三、</w:t>
      </w:r>
      <w:r>
        <w:rPr>
          <w:rFonts w:hint="eastAsia" w:ascii="宋体" w:hAnsi="宋体"/>
          <w:b/>
          <w:color w:val="auto"/>
          <w:sz w:val="32"/>
          <w:szCs w:val="32"/>
          <w:highlight w:val="none"/>
        </w:rPr>
        <w:t xml:space="preserve">商务技术文件格式 </w:t>
      </w:r>
    </w:p>
    <w:p w14:paraId="6120C5D7">
      <w:pPr>
        <w:snapToGrid w:val="0"/>
        <w:spacing w:before="156"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1.商务技术文件封面格式</w:t>
      </w:r>
    </w:p>
    <w:p w14:paraId="4152B6CD">
      <w:pPr>
        <w:snapToGrid w:val="0"/>
        <w:spacing w:before="156" w:beforeLines="50" w:after="50"/>
        <w:rPr>
          <w:rFonts w:ascii="宋体" w:hAnsi="宋体"/>
          <w:bCs/>
          <w:color w:val="auto"/>
          <w:sz w:val="32"/>
          <w:szCs w:val="20"/>
          <w:highlight w:val="none"/>
        </w:rPr>
      </w:pPr>
    </w:p>
    <w:p w14:paraId="1D3BAD51">
      <w:pPr>
        <w:snapToGrid w:val="0"/>
        <w:spacing w:before="156" w:beforeLines="50" w:after="50"/>
        <w:jc w:val="center"/>
        <w:rPr>
          <w:rFonts w:ascii="宋体" w:hAnsi="宋体"/>
          <w:color w:val="auto"/>
          <w:sz w:val="24"/>
          <w:szCs w:val="20"/>
          <w:highlight w:val="none"/>
        </w:rPr>
      </w:pPr>
      <w:r>
        <w:rPr>
          <w:rFonts w:hint="eastAsia" w:ascii="宋体" w:hAnsi="宋体"/>
          <w:color w:val="auto"/>
          <w:sz w:val="44"/>
          <w:szCs w:val="44"/>
          <w:highlight w:val="none"/>
        </w:rPr>
        <w:t>电 子 响 应 文 件</w:t>
      </w:r>
    </w:p>
    <w:p w14:paraId="1574C3E9">
      <w:pPr>
        <w:snapToGrid w:val="0"/>
        <w:spacing w:before="156" w:beforeLines="50" w:after="50"/>
        <w:rPr>
          <w:rFonts w:ascii="宋体" w:hAnsi="宋体"/>
          <w:color w:val="auto"/>
          <w:sz w:val="24"/>
          <w:szCs w:val="20"/>
          <w:highlight w:val="none"/>
        </w:rPr>
      </w:pPr>
    </w:p>
    <w:p w14:paraId="3B8C800F">
      <w:pPr>
        <w:snapToGrid w:val="0"/>
        <w:spacing w:before="156" w:beforeLines="50" w:after="50"/>
        <w:rPr>
          <w:rFonts w:ascii="宋体" w:hAnsi="宋体"/>
          <w:color w:val="auto"/>
          <w:sz w:val="24"/>
          <w:szCs w:val="20"/>
          <w:highlight w:val="none"/>
        </w:rPr>
      </w:pPr>
    </w:p>
    <w:p w14:paraId="1819A50E">
      <w:pPr>
        <w:snapToGrid w:val="0"/>
        <w:spacing w:before="156"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14:paraId="2ADDC941">
      <w:pPr>
        <w:snapToGrid w:val="0"/>
        <w:spacing w:before="156" w:beforeLines="50" w:after="50"/>
        <w:rPr>
          <w:rFonts w:ascii="宋体" w:hAnsi="宋体"/>
          <w:bCs/>
          <w:color w:val="auto"/>
          <w:sz w:val="24"/>
          <w:szCs w:val="20"/>
          <w:highlight w:val="none"/>
        </w:rPr>
      </w:pPr>
    </w:p>
    <w:p w14:paraId="197E7AD0">
      <w:pPr>
        <w:snapToGrid w:val="0"/>
        <w:spacing w:before="156" w:beforeLines="50" w:after="50"/>
        <w:rPr>
          <w:rFonts w:ascii="宋体" w:hAnsi="宋体"/>
          <w:bCs/>
          <w:color w:val="auto"/>
          <w:sz w:val="24"/>
          <w:szCs w:val="20"/>
          <w:highlight w:val="none"/>
        </w:rPr>
      </w:pPr>
    </w:p>
    <w:p w14:paraId="243A39E2">
      <w:pPr>
        <w:snapToGrid w:val="0"/>
        <w:spacing w:before="156" w:beforeLines="50" w:after="50"/>
        <w:rPr>
          <w:rFonts w:ascii="宋体" w:hAnsi="宋体"/>
          <w:bCs/>
          <w:color w:val="auto"/>
          <w:sz w:val="24"/>
          <w:szCs w:val="20"/>
          <w:highlight w:val="none"/>
        </w:rPr>
      </w:pPr>
    </w:p>
    <w:p w14:paraId="68CB4F0B">
      <w:pPr>
        <w:snapToGrid w:val="0"/>
        <w:spacing w:before="156" w:beforeLines="50" w:after="50"/>
        <w:rPr>
          <w:rFonts w:ascii="宋体" w:hAnsi="宋体"/>
          <w:bCs/>
          <w:color w:val="auto"/>
          <w:sz w:val="24"/>
          <w:szCs w:val="20"/>
          <w:highlight w:val="none"/>
        </w:rPr>
      </w:pPr>
    </w:p>
    <w:p w14:paraId="5AA43ED3">
      <w:pPr>
        <w:snapToGrid w:val="0"/>
        <w:spacing w:before="156" w:beforeLines="50" w:after="50"/>
        <w:rPr>
          <w:rFonts w:ascii="宋体" w:hAnsi="宋体"/>
          <w:bCs/>
          <w:color w:val="auto"/>
          <w:sz w:val="24"/>
          <w:szCs w:val="20"/>
          <w:highlight w:val="none"/>
        </w:rPr>
      </w:pPr>
    </w:p>
    <w:p w14:paraId="6A0AF8B8">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41F4A367">
      <w:pPr>
        <w:snapToGrid w:val="0"/>
        <w:spacing w:before="156" w:beforeLines="50" w:after="50"/>
        <w:ind w:firstLine="720" w:firstLineChars="225"/>
        <w:rPr>
          <w:rFonts w:ascii="宋体" w:hAnsi="宋体" w:cs="仿宋_GB2312"/>
          <w:bCs/>
          <w:color w:val="auto"/>
          <w:sz w:val="32"/>
          <w:szCs w:val="32"/>
          <w:highlight w:val="none"/>
        </w:rPr>
      </w:pPr>
    </w:p>
    <w:p w14:paraId="612D8A39">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2B1C8473">
      <w:pPr>
        <w:snapToGrid w:val="0"/>
        <w:spacing w:before="156" w:beforeLines="50" w:after="50"/>
        <w:ind w:firstLine="720" w:firstLineChars="225"/>
        <w:rPr>
          <w:rFonts w:ascii="宋体" w:hAnsi="宋体" w:cs="仿宋_GB2312"/>
          <w:bCs/>
          <w:color w:val="auto"/>
          <w:sz w:val="32"/>
          <w:szCs w:val="32"/>
          <w:highlight w:val="none"/>
        </w:rPr>
      </w:pPr>
    </w:p>
    <w:p w14:paraId="0011FE28">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4D4FF7DB">
      <w:pPr>
        <w:snapToGrid w:val="0"/>
        <w:spacing w:before="156" w:beforeLines="50" w:after="50"/>
        <w:ind w:firstLine="720" w:firstLineChars="225"/>
        <w:rPr>
          <w:rFonts w:ascii="宋体" w:hAnsi="宋体" w:cs="仿宋_GB2312"/>
          <w:bCs/>
          <w:color w:val="auto"/>
          <w:sz w:val="32"/>
          <w:szCs w:val="32"/>
          <w:highlight w:val="none"/>
        </w:rPr>
      </w:pPr>
    </w:p>
    <w:p w14:paraId="0FE476A9">
      <w:pPr>
        <w:pStyle w:val="9"/>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4AA8FA4D">
      <w:pPr>
        <w:pStyle w:val="9"/>
        <w:snapToGrid w:val="0"/>
        <w:spacing w:before="50" w:after="50"/>
        <w:ind w:firstLine="640" w:firstLineChars="200"/>
        <w:rPr>
          <w:rFonts w:ascii="宋体" w:hAnsi="宋体" w:cs="仿宋_GB2312"/>
          <w:bCs/>
          <w:color w:val="auto"/>
          <w:sz w:val="32"/>
          <w:szCs w:val="32"/>
          <w:highlight w:val="none"/>
        </w:rPr>
      </w:pPr>
    </w:p>
    <w:p w14:paraId="4F972BB2">
      <w:pPr>
        <w:pStyle w:val="9"/>
        <w:snapToGrid w:val="0"/>
        <w:spacing w:before="50" w:after="50"/>
        <w:ind w:firstLine="720" w:firstLineChars="225"/>
        <w:rPr>
          <w:rFonts w:ascii="宋体" w:hAnsi="宋体" w:cs="仿宋_GB2312"/>
          <w:bCs/>
          <w:color w:val="auto"/>
          <w:sz w:val="32"/>
          <w:szCs w:val="32"/>
          <w:highlight w:val="none"/>
        </w:rPr>
      </w:pPr>
    </w:p>
    <w:p w14:paraId="75742FB1">
      <w:pPr>
        <w:pStyle w:val="9"/>
        <w:snapToGrid w:val="0"/>
        <w:spacing w:before="50" w:after="50"/>
        <w:ind w:firstLine="0"/>
        <w:rPr>
          <w:rFonts w:ascii="宋体" w:hAnsi="宋体" w:cs="仿宋_GB2312"/>
          <w:bCs/>
          <w:color w:val="auto"/>
          <w:sz w:val="32"/>
          <w:szCs w:val="32"/>
          <w:highlight w:val="none"/>
        </w:rPr>
      </w:pPr>
    </w:p>
    <w:p w14:paraId="055685F3">
      <w:pPr>
        <w:pStyle w:val="9"/>
        <w:snapToGrid w:val="0"/>
        <w:spacing w:before="50" w:after="50"/>
        <w:ind w:firstLine="1280" w:firstLineChars="400"/>
        <w:rPr>
          <w:rFonts w:ascii="宋体" w:hAnsi="宋体" w:cs="仿宋_GB2312"/>
          <w:bCs/>
          <w:color w:val="auto"/>
          <w:sz w:val="32"/>
          <w:szCs w:val="32"/>
          <w:highlight w:val="none"/>
        </w:rPr>
      </w:pPr>
    </w:p>
    <w:p w14:paraId="635D7D70">
      <w:pPr>
        <w:snapToGrid w:val="0"/>
        <w:spacing w:before="156"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14A21A71">
      <w:pPr>
        <w:snapToGrid w:val="0"/>
        <w:spacing w:before="156" w:beforeLines="50" w:after="50" w:line="360" w:lineRule="auto"/>
        <w:ind w:right="480" w:firstLine="240" w:firstLineChars="100"/>
        <w:jc w:val="left"/>
        <w:rPr>
          <w:rFonts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2.商务技术文件目录</w:t>
      </w:r>
    </w:p>
    <w:p w14:paraId="29DD11FB">
      <w:pPr>
        <w:snapToGrid w:val="0"/>
        <w:spacing w:before="156" w:beforeLines="50" w:after="50" w:line="360" w:lineRule="auto"/>
        <w:ind w:firstLine="640" w:firstLineChars="200"/>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2107951D">
      <w:pPr>
        <w:spacing w:line="400" w:lineRule="exact"/>
        <w:rPr>
          <w:rFonts w:ascii="仿宋_GB2312" w:hAnsi="仿宋_GB2312" w:eastAsia="仿宋_GB2312" w:cs="仿宋_GB2312"/>
          <w:color w:val="auto"/>
          <w:sz w:val="32"/>
          <w:szCs w:val="32"/>
          <w:highlight w:val="none"/>
        </w:rPr>
      </w:pPr>
    </w:p>
    <w:p w14:paraId="3AF04597">
      <w:pPr>
        <w:spacing w:line="52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无串通竞标行为的承诺函</w:t>
      </w:r>
    </w:p>
    <w:p w14:paraId="2EAA7358">
      <w:pPr>
        <w:spacing w:line="360" w:lineRule="auto"/>
        <w:ind w:firstLine="640" w:firstLineChars="200"/>
        <w:contextualSpacing/>
        <w:rPr>
          <w:rFonts w:ascii="仿宋_GB2312" w:hAnsi="仿宋_GB2312" w:eastAsia="仿宋_GB2312" w:cs="仿宋_GB2312"/>
          <w:color w:val="auto"/>
          <w:sz w:val="32"/>
          <w:szCs w:val="32"/>
          <w:highlight w:val="none"/>
        </w:rPr>
      </w:pPr>
    </w:p>
    <w:p w14:paraId="5C17C75E">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r>
        <w:rPr>
          <w:rFonts w:hint="eastAsia" w:ascii="宋体" w:hAnsi="宋体" w:cs="仿宋_GB2312"/>
          <w:bCs/>
          <w:color w:val="auto"/>
          <w:sz w:val="24"/>
          <w:highlight w:val="none"/>
        </w:rPr>
        <w:t>：</w:t>
      </w:r>
    </w:p>
    <w:p w14:paraId="1748372B">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 xml:space="preserve">1.不同供应商的响应文件由同一单位或者个人编制； </w:t>
      </w:r>
    </w:p>
    <w:p w14:paraId="4879342D">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6CD38E18">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14:paraId="0AFF1034">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14:paraId="761D5A80">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5F25E8DE">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14:paraId="4C637CF7">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r>
        <w:rPr>
          <w:rFonts w:hint="eastAsia" w:ascii="宋体" w:hAnsi="宋体" w:cs="仿宋_GB2312"/>
          <w:bCs/>
          <w:color w:val="auto"/>
          <w:sz w:val="24"/>
          <w:highlight w:val="none"/>
        </w:rPr>
        <w:t>：</w:t>
      </w:r>
    </w:p>
    <w:p w14:paraId="1FBDF449">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55516537">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2EA4E0DF">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0653A873">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52720AA9">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7C0FC8C9">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0496CD98">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2859FC63">
      <w:pPr>
        <w:spacing w:line="360" w:lineRule="auto"/>
        <w:ind w:firstLine="480" w:firstLineChars="200"/>
        <w:contextualSpacing/>
        <w:rPr>
          <w:rFonts w:ascii="宋体" w:hAnsi="宋体" w:cs="仿宋_GB2312"/>
          <w:color w:val="auto"/>
          <w:sz w:val="24"/>
          <w:highlight w:val="none"/>
        </w:rPr>
      </w:pPr>
    </w:p>
    <w:p w14:paraId="1F343656">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311548F3">
      <w:pPr>
        <w:spacing w:line="360" w:lineRule="auto"/>
        <w:contextualSpacing/>
        <w:rPr>
          <w:rFonts w:ascii="宋体" w:hAnsi="宋体" w:cs="仿宋_GB2312"/>
          <w:color w:val="auto"/>
          <w:sz w:val="24"/>
          <w:highlight w:val="none"/>
        </w:rPr>
      </w:pPr>
    </w:p>
    <w:p w14:paraId="189C659A">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供应商名称（电子签章）：</w:t>
      </w:r>
    </w:p>
    <w:p w14:paraId="42F277D2">
      <w:pPr>
        <w:spacing w:line="360" w:lineRule="auto"/>
        <w:ind w:firstLine="480" w:firstLineChars="200"/>
        <w:contextualSpacing/>
        <w:jc w:val="center"/>
        <w:rPr>
          <w:rFonts w:ascii="仿宋_GB2312" w:hAnsi="仿宋_GB2312" w:eastAsia="仿宋_GB2312" w:cs="仿宋_GB2312"/>
          <w:color w:val="auto"/>
          <w:sz w:val="32"/>
          <w:szCs w:val="32"/>
          <w:highlight w:val="none"/>
        </w:rPr>
      </w:pPr>
      <w:r>
        <w:rPr>
          <w:rFonts w:hint="eastAsia" w:ascii="宋体" w:hAnsi="宋体" w:cs="仿宋_GB2312"/>
          <w:color w:val="auto"/>
          <w:sz w:val="24"/>
          <w:highlight w:val="none"/>
        </w:rPr>
        <w:t xml:space="preserve">                               年   月   日</w:t>
      </w:r>
    </w:p>
    <w:p w14:paraId="6AEB99F0">
      <w:pPr>
        <w:spacing w:line="52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法定代表人证明书</w:t>
      </w:r>
    </w:p>
    <w:p w14:paraId="6B7D868B">
      <w:pPr>
        <w:spacing w:line="360" w:lineRule="auto"/>
        <w:ind w:left="540"/>
        <w:contextualSpacing/>
        <w:rPr>
          <w:rFonts w:ascii="仿宋_GB2312" w:hAnsi="仿宋_GB2312" w:eastAsia="仿宋_GB2312" w:cs="仿宋_GB2312"/>
          <w:color w:val="auto"/>
          <w:sz w:val="32"/>
          <w:szCs w:val="32"/>
          <w:highlight w:val="none"/>
        </w:rPr>
      </w:pPr>
    </w:p>
    <w:p w14:paraId="499F7429">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p>
    <w:p w14:paraId="053837DE">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地    址：</w:t>
      </w:r>
    </w:p>
    <w:p w14:paraId="58C3F37F">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姓    名：性     别：</w:t>
      </w:r>
    </w:p>
    <w:p w14:paraId="706143A6">
      <w:pPr>
        <w:spacing w:line="360" w:lineRule="auto"/>
        <w:ind w:left="540"/>
        <w:contextualSpacing/>
        <w:rPr>
          <w:rFonts w:ascii="宋体" w:hAnsi="宋体" w:cs="仿宋_GB2312"/>
          <w:color w:val="auto"/>
          <w:sz w:val="24"/>
          <w:highlight w:val="none"/>
          <w:u w:val="single"/>
        </w:rPr>
      </w:pPr>
      <w:r>
        <w:rPr>
          <w:rFonts w:hint="eastAsia" w:ascii="宋体" w:hAnsi="宋体" w:cs="仿宋_GB2312"/>
          <w:color w:val="auto"/>
          <w:sz w:val="24"/>
          <w:highlight w:val="none"/>
        </w:rPr>
        <w:t>年    龄：职     务：</w:t>
      </w:r>
    </w:p>
    <w:p w14:paraId="5E6D2273">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身份证号码：</w:t>
      </w:r>
    </w:p>
    <w:p w14:paraId="1BCF8C64">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14:paraId="0449A06A">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特此证明。</w:t>
      </w:r>
    </w:p>
    <w:p w14:paraId="179BABF2">
      <w:pPr>
        <w:spacing w:line="360" w:lineRule="auto"/>
        <w:ind w:left="540"/>
        <w:contextualSpacing/>
        <w:rPr>
          <w:rFonts w:ascii="宋体" w:hAnsi="宋体" w:cs="仿宋_GB2312"/>
          <w:color w:val="auto"/>
          <w:sz w:val="24"/>
          <w:highlight w:val="none"/>
        </w:rPr>
      </w:pPr>
    </w:p>
    <w:p w14:paraId="4A20278C">
      <w:pPr>
        <w:spacing w:line="360" w:lineRule="auto"/>
        <w:ind w:left="540"/>
        <w:contextualSpacing/>
        <w:rPr>
          <w:rFonts w:ascii="宋体" w:hAnsi="宋体" w:cs="仿宋_GB2312"/>
          <w:color w:val="auto"/>
          <w:sz w:val="24"/>
          <w:highlight w:val="none"/>
        </w:rPr>
      </w:pPr>
    </w:p>
    <w:p w14:paraId="4E9A0E62">
      <w:pPr>
        <w:spacing w:line="360" w:lineRule="auto"/>
        <w:ind w:left="540"/>
        <w:contextualSpacing/>
        <w:rPr>
          <w:rFonts w:ascii="宋体" w:hAnsi="宋体" w:cs="仿宋_GB2312"/>
          <w:color w:val="auto"/>
          <w:sz w:val="24"/>
          <w:highlight w:val="none"/>
        </w:rPr>
      </w:pPr>
    </w:p>
    <w:p w14:paraId="0726AE5B">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71FB89FC">
      <w:pPr>
        <w:spacing w:line="360" w:lineRule="auto"/>
        <w:ind w:left="540"/>
        <w:contextualSpacing/>
        <w:rPr>
          <w:rFonts w:ascii="宋体" w:hAnsi="宋体" w:cs="仿宋_GB2312"/>
          <w:color w:val="auto"/>
          <w:sz w:val="24"/>
          <w:highlight w:val="none"/>
        </w:rPr>
      </w:pPr>
    </w:p>
    <w:p w14:paraId="59E979D6">
      <w:pPr>
        <w:spacing w:line="360" w:lineRule="auto"/>
        <w:ind w:left="540"/>
        <w:contextualSpacing/>
        <w:jc w:val="right"/>
        <w:rPr>
          <w:rFonts w:ascii="宋体" w:hAnsi="宋体" w:cs="仿宋_GB2312"/>
          <w:color w:val="auto"/>
          <w:sz w:val="24"/>
          <w:highlight w:val="none"/>
        </w:rPr>
      </w:pPr>
      <w:r>
        <w:rPr>
          <w:rFonts w:hint="eastAsia" w:ascii="宋体" w:hAnsi="宋体" w:cs="仿宋_GB2312"/>
          <w:color w:val="auto"/>
          <w:sz w:val="24"/>
          <w:highlight w:val="none"/>
        </w:rPr>
        <w:t>供应商名称（电子签章）：</w:t>
      </w:r>
    </w:p>
    <w:p w14:paraId="6CF3F928">
      <w:pPr>
        <w:spacing w:line="360" w:lineRule="auto"/>
        <w:ind w:firstLine="4080" w:firstLineChars="1700"/>
        <w:contextualSpacing/>
        <w:rPr>
          <w:rFonts w:ascii="宋体" w:hAnsi="宋体" w:cs="仿宋_GB2312"/>
          <w:color w:val="auto"/>
          <w:sz w:val="24"/>
          <w:highlight w:val="none"/>
        </w:rPr>
      </w:pPr>
      <w:r>
        <w:rPr>
          <w:rFonts w:hint="eastAsia" w:ascii="宋体" w:hAnsi="宋体" w:cs="仿宋_GB2312"/>
          <w:color w:val="auto"/>
          <w:sz w:val="24"/>
          <w:highlight w:val="none"/>
        </w:rPr>
        <w:t>年月日</w:t>
      </w:r>
    </w:p>
    <w:p w14:paraId="66AA5B61">
      <w:pPr>
        <w:spacing w:line="360" w:lineRule="auto"/>
        <w:contextualSpacing/>
        <w:jc w:val="center"/>
        <w:rPr>
          <w:rFonts w:ascii="宋体" w:hAnsi="宋体" w:cs="仿宋_GB2312"/>
          <w:b/>
          <w:color w:val="auto"/>
          <w:sz w:val="24"/>
          <w:highlight w:val="none"/>
        </w:rPr>
      </w:pPr>
    </w:p>
    <w:p w14:paraId="30808F27">
      <w:pPr>
        <w:spacing w:line="360" w:lineRule="auto"/>
        <w:contextualSpacing/>
        <w:jc w:val="left"/>
        <w:rPr>
          <w:rFonts w:ascii="宋体" w:hAnsi="宋体" w:cs="仿宋_GB2312"/>
          <w:color w:val="auto"/>
          <w:sz w:val="24"/>
          <w:highlight w:val="none"/>
        </w:rPr>
      </w:pPr>
    </w:p>
    <w:p w14:paraId="4F0088C2">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注：自然人竞标的无需提供，联合体竞标的只需牵头人出具。</w:t>
      </w:r>
    </w:p>
    <w:p w14:paraId="628B6027">
      <w:pPr>
        <w:adjustRightInd w:val="0"/>
        <w:snapToGrid w:val="0"/>
        <w:spacing w:line="300" w:lineRule="auto"/>
        <w:jc w:val="left"/>
        <w:rPr>
          <w:rFonts w:ascii="宋体" w:hAnsi="宋体"/>
          <w:b/>
          <w:color w:val="auto"/>
          <w:szCs w:val="21"/>
          <w:highlight w:val="none"/>
        </w:rPr>
      </w:pPr>
    </w:p>
    <w:p w14:paraId="17F4A4AB">
      <w:pPr>
        <w:spacing w:line="5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p>
    <w:p w14:paraId="1F5DE833">
      <w:pPr>
        <w:spacing w:line="520" w:lineRule="exact"/>
        <w:jc w:val="center"/>
        <w:rPr>
          <w:rFonts w:ascii="方正小标宋简体" w:hAnsi="方正小标宋简体" w:eastAsia="方正小标宋简体" w:cs="方正小标宋简体"/>
          <w:color w:val="auto"/>
          <w:sz w:val="44"/>
          <w:szCs w:val="44"/>
          <w:highlight w:val="none"/>
        </w:rPr>
      </w:pPr>
      <w:bookmarkStart w:id="84" w:name="_Hlk65853643"/>
      <w:r>
        <w:rPr>
          <w:rFonts w:hint="eastAsia" w:ascii="方正小标宋简体" w:hAnsi="方正小标宋简体" w:eastAsia="方正小标宋简体" w:cs="方正小标宋简体"/>
          <w:color w:val="auto"/>
          <w:sz w:val="44"/>
          <w:szCs w:val="44"/>
          <w:highlight w:val="none"/>
        </w:rPr>
        <w:t>授权委托书</w:t>
      </w:r>
    </w:p>
    <w:p w14:paraId="70A1A937">
      <w:pPr>
        <w:spacing w:line="520" w:lineRule="exact"/>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（非联合体竞标格式）</w:t>
      </w:r>
    </w:p>
    <w:p w14:paraId="04E5A822">
      <w:pPr>
        <w:spacing w:line="52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14:paraId="796FCB48">
      <w:pPr>
        <w:spacing w:line="520" w:lineRule="exact"/>
        <w:rPr>
          <w:rFonts w:ascii="仿宋_GB2312" w:hAnsi="仿宋_GB2312" w:eastAsia="仿宋_GB2312" w:cs="仿宋_GB2312"/>
          <w:color w:val="auto"/>
          <w:sz w:val="32"/>
          <w:szCs w:val="32"/>
          <w:highlight w:val="none"/>
        </w:rPr>
      </w:pPr>
    </w:p>
    <w:p w14:paraId="50D68C6E">
      <w:pPr>
        <w:spacing w:line="360" w:lineRule="auto"/>
        <w:rPr>
          <w:rFonts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51D63ACA">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t>（法定代表人/□负责人/□自然人本人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以我方的名义参加项目的竞标活动，并代表我方全权办理针对上述项目的所有采购程序和环节的具体事务和签署相关文件。</w:t>
      </w:r>
    </w:p>
    <w:p w14:paraId="229A47A1">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我方对委托代理人的签字</w:t>
      </w:r>
      <w:r>
        <w:rPr>
          <w:rFonts w:hint="eastAsia" w:ascii="宋体" w:hAnsi="宋体"/>
          <w:color w:val="auto"/>
          <w:sz w:val="24"/>
          <w:highlight w:val="none"/>
        </w:rPr>
        <w:t>或者电子签名</w:t>
      </w:r>
      <w:r>
        <w:rPr>
          <w:rFonts w:hint="eastAsia" w:ascii="宋体" w:hAnsi="宋体" w:cs="仿宋_GB2312"/>
          <w:color w:val="auto"/>
          <w:sz w:val="24"/>
          <w:highlight w:val="none"/>
        </w:rPr>
        <w:t>事项负全部责任。</w:t>
      </w:r>
    </w:p>
    <w:p w14:paraId="13BAA2B7">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7A00F4EF">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11C16658">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437FF8A3">
      <w:pPr>
        <w:spacing w:line="360" w:lineRule="auto"/>
        <w:rPr>
          <w:rFonts w:ascii="宋体" w:hAnsi="宋体" w:cs="仿宋_GB2312"/>
          <w:color w:val="auto"/>
          <w:sz w:val="24"/>
          <w:highlight w:val="none"/>
        </w:rPr>
      </w:pPr>
    </w:p>
    <w:p w14:paraId="1F7267AC">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委托代理人（</w:t>
      </w:r>
      <w:r>
        <w:rPr>
          <w:rFonts w:hint="eastAsia" w:ascii="宋体" w:hAnsi="宋体"/>
          <w:color w:val="auto"/>
          <w:sz w:val="24"/>
          <w:highlight w:val="none"/>
        </w:rPr>
        <w:t>签字或者电子签名</w:t>
      </w:r>
      <w:r>
        <w:rPr>
          <w:rFonts w:hint="eastAsia" w:ascii="宋体" w:hAnsi="宋体" w:cs="仿宋_GB2312"/>
          <w:color w:val="auto"/>
          <w:sz w:val="24"/>
          <w:highlight w:val="none"/>
        </w:rPr>
        <w:t xml:space="preserve">）：     法定代表人（签字或者盖章或者电子签名）：                    </w:t>
      </w:r>
    </w:p>
    <w:p w14:paraId="02FFFEE4">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31E2164B">
      <w:pPr>
        <w:spacing w:line="360" w:lineRule="auto"/>
        <w:contextualSpacing/>
        <w:rPr>
          <w:rFonts w:ascii="宋体" w:hAnsi="宋体" w:cs="仿宋_GB2312"/>
          <w:color w:val="auto"/>
          <w:sz w:val="24"/>
          <w:highlight w:val="none"/>
        </w:rPr>
      </w:pPr>
    </w:p>
    <w:p w14:paraId="497E0E32">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供应商名称（电子签章）：                      </w:t>
      </w:r>
    </w:p>
    <w:p w14:paraId="03F36192">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年    月    日</w:t>
      </w:r>
    </w:p>
    <w:p w14:paraId="2AF2C381">
      <w:pPr>
        <w:spacing w:line="360" w:lineRule="auto"/>
        <w:rPr>
          <w:rFonts w:ascii="宋体" w:hAnsi="宋体" w:cs="仿宋_GB2312"/>
          <w:color w:val="auto"/>
          <w:sz w:val="24"/>
          <w:highlight w:val="none"/>
        </w:rPr>
      </w:pPr>
    </w:p>
    <w:p w14:paraId="3E42FECF">
      <w:pPr>
        <w:spacing w:line="360" w:lineRule="auto"/>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否则其响应文件按无效响应处理。</w:t>
      </w:r>
    </w:p>
    <w:p w14:paraId="2B3627F6">
      <w:pPr>
        <w:spacing w:line="360" w:lineRule="auto"/>
        <w:ind w:firstLine="480" w:firstLineChars="200"/>
        <w:jc w:val="left"/>
        <w:rPr>
          <w:rFonts w:ascii="宋体" w:hAnsi="宋体" w:cs="仿宋_GB2312"/>
          <w:color w:val="auto"/>
          <w:sz w:val="24"/>
          <w:highlight w:val="none"/>
        </w:rPr>
      </w:pPr>
      <w:r>
        <w:rPr>
          <w:rFonts w:ascii="宋体" w:hAnsi="宋体" w:cs="仿宋_GB2312"/>
          <w:color w:val="auto"/>
          <w:sz w:val="24"/>
          <w:highlight w:val="none"/>
        </w:rPr>
        <w:t>2.</w:t>
      </w:r>
      <w:bookmarkStart w:id="85" w:name="_Hlk65853109"/>
      <w:bookmarkStart w:id="86" w:name="_Hlk65853542"/>
      <w:r>
        <w:rPr>
          <w:rFonts w:hint="eastAsia" w:ascii="宋体" w:hAnsi="宋体" w:cs="仿宋_GB2312"/>
          <w:color w:val="auto"/>
          <w:sz w:val="24"/>
          <w:highlight w:val="none"/>
        </w:rPr>
        <w:t>法人、其他组织竞标时“我方”是指“我单位”，自然人竞标时“我方”是指“本人”。</w:t>
      </w:r>
      <w:bookmarkEnd w:id="85"/>
    </w:p>
    <w:bookmarkEnd w:id="86"/>
    <w:p w14:paraId="57A7DD43">
      <w:pPr>
        <w:spacing w:line="360" w:lineRule="auto"/>
        <w:ind w:firstLine="420" w:firstLineChars="200"/>
        <w:jc w:val="left"/>
        <w:rPr>
          <w:rFonts w:ascii="仿宋_GB2312" w:hAnsi="仿宋_GB2312" w:eastAsia="仿宋_GB2312" w:cs="仿宋_GB2312"/>
          <w:color w:val="auto"/>
          <w:szCs w:val="21"/>
          <w:highlight w:val="none"/>
        </w:rPr>
      </w:pPr>
    </w:p>
    <w:p w14:paraId="5DE02576">
      <w:pPr>
        <w:spacing w:line="500" w:lineRule="exact"/>
        <w:jc w:val="center"/>
        <w:rPr>
          <w:rFonts w:ascii="方正小标宋简体" w:hAnsi="方正小标宋简体" w:eastAsia="方正小标宋简体" w:cs="方正小标宋简体"/>
          <w:color w:val="auto"/>
          <w:sz w:val="44"/>
          <w:szCs w:val="44"/>
          <w:highlight w:val="none"/>
        </w:rPr>
      </w:pPr>
      <w:r>
        <w:rPr>
          <w:rFonts w:ascii="仿宋_GB2312" w:hAnsi="仿宋_GB2312" w:eastAsia="仿宋_GB2312" w:cs="仿宋_GB2312"/>
          <w:color w:val="auto"/>
          <w:szCs w:val="21"/>
          <w:highlight w:val="none"/>
        </w:rPr>
        <w:br w:type="page"/>
      </w:r>
      <w:r>
        <w:rPr>
          <w:rFonts w:hint="eastAsia" w:ascii="方正小标宋简体" w:hAnsi="方正小标宋简体" w:eastAsia="方正小标宋简体" w:cs="方正小标宋简体"/>
          <w:color w:val="auto"/>
          <w:sz w:val="44"/>
          <w:szCs w:val="44"/>
          <w:highlight w:val="none"/>
        </w:rPr>
        <w:t>授权委托书</w:t>
      </w:r>
    </w:p>
    <w:p w14:paraId="7B09FCB3">
      <w:pPr>
        <w:spacing w:line="500" w:lineRule="exact"/>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（联合体竞标格式）</w:t>
      </w:r>
    </w:p>
    <w:p w14:paraId="49306141">
      <w:pPr>
        <w:spacing w:line="5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14:paraId="600FC8C3">
      <w:pPr>
        <w:spacing w:line="500" w:lineRule="exact"/>
        <w:jc w:val="center"/>
        <w:rPr>
          <w:rFonts w:ascii="方正小标宋简体" w:hAnsi="方正小标宋简体" w:eastAsia="方正小标宋简体" w:cs="方正小标宋简体"/>
          <w:color w:val="auto"/>
          <w:sz w:val="44"/>
          <w:szCs w:val="44"/>
          <w:highlight w:val="none"/>
        </w:rPr>
      </w:pPr>
    </w:p>
    <w:p w14:paraId="5895CBFC">
      <w:pPr>
        <w:spacing w:line="500" w:lineRule="exact"/>
        <w:jc w:val="center"/>
        <w:rPr>
          <w:rFonts w:ascii="仿宋_GB2312" w:hAnsi="仿宋_GB2312" w:eastAsia="仿宋_GB2312" w:cs="仿宋_GB2312"/>
          <w:color w:val="auto"/>
          <w:sz w:val="32"/>
          <w:szCs w:val="32"/>
          <w:highlight w:val="none"/>
        </w:rPr>
      </w:pPr>
    </w:p>
    <w:p w14:paraId="05BF7903">
      <w:pPr>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14:paraId="1D92223D">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我方对委托代理人的</w:t>
      </w:r>
      <w:r>
        <w:rPr>
          <w:rFonts w:hint="eastAsia" w:ascii="宋体" w:hAnsi="宋体"/>
          <w:color w:val="auto"/>
          <w:sz w:val="24"/>
          <w:highlight w:val="none"/>
        </w:rPr>
        <w:t>签字或者电子签名</w:t>
      </w:r>
      <w:r>
        <w:rPr>
          <w:rFonts w:hint="eastAsia" w:ascii="宋体" w:hAnsi="宋体" w:cs="仿宋_GB2312"/>
          <w:color w:val="auto"/>
          <w:sz w:val="24"/>
          <w:highlight w:val="none"/>
        </w:rPr>
        <w:t>事项负全部责任。</w:t>
      </w:r>
    </w:p>
    <w:p w14:paraId="0A382FD7">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28900EFE">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399BEF7B">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    附：法定代表人身份证明书及委托代理人有效身份证正反面复印件</w:t>
      </w:r>
    </w:p>
    <w:p w14:paraId="2E3F06EB">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牵头人法定代表人（签字或者盖章或者电子签名）：</w:t>
      </w:r>
    </w:p>
    <w:p w14:paraId="42F938EB">
      <w:pPr>
        <w:spacing w:line="360" w:lineRule="auto"/>
        <w:ind w:firstLine="3120" w:firstLineChars="1300"/>
        <w:contextualSpacing/>
        <w:rPr>
          <w:rFonts w:ascii="宋体" w:hAnsi="宋体" w:cs="仿宋_GB2312"/>
          <w:color w:val="auto"/>
          <w:sz w:val="24"/>
          <w:highlight w:val="none"/>
        </w:rPr>
      </w:pPr>
      <w:r>
        <w:rPr>
          <w:rFonts w:hint="eastAsia" w:ascii="宋体" w:hAnsi="宋体" w:cs="仿宋_GB2312"/>
          <w:color w:val="auto"/>
          <w:sz w:val="24"/>
          <w:highlight w:val="none"/>
        </w:rPr>
        <w:t>牵头人名称（电子签章）：</w:t>
      </w:r>
    </w:p>
    <w:p w14:paraId="6E095726">
      <w:pPr>
        <w:spacing w:line="360" w:lineRule="auto"/>
        <w:ind w:firstLine="3840" w:firstLineChars="16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77614D74">
      <w:pPr>
        <w:spacing w:line="360" w:lineRule="auto"/>
        <w:contextualSpacing/>
        <w:rPr>
          <w:rFonts w:ascii="宋体" w:hAnsi="宋体" w:cs="仿宋_GB2312"/>
          <w:color w:val="auto"/>
          <w:sz w:val="24"/>
          <w:highlight w:val="none"/>
        </w:rPr>
      </w:pPr>
    </w:p>
    <w:p w14:paraId="6AE556B2">
      <w:pPr>
        <w:spacing w:line="360" w:lineRule="auto"/>
        <w:ind w:firstLine="3120" w:firstLineChars="1300"/>
        <w:contextualSpacing/>
        <w:rPr>
          <w:rFonts w:ascii="宋体" w:hAnsi="宋体" w:cs="仿宋_GB2312"/>
          <w:color w:val="auto"/>
          <w:sz w:val="24"/>
          <w:highlight w:val="none"/>
        </w:rPr>
      </w:pPr>
      <w:r>
        <w:rPr>
          <w:rFonts w:hint="eastAsia" w:ascii="宋体" w:hAnsi="宋体" w:cs="仿宋_GB2312"/>
          <w:color w:val="auto"/>
          <w:sz w:val="24"/>
          <w:highlight w:val="none"/>
        </w:rPr>
        <w:t>被授权人（签字或者电子签名）：</w:t>
      </w:r>
    </w:p>
    <w:p w14:paraId="7B3BD8BB">
      <w:pPr>
        <w:spacing w:line="360" w:lineRule="auto"/>
        <w:ind w:firstLine="3840" w:firstLineChars="16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41F677B1">
      <w:pPr>
        <w:spacing w:line="360" w:lineRule="auto"/>
        <w:contextualSpacing/>
        <w:rPr>
          <w:rFonts w:ascii="宋体" w:hAnsi="宋体" w:cs="仿宋_GB2312"/>
          <w:color w:val="auto"/>
          <w:sz w:val="24"/>
          <w:highlight w:val="none"/>
        </w:rPr>
      </w:pPr>
    </w:p>
    <w:p w14:paraId="275AA196">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否则其响应文件按无效响应处理。</w:t>
      </w:r>
    </w:p>
    <w:p w14:paraId="5AF5BAA0">
      <w:pPr>
        <w:spacing w:line="360" w:lineRule="auto"/>
        <w:ind w:firstLine="480" w:firstLineChars="200"/>
        <w:jc w:val="left"/>
        <w:rPr>
          <w:rFonts w:ascii="宋体" w:hAnsi="宋体" w:cs="仿宋_GB2312"/>
          <w:color w:val="auto"/>
          <w:spacing w:val="-11"/>
          <w:sz w:val="24"/>
          <w:highlight w:val="none"/>
        </w:rPr>
      </w:pPr>
      <w:r>
        <w:rPr>
          <w:rFonts w:ascii="宋体" w:hAnsi="宋体" w:cs="仿宋_GB2312"/>
          <w:color w:val="auto"/>
          <w:sz w:val="24"/>
          <w:highlight w:val="none"/>
        </w:rPr>
        <w:t>2.</w:t>
      </w:r>
      <w:r>
        <w:rPr>
          <w:rFonts w:hint="eastAsia" w:ascii="宋体" w:hAnsi="宋体" w:cs="仿宋_GB2312"/>
          <w:color w:val="auto"/>
          <w:sz w:val="24"/>
          <w:highlight w:val="none"/>
        </w:rPr>
        <w:t>法人、其他组织竞标时“我方”是指“我单位”，自然人竞标时“我方”是指“本人”。</w:t>
      </w:r>
    </w:p>
    <w:bookmarkEnd w:id="84"/>
    <w:p w14:paraId="200582BD">
      <w:pPr>
        <w:spacing w:line="500" w:lineRule="exact"/>
        <w:jc w:val="center"/>
        <w:rPr>
          <w:rFonts w:ascii="方正小标宋简体" w:hAnsi="方正小标宋简体" w:eastAsia="方正小标宋简体" w:cs="方正小标宋简体"/>
          <w:bCs/>
          <w:color w:val="auto"/>
          <w:sz w:val="44"/>
          <w:szCs w:val="44"/>
          <w:highlight w:val="none"/>
        </w:rPr>
      </w:pPr>
      <w:r>
        <w:rPr>
          <w:rFonts w:hint="eastAsia" w:ascii="仿宋_GB2312" w:hAnsi="仿宋_GB2312" w:eastAsia="仿宋_GB2312" w:cs="仿宋_GB2312"/>
          <w:color w:val="auto"/>
          <w:sz w:val="32"/>
          <w:szCs w:val="32"/>
          <w:highlight w:val="none"/>
        </w:rPr>
        <w:br w:type="page"/>
      </w:r>
      <w:r>
        <w:rPr>
          <w:rFonts w:hint="eastAsia" w:ascii="方正小标宋简体" w:hAnsi="方正小标宋简体" w:eastAsia="方正小标宋简体" w:cs="方正小标宋简体"/>
          <w:bCs/>
          <w:color w:val="auto"/>
          <w:sz w:val="44"/>
          <w:szCs w:val="44"/>
          <w:highlight w:val="none"/>
        </w:rPr>
        <w:t>商务要求偏离表格式</w:t>
      </w:r>
    </w:p>
    <w:p w14:paraId="0E7554BF">
      <w:pPr>
        <w:spacing w:line="500" w:lineRule="exact"/>
        <w:jc w:val="center"/>
        <w:rPr>
          <w:rFonts w:ascii="宋体" w:hAnsi="宋体"/>
          <w:b/>
          <w:color w:val="auto"/>
          <w:sz w:val="32"/>
          <w:szCs w:val="32"/>
          <w:highlight w:val="none"/>
        </w:rPr>
      </w:pPr>
      <w:r>
        <w:rPr>
          <w:rFonts w:hint="eastAsia" w:ascii="方正小标宋简体" w:hAnsi="方正小标宋简体" w:eastAsia="方正小标宋简体" w:cs="方正小标宋简体"/>
          <w:bCs/>
          <w:color w:val="auto"/>
          <w:sz w:val="32"/>
          <w:szCs w:val="32"/>
          <w:highlight w:val="none"/>
        </w:rPr>
        <w:t>（注：按采购需求具体条款修改）</w:t>
      </w:r>
    </w:p>
    <w:p w14:paraId="4640CCD2">
      <w:pPr>
        <w:spacing w:line="360" w:lineRule="auto"/>
        <w:contextualSpacing/>
        <w:jc w:val="left"/>
        <w:rPr>
          <w:rFonts w:ascii="宋体" w:hAnsi="宋体"/>
          <w:color w:val="auto"/>
          <w:sz w:val="24"/>
          <w:highlight w:val="none"/>
        </w:rPr>
      </w:pPr>
    </w:p>
    <w:p w14:paraId="3EFE7F49">
      <w:pPr>
        <w:pStyle w:val="18"/>
        <w:spacing w:line="360" w:lineRule="auto"/>
        <w:contextualSpacing/>
        <w:rPr>
          <w:rFonts w:hAnsi="宋体" w:cs="仿宋_GB2312"/>
          <w:color w:val="auto"/>
          <w:sz w:val="24"/>
          <w:szCs w:val="24"/>
          <w:highlight w:val="none"/>
        </w:rPr>
      </w:pPr>
      <w:r>
        <w:rPr>
          <w:rFonts w:hint="eastAsia" w:hAnsi="宋体" w:cs="仿宋_GB2312"/>
          <w:color w:val="auto"/>
          <w:sz w:val="24"/>
          <w:szCs w:val="24"/>
          <w:highlight w:val="none"/>
        </w:rPr>
        <w:t>所竞分标：</w:t>
      </w:r>
    </w:p>
    <w:p w14:paraId="4465FC0B">
      <w:pPr>
        <w:spacing w:line="360" w:lineRule="auto"/>
        <w:contextualSpacing/>
        <w:jc w:val="left"/>
        <w:rPr>
          <w:rFonts w:ascii="宋体" w:hAnsi="宋体" w:cs="仿宋_GB2312"/>
          <w:color w:val="auto"/>
          <w:sz w:val="24"/>
          <w:highlight w:val="none"/>
          <w:u w:val="single"/>
        </w:rPr>
      </w:pPr>
    </w:p>
    <w:tbl>
      <w:tblPr>
        <w:tblStyle w:val="28"/>
        <w:tblpPr w:leftFromText="180" w:rightFromText="180" w:vertAnchor="text" w:horzAnchor="margin" w:tblpY="-9"/>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28DB7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2178" w:type="dxa"/>
            <w:tcBorders>
              <w:top w:val="single" w:color="auto" w:sz="4" w:space="0"/>
              <w:left w:val="single" w:color="auto" w:sz="4" w:space="0"/>
              <w:bottom w:val="single" w:color="auto" w:sz="4" w:space="0"/>
              <w:right w:val="single" w:color="auto" w:sz="4" w:space="0"/>
            </w:tcBorders>
            <w:vAlign w:val="center"/>
          </w:tcPr>
          <w:p w14:paraId="17831AC0">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1BA5E8AE">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磋商文件商务要求</w:t>
            </w:r>
          </w:p>
        </w:tc>
        <w:tc>
          <w:tcPr>
            <w:tcW w:w="2350" w:type="dxa"/>
            <w:tcBorders>
              <w:top w:val="single" w:color="auto" w:sz="4" w:space="0"/>
              <w:left w:val="single" w:color="auto" w:sz="4" w:space="0"/>
              <w:bottom w:val="single" w:color="auto" w:sz="4" w:space="0"/>
              <w:right w:val="single" w:color="auto" w:sz="4" w:space="0"/>
            </w:tcBorders>
            <w:vAlign w:val="center"/>
          </w:tcPr>
          <w:p w14:paraId="46DC2624">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供应商的响应</w:t>
            </w:r>
          </w:p>
        </w:tc>
        <w:tc>
          <w:tcPr>
            <w:tcW w:w="2112" w:type="dxa"/>
            <w:tcBorders>
              <w:top w:val="single" w:color="auto" w:sz="4" w:space="0"/>
              <w:left w:val="single" w:color="auto" w:sz="4" w:space="0"/>
              <w:bottom w:val="single" w:color="auto" w:sz="4" w:space="0"/>
              <w:right w:val="single" w:color="auto" w:sz="4" w:space="0"/>
            </w:tcBorders>
            <w:vAlign w:val="center"/>
          </w:tcPr>
          <w:p w14:paraId="06AFFF22">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偏离说明</w:t>
            </w:r>
          </w:p>
        </w:tc>
      </w:tr>
      <w:tr w14:paraId="60B01E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78" w:type="dxa"/>
            <w:tcBorders>
              <w:top w:val="single" w:color="auto" w:sz="4" w:space="0"/>
              <w:left w:val="single" w:color="auto" w:sz="4" w:space="0"/>
              <w:bottom w:val="single" w:color="auto" w:sz="4" w:space="0"/>
              <w:right w:val="single" w:color="auto" w:sz="4" w:space="0"/>
            </w:tcBorders>
            <w:vAlign w:val="center"/>
          </w:tcPr>
          <w:p w14:paraId="07511482">
            <w:pPr>
              <w:jc w:val="center"/>
              <w:rPr>
                <w:rFonts w:ascii="宋体" w:hAnsi="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4C8C6EE1">
            <w:pPr>
              <w:spacing w:line="360" w:lineRule="auto"/>
              <w:contextualSpacing/>
              <w:jc w:val="center"/>
              <w:rPr>
                <w:rFonts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42869BA9">
            <w:pPr>
              <w:spacing w:line="360" w:lineRule="auto"/>
              <w:contextualSpacing/>
              <w:jc w:val="center"/>
              <w:rPr>
                <w:rFonts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410E67C7">
            <w:pPr>
              <w:spacing w:line="360" w:lineRule="auto"/>
              <w:contextualSpacing/>
              <w:jc w:val="center"/>
              <w:rPr>
                <w:rFonts w:ascii="宋体" w:hAnsi="宋体" w:cs="仿宋_GB2312"/>
                <w:color w:val="auto"/>
                <w:sz w:val="24"/>
                <w:highlight w:val="none"/>
              </w:rPr>
            </w:pPr>
          </w:p>
        </w:tc>
      </w:tr>
      <w:tr w14:paraId="6538FF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2178" w:type="dxa"/>
            <w:tcBorders>
              <w:top w:val="single" w:color="auto" w:sz="4" w:space="0"/>
              <w:left w:val="single" w:color="auto" w:sz="4" w:space="0"/>
              <w:bottom w:val="single" w:color="auto" w:sz="4" w:space="0"/>
              <w:right w:val="single" w:color="auto" w:sz="4" w:space="0"/>
            </w:tcBorders>
            <w:vAlign w:val="center"/>
          </w:tcPr>
          <w:p w14:paraId="5F9977D5">
            <w:pPr>
              <w:jc w:val="center"/>
              <w:rPr>
                <w:rFonts w:ascii="宋体" w:hAnsi="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1D97016B">
            <w:pPr>
              <w:spacing w:line="360" w:lineRule="auto"/>
              <w:contextualSpacing/>
              <w:jc w:val="center"/>
              <w:rPr>
                <w:rFonts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451E33F2">
            <w:pPr>
              <w:spacing w:line="360" w:lineRule="auto"/>
              <w:ind w:left="43"/>
              <w:contextualSpacing/>
              <w:jc w:val="center"/>
              <w:rPr>
                <w:rFonts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32BBAF18">
            <w:pPr>
              <w:spacing w:line="360" w:lineRule="auto"/>
              <w:ind w:left="43"/>
              <w:contextualSpacing/>
              <w:jc w:val="center"/>
              <w:rPr>
                <w:rFonts w:ascii="宋体" w:hAnsi="宋体" w:cs="仿宋_GB2312"/>
                <w:color w:val="auto"/>
                <w:sz w:val="24"/>
                <w:highlight w:val="none"/>
              </w:rPr>
            </w:pPr>
          </w:p>
        </w:tc>
      </w:tr>
      <w:tr w14:paraId="53778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2178" w:type="dxa"/>
            <w:tcBorders>
              <w:top w:val="single" w:color="auto" w:sz="4" w:space="0"/>
              <w:left w:val="single" w:color="auto" w:sz="4" w:space="0"/>
              <w:bottom w:val="single" w:color="auto" w:sz="4" w:space="0"/>
              <w:right w:val="single" w:color="auto" w:sz="4" w:space="0"/>
            </w:tcBorders>
            <w:vAlign w:val="center"/>
          </w:tcPr>
          <w:p w14:paraId="56BF7A52">
            <w:pPr>
              <w:spacing w:line="360" w:lineRule="auto"/>
              <w:contextualSpacing/>
              <w:jc w:val="center"/>
              <w:rPr>
                <w:rFonts w:ascii="宋体" w:hAnsi="宋体" w:cs="仿宋_GB2312"/>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0AC4775B">
            <w:pPr>
              <w:spacing w:line="360" w:lineRule="auto"/>
              <w:contextualSpacing/>
              <w:jc w:val="center"/>
              <w:rPr>
                <w:rFonts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2E239030">
            <w:pPr>
              <w:spacing w:line="360" w:lineRule="auto"/>
              <w:contextualSpacing/>
              <w:jc w:val="center"/>
              <w:rPr>
                <w:rFonts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255F48C5">
            <w:pPr>
              <w:spacing w:line="360" w:lineRule="auto"/>
              <w:contextualSpacing/>
              <w:jc w:val="center"/>
              <w:rPr>
                <w:rFonts w:ascii="宋体" w:hAnsi="宋体" w:cs="仿宋_GB2312"/>
                <w:color w:val="auto"/>
                <w:sz w:val="24"/>
                <w:highlight w:val="none"/>
              </w:rPr>
            </w:pPr>
          </w:p>
        </w:tc>
      </w:tr>
    </w:tbl>
    <w:p w14:paraId="2B1F77A1">
      <w:pPr>
        <w:pStyle w:val="15"/>
        <w:spacing w:after="0" w:line="360" w:lineRule="auto"/>
        <w:contextualSpacing/>
        <w:rPr>
          <w:rFonts w:ascii="宋体" w:hAnsi="宋体"/>
          <w:color w:val="auto"/>
          <w:kern w:val="0"/>
          <w:sz w:val="24"/>
          <w:szCs w:val="24"/>
          <w:highlight w:val="none"/>
        </w:rPr>
      </w:pPr>
      <w:r>
        <w:rPr>
          <w:rFonts w:hint="eastAsia" w:ascii="宋体" w:hAnsi="宋体"/>
          <w:color w:val="auto"/>
          <w:kern w:val="0"/>
          <w:sz w:val="24"/>
          <w:szCs w:val="24"/>
          <w:highlight w:val="none"/>
        </w:rPr>
        <w:t>注：</w:t>
      </w:r>
    </w:p>
    <w:p w14:paraId="713D19E7">
      <w:pPr>
        <w:pStyle w:val="15"/>
        <w:spacing w:after="0" w:line="360" w:lineRule="auto"/>
        <w:contextualSpacing/>
        <w:rPr>
          <w:rFonts w:ascii="宋体" w:hAnsi="宋体"/>
          <w:color w:val="auto"/>
          <w:kern w:val="0"/>
          <w:sz w:val="24"/>
          <w:szCs w:val="24"/>
          <w:highlight w:val="none"/>
        </w:rPr>
      </w:pPr>
      <w:r>
        <w:rPr>
          <w:rFonts w:hint="eastAsia" w:ascii="宋体" w:hAnsi="宋体"/>
          <w:color w:val="auto"/>
          <w:kern w:val="0"/>
          <w:sz w:val="24"/>
          <w:szCs w:val="24"/>
          <w:highlight w:val="none"/>
        </w:rPr>
        <w:t>1. 说明：应对照磋商文件“第三章 采购需求”中的“商务要求”逐条作出明确响应，并作出偏离说明。</w:t>
      </w:r>
    </w:p>
    <w:p w14:paraId="50179885">
      <w:pPr>
        <w:spacing w:line="360" w:lineRule="auto"/>
        <w:contextualSpacing/>
        <w:jc w:val="left"/>
        <w:rPr>
          <w:rFonts w:ascii="宋体" w:hAnsi="宋体" w:cs="仿宋_GB2312"/>
          <w:color w:val="auto"/>
          <w:sz w:val="24"/>
          <w:highlight w:val="none"/>
          <w:u w:val="single"/>
        </w:rPr>
      </w:pPr>
      <w:r>
        <w:rPr>
          <w:rFonts w:hint="eastAsia" w:ascii="宋体" w:hAnsi="宋体"/>
          <w:color w:val="auto"/>
          <w:kern w:val="0"/>
          <w:sz w:val="24"/>
          <w:highlight w:val="none"/>
        </w:rPr>
        <w:t>2.供应商应根据自身的承诺，对照磋商文件要求在“偏离说明”中注明“正偏离”、“负偏离”或者“无偏离”。既不属于“正偏离”也不属于“负偏离”即为“无偏离”。</w:t>
      </w:r>
    </w:p>
    <w:p w14:paraId="34430BD8">
      <w:pPr>
        <w:spacing w:line="360" w:lineRule="auto"/>
        <w:ind w:right="-817" w:rightChars="-389"/>
        <w:contextualSpacing/>
        <w:rPr>
          <w:rFonts w:ascii="宋体" w:hAnsi="宋体" w:cs="仿宋_GB2312"/>
          <w:color w:val="auto"/>
          <w:sz w:val="24"/>
          <w:highlight w:val="none"/>
        </w:rPr>
      </w:pPr>
    </w:p>
    <w:p w14:paraId="0B2A3C08">
      <w:pPr>
        <w:spacing w:line="360" w:lineRule="auto"/>
        <w:ind w:right="-817" w:rightChars="-389"/>
        <w:contextualSpacing/>
        <w:jc w:val="center"/>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6E4DBB39">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供应商名称（电子签章）：      </w:t>
      </w:r>
    </w:p>
    <w:p w14:paraId="37145C04">
      <w:pPr>
        <w:spacing w:line="360" w:lineRule="auto"/>
        <w:ind w:right="-817" w:rightChars="-389" w:firstLine="4080" w:firstLineChars="1700"/>
        <w:contextualSpacing/>
        <w:rPr>
          <w:rFonts w:ascii="仿宋_GB2312" w:hAnsi="仿宋_GB2312" w:eastAsia="仿宋_GB2312" w:cs="仿宋_GB2312"/>
          <w:b/>
          <w:color w:val="auto"/>
          <w:sz w:val="32"/>
          <w:szCs w:val="32"/>
          <w:highlight w:val="none"/>
        </w:rPr>
      </w:pPr>
      <w:r>
        <w:rPr>
          <w:rFonts w:hint="eastAsia" w:ascii="宋体" w:hAnsi="宋体" w:cs="仿宋_GB2312"/>
          <w:color w:val="auto"/>
          <w:sz w:val="24"/>
          <w:highlight w:val="none"/>
        </w:rPr>
        <w:t>日期：   年   月   日</w:t>
      </w:r>
    </w:p>
    <w:p w14:paraId="231AC4EB">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55013F71">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2BEBA440">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0A08E8B2">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12D3A60B">
      <w:pPr>
        <w:adjustRightInd w:val="0"/>
        <w:snapToGrid w:val="0"/>
        <w:spacing w:line="520" w:lineRule="exact"/>
        <w:rPr>
          <w:rFonts w:ascii="宋体" w:hAnsi="宋体"/>
          <w:color w:val="auto"/>
          <w:szCs w:val="21"/>
          <w:highlight w:val="none"/>
          <w:u w:val="single"/>
        </w:rPr>
      </w:pPr>
    </w:p>
    <w:p w14:paraId="5C95C25F">
      <w:pPr>
        <w:adjustRightInd w:val="0"/>
        <w:snapToGrid w:val="0"/>
        <w:spacing w:line="300" w:lineRule="auto"/>
        <w:jc w:val="center"/>
        <w:rPr>
          <w:rFonts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rPr>
        <w:br w:type="page"/>
      </w:r>
    </w:p>
    <w:p w14:paraId="784E9033">
      <w:pPr>
        <w:adjustRightInd w:val="0"/>
        <w:snapToGrid w:val="0"/>
        <w:spacing w:line="300" w:lineRule="auto"/>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技术要求偏离表</w:t>
      </w:r>
    </w:p>
    <w:p w14:paraId="78FEDE9F">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采购项目编号：</w:t>
      </w:r>
    </w:p>
    <w:p w14:paraId="64AF81C1">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采购项目名称：</w:t>
      </w:r>
    </w:p>
    <w:p w14:paraId="3C11BD07">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分标号：</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6"/>
        <w:gridCol w:w="915"/>
        <w:gridCol w:w="3038"/>
        <w:gridCol w:w="2734"/>
        <w:gridCol w:w="1492"/>
      </w:tblGrid>
      <w:tr w14:paraId="46EB67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0F8D8F4F">
            <w:pPr>
              <w:pStyle w:val="4"/>
              <w:spacing w:line="360" w:lineRule="auto"/>
              <w:ind w:firstLine="0" w:firstLineChars="0"/>
              <w:contextualSpacing/>
              <w:jc w:val="center"/>
              <w:rPr>
                <w:rFonts w:ascii="宋体" w:hAnsi="宋体" w:eastAsia="宋体" w:cs="仿宋_GB2312"/>
                <w:color w:val="auto"/>
                <w:kern w:val="2"/>
                <w:sz w:val="24"/>
                <w:szCs w:val="24"/>
                <w:highlight w:val="none"/>
              </w:rPr>
            </w:pPr>
            <w:bookmarkStart w:id="87" w:name="_Toc254970729"/>
            <w:bookmarkStart w:id="88" w:name="_Toc254970588"/>
            <w:bookmarkStart w:id="89" w:name="_Toc301781611"/>
            <w:bookmarkStart w:id="90" w:name="_Toc173211900"/>
            <w:bookmarkStart w:id="91" w:name="_Toc295404981"/>
            <w:bookmarkStart w:id="92" w:name="_Toc297193185"/>
            <w:bookmarkStart w:id="93" w:name="_Toc173066401"/>
            <w:bookmarkStart w:id="94" w:name="_Toc383699906"/>
            <w:bookmarkStart w:id="95" w:name="_Toc373333689"/>
            <w:r>
              <w:rPr>
                <w:rFonts w:hint="eastAsia" w:ascii="宋体" w:hAnsi="宋体" w:eastAsia="宋体" w:cs="仿宋_GB2312"/>
                <w:color w:val="auto"/>
                <w:kern w:val="2"/>
                <w:sz w:val="24"/>
                <w:szCs w:val="24"/>
                <w:highlight w:val="none"/>
              </w:rPr>
              <w:t>序号</w:t>
            </w:r>
            <w:bookmarkEnd w:id="87"/>
            <w:bookmarkEnd w:id="88"/>
            <w:bookmarkEnd w:id="89"/>
            <w:bookmarkEnd w:id="90"/>
            <w:bookmarkEnd w:id="91"/>
            <w:bookmarkEnd w:id="92"/>
            <w:bookmarkEnd w:id="93"/>
            <w:bookmarkEnd w:id="94"/>
            <w:bookmarkEnd w:id="95"/>
          </w:p>
        </w:tc>
        <w:tc>
          <w:tcPr>
            <w:tcW w:w="915" w:type="dxa"/>
            <w:tcBorders>
              <w:right w:val="single" w:color="auto" w:sz="4" w:space="0"/>
            </w:tcBorders>
            <w:vAlign w:val="center"/>
          </w:tcPr>
          <w:p w14:paraId="44BF9467">
            <w:pPr>
              <w:pStyle w:val="4"/>
              <w:spacing w:line="360" w:lineRule="auto"/>
              <w:ind w:firstLine="0" w:firstLineChars="0"/>
              <w:contextualSpacing/>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名称</w:t>
            </w:r>
          </w:p>
        </w:tc>
        <w:tc>
          <w:tcPr>
            <w:tcW w:w="3038" w:type="dxa"/>
            <w:tcBorders>
              <w:left w:val="single" w:color="auto" w:sz="4" w:space="0"/>
            </w:tcBorders>
            <w:vAlign w:val="center"/>
          </w:tcPr>
          <w:p w14:paraId="04AD10EF">
            <w:pPr>
              <w:pStyle w:val="4"/>
              <w:spacing w:line="360" w:lineRule="auto"/>
              <w:ind w:firstLine="0" w:firstLineChars="0"/>
              <w:contextualSpacing/>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磋商文件技术要求</w:t>
            </w:r>
          </w:p>
        </w:tc>
        <w:tc>
          <w:tcPr>
            <w:tcW w:w="2734" w:type="dxa"/>
            <w:vAlign w:val="center"/>
          </w:tcPr>
          <w:p w14:paraId="7E6F484F">
            <w:pPr>
              <w:pStyle w:val="4"/>
              <w:spacing w:line="360" w:lineRule="auto"/>
              <w:ind w:firstLine="0" w:firstLineChars="0"/>
              <w:contextualSpacing/>
              <w:jc w:val="center"/>
              <w:rPr>
                <w:rFonts w:ascii="宋体" w:hAnsi="宋体" w:eastAsia="宋体" w:cs="仿宋_GB2312"/>
                <w:color w:val="auto"/>
                <w:kern w:val="2"/>
                <w:sz w:val="24"/>
                <w:szCs w:val="24"/>
                <w:highlight w:val="none"/>
              </w:rPr>
            </w:pPr>
            <w:bookmarkStart w:id="96" w:name="_Toc383699908"/>
            <w:bookmarkStart w:id="97" w:name="_Toc373333691"/>
            <w:bookmarkStart w:id="98" w:name="_Toc254970590"/>
            <w:bookmarkStart w:id="99" w:name="_Toc297193187"/>
            <w:bookmarkStart w:id="100" w:name="_Toc301781613"/>
            <w:bookmarkStart w:id="101" w:name="_Toc173211902"/>
            <w:bookmarkStart w:id="102" w:name="_Toc254970731"/>
            <w:bookmarkStart w:id="103" w:name="_Toc173066403"/>
            <w:bookmarkStart w:id="104" w:name="_Toc295404983"/>
            <w:r>
              <w:rPr>
                <w:rFonts w:hint="eastAsia" w:ascii="宋体" w:hAnsi="宋体" w:eastAsia="宋体" w:cs="仿宋_GB2312"/>
                <w:color w:val="auto"/>
                <w:kern w:val="2"/>
                <w:sz w:val="24"/>
                <w:szCs w:val="24"/>
                <w:highlight w:val="none"/>
              </w:rPr>
              <w:t>竞标响应</w:t>
            </w:r>
            <w:bookmarkEnd w:id="96"/>
            <w:bookmarkEnd w:id="97"/>
            <w:bookmarkEnd w:id="98"/>
            <w:bookmarkEnd w:id="99"/>
            <w:bookmarkEnd w:id="100"/>
            <w:bookmarkEnd w:id="101"/>
            <w:bookmarkEnd w:id="102"/>
            <w:bookmarkEnd w:id="103"/>
            <w:bookmarkEnd w:id="104"/>
          </w:p>
        </w:tc>
        <w:tc>
          <w:tcPr>
            <w:tcW w:w="1492" w:type="dxa"/>
            <w:vAlign w:val="center"/>
          </w:tcPr>
          <w:p w14:paraId="0E35F457">
            <w:pPr>
              <w:pStyle w:val="4"/>
              <w:spacing w:line="360" w:lineRule="auto"/>
              <w:ind w:firstLine="0" w:firstLineChars="0"/>
              <w:contextualSpacing/>
              <w:jc w:val="center"/>
              <w:rPr>
                <w:rFonts w:ascii="宋体" w:hAnsi="宋体" w:eastAsia="宋体" w:cs="仿宋_GB2312"/>
                <w:color w:val="auto"/>
                <w:kern w:val="2"/>
                <w:sz w:val="24"/>
                <w:szCs w:val="24"/>
                <w:highlight w:val="none"/>
              </w:rPr>
            </w:pPr>
            <w:bookmarkStart w:id="105" w:name="_Toc173211903"/>
            <w:bookmarkStart w:id="106" w:name="_Toc295404984"/>
            <w:bookmarkStart w:id="107" w:name="_Toc173066404"/>
            <w:bookmarkStart w:id="108" w:name="_Toc301781614"/>
            <w:bookmarkStart w:id="109" w:name="_Toc254970732"/>
            <w:bookmarkStart w:id="110" w:name="_Toc383699909"/>
            <w:bookmarkStart w:id="111" w:name="_Toc373333692"/>
            <w:bookmarkStart w:id="112" w:name="_Toc297193188"/>
            <w:bookmarkStart w:id="113" w:name="_Toc254970591"/>
            <w:r>
              <w:rPr>
                <w:rFonts w:hint="eastAsia" w:ascii="宋体" w:hAnsi="宋体" w:eastAsia="宋体" w:cs="仿宋_GB2312"/>
                <w:color w:val="auto"/>
                <w:kern w:val="2"/>
                <w:sz w:val="24"/>
                <w:szCs w:val="24"/>
                <w:highlight w:val="none"/>
              </w:rPr>
              <w:t>偏离</w:t>
            </w:r>
            <w:bookmarkEnd w:id="105"/>
            <w:bookmarkEnd w:id="106"/>
            <w:bookmarkEnd w:id="107"/>
            <w:bookmarkEnd w:id="108"/>
            <w:bookmarkEnd w:id="109"/>
            <w:bookmarkEnd w:id="110"/>
            <w:bookmarkEnd w:id="111"/>
            <w:bookmarkEnd w:id="112"/>
            <w:bookmarkEnd w:id="113"/>
            <w:bookmarkStart w:id="114" w:name="_Toc383699910"/>
            <w:bookmarkStart w:id="115" w:name="_Toc173066405"/>
            <w:bookmarkStart w:id="116" w:name="_Toc254970592"/>
            <w:bookmarkStart w:id="117" w:name="_Toc373333693"/>
            <w:bookmarkStart w:id="118" w:name="_Toc295404985"/>
            <w:bookmarkStart w:id="119" w:name="_Toc297193189"/>
            <w:bookmarkStart w:id="120" w:name="_Toc173211904"/>
            <w:bookmarkStart w:id="121" w:name="_Toc301781615"/>
            <w:bookmarkStart w:id="122" w:name="_Toc254970733"/>
            <w:r>
              <w:rPr>
                <w:rFonts w:hint="eastAsia" w:ascii="宋体" w:hAnsi="宋体" w:eastAsia="宋体" w:cs="仿宋_GB2312"/>
                <w:color w:val="auto"/>
                <w:kern w:val="2"/>
                <w:sz w:val="24"/>
                <w:szCs w:val="24"/>
                <w:highlight w:val="none"/>
              </w:rPr>
              <w:t>说明</w:t>
            </w:r>
            <w:bookmarkEnd w:id="114"/>
            <w:bookmarkEnd w:id="115"/>
            <w:bookmarkEnd w:id="116"/>
            <w:bookmarkEnd w:id="117"/>
            <w:bookmarkEnd w:id="118"/>
            <w:bookmarkEnd w:id="119"/>
            <w:bookmarkEnd w:id="120"/>
            <w:bookmarkEnd w:id="121"/>
            <w:bookmarkEnd w:id="122"/>
          </w:p>
        </w:tc>
      </w:tr>
      <w:tr w14:paraId="3F0EA1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5000A867">
            <w:pPr>
              <w:pStyle w:val="4"/>
              <w:spacing w:line="360" w:lineRule="auto"/>
              <w:ind w:firstLine="0" w:firstLineChars="0"/>
              <w:contextualSpacing/>
              <w:jc w:val="center"/>
              <w:rPr>
                <w:rFonts w:ascii="宋体" w:hAnsi="宋体" w:eastAsia="宋体" w:cs="仿宋_GB2312"/>
                <w:color w:val="auto"/>
                <w:kern w:val="2"/>
                <w:sz w:val="24"/>
                <w:szCs w:val="24"/>
                <w:highlight w:val="none"/>
              </w:rPr>
            </w:pPr>
            <w:bookmarkStart w:id="123" w:name="_Toc254970593"/>
            <w:bookmarkStart w:id="124" w:name="_Toc301781616"/>
            <w:bookmarkStart w:id="125" w:name="_Toc383699911"/>
            <w:bookmarkStart w:id="126" w:name="_Toc173066406"/>
            <w:bookmarkStart w:id="127" w:name="_Toc297193190"/>
            <w:bookmarkStart w:id="128" w:name="_Toc373333694"/>
            <w:bookmarkStart w:id="129" w:name="_Toc173211905"/>
            <w:bookmarkStart w:id="130" w:name="_Toc254970734"/>
            <w:bookmarkStart w:id="131" w:name="_Toc295404986"/>
            <w:r>
              <w:rPr>
                <w:rFonts w:hint="eastAsia" w:ascii="宋体" w:hAnsi="宋体" w:eastAsia="宋体" w:cs="仿宋_GB2312"/>
                <w:color w:val="auto"/>
                <w:kern w:val="2"/>
                <w:sz w:val="24"/>
                <w:szCs w:val="24"/>
                <w:highlight w:val="none"/>
              </w:rPr>
              <w:t>1</w:t>
            </w:r>
            <w:bookmarkEnd w:id="123"/>
            <w:bookmarkEnd w:id="124"/>
            <w:bookmarkEnd w:id="125"/>
            <w:bookmarkEnd w:id="126"/>
            <w:bookmarkEnd w:id="127"/>
            <w:bookmarkEnd w:id="128"/>
            <w:bookmarkEnd w:id="129"/>
            <w:bookmarkEnd w:id="130"/>
            <w:bookmarkEnd w:id="131"/>
          </w:p>
        </w:tc>
        <w:tc>
          <w:tcPr>
            <w:tcW w:w="915" w:type="dxa"/>
            <w:tcBorders>
              <w:right w:val="single" w:color="auto" w:sz="4" w:space="0"/>
            </w:tcBorders>
            <w:vAlign w:val="center"/>
          </w:tcPr>
          <w:p w14:paraId="4449554E">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038" w:type="dxa"/>
            <w:tcBorders>
              <w:left w:val="single" w:color="auto" w:sz="4" w:space="0"/>
            </w:tcBorders>
            <w:vAlign w:val="center"/>
          </w:tcPr>
          <w:p w14:paraId="4C5A5BAA">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734" w:type="dxa"/>
            <w:vAlign w:val="center"/>
          </w:tcPr>
          <w:p w14:paraId="417B69CA">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92" w:type="dxa"/>
            <w:vAlign w:val="center"/>
          </w:tcPr>
          <w:p w14:paraId="36964CD7">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r>
      <w:tr w14:paraId="28DC0B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2F56C40E">
            <w:pPr>
              <w:pStyle w:val="4"/>
              <w:spacing w:line="360" w:lineRule="auto"/>
              <w:ind w:firstLine="0" w:firstLineChars="0"/>
              <w:contextualSpacing/>
              <w:jc w:val="center"/>
              <w:rPr>
                <w:rFonts w:ascii="宋体" w:hAnsi="宋体" w:eastAsia="宋体" w:cs="仿宋_GB2312"/>
                <w:color w:val="auto"/>
                <w:kern w:val="2"/>
                <w:sz w:val="24"/>
                <w:szCs w:val="24"/>
                <w:highlight w:val="none"/>
              </w:rPr>
            </w:pPr>
            <w:bookmarkStart w:id="132" w:name="_Toc254970735"/>
            <w:bookmarkStart w:id="133" w:name="_Toc297193191"/>
            <w:bookmarkStart w:id="134" w:name="_Toc254970594"/>
            <w:bookmarkStart w:id="135" w:name="_Toc373333695"/>
            <w:bookmarkStart w:id="136" w:name="_Toc301781617"/>
            <w:bookmarkStart w:id="137" w:name="_Toc173211906"/>
            <w:bookmarkStart w:id="138" w:name="_Toc295404987"/>
            <w:bookmarkStart w:id="139" w:name="_Toc383699912"/>
            <w:bookmarkStart w:id="140" w:name="_Toc173066407"/>
            <w:r>
              <w:rPr>
                <w:rFonts w:hint="eastAsia" w:ascii="宋体" w:hAnsi="宋体" w:eastAsia="宋体" w:cs="仿宋_GB2312"/>
                <w:color w:val="auto"/>
                <w:kern w:val="2"/>
                <w:sz w:val="24"/>
                <w:szCs w:val="24"/>
                <w:highlight w:val="none"/>
              </w:rPr>
              <w:t>2</w:t>
            </w:r>
            <w:bookmarkEnd w:id="132"/>
            <w:bookmarkEnd w:id="133"/>
            <w:bookmarkEnd w:id="134"/>
            <w:bookmarkEnd w:id="135"/>
            <w:bookmarkEnd w:id="136"/>
            <w:bookmarkEnd w:id="137"/>
            <w:bookmarkEnd w:id="138"/>
            <w:bookmarkEnd w:id="139"/>
            <w:bookmarkEnd w:id="140"/>
          </w:p>
        </w:tc>
        <w:tc>
          <w:tcPr>
            <w:tcW w:w="915" w:type="dxa"/>
            <w:tcBorders>
              <w:right w:val="single" w:color="auto" w:sz="4" w:space="0"/>
            </w:tcBorders>
            <w:vAlign w:val="center"/>
          </w:tcPr>
          <w:p w14:paraId="2EAC2008">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038" w:type="dxa"/>
            <w:tcBorders>
              <w:left w:val="single" w:color="auto" w:sz="4" w:space="0"/>
            </w:tcBorders>
            <w:vAlign w:val="center"/>
          </w:tcPr>
          <w:p w14:paraId="1C55AFAC">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734" w:type="dxa"/>
            <w:vAlign w:val="center"/>
          </w:tcPr>
          <w:p w14:paraId="1E410804">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92" w:type="dxa"/>
            <w:vAlign w:val="center"/>
          </w:tcPr>
          <w:p w14:paraId="3FDD5393">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r>
      <w:tr w14:paraId="5B763C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1CA7FF06">
            <w:pPr>
              <w:pStyle w:val="4"/>
              <w:spacing w:line="360" w:lineRule="auto"/>
              <w:ind w:firstLine="0" w:firstLineChars="0"/>
              <w:contextualSpacing/>
              <w:jc w:val="center"/>
              <w:rPr>
                <w:rFonts w:ascii="宋体" w:hAnsi="宋体" w:eastAsia="宋体" w:cs="仿宋_GB2312"/>
                <w:color w:val="auto"/>
                <w:kern w:val="2"/>
                <w:sz w:val="24"/>
                <w:szCs w:val="24"/>
                <w:highlight w:val="none"/>
              </w:rPr>
            </w:pPr>
            <w:bookmarkStart w:id="141" w:name="_Toc301781618"/>
            <w:bookmarkStart w:id="142" w:name="_Toc373333696"/>
            <w:bookmarkStart w:id="143" w:name="_Toc173066408"/>
            <w:bookmarkStart w:id="144" w:name="_Toc295404988"/>
            <w:bookmarkStart w:id="145" w:name="_Toc297193192"/>
            <w:bookmarkStart w:id="146" w:name="_Toc254970736"/>
            <w:bookmarkStart w:id="147" w:name="_Toc383699913"/>
            <w:bookmarkStart w:id="148" w:name="_Toc254970595"/>
            <w:bookmarkStart w:id="149" w:name="_Toc173211907"/>
            <w:r>
              <w:rPr>
                <w:rFonts w:hint="eastAsia" w:ascii="宋体" w:hAnsi="宋体" w:eastAsia="宋体" w:cs="仿宋_GB2312"/>
                <w:color w:val="auto"/>
                <w:kern w:val="2"/>
                <w:sz w:val="24"/>
                <w:szCs w:val="24"/>
                <w:highlight w:val="none"/>
              </w:rPr>
              <w:t>3</w:t>
            </w:r>
            <w:bookmarkEnd w:id="141"/>
            <w:bookmarkEnd w:id="142"/>
            <w:bookmarkEnd w:id="143"/>
            <w:bookmarkEnd w:id="144"/>
            <w:bookmarkEnd w:id="145"/>
            <w:bookmarkEnd w:id="146"/>
            <w:bookmarkEnd w:id="147"/>
            <w:bookmarkEnd w:id="148"/>
            <w:bookmarkEnd w:id="149"/>
          </w:p>
        </w:tc>
        <w:tc>
          <w:tcPr>
            <w:tcW w:w="915" w:type="dxa"/>
            <w:tcBorders>
              <w:right w:val="single" w:color="auto" w:sz="4" w:space="0"/>
            </w:tcBorders>
            <w:vAlign w:val="center"/>
          </w:tcPr>
          <w:p w14:paraId="73EF572D">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038" w:type="dxa"/>
            <w:tcBorders>
              <w:left w:val="single" w:color="auto" w:sz="4" w:space="0"/>
            </w:tcBorders>
            <w:vAlign w:val="center"/>
          </w:tcPr>
          <w:p w14:paraId="3FF05CEC">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734" w:type="dxa"/>
            <w:vAlign w:val="center"/>
          </w:tcPr>
          <w:p w14:paraId="0329A214">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92" w:type="dxa"/>
            <w:vAlign w:val="center"/>
          </w:tcPr>
          <w:p w14:paraId="6F3B92A8">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r>
      <w:tr w14:paraId="12033D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61FB186B">
            <w:pPr>
              <w:pStyle w:val="4"/>
              <w:spacing w:line="360" w:lineRule="auto"/>
              <w:ind w:firstLine="0" w:firstLineChars="0"/>
              <w:contextualSpacing/>
              <w:jc w:val="center"/>
              <w:rPr>
                <w:rFonts w:ascii="宋体" w:hAnsi="宋体" w:eastAsia="宋体" w:cs="仿宋_GB2312"/>
                <w:color w:val="auto"/>
                <w:kern w:val="2"/>
                <w:sz w:val="24"/>
                <w:szCs w:val="24"/>
                <w:highlight w:val="none"/>
              </w:rPr>
            </w:pPr>
            <w:bookmarkStart w:id="150" w:name="_Toc173066409"/>
            <w:bookmarkStart w:id="151" w:name="_Toc295404989"/>
            <w:bookmarkStart w:id="152" w:name="_Toc301781619"/>
            <w:bookmarkStart w:id="153" w:name="_Toc254970737"/>
            <w:bookmarkStart w:id="154" w:name="_Toc383699914"/>
            <w:bookmarkStart w:id="155" w:name="_Toc254970596"/>
            <w:bookmarkStart w:id="156" w:name="_Toc173211908"/>
            <w:bookmarkStart w:id="157" w:name="_Toc297193193"/>
            <w:bookmarkStart w:id="158" w:name="_Toc373333697"/>
            <w:r>
              <w:rPr>
                <w:rFonts w:hint="eastAsia" w:ascii="宋体" w:hAnsi="宋体" w:eastAsia="宋体" w:cs="仿宋_GB2312"/>
                <w:color w:val="auto"/>
                <w:kern w:val="2"/>
                <w:sz w:val="24"/>
                <w:szCs w:val="24"/>
                <w:highlight w:val="none"/>
              </w:rPr>
              <w:t>4</w:t>
            </w:r>
            <w:bookmarkEnd w:id="150"/>
            <w:bookmarkEnd w:id="151"/>
            <w:bookmarkEnd w:id="152"/>
            <w:bookmarkEnd w:id="153"/>
            <w:bookmarkEnd w:id="154"/>
            <w:bookmarkEnd w:id="155"/>
            <w:bookmarkEnd w:id="156"/>
            <w:bookmarkEnd w:id="157"/>
            <w:bookmarkEnd w:id="158"/>
          </w:p>
        </w:tc>
        <w:tc>
          <w:tcPr>
            <w:tcW w:w="915" w:type="dxa"/>
            <w:tcBorders>
              <w:right w:val="single" w:color="auto" w:sz="4" w:space="0"/>
            </w:tcBorders>
            <w:vAlign w:val="center"/>
          </w:tcPr>
          <w:p w14:paraId="78E4A3A0">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038" w:type="dxa"/>
            <w:tcBorders>
              <w:left w:val="single" w:color="auto" w:sz="4" w:space="0"/>
            </w:tcBorders>
            <w:vAlign w:val="center"/>
          </w:tcPr>
          <w:p w14:paraId="76661A65">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734" w:type="dxa"/>
            <w:vAlign w:val="center"/>
          </w:tcPr>
          <w:p w14:paraId="460F9CD6">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92" w:type="dxa"/>
            <w:vAlign w:val="center"/>
          </w:tcPr>
          <w:p w14:paraId="6000993A">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r>
      <w:tr w14:paraId="039C73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216CAB75">
            <w:pPr>
              <w:pStyle w:val="4"/>
              <w:spacing w:line="360" w:lineRule="auto"/>
              <w:ind w:firstLine="0" w:firstLineChars="0"/>
              <w:contextualSpacing/>
              <w:jc w:val="center"/>
              <w:rPr>
                <w:rFonts w:ascii="宋体" w:hAnsi="宋体" w:eastAsia="宋体" w:cs="仿宋_GB2312"/>
                <w:color w:val="auto"/>
                <w:kern w:val="2"/>
                <w:sz w:val="24"/>
                <w:szCs w:val="24"/>
                <w:highlight w:val="none"/>
              </w:rPr>
            </w:pPr>
            <w:bookmarkStart w:id="159" w:name="_Toc301781620"/>
            <w:bookmarkStart w:id="160" w:name="_Toc295404990"/>
            <w:bookmarkStart w:id="161" w:name="_Toc297193194"/>
            <w:bookmarkStart w:id="162" w:name="_Toc373333698"/>
            <w:bookmarkStart w:id="163" w:name="_Toc254970597"/>
            <w:bookmarkStart w:id="164" w:name="_Toc173211909"/>
            <w:bookmarkStart w:id="165" w:name="_Toc383699915"/>
            <w:bookmarkStart w:id="166" w:name="_Toc173066410"/>
            <w:bookmarkStart w:id="167" w:name="_Toc254970738"/>
            <w:r>
              <w:rPr>
                <w:rFonts w:hint="eastAsia" w:ascii="宋体" w:hAnsi="宋体" w:eastAsia="宋体" w:cs="仿宋_GB2312"/>
                <w:color w:val="auto"/>
                <w:kern w:val="2"/>
                <w:sz w:val="24"/>
                <w:szCs w:val="24"/>
                <w:highlight w:val="none"/>
              </w:rPr>
              <w:t>5</w:t>
            </w:r>
            <w:bookmarkEnd w:id="159"/>
            <w:bookmarkEnd w:id="160"/>
            <w:bookmarkEnd w:id="161"/>
            <w:bookmarkEnd w:id="162"/>
            <w:bookmarkEnd w:id="163"/>
            <w:bookmarkEnd w:id="164"/>
            <w:bookmarkEnd w:id="165"/>
            <w:bookmarkEnd w:id="166"/>
            <w:bookmarkEnd w:id="167"/>
          </w:p>
        </w:tc>
        <w:tc>
          <w:tcPr>
            <w:tcW w:w="915" w:type="dxa"/>
            <w:tcBorders>
              <w:right w:val="single" w:color="auto" w:sz="4" w:space="0"/>
            </w:tcBorders>
            <w:vAlign w:val="center"/>
          </w:tcPr>
          <w:p w14:paraId="60FA7DF8">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038" w:type="dxa"/>
            <w:tcBorders>
              <w:left w:val="single" w:color="auto" w:sz="4" w:space="0"/>
            </w:tcBorders>
            <w:vAlign w:val="center"/>
          </w:tcPr>
          <w:p w14:paraId="04BF8477">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734" w:type="dxa"/>
            <w:vAlign w:val="center"/>
          </w:tcPr>
          <w:p w14:paraId="424975E3">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92" w:type="dxa"/>
            <w:vAlign w:val="center"/>
          </w:tcPr>
          <w:p w14:paraId="173C6932">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r>
      <w:tr w14:paraId="3C623A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6" w:type="dxa"/>
            <w:vAlign w:val="center"/>
          </w:tcPr>
          <w:p w14:paraId="241890B0">
            <w:pPr>
              <w:pStyle w:val="4"/>
              <w:spacing w:line="360" w:lineRule="auto"/>
              <w:ind w:firstLine="0" w:firstLineChars="0"/>
              <w:contextualSpacing/>
              <w:jc w:val="center"/>
              <w:rPr>
                <w:rFonts w:ascii="宋体" w:hAnsi="宋体" w:eastAsia="宋体" w:cs="仿宋_GB2312"/>
                <w:color w:val="auto"/>
                <w:kern w:val="2"/>
                <w:sz w:val="24"/>
                <w:szCs w:val="24"/>
                <w:highlight w:val="none"/>
              </w:rPr>
            </w:pPr>
            <w:bookmarkStart w:id="168" w:name="_Toc297193195"/>
            <w:bookmarkStart w:id="169" w:name="_Toc254970743"/>
            <w:bookmarkStart w:id="170" w:name="_Toc173211914"/>
            <w:bookmarkStart w:id="171" w:name="_Toc254970602"/>
            <w:bookmarkStart w:id="172" w:name="_Toc301781621"/>
            <w:bookmarkStart w:id="173" w:name="_Toc295404991"/>
            <w:bookmarkStart w:id="174" w:name="_Toc383699916"/>
            <w:bookmarkStart w:id="175" w:name="_Toc173066415"/>
            <w:bookmarkStart w:id="176" w:name="_Toc373333699"/>
            <w:r>
              <w:rPr>
                <w:rFonts w:hint="eastAsia" w:ascii="宋体" w:hAnsi="宋体" w:eastAsia="宋体" w:cs="仿宋_GB2312"/>
                <w:color w:val="auto"/>
                <w:kern w:val="2"/>
                <w:sz w:val="24"/>
                <w:szCs w:val="24"/>
                <w:highlight w:val="none"/>
              </w:rPr>
              <w:t>…</w:t>
            </w:r>
            <w:bookmarkEnd w:id="168"/>
            <w:bookmarkEnd w:id="169"/>
            <w:bookmarkEnd w:id="170"/>
            <w:bookmarkEnd w:id="171"/>
            <w:bookmarkEnd w:id="172"/>
            <w:bookmarkEnd w:id="173"/>
            <w:bookmarkEnd w:id="174"/>
            <w:bookmarkEnd w:id="175"/>
            <w:bookmarkEnd w:id="176"/>
          </w:p>
        </w:tc>
        <w:tc>
          <w:tcPr>
            <w:tcW w:w="915" w:type="dxa"/>
            <w:tcBorders>
              <w:right w:val="single" w:color="auto" w:sz="4" w:space="0"/>
            </w:tcBorders>
            <w:vAlign w:val="center"/>
          </w:tcPr>
          <w:p w14:paraId="5D7362E3">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038" w:type="dxa"/>
            <w:tcBorders>
              <w:left w:val="single" w:color="auto" w:sz="4" w:space="0"/>
            </w:tcBorders>
            <w:vAlign w:val="center"/>
          </w:tcPr>
          <w:p w14:paraId="2EA58C16">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734" w:type="dxa"/>
            <w:vAlign w:val="center"/>
          </w:tcPr>
          <w:p w14:paraId="1FFBF7DE">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92" w:type="dxa"/>
            <w:tcBorders>
              <w:right w:val="single" w:color="auto" w:sz="4" w:space="0"/>
            </w:tcBorders>
            <w:vAlign w:val="center"/>
          </w:tcPr>
          <w:p w14:paraId="2060CB41">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r>
    </w:tbl>
    <w:p w14:paraId="1F7101CB">
      <w:pPr>
        <w:pStyle w:val="4"/>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w:t>
      </w:r>
    </w:p>
    <w:p w14:paraId="4D5E9C84">
      <w:pPr>
        <w:pStyle w:val="4"/>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 说明：应对照磋商文件“第三章 采购需求”中的所有技术要求逐条作出明确响应，并作出偏离说明。</w:t>
      </w:r>
    </w:p>
    <w:p w14:paraId="41A750A4">
      <w:pPr>
        <w:pStyle w:val="4"/>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2.供应商应根据自身的承诺，对照磋商文件要求，在“偏离说明”中注明“正偏离”“负偏离”或者“无偏离”。既不属于“正偏离”也不属于“负偏离”即为“无偏离”。</w:t>
      </w:r>
    </w:p>
    <w:p w14:paraId="4ACD7181">
      <w:pPr>
        <w:spacing w:line="360" w:lineRule="auto"/>
        <w:ind w:right="-817" w:rightChars="-389"/>
        <w:contextualSpacing/>
        <w:rPr>
          <w:rFonts w:ascii="宋体" w:hAnsi="宋体" w:cs="仿宋_GB2312"/>
          <w:color w:val="auto"/>
          <w:sz w:val="24"/>
          <w:highlight w:val="none"/>
        </w:rPr>
      </w:pPr>
    </w:p>
    <w:p w14:paraId="4688381B">
      <w:pPr>
        <w:spacing w:line="360" w:lineRule="auto"/>
        <w:ind w:right="-817" w:rightChars="-389"/>
        <w:contextualSpacing/>
        <w:jc w:val="center"/>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72DD4044">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供应商名称（电子签章）：      </w:t>
      </w:r>
    </w:p>
    <w:p w14:paraId="2CF77674">
      <w:pPr>
        <w:spacing w:line="360" w:lineRule="auto"/>
        <w:ind w:right="-817" w:rightChars="-389" w:firstLine="4080" w:firstLineChars="17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2C87FC76">
      <w:pPr>
        <w:snapToGrid w:val="0"/>
        <w:spacing w:before="156" w:beforeLines="50" w:after="50"/>
        <w:ind w:left="142"/>
        <w:jc w:val="left"/>
        <w:rPr>
          <w:rFonts w:ascii="宋体" w:hAnsi="宋体"/>
          <w:b/>
          <w:color w:val="auto"/>
          <w:sz w:val="24"/>
          <w:highlight w:val="none"/>
        </w:rPr>
      </w:pPr>
      <w:r>
        <w:rPr>
          <w:rFonts w:ascii="宋体" w:hAnsi="宋体" w:cs="仿宋_GB2312"/>
          <w:color w:val="auto"/>
          <w:sz w:val="24"/>
          <w:highlight w:val="none"/>
        </w:rPr>
        <w:br w:type="page"/>
      </w:r>
      <w:r>
        <w:rPr>
          <w:rFonts w:hint="eastAsia" w:ascii="宋体" w:hAnsi="宋体"/>
          <w:b/>
          <w:color w:val="auto"/>
          <w:sz w:val="24"/>
          <w:highlight w:val="none"/>
        </w:rPr>
        <w:t>项目实施人员一览表格式</w:t>
      </w:r>
    </w:p>
    <w:p w14:paraId="77ECF6CF">
      <w:pPr>
        <w:snapToGrid w:val="0"/>
        <w:spacing w:before="156" w:beforeLines="50" w:after="50"/>
        <w:ind w:left="142"/>
        <w:jc w:val="left"/>
        <w:rPr>
          <w:rFonts w:ascii="宋体" w:hAnsi="宋体"/>
          <w:b/>
          <w:color w:val="auto"/>
          <w:sz w:val="24"/>
          <w:highlight w:val="none"/>
        </w:rPr>
      </w:pPr>
    </w:p>
    <w:p w14:paraId="58C54907">
      <w:pPr>
        <w:spacing w:line="360" w:lineRule="auto"/>
        <w:ind w:left="142"/>
        <w:contextualSpacing/>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p>
    <w:p w14:paraId="238F65B1">
      <w:pPr>
        <w:pStyle w:val="18"/>
        <w:spacing w:line="360" w:lineRule="auto"/>
        <w:contextualSpacing/>
        <w:rPr>
          <w:color w:val="auto"/>
          <w:sz w:val="24"/>
          <w:szCs w:val="24"/>
          <w:highlight w:val="none"/>
        </w:rPr>
      </w:pPr>
      <w:r>
        <w:rPr>
          <w:rFonts w:hint="eastAsia"/>
          <w:color w:val="auto"/>
          <w:sz w:val="24"/>
          <w:szCs w:val="24"/>
          <w:highlight w:val="none"/>
        </w:rPr>
        <w:t>所竞分标：分标</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4558A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F3CEA1A">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姓名</w:t>
            </w:r>
          </w:p>
        </w:tc>
        <w:tc>
          <w:tcPr>
            <w:tcW w:w="709" w:type="dxa"/>
            <w:vAlign w:val="center"/>
          </w:tcPr>
          <w:p w14:paraId="6EEDC720">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职务</w:t>
            </w:r>
          </w:p>
        </w:tc>
        <w:tc>
          <w:tcPr>
            <w:tcW w:w="1701" w:type="dxa"/>
            <w:vAlign w:val="center"/>
          </w:tcPr>
          <w:p w14:paraId="32FD151B">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专业技术资格（职称）或者职业资格或者执业资格证或者其他证书</w:t>
            </w:r>
          </w:p>
        </w:tc>
        <w:tc>
          <w:tcPr>
            <w:tcW w:w="1420" w:type="dxa"/>
            <w:vAlign w:val="center"/>
          </w:tcPr>
          <w:p w14:paraId="321F77AA">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证书编号</w:t>
            </w:r>
          </w:p>
        </w:tc>
        <w:tc>
          <w:tcPr>
            <w:tcW w:w="1698" w:type="dxa"/>
            <w:vAlign w:val="center"/>
          </w:tcPr>
          <w:p w14:paraId="7C3E79D7">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参加本单位</w:t>
            </w:r>
          </w:p>
          <w:p w14:paraId="03D51915">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工作时间</w:t>
            </w:r>
          </w:p>
        </w:tc>
        <w:tc>
          <w:tcPr>
            <w:tcW w:w="1843" w:type="dxa"/>
            <w:vAlign w:val="center"/>
          </w:tcPr>
          <w:p w14:paraId="212FE45E">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劳动合同编号</w:t>
            </w:r>
          </w:p>
        </w:tc>
      </w:tr>
      <w:tr w14:paraId="551B1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4A3A949">
            <w:pPr>
              <w:spacing w:line="360" w:lineRule="auto"/>
              <w:contextualSpacing/>
              <w:jc w:val="center"/>
              <w:rPr>
                <w:rFonts w:ascii="宋体" w:hAnsi="宋体"/>
                <w:color w:val="auto"/>
                <w:sz w:val="24"/>
                <w:szCs w:val="20"/>
                <w:highlight w:val="none"/>
              </w:rPr>
            </w:pPr>
          </w:p>
        </w:tc>
        <w:tc>
          <w:tcPr>
            <w:tcW w:w="709" w:type="dxa"/>
            <w:vAlign w:val="center"/>
          </w:tcPr>
          <w:p w14:paraId="45A23FC5">
            <w:pPr>
              <w:spacing w:line="360" w:lineRule="auto"/>
              <w:contextualSpacing/>
              <w:jc w:val="center"/>
              <w:rPr>
                <w:rFonts w:ascii="宋体" w:hAnsi="宋体"/>
                <w:color w:val="auto"/>
                <w:sz w:val="24"/>
                <w:szCs w:val="20"/>
                <w:highlight w:val="none"/>
              </w:rPr>
            </w:pPr>
          </w:p>
        </w:tc>
        <w:tc>
          <w:tcPr>
            <w:tcW w:w="1701" w:type="dxa"/>
            <w:vAlign w:val="center"/>
          </w:tcPr>
          <w:p w14:paraId="7C7531EB">
            <w:pPr>
              <w:spacing w:line="360" w:lineRule="auto"/>
              <w:contextualSpacing/>
              <w:jc w:val="center"/>
              <w:rPr>
                <w:rFonts w:ascii="宋体" w:hAnsi="宋体"/>
                <w:color w:val="auto"/>
                <w:sz w:val="24"/>
                <w:szCs w:val="20"/>
                <w:highlight w:val="none"/>
              </w:rPr>
            </w:pPr>
          </w:p>
        </w:tc>
        <w:tc>
          <w:tcPr>
            <w:tcW w:w="1420" w:type="dxa"/>
            <w:vAlign w:val="center"/>
          </w:tcPr>
          <w:p w14:paraId="3708FDE8">
            <w:pPr>
              <w:spacing w:line="360" w:lineRule="auto"/>
              <w:contextualSpacing/>
              <w:jc w:val="center"/>
              <w:rPr>
                <w:rFonts w:ascii="宋体" w:hAnsi="宋体"/>
                <w:color w:val="auto"/>
                <w:sz w:val="24"/>
                <w:szCs w:val="20"/>
                <w:highlight w:val="none"/>
              </w:rPr>
            </w:pPr>
          </w:p>
        </w:tc>
        <w:tc>
          <w:tcPr>
            <w:tcW w:w="1698" w:type="dxa"/>
            <w:vAlign w:val="center"/>
          </w:tcPr>
          <w:p w14:paraId="6F0178BB">
            <w:pPr>
              <w:spacing w:line="360" w:lineRule="auto"/>
              <w:contextualSpacing/>
              <w:jc w:val="center"/>
              <w:rPr>
                <w:rFonts w:ascii="宋体" w:hAnsi="宋体"/>
                <w:color w:val="auto"/>
                <w:sz w:val="24"/>
                <w:szCs w:val="20"/>
                <w:highlight w:val="none"/>
              </w:rPr>
            </w:pPr>
          </w:p>
        </w:tc>
        <w:tc>
          <w:tcPr>
            <w:tcW w:w="1843" w:type="dxa"/>
            <w:vAlign w:val="center"/>
          </w:tcPr>
          <w:p w14:paraId="26819AC4">
            <w:pPr>
              <w:spacing w:line="360" w:lineRule="auto"/>
              <w:contextualSpacing/>
              <w:jc w:val="center"/>
              <w:rPr>
                <w:rFonts w:ascii="宋体" w:hAnsi="宋体"/>
                <w:color w:val="auto"/>
                <w:sz w:val="24"/>
                <w:szCs w:val="20"/>
                <w:highlight w:val="none"/>
              </w:rPr>
            </w:pPr>
          </w:p>
        </w:tc>
      </w:tr>
      <w:tr w14:paraId="07F2B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C1BB005">
            <w:pPr>
              <w:spacing w:line="360" w:lineRule="auto"/>
              <w:contextualSpacing/>
              <w:jc w:val="center"/>
              <w:rPr>
                <w:rFonts w:ascii="宋体" w:hAnsi="宋体"/>
                <w:color w:val="auto"/>
                <w:sz w:val="24"/>
                <w:szCs w:val="20"/>
                <w:highlight w:val="none"/>
              </w:rPr>
            </w:pPr>
          </w:p>
        </w:tc>
        <w:tc>
          <w:tcPr>
            <w:tcW w:w="709" w:type="dxa"/>
            <w:vAlign w:val="center"/>
          </w:tcPr>
          <w:p w14:paraId="1D3C64F1">
            <w:pPr>
              <w:spacing w:line="360" w:lineRule="auto"/>
              <w:contextualSpacing/>
              <w:jc w:val="center"/>
              <w:rPr>
                <w:rFonts w:ascii="宋体" w:hAnsi="宋体"/>
                <w:color w:val="auto"/>
                <w:sz w:val="24"/>
                <w:szCs w:val="20"/>
                <w:highlight w:val="none"/>
              </w:rPr>
            </w:pPr>
          </w:p>
        </w:tc>
        <w:tc>
          <w:tcPr>
            <w:tcW w:w="1701" w:type="dxa"/>
            <w:vAlign w:val="center"/>
          </w:tcPr>
          <w:p w14:paraId="30F94313">
            <w:pPr>
              <w:spacing w:line="360" w:lineRule="auto"/>
              <w:contextualSpacing/>
              <w:jc w:val="center"/>
              <w:rPr>
                <w:rFonts w:ascii="宋体" w:hAnsi="宋体"/>
                <w:color w:val="auto"/>
                <w:sz w:val="24"/>
                <w:szCs w:val="20"/>
                <w:highlight w:val="none"/>
              </w:rPr>
            </w:pPr>
          </w:p>
        </w:tc>
        <w:tc>
          <w:tcPr>
            <w:tcW w:w="1420" w:type="dxa"/>
            <w:vAlign w:val="center"/>
          </w:tcPr>
          <w:p w14:paraId="658EFB5A">
            <w:pPr>
              <w:spacing w:line="360" w:lineRule="auto"/>
              <w:contextualSpacing/>
              <w:jc w:val="center"/>
              <w:rPr>
                <w:rFonts w:ascii="宋体" w:hAnsi="宋体"/>
                <w:color w:val="auto"/>
                <w:sz w:val="24"/>
                <w:szCs w:val="20"/>
                <w:highlight w:val="none"/>
              </w:rPr>
            </w:pPr>
          </w:p>
        </w:tc>
        <w:tc>
          <w:tcPr>
            <w:tcW w:w="1698" w:type="dxa"/>
            <w:vAlign w:val="center"/>
          </w:tcPr>
          <w:p w14:paraId="394DA887">
            <w:pPr>
              <w:spacing w:line="360" w:lineRule="auto"/>
              <w:contextualSpacing/>
              <w:jc w:val="center"/>
              <w:rPr>
                <w:rFonts w:ascii="宋体" w:hAnsi="宋体"/>
                <w:color w:val="auto"/>
                <w:sz w:val="24"/>
                <w:szCs w:val="20"/>
                <w:highlight w:val="none"/>
              </w:rPr>
            </w:pPr>
          </w:p>
        </w:tc>
        <w:tc>
          <w:tcPr>
            <w:tcW w:w="1843" w:type="dxa"/>
            <w:vAlign w:val="center"/>
          </w:tcPr>
          <w:p w14:paraId="73470E0B">
            <w:pPr>
              <w:spacing w:line="360" w:lineRule="auto"/>
              <w:contextualSpacing/>
              <w:jc w:val="center"/>
              <w:rPr>
                <w:rFonts w:ascii="宋体" w:hAnsi="宋体"/>
                <w:color w:val="auto"/>
                <w:sz w:val="24"/>
                <w:szCs w:val="20"/>
                <w:highlight w:val="none"/>
              </w:rPr>
            </w:pPr>
          </w:p>
        </w:tc>
      </w:tr>
      <w:tr w14:paraId="706D9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5252DF9">
            <w:pPr>
              <w:spacing w:line="360" w:lineRule="auto"/>
              <w:contextualSpacing/>
              <w:jc w:val="center"/>
              <w:rPr>
                <w:rFonts w:ascii="宋体" w:hAnsi="宋体"/>
                <w:color w:val="auto"/>
                <w:sz w:val="24"/>
                <w:szCs w:val="20"/>
                <w:highlight w:val="none"/>
              </w:rPr>
            </w:pPr>
          </w:p>
        </w:tc>
        <w:tc>
          <w:tcPr>
            <w:tcW w:w="709" w:type="dxa"/>
            <w:vAlign w:val="center"/>
          </w:tcPr>
          <w:p w14:paraId="7E6153DD">
            <w:pPr>
              <w:spacing w:line="360" w:lineRule="auto"/>
              <w:contextualSpacing/>
              <w:jc w:val="center"/>
              <w:rPr>
                <w:rFonts w:ascii="宋体" w:hAnsi="宋体"/>
                <w:color w:val="auto"/>
                <w:sz w:val="24"/>
                <w:szCs w:val="20"/>
                <w:highlight w:val="none"/>
              </w:rPr>
            </w:pPr>
          </w:p>
        </w:tc>
        <w:tc>
          <w:tcPr>
            <w:tcW w:w="1701" w:type="dxa"/>
            <w:vAlign w:val="center"/>
          </w:tcPr>
          <w:p w14:paraId="76DB3E24">
            <w:pPr>
              <w:spacing w:line="360" w:lineRule="auto"/>
              <w:contextualSpacing/>
              <w:jc w:val="center"/>
              <w:rPr>
                <w:rFonts w:ascii="宋体" w:hAnsi="宋体"/>
                <w:color w:val="auto"/>
                <w:sz w:val="24"/>
                <w:szCs w:val="20"/>
                <w:highlight w:val="none"/>
              </w:rPr>
            </w:pPr>
          </w:p>
        </w:tc>
        <w:tc>
          <w:tcPr>
            <w:tcW w:w="1420" w:type="dxa"/>
            <w:vAlign w:val="center"/>
          </w:tcPr>
          <w:p w14:paraId="53EBEAD4">
            <w:pPr>
              <w:spacing w:line="360" w:lineRule="auto"/>
              <w:contextualSpacing/>
              <w:jc w:val="center"/>
              <w:rPr>
                <w:rFonts w:ascii="宋体" w:hAnsi="宋体"/>
                <w:color w:val="auto"/>
                <w:sz w:val="24"/>
                <w:szCs w:val="20"/>
                <w:highlight w:val="none"/>
              </w:rPr>
            </w:pPr>
          </w:p>
        </w:tc>
        <w:tc>
          <w:tcPr>
            <w:tcW w:w="1698" w:type="dxa"/>
            <w:vAlign w:val="center"/>
          </w:tcPr>
          <w:p w14:paraId="1C9CBBAE">
            <w:pPr>
              <w:spacing w:line="360" w:lineRule="auto"/>
              <w:contextualSpacing/>
              <w:jc w:val="center"/>
              <w:rPr>
                <w:rFonts w:ascii="宋体" w:hAnsi="宋体"/>
                <w:color w:val="auto"/>
                <w:sz w:val="24"/>
                <w:szCs w:val="20"/>
                <w:highlight w:val="none"/>
              </w:rPr>
            </w:pPr>
          </w:p>
        </w:tc>
        <w:tc>
          <w:tcPr>
            <w:tcW w:w="1843" w:type="dxa"/>
            <w:vAlign w:val="center"/>
          </w:tcPr>
          <w:p w14:paraId="43D8D4EF">
            <w:pPr>
              <w:spacing w:line="360" w:lineRule="auto"/>
              <w:contextualSpacing/>
              <w:jc w:val="center"/>
              <w:rPr>
                <w:rFonts w:ascii="宋体" w:hAnsi="宋体"/>
                <w:color w:val="auto"/>
                <w:sz w:val="24"/>
                <w:szCs w:val="20"/>
                <w:highlight w:val="none"/>
              </w:rPr>
            </w:pPr>
          </w:p>
        </w:tc>
      </w:tr>
    </w:tbl>
    <w:p w14:paraId="3820A078">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注：</w:t>
      </w:r>
    </w:p>
    <w:p w14:paraId="56B8ECBD">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在填写时，如本表格不适合供应商的实际情况，可根据本表格式自行制表填写。</w:t>
      </w:r>
    </w:p>
    <w:p w14:paraId="0F5F0400">
      <w:pPr>
        <w:spacing w:line="360" w:lineRule="auto"/>
        <w:contextualSpacing/>
        <w:jc w:val="left"/>
        <w:rPr>
          <w:rFonts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rPr>
        <w:t>供应商应当附本表所列证书的复印件并加盖供应商电子签章。</w:t>
      </w:r>
    </w:p>
    <w:p w14:paraId="4B2938B5">
      <w:pPr>
        <w:spacing w:line="360" w:lineRule="auto"/>
        <w:contextualSpacing/>
        <w:rPr>
          <w:rFonts w:ascii="宋体" w:hAnsi="宋体"/>
          <w:color w:val="auto"/>
          <w:sz w:val="24"/>
          <w:highlight w:val="none"/>
        </w:rPr>
      </w:pPr>
    </w:p>
    <w:p w14:paraId="07716740">
      <w:pPr>
        <w:spacing w:line="360" w:lineRule="auto"/>
        <w:contextualSpacing/>
        <w:rPr>
          <w:rFonts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p>
    <w:p w14:paraId="2492C084">
      <w:pPr>
        <w:spacing w:line="360" w:lineRule="auto"/>
        <w:contextualSpacing/>
        <w:jc w:val="left"/>
        <w:rPr>
          <w:rFonts w:ascii="宋体" w:hAnsi="宋体"/>
          <w:color w:val="auto"/>
          <w:sz w:val="24"/>
          <w:szCs w:val="20"/>
          <w:highlight w:val="none"/>
        </w:rPr>
      </w:pPr>
      <w:r>
        <w:rPr>
          <w:rFonts w:hint="eastAsia" w:ascii="宋体" w:hAnsi="宋体"/>
          <w:color w:val="auto"/>
          <w:spacing w:val="20"/>
          <w:sz w:val="24"/>
          <w:highlight w:val="none"/>
        </w:rPr>
        <w:t>供应商</w:t>
      </w:r>
      <w:r>
        <w:rPr>
          <w:rFonts w:hint="eastAsia" w:ascii="宋体" w:hAnsi="宋体" w:cs="仿宋_GB2312"/>
          <w:color w:val="auto"/>
          <w:sz w:val="24"/>
          <w:highlight w:val="none"/>
        </w:rPr>
        <w:t>名称</w:t>
      </w:r>
      <w:r>
        <w:rPr>
          <w:rFonts w:hint="eastAsia" w:ascii="宋体" w:hAnsi="宋体"/>
          <w:color w:val="auto"/>
          <w:spacing w:val="20"/>
          <w:sz w:val="24"/>
          <w:highlight w:val="none"/>
        </w:rPr>
        <w:t>（电子签章）：           日 期：</w:t>
      </w:r>
    </w:p>
    <w:p w14:paraId="2CF05F9F">
      <w:pPr>
        <w:snapToGrid w:val="0"/>
        <w:spacing w:before="50" w:after="156" w:afterLines="50"/>
        <w:jc w:val="left"/>
        <w:rPr>
          <w:rFonts w:ascii="宋体" w:hAnsi="宋体"/>
          <w:color w:val="auto"/>
          <w:sz w:val="24"/>
          <w:szCs w:val="20"/>
          <w:highlight w:val="none"/>
        </w:rPr>
      </w:pPr>
    </w:p>
    <w:p w14:paraId="1C911E2C">
      <w:pPr>
        <w:snapToGrid w:val="0"/>
        <w:spacing w:before="50" w:after="50" w:line="360" w:lineRule="auto"/>
        <w:ind w:right="-817" w:rightChars="-389" w:firstLine="5461" w:firstLineChars="1700"/>
        <w:rPr>
          <w:rFonts w:ascii="仿宋_GB2312" w:hAnsi="仿宋_GB2312" w:eastAsia="仿宋_GB2312" w:cs="仿宋_GB2312"/>
          <w:b/>
          <w:color w:val="auto"/>
          <w:sz w:val="32"/>
          <w:szCs w:val="32"/>
          <w:highlight w:val="none"/>
        </w:rPr>
      </w:pPr>
    </w:p>
    <w:p w14:paraId="063F356F">
      <w:pPr>
        <w:snapToGrid w:val="0"/>
        <w:spacing w:before="156" w:beforeLines="50" w:after="50"/>
        <w:jc w:val="left"/>
        <w:rPr>
          <w:rFonts w:ascii="方正小标宋简体" w:hAnsi="方正小标宋简体" w:eastAsia="方正小标宋简体" w:cs="方正小标宋简体"/>
          <w:bCs/>
          <w:color w:val="auto"/>
          <w:szCs w:val="21"/>
          <w:highlight w:val="none"/>
        </w:rPr>
      </w:pPr>
      <w:r>
        <w:rPr>
          <w:rFonts w:hint="eastAsia" w:ascii="方正小标宋简体" w:hAnsi="方正小标宋简体" w:eastAsia="方正小标宋简体" w:cs="方正小标宋简体"/>
          <w:bCs/>
          <w:color w:val="auto"/>
          <w:szCs w:val="21"/>
          <w:highlight w:val="none"/>
        </w:rPr>
        <w:br w:type="page"/>
      </w:r>
      <w:r>
        <w:rPr>
          <w:rFonts w:hint="eastAsia" w:ascii="方正小标宋简体" w:hAnsi="方正小标宋简体" w:eastAsia="方正小标宋简体" w:cs="方正小标宋简体"/>
          <w:bCs/>
          <w:color w:val="auto"/>
          <w:szCs w:val="21"/>
          <w:highlight w:val="none"/>
        </w:rPr>
        <w:t>代理服务费承诺书（如本项目为采购人支付代理服务费的，无需提供）</w:t>
      </w:r>
    </w:p>
    <w:p w14:paraId="41F1A6AF">
      <w:pPr>
        <w:snapToGrid w:val="0"/>
        <w:spacing w:before="156" w:beforeLines="50" w:after="50"/>
        <w:jc w:val="left"/>
        <w:rPr>
          <w:rFonts w:ascii="方正小标宋简体" w:hAnsi="方正小标宋简体" w:eastAsia="方正小标宋简体" w:cs="方正小标宋简体"/>
          <w:bCs/>
          <w:color w:val="auto"/>
          <w:szCs w:val="21"/>
          <w:highlight w:val="none"/>
        </w:rPr>
      </w:pPr>
    </w:p>
    <w:p w14:paraId="6E946CBA">
      <w:pPr>
        <w:snapToGrid w:val="0"/>
        <w:spacing w:before="156"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代理服务费承诺书</w:t>
      </w:r>
    </w:p>
    <w:p w14:paraId="4F1BFDA7">
      <w:pPr>
        <w:snapToGrid w:val="0"/>
        <w:spacing w:before="156" w:beforeLines="50" w:after="50"/>
        <w:jc w:val="center"/>
        <w:rPr>
          <w:rFonts w:ascii="宋体" w:hAnsi="宋体"/>
          <w:b/>
          <w:color w:val="auto"/>
          <w:sz w:val="24"/>
          <w:highlight w:val="none"/>
        </w:rPr>
      </w:pPr>
    </w:p>
    <w:p w14:paraId="7FDEC0A9">
      <w:pPr>
        <w:spacing w:line="360" w:lineRule="auto"/>
        <w:rPr>
          <w:rFonts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采购代理机构名称</w:t>
      </w:r>
      <w:r>
        <w:rPr>
          <w:rFonts w:hint="eastAsia" w:ascii="宋体" w:hAnsi="宋体"/>
          <w:color w:val="auto"/>
          <w:sz w:val="24"/>
          <w:highlight w:val="none"/>
        </w:rPr>
        <w:t>：</w:t>
      </w:r>
    </w:p>
    <w:p w14:paraId="1F92212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本单位参加了贵方组织的</w:t>
      </w:r>
      <w:r>
        <w:rPr>
          <w:rFonts w:hint="eastAsia" w:ascii="宋体" w:hAnsi="宋体"/>
          <w:color w:val="auto"/>
          <w:sz w:val="24"/>
          <w:highlight w:val="none"/>
          <w:u w:val="single"/>
        </w:rPr>
        <w:t xml:space="preserve">  项目名称（项目编号）  </w:t>
      </w:r>
      <w:r>
        <w:rPr>
          <w:rFonts w:hint="eastAsia" w:ascii="宋体" w:hAnsi="宋体"/>
          <w:color w:val="auto"/>
          <w:sz w:val="24"/>
          <w:highlight w:val="none"/>
        </w:rPr>
        <w:t>项目， 在此说明如下：</w:t>
      </w:r>
    </w:p>
    <w:p w14:paraId="440EEED9">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1.我方承诺，若本单位成交，保证在发出成交通知书之后，按本项目采购文件的规定标准向贵单位一次性足额支付代理服务费， 在领取成交通知书后，由于被质疑、投诉或者其他原因而导致成交结果改变，我方将放弃对已缴纳的成交服务费追还的一切权利。</w:t>
      </w:r>
    </w:p>
    <w:p w14:paraId="0BEDC337">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2.本单位选择第种方式作为代理服务费开票类型：</w:t>
      </w:r>
    </w:p>
    <w:p w14:paraId="3B66DA4A">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第一种方式：开具增值税普通发票。开票信息如下：</w:t>
      </w:r>
    </w:p>
    <w:p w14:paraId="73D12365">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（1）公司名称；</w:t>
      </w:r>
    </w:p>
    <w:p w14:paraId="3947C3B7">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（2）纳税人识别号。</w:t>
      </w:r>
    </w:p>
    <w:p w14:paraId="112C1E39">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第二种方式：开具增值税专用发票，开票信息如下：</w:t>
      </w:r>
    </w:p>
    <w:p w14:paraId="649022E8">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（1）公司名称</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089812F3">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（2）纳税人识别号；</w:t>
      </w:r>
    </w:p>
    <w:p w14:paraId="4D1BA0A2">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（3）在税局登记的地址；</w:t>
      </w:r>
    </w:p>
    <w:p w14:paraId="37EE5512">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（4）在税局登记的电话；</w:t>
      </w:r>
    </w:p>
    <w:p w14:paraId="4D4274CC">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（5）开户银行</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0987871C">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（6）银行账户。</w:t>
      </w:r>
    </w:p>
    <w:p w14:paraId="2F56FE36">
      <w:pPr>
        <w:spacing w:line="440" w:lineRule="exact"/>
        <w:rPr>
          <w:rFonts w:ascii="宋体" w:hAnsi="宋体"/>
          <w:color w:val="auto"/>
          <w:sz w:val="24"/>
          <w:highlight w:val="none"/>
        </w:rPr>
      </w:pPr>
    </w:p>
    <w:p w14:paraId="37632A92">
      <w:pPr>
        <w:spacing w:line="440" w:lineRule="exact"/>
        <w:rPr>
          <w:rFonts w:ascii="宋体" w:hAnsi="宋体"/>
          <w:color w:val="auto"/>
          <w:sz w:val="24"/>
          <w:highlight w:val="none"/>
        </w:rPr>
      </w:pPr>
    </w:p>
    <w:p w14:paraId="7264EB6B">
      <w:pPr>
        <w:spacing w:line="440" w:lineRule="exact"/>
        <w:rPr>
          <w:rFonts w:ascii="宋体" w:hAnsi="宋体"/>
          <w:color w:val="auto"/>
          <w:sz w:val="24"/>
          <w:highlight w:val="none"/>
        </w:rPr>
      </w:pPr>
    </w:p>
    <w:p w14:paraId="24A8538C">
      <w:pPr>
        <w:snapToGrid w:val="0"/>
        <w:spacing w:line="360" w:lineRule="auto"/>
        <w:ind w:left="-2" w:leftChars="-1" w:right="-817" w:rightChars="-389" w:firstLine="1920" w:firstLineChars="800"/>
        <w:rPr>
          <w:rFonts w:ascii="宋体" w:hAnsi="宋体"/>
          <w:color w:val="auto"/>
          <w:sz w:val="24"/>
          <w:highlight w:val="none"/>
        </w:rPr>
      </w:pPr>
      <w:r>
        <w:rPr>
          <w:rFonts w:hint="eastAsia" w:ascii="宋体" w:hAnsi="宋体"/>
          <w:color w:val="auto"/>
          <w:sz w:val="24"/>
          <w:highlight w:val="none"/>
        </w:rPr>
        <w:t xml:space="preserve">法定代表人或者委托代理人（签字或者电子签名）： </w:t>
      </w:r>
    </w:p>
    <w:p w14:paraId="6899D615">
      <w:pPr>
        <w:snapToGrid w:val="0"/>
        <w:spacing w:line="360" w:lineRule="auto"/>
        <w:ind w:left="-3" w:leftChars="-15" w:right="-817" w:rightChars="-389" w:hanging="28" w:hangingChars="12"/>
        <w:rPr>
          <w:rFonts w:ascii="宋体" w:hAnsi="宋体"/>
          <w:color w:val="auto"/>
          <w:sz w:val="24"/>
          <w:highlight w:val="none"/>
        </w:rPr>
      </w:pPr>
      <w:r>
        <w:rPr>
          <w:rFonts w:hint="eastAsia" w:ascii="宋体" w:hAnsi="宋体"/>
          <w:color w:val="auto"/>
          <w:sz w:val="24"/>
          <w:highlight w:val="none"/>
        </w:rPr>
        <w:t xml:space="preserve">                                      供应商公章（电子签章）：</w:t>
      </w:r>
    </w:p>
    <w:p w14:paraId="70B6D49E">
      <w:pPr>
        <w:snapToGrid w:val="0"/>
        <w:spacing w:line="360" w:lineRule="auto"/>
        <w:ind w:right="480" w:firstLine="240" w:firstLineChars="100"/>
        <w:jc w:val="left"/>
        <w:rPr>
          <w:rFonts w:ascii="宋体" w:hAnsi="宋体"/>
          <w:color w:val="auto"/>
          <w:szCs w:val="21"/>
          <w:highlight w:val="none"/>
        </w:rPr>
      </w:pPr>
      <w:r>
        <w:rPr>
          <w:rFonts w:hint="eastAsia" w:ascii="宋体" w:hAnsi="宋体"/>
          <w:color w:val="auto"/>
          <w:sz w:val="24"/>
          <w:highlight w:val="none"/>
        </w:rPr>
        <w:t xml:space="preserve">                                    日期：    年   月   日</w:t>
      </w:r>
      <w:r>
        <w:rPr>
          <w:rFonts w:ascii="宋体" w:hAnsi="宋体"/>
          <w:b/>
          <w:bCs/>
          <w:color w:val="auto"/>
          <w:sz w:val="24"/>
          <w:highlight w:val="none"/>
        </w:rPr>
        <w:br w:type="page"/>
      </w:r>
      <w:r>
        <w:rPr>
          <w:rFonts w:hint="eastAsia" w:ascii="宋体" w:hAnsi="宋体"/>
          <w:b/>
          <w:bCs/>
          <w:color w:val="auto"/>
          <w:sz w:val="24"/>
          <w:highlight w:val="none"/>
        </w:rPr>
        <w:t>其他文书、文件格式</w:t>
      </w:r>
    </w:p>
    <w:p w14:paraId="3107AE4E">
      <w:pPr>
        <w:jc w:val="center"/>
        <w:rPr>
          <w:rFonts w:ascii="方正小标宋简体" w:hAnsi="方正小标宋简体" w:eastAsia="方正小标宋简体" w:cs="方正小标宋简体"/>
          <w:color w:val="auto"/>
          <w:sz w:val="44"/>
          <w:szCs w:val="44"/>
          <w:highlight w:val="none"/>
        </w:rPr>
      </w:pPr>
      <w:bookmarkStart w:id="177" w:name="_Toc71365926"/>
      <w:r>
        <w:rPr>
          <w:rFonts w:hint="eastAsia" w:ascii="方正小标宋简体" w:hAnsi="方正小标宋简体" w:eastAsia="方正小标宋简体" w:cs="方正小标宋简体"/>
          <w:color w:val="auto"/>
          <w:sz w:val="44"/>
          <w:szCs w:val="44"/>
          <w:highlight w:val="none"/>
        </w:rPr>
        <w:t>中小企业声明函（服务）</w:t>
      </w:r>
      <w:bookmarkEnd w:id="177"/>
    </w:p>
    <w:p w14:paraId="0EB6B863">
      <w:pPr>
        <w:spacing w:before="2" w:line="500" w:lineRule="exact"/>
        <w:ind w:firstLine="708" w:firstLineChars="294"/>
        <w:rPr>
          <w:rFonts w:ascii="宋体" w:hAnsi="宋体" w:cs="宋体"/>
          <w:b/>
          <w:bCs/>
          <w:color w:val="auto"/>
          <w:sz w:val="24"/>
          <w:highlight w:val="none"/>
        </w:rPr>
      </w:pPr>
    </w:p>
    <w:p w14:paraId="12CC5D79">
      <w:pPr>
        <w:pStyle w:val="2"/>
        <w:spacing w:line="500" w:lineRule="exact"/>
        <w:ind w:right="142" w:firstLine="705" w:firstLineChars="294"/>
        <w:rPr>
          <w:rFonts w:ascii="宋体" w:hAnsi="宋体"/>
          <w:color w:val="auto"/>
          <w:sz w:val="24"/>
          <w:highlight w:val="none"/>
        </w:rPr>
      </w:pPr>
      <w:r>
        <w:rPr>
          <w:rFonts w:ascii="宋体" w:hAnsi="宋体"/>
          <w:color w:val="auto"/>
          <w:sz w:val="24"/>
          <w:highlight w:val="none"/>
        </w:rPr>
        <w:t>本公司（联合体）郑重声明，根据《政府采购促进中小企业发展管理办法》（财库﹝2020﹞46号）的规定，本公司（联合体）参加</w:t>
      </w:r>
      <w:r>
        <w:rPr>
          <w:rFonts w:ascii="宋体" w:hAnsi="宋体"/>
          <w:color w:val="auto"/>
          <w:sz w:val="24"/>
          <w:highlight w:val="none"/>
          <w:u w:val="single"/>
        </w:rPr>
        <w:t>（单位名称）</w:t>
      </w:r>
      <w:r>
        <w:rPr>
          <w:rFonts w:ascii="宋体" w:hAnsi="宋体"/>
          <w:color w:val="auto"/>
          <w:sz w:val="24"/>
          <w:highlight w:val="none"/>
        </w:rPr>
        <w:t>的</w:t>
      </w:r>
      <w:r>
        <w:rPr>
          <w:rFonts w:ascii="宋体" w:hAnsi="宋体"/>
          <w:color w:val="auto"/>
          <w:sz w:val="24"/>
          <w:highlight w:val="none"/>
          <w:u w:val="single"/>
        </w:rPr>
        <w:t>（项目名称）</w:t>
      </w:r>
      <w:r>
        <w:rPr>
          <w:rFonts w:ascii="宋体" w:hAnsi="宋体"/>
          <w:color w:val="auto"/>
          <w:sz w:val="24"/>
          <w:highlight w:val="none"/>
        </w:rPr>
        <w:t>采购活动，</w:t>
      </w:r>
      <w:r>
        <w:rPr>
          <w:rFonts w:hint="eastAsia" w:ascii="宋体" w:hAnsi="宋体"/>
          <w:color w:val="auto"/>
          <w:sz w:val="24"/>
          <w:highlight w:val="none"/>
        </w:rPr>
        <w:t>服务全部由符合政策要求的中小企业承接。相关企业（含联合体中的中小企业、签订分包意向协议的中小企业）的具体情况如下：</w:t>
      </w:r>
    </w:p>
    <w:p w14:paraId="452AA494">
      <w:pPr>
        <w:tabs>
          <w:tab w:val="left" w:pos="1384"/>
          <w:tab w:val="left" w:pos="4562"/>
          <w:tab w:val="left" w:pos="6803"/>
        </w:tabs>
        <w:spacing w:before="13" w:line="500" w:lineRule="exact"/>
        <w:ind w:right="142" w:firstLine="772" w:firstLineChars="322"/>
        <w:rPr>
          <w:rFonts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w:t>
      </w:r>
      <w:r>
        <w:rPr>
          <w:rFonts w:ascii="宋体" w:hAnsi="宋体"/>
          <w:color w:val="auto"/>
          <w:sz w:val="24"/>
          <w:highlight w:val="none"/>
          <w:u w:val="single"/>
        </w:rPr>
        <w:t>业）</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，从业人员人，营业收入为万元，资产总额为万元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0FF88F65">
      <w:pPr>
        <w:tabs>
          <w:tab w:val="left" w:pos="1065"/>
          <w:tab w:val="left" w:pos="4262"/>
          <w:tab w:val="left" w:pos="6477"/>
        </w:tabs>
        <w:spacing w:before="20" w:line="500" w:lineRule="exact"/>
        <w:ind w:right="84" w:firstLine="772" w:firstLineChars="322"/>
        <w:rPr>
          <w:rFonts w:ascii="宋体" w:hAnsi="宋体"/>
          <w:color w:val="auto"/>
          <w:sz w:val="24"/>
          <w:highlight w:val="none"/>
          <w:u w:val="singl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行业</w:t>
      </w:r>
      <w:r>
        <w:rPr>
          <w:rFonts w:ascii="宋体" w:hAnsi="宋体"/>
          <w:color w:val="auto"/>
          <w:sz w:val="24"/>
          <w:highlight w:val="none"/>
          <w:u w:val="single"/>
        </w:rPr>
        <w:t>）</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，从业人员人，营业收入为万元，资产总额为万元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4DA1D00F">
      <w:pPr>
        <w:pStyle w:val="2"/>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 xml:space="preserve">…… </w:t>
      </w:r>
    </w:p>
    <w:p w14:paraId="53B7BC65">
      <w:pPr>
        <w:pStyle w:val="2"/>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以上企业，不属于大企业的分支机构，不存在控股股东为大企业的情形，也不存在与大企业的负责人为同一人的情形。</w:t>
      </w:r>
    </w:p>
    <w:p w14:paraId="4AC34C94">
      <w:pPr>
        <w:pStyle w:val="2"/>
        <w:spacing w:before="25" w:line="500" w:lineRule="exact"/>
        <w:ind w:right="142" w:firstLine="705" w:firstLineChars="294"/>
        <w:rPr>
          <w:rFonts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14:paraId="415D9418">
      <w:pPr>
        <w:pStyle w:val="2"/>
        <w:spacing w:before="56" w:line="500" w:lineRule="exact"/>
        <w:ind w:right="1808" w:firstLine="705" w:firstLineChars="294"/>
        <w:rPr>
          <w:rFonts w:ascii="宋体" w:hAnsi="宋体"/>
          <w:color w:val="auto"/>
          <w:sz w:val="24"/>
          <w:highlight w:val="none"/>
        </w:rPr>
      </w:pPr>
    </w:p>
    <w:p w14:paraId="3E073DC0">
      <w:pPr>
        <w:pStyle w:val="2"/>
        <w:spacing w:before="56" w:line="500" w:lineRule="exact"/>
        <w:ind w:right="650" w:firstLine="5625" w:firstLineChars="2344"/>
        <w:rPr>
          <w:rFonts w:ascii="宋体" w:hAnsi="宋体"/>
          <w:color w:val="auto"/>
          <w:sz w:val="24"/>
          <w:highlight w:val="none"/>
        </w:rPr>
      </w:pPr>
      <w:r>
        <w:rPr>
          <w:rFonts w:ascii="宋体" w:hAnsi="宋体"/>
          <w:color w:val="auto"/>
          <w:sz w:val="24"/>
          <w:highlight w:val="none"/>
        </w:rPr>
        <w:t>企业名称（章）</w:t>
      </w:r>
      <w:r>
        <w:rPr>
          <w:rFonts w:hint="eastAsia" w:ascii="宋体" w:hAnsi="宋体"/>
          <w:color w:val="auto"/>
          <w:sz w:val="24"/>
          <w:highlight w:val="none"/>
        </w:rPr>
        <w:t>：</w:t>
      </w:r>
    </w:p>
    <w:p w14:paraId="36D8D135">
      <w:pPr>
        <w:pStyle w:val="2"/>
        <w:spacing w:before="56" w:line="500" w:lineRule="exact"/>
        <w:ind w:right="1808" w:firstLine="5625" w:firstLineChars="2344"/>
        <w:rPr>
          <w:rFonts w:ascii="宋体" w:hAnsi="宋体"/>
          <w:color w:val="auto"/>
          <w:sz w:val="24"/>
          <w:highlight w:val="none"/>
        </w:rPr>
      </w:pPr>
      <w:r>
        <w:rPr>
          <w:rFonts w:ascii="宋体" w:hAnsi="宋体"/>
          <w:color w:val="auto"/>
          <w:sz w:val="24"/>
          <w:highlight w:val="none"/>
        </w:rPr>
        <w:t>日 期</w:t>
      </w:r>
      <w:r>
        <w:rPr>
          <w:rFonts w:hint="eastAsia" w:ascii="宋体" w:hAnsi="宋体"/>
          <w:color w:val="auto"/>
          <w:sz w:val="24"/>
          <w:highlight w:val="none"/>
        </w:rPr>
        <w:t>：</w:t>
      </w:r>
    </w:p>
    <w:p w14:paraId="36DEABA8">
      <w:pPr>
        <w:spacing w:line="520" w:lineRule="exact"/>
        <w:jc w:val="left"/>
        <w:rPr>
          <w:rFonts w:ascii="宋体" w:hAnsi="宋体" w:cs="仿宋_GB2312"/>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176C17DD">
      <w:pPr>
        <w:spacing w:line="520" w:lineRule="exact"/>
        <w:jc w:val="center"/>
        <w:rPr>
          <w:rFonts w:ascii="宋体" w:hAnsi="宋体"/>
          <w:color w:val="auto"/>
          <w:sz w:val="24"/>
          <w:highlight w:val="none"/>
        </w:rPr>
      </w:pPr>
      <w:r>
        <w:rPr>
          <w:rFonts w:ascii="宋体" w:hAnsi="宋体"/>
          <w:color w:val="auto"/>
          <w:sz w:val="24"/>
          <w:highlight w:val="none"/>
        </w:rPr>
        <w:br w:type="page"/>
      </w:r>
    </w:p>
    <w:p w14:paraId="28DC25DF">
      <w:pPr>
        <w:spacing w:line="52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残疾人福利性单位声明函</w:t>
      </w:r>
    </w:p>
    <w:p w14:paraId="20A59269">
      <w:pPr>
        <w:spacing w:line="360" w:lineRule="auto"/>
        <w:contextualSpacing/>
        <w:rPr>
          <w:rFonts w:ascii="仿宋_GB2312" w:hAnsi="仿宋_GB2312" w:eastAsia="仿宋_GB2312" w:cs="仿宋_GB2312"/>
          <w:color w:val="auto"/>
          <w:sz w:val="32"/>
          <w:szCs w:val="32"/>
          <w:highlight w:val="none"/>
        </w:rPr>
      </w:pPr>
    </w:p>
    <w:p w14:paraId="0AEE9B0B">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EBEA0C0">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7229E8F2">
      <w:pPr>
        <w:spacing w:line="360" w:lineRule="auto"/>
        <w:contextualSpacing/>
        <w:rPr>
          <w:rFonts w:ascii="宋体" w:hAnsi="宋体" w:cs="仿宋_GB2312"/>
          <w:color w:val="auto"/>
          <w:sz w:val="24"/>
          <w:highlight w:val="none"/>
        </w:rPr>
      </w:pPr>
    </w:p>
    <w:p w14:paraId="4CDA8E37">
      <w:pPr>
        <w:spacing w:line="360" w:lineRule="auto"/>
        <w:contextualSpacing/>
        <w:rPr>
          <w:rFonts w:ascii="宋体" w:hAnsi="宋体" w:cs="仿宋_GB2312"/>
          <w:color w:val="auto"/>
          <w:sz w:val="24"/>
          <w:highlight w:val="none"/>
        </w:rPr>
      </w:pPr>
    </w:p>
    <w:p w14:paraId="778EA905">
      <w:pPr>
        <w:spacing w:line="360" w:lineRule="auto"/>
        <w:contextualSpacing/>
        <w:rPr>
          <w:rFonts w:ascii="宋体" w:hAnsi="宋体" w:cs="仿宋_GB2312"/>
          <w:color w:val="auto"/>
          <w:sz w:val="24"/>
          <w:highlight w:val="none"/>
        </w:rPr>
      </w:pPr>
    </w:p>
    <w:p w14:paraId="36F72B3D">
      <w:pPr>
        <w:spacing w:line="360" w:lineRule="auto"/>
        <w:ind w:firstLine="2400" w:firstLineChars="1000"/>
        <w:contextualSpacing/>
        <w:rPr>
          <w:rFonts w:ascii="宋体" w:hAnsi="宋体" w:cs="仿宋_GB2312"/>
          <w:color w:val="auto"/>
          <w:sz w:val="24"/>
          <w:highlight w:val="none"/>
        </w:rPr>
      </w:pPr>
      <w:r>
        <w:rPr>
          <w:rFonts w:hint="eastAsia" w:ascii="宋体" w:hAnsi="宋体" w:cs="仿宋_GB2312"/>
          <w:color w:val="auto"/>
          <w:sz w:val="24"/>
          <w:highlight w:val="none"/>
        </w:rPr>
        <w:t>单位名称（盖章）：</w:t>
      </w:r>
    </w:p>
    <w:p w14:paraId="434297E7">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日  期：</w:t>
      </w:r>
    </w:p>
    <w:p w14:paraId="6CCA6377">
      <w:pPr>
        <w:spacing w:line="360" w:lineRule="auto"/>
        <w:contextualSpacing/>
        <w:rPr>
          <w:rFonts w:ascii="宋体" w:hAnsi="宋体" w:cs="仿宋_GB2312"/>
          <w:color w:val="auto"/>
          <w:sz w:val="24"/>
          <w:highlight w:val="none"/>
        </w:rPr>
      </w:pPr>
    </w:p>
    <w:p w14:paraId="2B56B14F">
      <w:pPr>
        <w:spacing w:line="360" w:lineRule="auto"/>
        <w:contextualSpacing/>
        <w:rPr>
          <w:rFonts w:ascii="宋体" w:hAnsi="宋体" w:cs="仿宋_GB2312"/>
          <w:color w:val="auto"/>
          <w:sz w:val="24"/>
          <w:highlight w:val="none"/>
        </w:rPr>
      </w:pPr>
    </w:p>
    <w:p w14:paraId="37DCFEE3">
      <w:pPr>
        <w:spacing w:line="360" w:lineRule="auto"/>
        <w:contextualSpacing/>
        <w:rPr>
          <w:rFonts w:ascii="宋体" w:hAnsi="宋体" w:cs="仿宋_GB2312"/>
          <w:color w:val="auto"/>
          <w:sz w:val="24"/>
          <w:highlight w:val="none"/>
        </w:rPr>
      </w:pPr>
    </w:p>
    <w:p w14:paraId="342B267A">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注：请根据自己的真实情况出具《残疾人福利性单位声明函》。依法享受中小企业优惠政策的，采购人或者采购代理机构在公告成交结果时，同时公告其《残疾人福利性单位声明函》，接受社会监督。</w:t>
      </w:r>
    </w:p>
    <w:p w14:paraId="766FF241">
      <w:pPr>
        <w:spacing w:line="360" w:lineRule="auto"/>
        <w:jc w:val="center"/>
        <w:rPr>
          <w:rFonts w:ascii="宋体" w:hAnsi="宋体" w:cs="仿宋_GB2312"/>
          <w:color w:val="auto"/>
          <w:sz w:val="24"/>
          <w:highlight w:val="none"/>
        </w:rPr>
      </w:pPr>
      <w:r>
        <w:rPr>
          <w:rFonts w:ascii="宋体" w:hAnsi="宋体" w:cs="仿宋_GB2312"/>
          <w:color w:val="auto"/>
          <w:sz w:val="24"/>
          <w:highlight w:val="none"/>
        </w:rPr>
        <w:br w:type="page"/>
      </w:r>
    </w:p>
    <w:p w14:paraId="3FADA2F2">
      <w:pPr>
        <w:spacing w:line="360" w:lineRule="auto"/>
        <w:jc w:val="center"/>
        <w:rPr>
          <w:rFonts w:ascii="宋体" w:hAnsi="宋体"/>
          <w:b/>
          <w:bCs/>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质疑函（格式）</w:t>
      </w:r>
    </w:p>
    <w:p w14:paraId="0350F728">
      <w:pPr>
        <w:pStyle w:val="18"/>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一、质疑供应商基本信息</w:t>
      </w:r>
      <w:r>
        <w:rPr>
          <w:rFonts w:hint="eastAsia" w:hAnsi="宋体"/>
          <w:bCs/>
          <w:color w:val="auto"/>
          <w:sz w:val="24"/>
          <w:szCs w:val="24"/>
          <w:highlight w:val="none"/>
        </w:rPr>
        <w:t>：</w:t>
      </w:r>
    </w:p>
    <w:p w14:paraId="542679D2">
      <w:pPr>
        <w:pStyle w:val="18"/>
        <w:spacing w:line="360" w:lineRule="auto"/>
        <w:ind w:firstLine="480" w:firstLineChars="200"/>
        <w:contextualSpacing/>
        <w:rPr>
          <w:rFonts w:hAnsi="宋体"/>
          <w:bCs/>
          <w:color w:val="auto"/>
          <w:sz w:val="24"/>
          <w:szCs w:val="24"/>
          <w:highlight w:val="none"/>
          <w:u w:val="single"/>
        </w:rPr>
      </w:pPr>
      <w:r>
        <w:rPr>
          <w:rFonts w:hint="eastAsia" w:hAnsi="宋体"/>
          <w:bCs/>
          <w:color w:val="auto"/>
          <w:sz w:val="24"/>
          <w:szCs w:val="24"/>
          <w:highlight w:val="none"/>
        </w:rPr>
        <w:t>质疑供应商：</w:t>
      </w:r>
    </w:p>
    <w:p w14:paraId="631C4149">
      <w:pPr>
        <w:pStyle w:val="18"/>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4E016FC0">
      <w:pPr>
        <w:pStyle w:val="18"/>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Ansi="宋体"/>
          <w:bCs/>
          <w:color w:val="auto"/>
          <w:sz w:val="24"/>
          <w:szCs w:val="24"/>
          <w:highlight w:val="none"/>
        </w:rPr>
        <w:t>联系电话</w:t>
      </w:r>
      <w:r>
        <w:rPr>
          <w:rFonts w:hint="eastAsia" w:hAnsi="宋体"/>
          <w:bCs/>
          <w:color w:val="auto"/>
          <w:sz w:val="24"/>
          <w:szCs w:val="24"/>
          <w:highlight w:val="none"/>
        </w:rPr>
        <w:t>：</w:t>
      </w:r>
    </w:p>
    <w:p w14:paraId="2828F79C">
      <w:pPr>
        <w:pStyle w:val="18"/>
        <w:spacing w:line="360" w:lineRule="auto"/>
        <w:ind w:firstLine="480" w:firstLineChars="200"/>
        <w:contextualSpacing/>
        <w:rPr>
          <w:rFonts w:hAnsi="宋体"/>
          <w:bCs/>
          <w:color w:val="auto"/>
          <w:sz w:val="24"/>
          <w:szCs w:val="24"/>
          <w:highlight w:val="none"/>
        </w:rPr>
      </w:pPr>
      <w:r>
        <w:rPr>
          <w:rFonts w:hint="eastAsia" w:hAnsi="宋体"/>
          <w:bCs/>
          <w:color w:val="auto"/>
          <w:sz w:val="24"/>
          <w:szCs w:val="24"/>
          <w:highlight w:val="none"/>
        </w:rPr>
        <w:t>授权代表：</w:t>
      </w:r>
    </w:p>
    <w:p w14:paraId="46AFF3DD">
      <w:pPr>
        <w:pStyle w:val="18"/>
        <w:spacing w:line="360" w:lineRule="auto"/>
        <w:ind w:firstLine="480" w:firstLineChars="200"/>
        <w:contextualSpacing/>
        <w:rPr>
          <w:rFonts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p>
    <w:p w14:paraId="672B371B">
      <w:pPr>
        <w:pStyle w:val="18"/>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7FEDEE22">
      <w:pPr>
        <w:pStyle w:val="18"/>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二、质疑项目基本情况</w:t>
      </w:r>
      <w:r>
        <w:rPr>
          <w:rFonts w:hint="eastAsia" w:hAnsi="宋体"/>
          <w:bCs/>
          <w:color w:val="auto"/>
          <w:sz w:val="24"/>
          <w:szCs w:val="24"/>
          <w:highlight w:val="none"/>
        </w:rPr>
        <w:t>：</w:t>
      </w:r>
    </w:p>
    <w:p w14:paraId="65D57AB2">
      <w:pPr>
        <w:pStyle w:val="18"/>
        <w:spacing w:line="360" w:lineRule="auto"/>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p>
    <w:p w14:paraId="49D0F1AE">
      <w:pPr>
        <w:pStyle w:val="18"/>
        <w:spacing w:line="360" w:lineRule="auto"/>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p>
    <w:p w14:paraId="6FD47314">
      <w:pPr>
        <w:pStyle w:val="18"/>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采购人名称：</w:t>
      </w:r>
    </w:p>
    <w:p w14:paraId="444FC26C">
      <w:pPr>
        <w:pStyle w:val="18"/>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w:t>
      </w:r>
    </w:p>
    <w:p w14:paraId="42E28253">
      <w:pPr>
        <w:pStyle w:val="18"/>
        <w:spacing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□采购文件   采购文件获取日期：</w:t>
      </w:r>
    </w:p>
    <w:p w14:paraId="06AE82DF">
      <w:pPr>
        <w:pStyle w:val="18"/>
        <w:spacing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 xml:space="preserve">□采购过程   </w:t>
      </w:r>
    </w:p>
    <w:p w14:paraId="6FDF5AE2">
      <w:pPr>
        <w:pStyle w:val="18"/>
        <w:spacing w:line="360" w:lineRule="auto"/>
        <w:ind w:left="25" w:leftChars="12" w:firstLine="352" w:firstLineChars="147"/>
        <w:contextualSpacing/>
        <w:rPr>
          <w:rFonts w:hAnsi="宋体"/>
          <w:bCs/>
          <w:color w:val="auto"/>
          <w:sz w:val="24"/>
          <w:szCs w:val="24"/>
          <w:highlight w:val="none"/>
          <w:u w:val="single"/>
        </w:rPr>
      </w:pPr>
      <w:r>
        <w:rPr>
          <w:rFonts w:hint="eastAsia" w:hAnsi="宋体"/>
          <w:color w:val="auto"/>
          <w:sz w:val="24"/>
          <w:szCs w:val="24"/>
          <w:highlight w:val="none"/>
        </w:rPr>
        <w:t xml:space="preserve">□成交结果   </w:t>
      </w:r>
    </w:p>
    <w:p w14:paraId="66AE80F1">
      <w:pPr>
        <w:pStyle w:val="18"/>
        <w:spacing w:line="360" w:lineRule="auto"/>
        <w:ind w:left="25" w:leftChars="12" w:firstLine="472" w:firstLineChars="196"/>
        <w:contextualSpacing/>
        <w:rPr>
          <w:rFonts w:hAnsi="宋体"/>
          <w:b/>
          <w:color w:val="auto"/>
          <w:sz w:val="24"/>
          <w:szCs w:val="24"/>
          <w:highlight w:val="none"/>
        </w:rPr>
      </w:pPr>
      <w:r>
        <w:rPr>
          <w:rFonts w:hint="eastAsia" w:hAnsi="宋体"/>
          <w:b/>
          <w:color w:val="auto"/>
          <w:sz w:val="24"/>
          <w:szCs w:val="24"/>
          <w:highlight w:val="none"/>
        </w:rPr>
        <w:t>三、质疑事项具体内容</w:t>
      </w:r>
    </w:p>
    <w:p w14:paraId="4F958CAB">
      <w:pPr>
        <w:pStyle w:val="18"/>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质疑事项1：</w:t>
      </w:r>
    </w:p>
    <w:p w14:paraId="37426446">
      <w:pPr>
        <w:pStyle w:val="18"/>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事实依据：</w:t>
      </w:r>
    </w:p>
    <w:p w14:paraId="090D9757">
      <w:pPr>
        <w:pStyle w:val="18"/>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法律依据：</w:t>
      </w:r>
    </w:p>
    <w:p w14:paraId="6973AA23">
      <w:pPr>
        <w:pStyle w:val="18"/>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质疑事项2</w:t>
      </w:r>
    </w:p>
    <w:p w14:paraId="1552F023">
      <w:pPr>
        <w:pStyle w:val="18"/>
        <w:spacing w:line="360" w:lineRule="auto"/>
        <w:ind w:left="25" w:leftChars="12" w:firstLine="472" w:firstLineChars="197"/>
        <w:contextualSpacing/>
        <w:rPr>
          <w:rFonts w:hAnsi="宋体"/>
          <w:color w:val="auto"/>
          <w:sz w:val="24"/>
          <w:szCs w:val="24"/>
          <w:highlight w:val="none"/>
        </w:rPr>
      </w:pPr>
      <w:r>
        <w:rPr>
          <w:rFonts w:hAnsi="宋体"/>
          <w:color w:val="auto"/>
          <w:sz w:val="24"/>
          <w:szCs w:val="24"/>
          <w:highlight w:val="none"/>
        </w:rPr>
        <w:t>……</w:t>
      </w:r>
    </w:p>
    <w:p w14:paraId="29D32603">
      <w:pPr>
        <w:pStyle w:val="18"/>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四、与质疑事项相关的质疑请求：</w:t>
      </w:r>
    </w:p>
    <w:p w14:paraId="24661CE1">
      <w:pPr>
        <w:pStyle w:val="18"/>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请求：</w:t>
      </w:r>
    </w:p>
    <w:p w14:paraId="7C6EAAC4">
      <w:pPr>
        <w:pStyle w:val="18"/>
        <w:spacing w:line="360" w:lineRule="auto"/>
        <w:ind w:left="25" w:leftChars="12" w:firstLine="352" w:firstLineChars="147"/>
        <w:contextualSpacing/>
        <w:rPr>
          <w:rFonts w:hAnsi="宋体"/>
          <w:color w:val="auto"/>
          <w:sz w:val="24"/>
          <w:szCs w:val="24"/>
          <w:highlight w:val="none"/>
        </w:rPr>
      </w:pPr>
    </w:p>
    <w:p w14:paraId="3C9A28E6">
      <w:pPr>
        <w:pStyle w:val="18"/>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签字（签章）：                                       公章：</w:t>
      </w:r>
    </w:p>
    <w:p w14:paraId="011FD799">
      <w:pPr>
        <w:pStyle w:val="18"/>
        <w:spacing w:line="360" w:lineRule="auto"/>
        <w:ind w:firstLine="480" w:firstLineChars="200"/>
        <w:contextualSpacing/>
        <w:rPr>
          <w:rFonts w:hAnsi="宋体"/>
          <w:b/>
          <w:color w:val="auto"/>
          <w:sz w:val="24"/>
          <w:szCs w:val="24"/>
          <w:highlight w:val="none"/>
        </w:rPr>
      </w:pPr>
      <w:r>
        <w:rPr>
          <w:rFonts w:hint="eastAsia" w:hAnsi="宋体"/>
          <w:color w:val="auto"/>
          <w:sz w:val="24"/>
          <w:szCs w:val="24"/>
          <w:highlight w:val="none"/>
        </w:rPr>
        <w:t>日期：</w:t>
      </w:r>
    </w:p>
    <w:p w14:paraId="3D9ECC78">
      <w:pPr>
        <w:pStyle w:val="18"/>
        <w:spacing w:line="360" w:lineRule="auto"/>
        <w:contextualSpacing/>
        <w:rPr>
          <w:rFonts w:hAnsi="宋体"/>
          <w:b/>
          <w:color w:val="auto"/>
          <w:sz w:val="24"/>
          <w:szCs w:val="24"/>
          <w:highlight w:val="none"/>
        </w:rPr>
      </w:pPr>
      <w:r>
        <w:rPr>
          <w:rFonts w:hint="eastAsia" w:hAnsi="宋体"/>
          <w:b/>
          <w:color w:val="auto"/>
          <w:sz w:val="24"/>
          <w:szCs w:val="24"/>
          <w:highlight w:val="none"/>
        </w:rPr>
        <w:t>说明</w:t>
      </w:r>
      <w:r>
        <w:rPr>
          <w:rFonts w:hint="eastAsia" w:hAnsi="宋体"/>
          <w:color w:val="auto"/>
          <w:sz w:val="24"/>
          <w:szCs w:val="24"/>
          <w:highlight w:val="none"/>
        </w:rPr>
        <w:t>：</w:t>
      </w:r>
    </w:p>
    <w:p w14:paraId="1016E0CE">
      <w:pPr>
        <w:pStyle w:val="18"/>
        <w:spacing w:line="360" w:lineRule="auto"/>
        <w:ind w:left="25" w:leftChars="12" w:firstLine="354" w:firstLineChars="147"/>
        <w:contextualSpacing/>
        <w:rPr>
          <w:rFonts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58BAE92B">
      <w:pPr>
        <w:pStyle w:val="18"/>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5900884">
      <w:pPr>
        <w:pStyle w:val="18"/>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51A36706">
      <w:pPr>
        <w:pStyle w:val="18"/>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4.质疑函的质疑请求应与质疑事项相关。</w:t>
      </w:r>
    </w:p>
    <w:p w14:paraId="04B43E6E">
      <w:pPr>
        <w:pStyle w:val="18"/>
        <w:spacing w:line="360" w:lineRule="auto"/>
        <w:ind w:left="25" w:leftChars="12" w:firstLine="354" w:firstLineChars="147"/>
        <w:contextualSpacing/>
        <w:rPr>
          <w:rFonts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11CBAEFF">
      <w:pPr>
        <w:pStyle w:val="18"/>
        <w:snapToGrid w:val="0"/>
        <w:rPr>
          <w:b/>
          <w:color w:val="auto"/>
          <w:sz w:val="24"/>
          <w:szCs w:val="24"/>
          <w:highlight w:val="none"/>
        </w:rPr>
      </w:pPr>
    </w:p>
    <w:p w14:paraId="4E05267B">
      <w:pPr>
        <w:rPr>
          <w:color w:val="auto"/>
          <w:sz w:val="32"/>
          <w:szCs w:val="40"/>
          <w:highlight w:val="none"/>
        </w:rPr>
      </w:pPr>
    </w:p>
    <w:p w14:paraId="36A21F37">
      <w:pPr>
        <w:rPr>
          <w:color w:val="auto"/>
          <w:sz w:val="32"/>
          <w:szCs w:val="40"/>
          <w:highlight w:val="none"/>
        </w:rPr>
      </w:pPr>
    </w:p>
    <w:p w14:paraId="0494555B">
      <w:pPr>
        <w:rPr>
          <w:color w:val="auto"/>
          <w:sz w:val="32"/>
          <w:szCs w:val="40"/>
          <w:highlight w:val="none"/>
        </w:rPr>
      </w:pPr>
    </w:p>
    <w:p w14:paraId="499B2567">
      <w:pPr>
        <w:rPr>
          <w:color w:val="auto"/>
          <w:sz w:val="32"/>
          <w:szCs w:val="40"/>
          <w:highlight w:val="none"/>
        </w:rPr>
      </w:pPr>
    </w:p>
    <w:p w14:paraId="5FF6B3BD">
      <w:pPr>
        <w:rPr>
          <w:color w:val="auto"/>
          <w:sz w:val="32"/>
          <w:szCs w:val="40"/>
          <w:highlight w:val="none"/>
        </w:rPr>
      </w:pPr>
    </w:p>
    <w:p w14:paraId="165A32E7">
      <w:pPr>
        <w:rPr>
          <w:color w:val="auto"/>
          <w:sz w:val="32"/>
          <w:szCs w:val="40"/>
          <w:highlight w:val="none"/>
        </w:rPr>
      </w:pPr>
    </w:p>
    <w:p w14:paraId="1D5F8835">
      <w:pPr>
        <w:rPr>
          <w:color w:val="auto"/>
          <w:sz w:val="32"/>
          <w:szCs w:val="40"/>
          <w:highlight w:val="none"/>
        </w:rPr>
      </w:pPr>
    </w:p>
    <w:p w14:paraId="74F92D3F">
      <w:pPr>
        <w:rPr>
          <w:color w:val="auto"/>
          <w:sz w:val="32"/>
          <w:szCs w:val="40"/>
          <w:highlight w:val="none"/>
        </w:rPr>
      </w:pPr>
    </w:p>
    <w:p w14:paraId="1649BB7B">
      <w:pPr>
        <w:rPr>
          <w:color w:val="auto"/>
          <w:sz w:val="32"/>
          <w:szCs w:val="40"/>
          <w:highlight w:val="none"/>
        </w:rPr>
      </w:pPr>
    </w:p>
    <w:p w14:paraId="25AA1F3F">
      <w:pPr>
        <w:rPr>
          <w:color w:val="auto"/>
          <w:sz w:val="32"/>
          <w:szCs w:val="40"/>
          <w:highlight w:val="none"/>
        </w:rPr>
      </w:pPr>
    </w:p>
    <w:p w14:paraId="0A7D8B42">
      <w:pPr>
        <w:rPr>
          <w:color w:val="auto"/>
          <w:sz w:val="32"/>
          <w:szCs w:val="40"/>
          <w:highlight w:val="none"/>
        </w:rPr>
      </w:pPr>
    </w:p>
    <w:p w14:paraId="0D540E83">
      <w:pPr>
        <w:rPr>
          <w:color w:val="auto"/>
          <w:sz w:val="32"/>
          <w:szCs w:val="40"/>
          <w:highlight w:val="none"/>
        </w:rPr>
      </w:pPr>
    </w:p>
    <w:p w14:paraId="6CBD7F85">
      <w:pPr>
        <w:rPr>
          <w:color w:val="auto"/>
          <w:sz w:val="32"/>
          <w:szCs w:val="40"/>
          <w:highlight w:val="none"/>
        </w:rPr>
      </w:pPr>
    </w:p>
    <w:p w14:paraId="3CD1F98B">
      <w:pPr>
        <w:rPr>
          <w:color w:val="auto"/>
          <w:sz w:val="32"/>
          <w:szCs w:val="40"/>
          <w:highlight w:val="none"/>
        </w:rPr>
      </w:pPr>
    </w:p>
    <w:p w14:paraId="5E5F1672">
      <w:pP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p>
    <w:p w14:paraId="00ED022A">
      <w:pPr>
        <w:spacing w:line="360" w:lineRule="auto"/>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投诉书（格式）</w:t>
      </w:r>
    </w:p>
    <w:p w14:paraId="1F78A435">
      <w:pPr>
        <w:pStyle w:val="18"/>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r>
        <w:rPr>
          <w:rFonts w:hint="eastAsia" w:hAnsi="宋体"/>
          <w:bCs/>
          <w:color w:val="auto"/>
          <w:sz w:val="24"/>
          <w:szCs w:val="24"/>
          <w:highlight w:val="none"/>
        </w:rPr>
        <w:t>：</w:t>
      </w:r>
    </w:p>
    <w:p w14:paraId="72403967">
      <w:pPr>
        <w:pStyle w:val="18"/>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供应商：</w:t>
      </w:r>
    </w:p>
    <w:p w14:paraId="24E719F2">
      <w:pPr>
        <w:pStyle w:val="18"/>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50DB1BF9">
      <w:pPr>
        <w:pStyle w:val="18"/>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法定代表人/主要负责人：</w:t>
      </w:r>
    </w:p>
    <w:p w14:paraId="00CD0F1B">
      <w:pPr>
        <w:pStyle w:val="18"/>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p>
    <w:p w14:paraId="55C924A5">
      <w:pPr>
        <w:pStyle w:val="18"/>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授权代表：</w:t>
      </w:r>
      <w:r>
        <w:rPr>
          <w:rFonts w:hAnsi="宋体"/>
          <w:bCs/>
          <w:color w:val="auto"/>
          <w:sz w:val="24"/>
          <w:szCs w:val="24"/>
          <w:highlight w:val="none"/>
        </w:rPr>
        <w:t>联系</w:t>
      </w:r>
      <w:r>
        <w:rPr>
          <w:rFonts w:hint="eastAsia" w:hAnsi="宋体"/>
          <w:bCs/>
          <w:color w:val="auto"/>
          <w:sz w:val="24"/>
          <w:szCs w:val="24"/>
          <w:highlight w:val="none"/>
        </w:rPr>
        <w:t>电话：</w:t>
      </w:r>
    </w:p>
    <w:p w14:paraId="208FC3BB">
      <w:pPr>
        <w:pStyle w:val="18"/>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p>
    <w:p w14:paraId="4654B08E">
      <w:pPr>
        <w:pStyle w:val="18"/>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p>
    <w:p w14:paraId="3A060656">
      <w:pPr>
        <w:pStyle w:val="18"/>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被投诉人1：</w:t>
      </w:r>
    </w:p>
    <w:p w14:paraId="142DE76A">
      <w:pPr>
        <w:pStyle w:val="18"/>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地址：</w:t>
      </w:r>
    </w:p>
    <w:p w14:paraId="40137CA3">
      <w:pPr>
        <w:pStyle w:val="18"/>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p>
    <w:p w14:paraId="46A15CB8">
      <w:pPr>
        <w:pStyle w:val="18"/>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联系人：</w:t>
      </w:r>
      <w:r>
        <w:rPr>
          <w:rFonts w:hAnsi="宋体"/>
          <w:bCs/>
          <w:color w:val="auto"/>
          <w:sz w:val="24"/>
          <w:szCs w:val="24"/>
          <w:highlight w:val="none"/>
        </w:rPr>
        <w:t>联系</w:t>
      </w:r>
      <w:r>
        <w:rPr>
          <w:rFonts w:hint="eastAsia" w:hAnsi="宋体"/>
          <w:bCs/>
          <w:color w:val="auto"/>
          <w:sz w:val="24"/>
          <w:szCs w:val="24"/>
          <w:highlight w:val="none"/>
        </w:rPr>
        <w:t>电话：</w:t>
      </w:r>
    </w:p>
    <w:p w14:paraId="376EE113">
      <w:pPr>
        <w:pStyle w:val="18"/>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被投诉人2：</w:t>
      </w:r>
    </w:p>
    <w:p w14:paraId="33BD74C3">
      <w:pPr>
        <w:pStyle w:val="18"/>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w:t>
      </w:r>
    </w:p>
    <w:p w14:paraId="06353509">
      <w:pPr>
        <w:pStyle w:val="18"/>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相关供应商：</w:t>
      </w:r>
    </w:p>
    <w:p w14:paraId="424045BA">
      <w:pPr>
        <w:pStyle w:val="18"/>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36BFD7E6">
      <w:pPr>
        <w:pStyle w:val="18"/>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联系人：</w:t>
      </w:r>
      <w:r>
        <w:rPr>
          <w:rFonts w:hAnsi="宋体"/>
          <w:bCs/>
          <w:color w:val="auto"/>
          <w:sz w:val="24"/>
          <w:szCs w:val="24"/>
          <w:highlight w:val="none"/>
        </w:rPr>
        <w:t>联系</w:t>
      </w:r>
      <w:r>
        <w:rPr>
          <w:rFonts w:hint="eastAsia" w:hAnsi="宋体"/>
          <w:bCs/>
          <w:color w:val="auto"/>
          <w:sz w:val="24"/>
          <w:szCs w:val="24"/>
          <w:highlight w:val="none"/>
        </w:rPr>
        <w:t>电话：</w:t>
      </w:r>
    </w:p>
    <w:p w14:paraId="78CA5889">
      <w:pPr>
        <w:pStyle w:val="18"/>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二、投诉项目基本情况</w:t>
      </w:r>
      <w:r>
        <w:rPr>
          <w:rFonts w:hint="eastAsia" w:hAnsi="宋体"/>
          <w:bCs/>
          <w:color w:val="auto"/>
          <w:sz w:val="24"/>
          <w:szCs w:val="24"/>
          <w:highlight w:val="none"/>
        </w:rPr>
        <w:t>：</w:t>
      </w:r>
    </w:p>
    <w:p w14:paraId="05B372A3">
      <w:pPr>
        <w:pStyle w:val="18"/>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p>
    <w:p w14:paraId="50419C39">
      <w:pPr>
        <w:pStyle w:val="18"/>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p>
    <w:p w14:paraId="00131BB7">
      <w:pPr>
        <w:pStyle w:val="18"/>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采购人名称：</w:t>
      </w:r>
    </w:p>
    <w:p w14:paraId="781AE942">
      <w:pPr>
        <w:pStyle w:val="18"/>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代理机构名称：</w:t>
      </w:r>
    </w:p>
    <w:p w14:paraId="3B738882">
      <w:pPr>
        <w:pStyle w:val="18"/>
        <w:spacing w:line="360" w:lineRule="auto"/>
        <w:ind w:left="25" w:leftChars="12" w:firstLine="472" w:firstLineChars="197"/>
        <w:rPr>
          <w:rFonts w:hAnsi="宋体"/>
          <w:bCs/>
          <w:color w:val="auto"/>
          <w:sz w:val="24"/>
          <w:szCs w:val="24"/>
          <w:highlight w:val="none"/>
          <w:u w:val="single"/>
        </w:rPr>
      </w:pPr>
      <w:r>
        <w:rPr>
          <w:rFonts w:hint="eastAsia" w:hAnsi="宋体"/>
          <w:bCs/>
          <w:color w:val="auto"/>
          <w:sz w:val="24"/>
          <w:szCs w:val="24"/>
          <w:highlight w:val="none"/>
        </w:rPr>
        <w:t>采购文件公告：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p>
    <w:p w14:paraId="5A48AA55">
      <w:pPr>
        <w:pStyle w:val="18"/>
        <w:spacing w:line="360" w:lineRule="auto"/>
        <w:ind w:left="25" w:leftChars="12" w:firstLine="472" w:firstLineChars="197"/>
        <w:rPr>
          <w:rFonts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p>
    <w:p w14:paraId="30BB672E">
      <w:pPr>
        <w:pStyle w:val="18"/>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三、质疑基本情况</w:t>
      </w:r>
    </w:p>
    <w:p w14:paraId="2072238F">
      <w:pPr>
        <w:pStyle w:val="18"/>
        <w:spacing w:line="360" w:lineRule="auto"/>
        <w:ind w:firstLine="480" w:firstLineChars="200"/>
        <w:rPr>
          <w:rFonts w:hAnsi="宋体"/>
          <w:color w:val="auto"/>
          <w:sz w:val="24"/>
          <w:szCs w:val="24"/>
          <w:highlight w:val="none"/>
        </w:rPr>
      </w:pPr>
      <w:r>
        <w:rPr>
          <w:rFonts w:hint="eastAsia" w:hAnsi="宋体"/>
          <w:color w:val="auto"/>
          <w:sz w:val="24"/>
          <w:szCs w:val="24"/>
          <w:highlight w:val="none"/>
        </w:rPr>
        <w:t>投诉人于年月日，向提出质疑，质疑事项为：</w:t>
      </w:r>
    </w:p>
    <w:p w14:paraId="55CAE23D">
      <w:pPr>
        <w:pStyle w:val="18"/>
        <w:spacing w:line="360" w:lineRule="auto"/>
        <w:ind w:firstLine="241"/>
        <w:rPr>
          <w:rFonts w:hAnsi="宋体"/>
          <w:bCs/>
          <w:color w:val="auto"/>
          <w:sz w:val="24"/>
          <w:szCs w:val="24"/>
          <w:highlight w:val="none"/>
          <w:u w:val="single"/>
        </w:rPr>
      </w:pPr>
    </w:p>
    <w:p w14:paraId="63562E53">
      <w:pPr>
        <w:pStyle w:val="18"/>
        <w:spacing w:line="360" w:lineRule="auto"/>
        <w:ind w:firstLine="241"/>
        <w:rPr>
          <w:rFonts w:hAnsi="宋体"/>
          <w:bCs/>
          <w:color w:val="auto"/>
          <w:sz w:val="24"/>
          <w:szCs w:val="24"/>
          <w:highlight w:val="none"/>
          <w:u w:val="single"/>
        </w:rPr>
      </w:pPr>
    </w:p>
    <w:p w14:paraId="7C3C2321">
      <w:pPr>
        <w:pStyle w:val="18"/>
        <w:spacing w:line="360" w:lineRule="auto"/>
        <w:ind w:firstLine="480" w:firstLineChars="200"/>
        <w:rPr>
          <w:rFonts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rPr>
        <w:t>年月日，</w:t>
      </w:r>
      <w:r>
        <w:rPr>
          <w:rFonts w:hint="eastAsia" w:hAnsi="宋体"/>
          <w:bCs/>
          <w:color w:val="auto"/>
          <w:sz w:val="24"/>
          <w:szCs w:val="24"/>
          <w:highlight w:val="none"/>
        </w:rPr>
        <w:t xml:space="preserve">就质疑事项作出了答复/没有在法定期限内作出答复。                                                                                             </w:t>
      </w:r>
    </w:p>
    <w:p w14:paraId="2A1CA84B">
      <w:pPr>
        <w:pStyle w:val="18"/>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四、投诉事项具体内容</w:t>
      </w:r>
    </w:p>
    <w:p w14:paraId="2871101A">
      <w:pPr>
        <w:pStyle w:val="18"/>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投诉事项1：</w:t>
      </w:r>
    </w:p>
    <w:p w14:paraId="14837A88">
      <w:pPr>
        <w:pStyle w:val="18"/>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事实依据：</w:t>
      </w:r>
    </w:p>
    <w:p w14:paraId="13007905">
      <w:pPr>
        <w:pStyle w:val="18"/>
        <w:spacing w:line="360" w:lineRule="auto"/>
        <w:ind w:left="25" w:leftChars="12" w:firstLine="472" w:firstLineChars="197"/>
        <w:rPr>
          <w:rFonts w:hAnsi="宋体"/>
          <w:color w:val="auto"/>
          <w:sz w:val="24"/>
          <w:szCs w:val="24"/>
          <w:highlight w:val="none"/>
        </w:rPr>
      </w:pPr>
    </w:p>
    <w:p w14:paraId="142F5E7B">
      <w:pPr>
        <w:pStyle w:val="18"/>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法律依据：</w:t>
      </w:r>
    </w:p>
    <w:p w14:paraId="784847DB">
      <w:pPr>
        <w:pStyle w:val="18"/>
        <w:spacing w:line="360" w:lineRule="auto"/>
        <w:ind w:left="25" w:leftChars="12" w:firstLine="352" w:firstLineChars="147"/>
        <w:rPr>
          <w:rFonts w:hAnsi="宋体"/>
          <w:bCs/>
          <w:color w:val="auto"/>
          <w:sz w:val="24"/>
          <w:szCs w:val="24"/>
          <w:highlight w:val="none"/>
          <w:u w:val="single"/>
        </w:rPr>
      </w:pPr>
    </w:p>
    <w:p w14:paraId="07F99F16">
      <w:pPr>
        <w:pStyle w:val="18"/>
        <w:spacing w:line="360" w:lineRule="auto"/>
        <w:ind w:left="25" w:leftChars="12" w:firstLine="472" w:firstLineChars="197"/>
        <w:rPr>
          <w:rFonts w:hAnsi="宋体"/>
          <w:bCs/>
          <w:color w:val="auto"/>
          <w:sz w:val="24"/>
          <w:szCs w:val="24"/>
          <w:highlight w:val="none"/>
        </w:rPr>
      </w:pPr>
      <w:r>
        <w:rPr>
          <w:rFonts w:hint="eastAsia" w:hAnsi="宋体"/>
          <w:color w:val="auto"/>
          <w:sz w:val="24"/>
          <w:szCs w:val="24"/>
          <w:highlight w:val="none"/>
        </w:rPr>
        <w:t xml:space="preserve">投诉事项2  </w:t>
      </w:r>
    </w:p>
    <w:p w14:paraId="0E58D2A8">
      <w:pPr>
        <w:pStyle w:val="18"/>
        <w:spacing w:line="360" w:lineRule="auto"/>
        <w:ind w:left="25" w:leftChars="12" w:firstLine="472" w:firstLineChars="197"/>
        <w:rPr>
          <w:rFonts w:hAnsi="宋体"/>
          <w:bCs/>
          <w:color w:val="auto"/>
          <w:sz w:val="24"/>
          <w:szCs w:val="24"/>
          <w:highlight w:val="none"/>
        </w:rPr>
      </w:pPr>
      <w:r>
        <w:rPr>
          <w:rFonts w:hAnsi="宋体"/>
          <w:bCs/>
          <w:color w:val="auto"/>
          <w:sz w:val="24"/>
          <w:szCs w:val="24"/>
          <w:highlight w:val="none"/>
        </w:rPr>
        <w:t>……</w:t>
      </w:r>
    </w:p>
    <w:p w14:paraId="00962B56">
      <w:pPr>
        <w:pStyle w:val="18"/>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五、与投诉事项相关的投诉请求</w:t>
      </w:r>
      <w:r>
        <w:rPr>
          <w:rFonts w:hint="eastAsia" w:hAnsi="宋体"/>
          <w:color w:val="auto"/>
          <w:sz w:val="24"/>
          <w:szCs w:val="24"/>
          <w:highlight w:val="none"/>
        </w:rPr>
        <w:t>：</w:t>
      </w:r>
    </w:p>
    <w:p w14:paraId="1C092D7A">
      <w:pPr>
        <w:pStyle w:val="18"/>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请求：</w:t>
      </w:r>
    </w:p>
    <w:p w14:paraId="272273BF">
      <w:pPr>
        <w:pStyle w:val="18"/>
        <w:spacing w:line="360" w:lineRule="auto"/>
        <w:ind w:left="25" w:leftChars="12" w:firstLine="352" w:firstLineChars="147"/>
        <w:rPr>
          <w:rFonts w:hAnsi="宋体"/>
          <w:color w:val="auto"/>
          <w:sz w:val="24"/>
          <w:szCs w:val="24"/>
          <w:highlight w:val="none"/>
        </w:rPr>
      </w:pPr>
    </w:p>
    <w:p w14:paraId="6FBF1DDE">
      <w:pPr>
        <w:pStyle w:val="18"/>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签字（签章）：                                       公章：</w:t>
      </w:r>
    </w:p>
    <w:p w14:paraId="11E9CE0B">
      <w:pPr>
        <w:pStyle w:val="18"/>
        <w:spacing w:line="360" w:lineRule="auto"/>
        <w:ind w:left="25" w:leftChars="12" w:firstLine="352" w:firstLineChars="147"/>
        <w:rPr>
          <w:rFonts w:hAnsi="宋体"/>
          <w:color w:val="auto"/>
          <w:sz w:val="24"/>
          <w:szCs w:val="24"/>
          <w:highlight w:val="none"/>
        </w:rPr>
      </w:pPr>
    </w:p>
    <w:p w14:paraId="51922595">
      <w:pPr>
        <w:pStyle w:val="18"/>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日期：</w:t>
      </w:r>
    </w:p>
    <w:p w14:paraId="6EB897B3">
      <w:pPr>
        <w:pStyle w:val="18"/>
        <w:spacing w:line="360" w:lineRule="auto"/>
        <w:ind w:left="25" w:leftChars="12" w:firstLine="475" w:firstLineChars="197"/>
        <w:rPr>
          <w:rFonts w:hAnsi="宋体"/>
          <w:b/>
          <w:color w:val="auto"/>
          <w:sz w:val="24"/>
          <w:szCs w:val="24"/>
          <w:highlight w:val="none"/>
        </w:rPr>
      </w:pPr>
    </w:p>
    <w:p w14:paraId="3AA08E50">
      <w:pPr>
        <w:pStyle w:val="18"/>
        <w:snapToGrid w:val="0"/>
        <w:spacing w:line="360" w:lineRule="auto"/>
        <w:rPr>
          <w:rFonts w:hAnsi="宋体"/>
          <w:b/>
          <w:color w:val="auto"/>
          <w:sz w:val="24"/>
          <w:szCs w:val="24"/>
          <w:highlight w:val="none"/>
        </w:rPr>
      </w:pPr>
      <w:r>
        <w:rPr>
          <w:rFonts w:hint="eastAsia" w:hAnsi="宋体"/>
          <w:b/>
          <w:color w:val="auto"/>
          <w:sz w:val="24"/>
          <w:szCs w:val="24"/>
          <w:highlight w:val="none"/>
        </w:rPr>
        <w:t>说明</w:t>
      </w:r>
      <w:r>
        <w:rPr>
          <w:rFonts w:hint="eastAsia" w:hAnsi="宋体"/>
          <w:color w:val="auto"/>
          <w:sz w:val="24"/>
          <w:szCs w:val="24"/>
          <w:highlight w:val="none"/>
        </w:rPr>
        <w:t>：</w:t>
      </w:r>
    </w:p>
    <w:p w14:paraId="3C805646">
      <w:pPr>
        <w:pStyle w:val="18"/>
        <w:spacing w:line="360" w:lineRule="auto"/>
        <w:ind w:left="25" w:leftChars="12" w:firstLine="354" w:firstLineChars="147"/>
        <w:rPr>
          <w:rFonts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227A92A6">
      <w:pPr>
        <w:pStyle w:val="18"/>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358AE44">
      <w:pPr>
        <w:pStyle w:val="18"/>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0C2236E1">
      <w:pPr>
        <w:pStyle w:val="18"/>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17A016DB">
      <w:pPr>
        <w:pStyle w:val="18"/>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5.投诉书的投诉请求应与投诉事项相关。</w:t>
      </w:r>
    </w:p>
    <w:p w14:paraId="73997D1D">
      <w:pPr>
        <w:pStyle w:val="18"/>
        <w:spacing w:line="360" w:lineRule="auto"/>
        <w:ind w:left="25" w:leftChars="12" w:firstLine="354" w:firstLineChars="147"/>
        <w:rPr>
          <w:rFonts w:hAnsi="宋体"/>
          <w:b/>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p w14:paraId="6261AC28">
      <w:pPr>
        <w:pStyle w:val="5"/>
        <w:jc w:val="center"/>
        <w:rPr>
          <w:color w:val="auto"/>
          <w:highlight w:val="none"/>
        </w:rPr>
      </w:pPr>
      <w:bookmarkStart w:id="178" w:name="_Toc10542"/>
      <w:r>
        <w:rPr>
          <w:rFonts w:hint="eastAsia"/>
          <w:color w:val="auto"/>
          <w:highlight w:val="none"/>
        </w:rPr>
        <w:t>第六章合同文本</w:t>
      </w:r>
      <w:bookmarkEnd w:id="178"/>
    </w:p>
    <w:p w14:paraId="581666A7">
      <w:pPr>
        <w:autoSpaceDE w:val="0"/>
        <w:autoSpaceDN w:val="0"/>
        <w:adjustRightInd w:val="0"/>
        <w:snapToGrid w:val="0"/>
        <w:spacing w:line="640" w:lineRule="exact"/>
        <w:jc w:val="center"/>
        <w:rPr>
          <w:rFonts w:ascii="宋体" w:hAnsi="宋体"/>
          <w:b/>
          <w:bCs/>
          <w:color w:val="auto"/>
          <w:sz w:val="32"/>
          <w:szCs w:val="32"/>
          <w:highlight w:val="none"/>
        </w:rPr>
      </w:pPr>
    </w:p>
    <w:p w14:paraId="6E6CF2A0">
      <w:pPr>
        <w:pStyle w:val="2"/>
        <w:rPr>
          <w:color w:val="auto"/>
          <w:highlight w:val="none"/>
        </w:rPr>
      </w:pPr>
    </w:p>
    <w:p w14:paraId="64A4DBC9">
      <w:pPr>
        <w:autoSpaceDE w:val="0"/>
        <w:autoSpaceDN w:val="0"/>
        <w:adjustRightInd w:val="0"/>
        <w:snapToGrid w:val="0"/>
        <w:spacing w:line="64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政府采购合同</w:t>
      </w:r>
    </w:p>
    <w:p w14:paraId="23908B02">
      <w:pPr>
        <w:wordWrap w:val="0"/>
        <w:spacing w:line="700" w:lineRule="exact"/>
        <w:ind w:firstLine="1799" w:firstLineChars="640"/>
        <w:rPr>
          <w:rFonts w:ascii="宋体" w:hAnsi="宋体" w:cs="Courier New"/>
          <w:b/>
          <w:color w:val="auto"/>
          <w:sz w:val="28"/>
          <w:szCs w:val="28"/>
          <w:highlight w:val="none"/>
        </w:rPr>
      </w:pPr>
    </w:p>
    <w:p w14:paraId="7B318F29">
      <w:pPr>
        <w:wordWrap w:val="0"/>
        <w:spacing w:line="700" w:lineRule="exact"/>
        <w:ind w:firstLine="1799" w:firstLineChars="640"/>
        <w:rPr>
          <w:rFonts w:ascii="宋体" w:hAnsi="宋体" w:cs="Courier New"/>
          <w:b/>
          <w:color w:val="auto"/>
          <w:sz w:val="28"/>
          <w:szCs w:val="28"/>
          <w:highlight w:val="none"/>
        </w:rPr>
      </w:pPr>
    </w:p>
    <w:p w14:paraId="374E0404">
      <w:pPr>
        <w:wordWrap w:val="0"/>
        <w:spacing w:line="700" w:lineRule="exact"/>
        <w:ind w:firstLine="1799" w:firstLineChars="640"/>
        <w:rPr>
          <w:rFonts w:ascii="宋体" w:hAnsi="宋体" w:cs="Courier New"/>
          <w:b/>
          <w:color w:val="auto"/>
          <w:sz w:val="28"/>
          <w:szCs w:val="28"/>
          <w:highlight w:val="none"/>
        </w:rPr>
      </w:pPr>
    </w:p>
    <w:p w14:paraId="46FCEB7D">
      <w:pPr>
        <w:wordWrap w:val="0"/>
        <w:spacing w:line="700" w:lineRule="exact"/>
        <w:ind w:firstLine="1799" w:firstLineChars="640"/>
        <w:rPr>
          <w:rFonts w:ascii="宋体" w:hAnsi="宋体" w:cs="Courier New"/>
          <w:b/>
          <w:color w:val="auto"/>
          <w:sz w:val="28"/>
          <w:szCs w:val="28"/>
          <w:highlight w:val="none"/>
          <w:u w:val="single"/>
        </w:rPr>
      </w:pPr>
      <w:r>
        <w:rPr>
          <w:rFonts w:hint="eastAsia" w:ascii="宋体" w:hAnsi="宋体" w:cs="Courier New"/>
          <w:b/>
          <w:color w:val="auto"/>
          <w:sz w:val="28"/>
          <w:szCs w:val="28"/>
          <w:highlight w:val="none"/>
        </w:rPr>
        <w:t>合同名称</w:t>
      </w:r>
      <w:r>
        <w:rPr>
          <w:rFonts w:hint="eastAsia" w:ascii="宋体" w:hAnsi="宋体" w:cs="Courier New"/>
          <w:color w:val="auto"/>
          <w:sz w:val="28"/>
          <w:szCs w:val="28"/>
          <w:highlight w:val="none"/>
        </w:rPr>
        <w:t>：</w:t>
      </w:r>
    </w:p>
    <w:p w14:paraId="6FE2F2AC">
      <w:pPr>
        <w:wordWrap w:val="0"/>
        <w:spacing w:line="700" w:lineRule="exact"/>
        <w:ind w:firstLine="1799" w:firstLineChars="640"/>
        <w:rPr>
          <w:rFonts w:ascii="宋体" w:hAnsi="宋体" w:cs="Courier New"/>
          <w:b/>
          <w:color w:val="auto"/>
          <w:sz w:val="28"/>
          <w:szCs w:val="28"/>
          <w:highlight w:val="none"/>
          <w:u w:val="single"/>
        </w:rPr>
      </w:pPr>
      <w:r>
        <w:rPr>
          <w:rFonts w:hint="eastAsia" w:ascii="宋体" w:hAnsi="宋体" w:cs="Courier New"/>
          <w:b/>
          <w:color w:val="auto"/>
          <w:sz w:val="28"/>
          <w:szCs w:val="28"/>
          <w:highlight w:val="none"/>
        </w:rPr>
        <w:t>合同编号</w:t>
      </w:r>
      <w:r>
        <w:rPr>
          <w:rFonts w:hint="eastAsia" w:ascii="宋体" w:hAnsi="宋体" w:cs="Courier New"/>
          <w:color w:val="auto"/>
          <w:sz w:val="28"/>
          <w:szCs w:val="28"/>
          <w:highlight w:val="none"/>
        </w:rPr>
        <w:t>：</w:t>
      </w:r>
    </w:p>
    <w:p w14:paraId="7084AFA3">
      <w:pPr>
        <w:wordWrap w:val="0"/>
        <w:spacing w:line="700" w:lineRule="exact"/>
        <w:ind w:firstLine="1799" w:firstLineChars="640"/>
        <w:rPr>
          <w:rFonts w:ascii="宋体" w:hAnsi="宋体" w:cs="Courier New"/>
          <w:b/>
          <w:color w:val="auto"/>
          <w:sz w:val="28"/>
          <w:szCs w:val="28"/>
          <w:highlight w:val="none"/>
        </w:rPr>
      </w:pPr>
    </w:p>
    <w:p w14:paraId="2D52E37F">
      <w:pPr>
        <w:wordWrap w:val="0"/>
        <w:spacing w:line="700" w:lineRule="exact"/>
        <w:ind w:firstLine="1799" w:firstLineChars="640"/>
        <w:rPr>
          <w:rFonts w:ascii="宋体" w:hAnsi="宋体" w:cs="Courier New"/>
          <w:b/>
          <w:color w:val="auto"/>
          <w:sz w:val="28"/>
          <w:szCs w:val="28"/>
          <w:highlight w:val="none"/>
        </w:rPr>
      </w:pPr>
      <w:r>
        <w:rPr>
          <w:rFonts w:hint="eastAsia" w:ascii="宋体" w:hAnsi="宋体" w:cs="Courier New"/>
          <w:b/>
          <w:color w:val="auto"/>
          <w:sz w:val="28"/>
          <w:szCs w:val="28"/>
          <w:highlight w:val="none"/>
        </w:rPr>
        <w:t>采购人（甲方）</w:t>
      </w:r>
    </w:p>
    <w:p w14:paraId="5FEE4C89">
      <w:pPr>
        <w:wordWrap w:val="0"/>
        <w:spacing w:line="700" w:lineRule="exact"/>
        <w:ind w:firstLine="1799" w:firstLineChars="640"/>
        <w:rPr>
          <w:rFonts w:ascii="宋体" w:hAnsi="宋体" w:cs="Courier New"/>
          <w:b/>
          <w:color w:val="auto"/>
          <w:sz w:val="28"/>
          <w:szCs w:val="28"/>
          <w:highlight w:val="none"/>
        </w:rPr>
      </w:pPr>
      <w:r>
        <w:rPr>
          <w:rFonts w:hint="eastAsia" w:ascii="宋体" w:hAnsi="宋体" w:cs="Courier New"/>
          <w:b/>
          <w:color w:val="auto"/>
          <w:sz w:val="28"/>
          <w:szCs w:val="28"/>
          <w:highlight w:val="none"/>
        </w:rPr>
        <w:t>供 应 商（乙方）</w:t>
      </w:r>
    </w:p>
    <w:p w14:paraId="53FB15F6">
      <w:pPr>
        <w:wordWrap w:val="0"/>
        <w:spacing w:line="700" w:lineRule="exact"/>
        <w:ind w:firstLine="1799" w:firstLineChars="640"/>
        <w:rPr>
          <w:rFonts w:ascii="宋体" w:hAnsi="宋体" w:cs="Courier New"/>
          <w:b/>
          <w:color w:val="auto"/>
          <w:sz w:val="28"/>
          <w:szCs w:val="28"/>
          <w:highlight w:val="none"/>
        </w:rPr>
      </w:pPr>
    </w:p>
    <w:p w14:paraId="62865150">
      <w:pPr>
        <w:wordWrap w:val="0"/>
        <w:spacing w:line="700" w:lineRule="exact"/>
        <w:ind w:firstLine="1799" w:firstLineChars="640"/>
        <w:rPr>
          <w:rFonts w:ascii="宋体" w:hAnsi="宋体" w:cs="Courier New"/>
          <w:b/>
          <w:color w:val="auto"/>
          <w:sz w:val="28"/>
          <w:szCs w:val="28"/>
          <w:highlight w:val="none"/>
          <w:u w:val="single"/>
        </w:rPr>
      </w:pPr>
      <w:r>
        <w:rPr>
          <w:rFonts w:hint="eastAsia" w:ascii="宋体" w:hAnsi="宋体" w:cs="Courier New"/>
          <w:b/>
          <w:color w:val="auto"/>
          <w:sz w:val="28"/>
          <w:szCs w:val="28"/>
          <w:highlight w:val="none"/>
        </w:rPr>
        <w:t>签订合同地点</w:t>
      </w:r>
      <w:r>
        <w:rPr>
          <w:rFonts w:hint="eastAsia" w:ascii="宋体" w:hAnsi="宋体" w:cs="Courier New"/>
          <w:color w:val="auto"/>
          <w:sz w:val="28"/>
          <w:szCs w:val="28"/>
          <w:highlight w:val="none"/>
        </w:rPr>
        <w:t>：</w:t>
      </w:r>
    </w:p>
    <w:p w14:paraId="55EA46D3">
      <w:pPr>
        <w:wordWrap w:val="0"/>
        <w:spacing w:line="700" w:lineRule="exact"/>
        <w:ind w:firstLine="1799" w:firstLineChars="640"/>
        <w:rPr>
          <w:rFonts w:ascii="宋体" w:hAnsi="宋体" w:cs="Courier New"/>
          <w:b/>
          <w:color w:val="auto"/>
          <w:sz w:val="28"/>
          <w:szCs w:val="28"/>
          <w:highlight w:val="none"/>
        </w:rPr>
      </w:pPr>
      <w:r>
        <w:rPr>
          <w:rFonts w:hint="eastAsia" w:ascii="宋体" w:hAnsi="宋体" w:cs="Courier New"/>
          <w:b/>
          <w:color w:val="auto"/>
          <w:sz w:val="28"/>
          <w:szCs w:val="28"/>
          <w:highlight w:val="none"/>
        </w:rPr>
        <w:t>签订合同时间</w:t>
      </w:r>
      <w:r>
        <w:rPr>
          <w:rFonts w:hint="eastAsia" w:ascii="宋体" w:hAnsi="宋体" w:cs="Courier New"/>
          <w:color w:val="auto"/>
          <w:sz w:val="28"/>
          <w:szCs w:val="28"/>
          <w:highlight w:val="none"/>
        </w:rPr>
        <w:t>：</w:t>
      </w:r>
    </w:p>
    <w:p w14:paraId="17ABE18D">
      <w:pPr>
        <w:wordWrap w:val="0"/>
        <w:jc w:val="center"/>
        <w:rPr>
          <w:rFonts w:ascii="宋体" w:hAnsi="宋体" w:cs="Courier New"/>
          <w:color w:val="auto"/>
          <w:szCs w:val="21"/>
          <w:highlight w:val="none"/>
        </w:rPr>
      </w:pPr>
    </w:p>
    <w:p w14:paraId="37F889FB">
      <w:pPr>
        <w:snapToGrid w:val="0"/>
        <w:spacing w:before="156" w:beforeLines="50" w:after="156" w:afterLines="50" w:line="600" w:lineRule="exact"/>
        <w:jc w:val="center"/>
        <w:rPr>
          <w:rFonts w:ascii="宋体" w:hAnsi="宋体"/>
          <w:b/>
          <w:bCs/>
          <w:color w:val="auto"/>
          <w:sz w:val="32"/>
          <w:szCs w:val="32"/>
          <w:highlight w:val="none"/>
        </w:rPr>
      </w:pPr>
      <w:r>
        <w:rPr>
          <w:rFonts w:ascii="Cambria" w:hAnsi="Cambria" w:cs="宋体"/>
          <w:b/>
          <w:bCs/>
          <w:color w:val="auto"/>
          <w:kern w:val="0"/>
          <w:sz w:val="36"/>
          <w:szCs w:val="36"/>
          <w:highlight w:val="none"/>
        </w:rPr>
        <w:br w:type="page"/>
      </w:r>
      <w:r>
        <w:rPr>
          <w:rFonts w:hint="eastAsia" w:ascii="宋体" w:hAnsi="宋体"/>
          <w:b/>
          <w:bCs/>
          <w:color w:val="auto"/>
          <w:sz w:val="32"/>
          <w:szCs w:val="32"/>
          <w:highlight w:val="none"/>
        </w:rPr>
        <w:t>北海市政府采购合同</w:t>
      </w:r>
    </w:p>
    <w:p w14:paraId="54D23F05">
      <w:pPr>
        <w:wordWrap w:val="0"/>
        <w:snapToGrid w:val="0"/>
        <w:spacing w:line="360" w:lineRule="exact"/>
        <w:ind w:firstLine="5670" w:firstLineChars="2700"/>
        <w:rPr>
          <w:rFonts w:ascii="宋体" w:hAnsi="宋体" w:cs="宋体"/>
          <w:bCs/>
          <w:color w:val="auto"/>
          <w:szCs w:val="21"/>
          <w:highlight w:val="none"/>
          <w:u w:val="single"/>
        </w:rPr>
      </w:pPr>
      <w:r>
        <w:rPr>
          <w:rFonts w:hint="eastAsia" w:ascii="宋体" w:hAnsi="宋体" w:cs="宋体"/>
          <w:bCs/>
          <w:color w:val="auto"/>
          <w:szCs w:val="21"/>
          <w:highlight w:val="none"/>
        </w:rPr>
        <w:t>合同编号：</w:t>
      </w:r>
    </w:p>
    <w:p w14:paraId="20C87EAE">
      <w:pPr>
        <w:wordWrap w:val="0"/>
        <w:snapToGrid w:val="0"/>
        <w:spacing w:line="360" w:lineRule="exact"/>
        <w:ind w:firstLine="5670" w:firstLineChars="2700"/>
        <w:rPr>
          <w:rFonts w:ascii="宋体" w:hAnsi="宋体" w:cs="宋体"/>
          <w:bCs/>
          <w:color w:val="auto"/>
          <w:szCs w:val="21"/>
          <w:highlight w:val="none"/>
          <w:u w:val="single"/>
        </w:rPr>
      </w:pPr>
      <w:r>
        <w:rPr>
          <w:rFonts w:hint="eastAsia" w:ascii="宋体" w:hAnsi="宋体" w:cs="宋体"/>
          <w:bCs/>
          <w:color w:val="auto"/>
          <w:szCs w:val="21"/>
          <w:highlight w:val="none"/>
        </w:rPr>
        <w:t>采购计划编号：</w:t>
      </w:r>
    </w:p>
    <w:p w14:paraId="46B0A736">
      <w:pPr>
        <w:wordWrap w:val="0"/>
        <w:snapToGrid w:val="0"/>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采购人（甲方）</w:t>
      </w:r>
    </w:p>
    <w:p w14:paraId="020B9FD5">
      <w:pPr>
        <w:wordWrap w:val="0"/>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 应 商（乙方）</w:t>
      </w:r>
    </w:p>
    <w:p w14:paraId="12FF605C">
      <w:pPr>
        <w:wordWrap w:val="0"/>
        <w:snapToGrid w:val="0"/>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项目名称和项目编号</w:t>
      </w:r>
    </w:p>
    <w:p w14:paraId="6A2062D1">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签订地点                    签订时间</w:t>
      </w:r>
    </w:p>
    <w:p w14:paraId="777BE202">
      <w:pPr>
        <w:wordWrap w:val="0"/>
        <w:spacing w:line="360" w:lineRule="exact"/>
        <w:ind w:firstLine="420" w:firstLineChars="200"/>
        <w:rPr>
          <w:rFonts w:ascii="宋体" w:hAnsi="宋体" w:cs="宋体"/>
          <w:color w:val="auto"/>
          <w:szCs w:val="21"/>
          <w:highlight w:val="none"/>
        </w:rPr>
      </w:pPr>
    </w:p>
    <w:p w14:paraId="669A711E">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政府采购竞争性磋商采购方式管理暂行办法》、《中华人民共和国民法典》等法律、法规规定，按照竞争性磋商文件（以下简称磋商文件）、竞争性磋商响应文件（以下简称响应文件）规定条款和成交供应商的承诺、甲乙双方签订本采购合同。</w:t>
      </w:r>
    </w:p>
    <w:p w14:paraId="4DF2789E">
      <w:pPr>
        <w:wordWrap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第一条  合同标的及合同金额</w:t>
      </w:r>
    </w:p>
    <w:tbl>
      <w:tblPr>
        <w:tblStyle w:val="28"/>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966"/>
        <w:gridCol w:w="1283"/>
        <w:gridCol w:w="1031"/>
        <w:gridCol w:w="1786"/>
        <w:gridCol w:w="1808"/>
        <w:gridCol w:w="672"/>
      </w:tblGrid>
      <w:tr w14:paraId="367E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6A0A34BD">
            <w:pPr>
              <w:widowControl/>
              <w:wordWrap w:val="0"/>
              <w:spacing w:line="360" w:lineRule="exact"/>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序号</w:t>
            </w:r>
          </w:p>
        </w:tc>
        <w:tc>
          <w:tcPr>
            <w:tcW w:w="1966" w:type="dxa"/>
            <w:tcBorders>
              <w:top w:val="single" w:color="auto" w:sz="4" w:space="0"/>
              <w:left w:val="single" w:color="auto" w:sz="4" w:space="0"/>
              <w:bottom w:val="single" w:color="auto" w:sz="4" w:space="0"/>
              <w:right w:val="single" w:color="auto" w:sz="4" w:space="0"/>
            </w:tcBorders>
            <w:vAlign w:val="center"/>
          </w:tcPr>
          <w:p w14:paraId="249633B8">
            <w:pPr>
              <w:widowControl/>
              <w:wordWrap w:val="0"/>
              <w:spacing w:line="360" w:lineRule="exact"/>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服务名称</w:t>
            </w:r>
          </w:p>
        </w:tc>
        <w:tc>
          <w:tcPr>
            <w:tcW w:w="1283" w:type="dxa"/>
            <w:tcBorders>
              <w:top w:val="single" w:color="auto" w:sz="4" w:space="0"/>
              <w:left w:val="single" w:color="auto" w:sz="4" w:space="0"/>
              <w:bottom w:val="single" w:color="auto" w:sz="4" w:space="0"/>
              <w:right w:val="single" w:color="auto" w:sz="4" w:space="0"/>
            </w:tcBorders>
            <w:vAlign w:val="center"/>
          </w:tcPr>
          <w:p w14:paraId="314AD364">
            <w:pPr>
              <w:widowControl/>
              <w:wordWrap w:val="0"/>
              <w:spacing w:line="360" w:lineRule="exact"/>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数量</w:t>
            </w:r>
          </w:p>
        </w:tc>
        <w:tc>
          <w:tcPr>
            <w:tcW w:w="1031" w:type="dxa"/>
            <w:tcBorders>
              <w:top w:val="single" w:color="auto" w:sz="4" w:space="0"/>
              <w:left w:val="single" w:color="auto" w:sz="4" w:space="0"/>
              <w:bottom w:val="single" w:color="auto" w:sz="4" w:space="0"/>
              <w:right w:val="single" w:color="auto" w:sz="4" w:space="0"/>
            </w:tcBorders>
            <w:vAlign w:val="center"/>
          </w:tcPr>
          <w:p w14:paraId="1E9C69FD">
            <w:pPr>
              <w:widowControl/>
              <w:wordWrap w:val="0"/>
              <w:spacing w:line="360" w:lineRule="exact"/>
              <w:jc w:val="center"/>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单位</w:t>
            </w:r>
          </w:p>
        </w:tc>
        <w:tc>
          <w:tcPr>
            <w:tcW w:w="1786" w:type="dxa"/>
            <w:tcBorders>
              <w:top w:val="single" w:color="auto" w:sz="4" w:space="0"/>
              <w:left w:val="single" w:color="auto" w:sz="4" w:space="0"/>
              <w:bottom w:val="single" w:color="auto" w:sz="4" w:space="0"/>
              <w:right w:val="single" w:color="auto" w:sz="4" w:space="0"/>
            </w:tcBorders>
            <w:vAlign w:val="center"/>
          </w:tcPr>
          <w:p w14:paraId="719ACD66">
            <w:pPr>
              <w:widowControl/>
              <w:wordWrap w:val="0"/>
              <w:spacing w:line="360" w:lineRule="exact"/>
              <w:jc w:val="center"/>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单价（元）</w:t>
            </w:r>
          </w:p>
        </w:tc>
        <w:tc>
          <w:tcPr>
            <w:tcW w:w="1808" w:type="dxa"/>
            <w:tcBorders>
              <w:top w:val="single" w:color="auto" w:sz="4" w:space="0"/>
              <w:left w:val="single" w:color="auto" w:sz="4" w:space="0"/>
              <w:bottom w:val="single" w:color="auto" w:sz="4" w:space="0"/>
              <w:right w:val="single" w:color="auto" w:sz="4" w:space="0"/>
            </w:tcBorders>
            <w:vAlign w:val="center"/>
          </w:tcPr>
          <w:p w14:paraId="5AC6AEA0">
            <w:pPr>
              <w:widowControl/>
              <w:wordWrap w:val="0"/>
              <w:spacing w:line="360" w:lineRule="exact"/>
              <w:jc w:val="center"/>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单价合计（元）</w:t>
            </w:r>
          </w:p>
        </w:tc>
        <w:tc>
          <w:tcPr>
            <w:tcW w:w="672" w:type="dxa"/>
            <w:tcBorders>
              <w:top w:val="single" w:color="auto" w:sz="4" w:space="0"/>
              <w:left w:val="single" w:color="auto" w:sz="4" w:space="0"/>
              <w:bottom w:val="single" w:color="auto" w:sz="4" w:space="0"/>
              <w:right w:val="single" w:color="auto" w:sz="4" w:space="0"/>
            </w:tcBorders>
            <w:vAlign w:val="center"/>
          </w:tcPr>
          <w:p w14:paraId="1326119C">
            <w:pPr>
              <w:widowControl/>
              <w:wordWrap w:val="0"/>
              <w:spacing w:line="360" w:lineRule="exact"/>
              <w:jc w:val="center"/>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14:paraId="4D121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2664EBA8">
            <w:pPr>
              <w:widowControl/>
              <w:wordWrap w:val="0"/>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966" w:type="dxa"/>
            <w:tcBorders>
              <w:top w:val="single" w:color="auto" w:sz="4" w:space="0"/>
              <w:left w:val="single" w:color="auto" w:sz="4" w:space="0"/>
              <w:bottom w:val="single" w:color="auto" w:sz="4" w:space="0"/>
              <w:right w:val="single" w:color="auto" w:sz="4" w:space="0"/>
            </w:tcBorders>
            <w:vAlign w:val="center"/>
          </w:tcPr>
          <w:p w14:paraId="08B15A1C">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水泥蚝桩拆除</w:t>
            </w:r>
          </w:p>
        </w:tc>
        <w:tc>
          <w:tcPr>
            <w:tcW w:w="1283" w:type="dxa"/>
            <w:tcBorders>
              <w:top w:val="single" w:color="auto" w:sz="4" w:space="0"/>
              <w:left w:val="single" w:color="auto" w:sz="4" w:space="0"/>
              <w:bottom w:val="single" w:color="auto" w:sz="4" w:space="0"/>
              <w:right w:val="single" w:color="auto" w:sz="4" w:space="0"/>
            </w:tcBorders>
            <w:vAlign w:val="center"/>
          </w:tcPr>
          <w:p w14:paraId="16DAA1FE">
            <w:pPr>
              <w:widowControl/>
              <w:jc w:val="center"/>
              <w:textAlignment w:val="center"/>
              <w:rPr>
                <w:rFonts w:ascii="宋体" w:hAnsi="宋体" w:cs="宋体"/>
                <w:color w:val="auto"/>
                <w:kern w:val="0"/>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C853B21">
            <w:pPr>
              <w:widowControl/>
              <w:jc w:val="center"/>
              <w:textAlignment w:val="center"/>
              <w:rPr>
                <w:rFonts w:ascii="宋体" w:hAnsi="宋体" w:cs="宋体"/>
                <w:color w:val="auto"/>
                <w:kern w:val="0"/>
                <w:szCs w:val="21"/>
                <w:highlight w:val="none"/>
              </w:rPr>
            </w:pPr>
          </w:p>
        </w:tc>
        <w:tc>
          <w:tcPr>
            <w:tcW w:w="1786" w:type="dxa"/>
            <w:tcBorders>
              <w:top w:val="single" w:color="auto" w:sz="4" w:space="0"/>
              <w:left w:val="single" w:color="auto" w:sz="4" w:space="0"/>
              <w:bottom w:val="single" w:color="auto" w:sz="4" w:space="0"/>
              <w:right w:val="single" w:color="auto" w:sz="4" w:space="0"/>
            </w:tcBorders>
            <w:vAlign w:val="center"/>
          </w:tcPr>
          <w:p w14:paraId="7E3A411E">
            <w:pPr>
              <w:widowControl/>
              <w:wordWrap w:val="0"/>
              <w:spacing w:line="360" w:lineRule="exact"/>
              <w:jc w:val="center"/>
              <w:textAlignment w:val="center"/>
              <w:rPr>
                <w:rFonts w:ascii="宋体" w:hAnsi="宋体" w:cs="宋体"/>
                <w:color w:val="auto"/>
                <w:kern w:val="0"/>
                <w:szCs w:val="21"/>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14:paraId="1BE11DD4">
            <w:pPr>
              <w:wordWrap w:val="0"/>
              <w:spacing w:line="360" w:lineRule="exact"/>
              <w:jc w:val="center"/>
              <w:rPr>
                <w:rFonts w:ascii="宋体" w:hAnsi="宋体" w:cs="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vAlign w:val="center"/>
          </w:tcPr>
          <w:p w14:paraId="2642004B">
            <w:pPr>
              <w:wordWrap w:val="0"/>
              <w:spacing w:line="360" w:lineRule="exact"/>
              <w:jc w:val="center"/>
              <w:rPr>
                <w:rFonts w:ascii="宋体" w:hAnsi="宋体" w:cs="宋体"/>
                <w:color w:val="auto"/>
                <w:szCs w:val="21"/>
                <w:highlight w:val="none"/>
              </w:rPr>
            </w:pPr>
          </w:p>
        </w:tc>
      </w:tr>
      <w:tr w14:paraId="0C691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495D208D">
            <w:pPr>
              <w:widowControl/>
              <w:wordWrap w:val="0"/>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w:t>
            </w:r>
          </w:p>
        </w:tc>
        <w:tc>
          <w:tcPr>
            <w:tcW w:w="1966" w:type="dxa"/>
            <w:tcBorders>
              <w:top w:val="single" w:color="auto" w:sz="4" w:space="0"/>
              <w:left w:val="single" w:color="auto" w:sz="4" w:space="0"/>
              <w:bottom w:val="single" w:color="auto" w:sz="4" w:space="0"/>
              <w:right w:val="single" w:color="auto" w:sz="4" w:space="0"/>
            </w:tcBorders>
            <w:vAlign w:val="center"/>
          </w:tcPr>
          <w:p w14:paraId="14B6AFD2">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废弃蚝堆拆除</w:t>
            </w:r>
          </w:p>
        </w:tc>
        <w:tc>
          <w:tcPr>
            <w:tcW w:w="1283" w:type="dxa"/>
            <w:tcBorders>
              <w:top w:val="single" w:color="auto" w:sz="4" w:space="0"/>
              <w:left w:val="single" w:color="auto" w:sz="4" w:space="0"/>
              <w:bottom w:val="single" w:color="auto" w:sz="4" w:space="0"/>
              <w:right w:val="single" w:color="auto" w:sz="4" w:space="0"/>
            </w:tcBorders>
            <w:vAlign w:val="center"/>
          </w:tcPr>
          <w:p w14:paraId="3F83C2A9">
            <w:pPr>
              <w:widowControl/>
              <w:jc w:val="center"/>
              <w:textAlignment w:val="center"/>
              <w:rPr>
                <w:rFonts w:ascii="宋体" w:hAnsi="宋体" w:cs="宋体"/>
                <w:color w:val="auto"/>
                <w:kern w:val="0"/>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CCFB027">
            <w:pPr>
              <w:widowControl/>
              <w:jc w:val="center"/>
              <w:textAlignment w:val="center"/>
              <w:rPr>
                <w:rFonts w:ascii="宋体" w:hAnsi="宋体" w:cs="宋体"/>
                <w:color w:val="auto"/>
                <w:kern w:val="0"/>
                <w:szCs w:val="21"/>
                <w:highlight w:val="none"/>
              </w:rPr>
            </w:pPr>
          </w:p>
        </w:tc>
        <w:tc>
          <w:tcPr>
            <w:tcW w:w="1786" w:type="dxa"/>
            <w:tcBorders>
              <w:top w:val="single" w:color="auto" w:sz="4" w:space="0"/>
              <w:left w:val="single" w:color="auto" w:sz="4" w:space="0"/>
              <w:bottom w:val="single" w:color="auto" w:sz="4" w:space="0"/>
              <w:right w:val="single" w:color="auto" w:sz="4" w:space="0"/>
            </w:tcBorders>
            <w:vAlign w:val="center"/>
          </w:tcPr>
          <w:p w14:paraId="06A58B15">
            <w:pPr>
              <w:widowControl/>
              <w:wordWrap w:val="0"/>
              <w:spacing w:line="360" w:lineRule="exact"/>
              <w:jc w:val="center"/>
              <w:textAlignment w:val="center"/>
              <w:rPr>
                <w:rFonts w:ascii="宋体" w:hAnsi="宋体" w:cs="宋体"/>
                <w:color w:val="auto"/>
                <w:kern w:val="0"/>
                <w:szCs w:val="21"/>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14:paraId="17D55FFA">
            <w:pPr>
              <w:wordWrap w:val="0"/>
              <w:spacing w:line="360" w:lineRule="exact"/>
              <w:jc w:val="center"/>
              <w:rPr>
                <w:rFonts w:ascii="宋体" w:hAnsi="宋体" w:cs="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vAlign w:val="center"/>
          </w:tcPr>
          <w:p w14:paraId="6FCFA7E6">
            <w:pPr>
              <w:wordWrap w:val="0"/>
              <w:spacing w:line="360" w:lineRule="exact"/>
              <w:jc w:val="center"/>
              <w:rPr>
                <w:rFonts w:ascii="宋体" w:hAnsi="宋体" w:cs="宋体"/>
                <w:color w:val="auto"/>
                <w:szCs w:val="21"/>
                <w:highlight w:val="none"/>
              </w:rPr>
            </w:pPr>
          </w:p>
        </w:tc>
      </w:tr>
      <w:tr w14:paraId="6CFCE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36BAF192">
            <w:pPr>
              <w:widowControl/>
              <w:wordWrap w:val="0"/>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w:t>
            </w:r>
          </w:p>
        </w:tc>
        <w:tc>
          <w:tcPr>
            <w:tcW w:w="1966" w:type="dxa"/>
            <w:tcBorders>
              <w:top w:val="single" w:color="auto" w:sz="4" w:space="0"/>
              <w:left w:val="single" w:color="auto" w:sz="4" w:space="0"/>
              <w:bottom w:val="single" w:color="auto" w:sz="4" w:space="0"/>
              <w:right w:val="single" w:color="auto" w:sz="4" w:space="0"/>
            </w:tcBorders>
            <w:vAlign w:val="center"/>
          </w:tcPr>
          <w:p w14:paraId="3CD22F3A">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渔箔拆除</w:t>
            </w:r>
          </w:p>
        </w:tc>
        <w:tc>
          <w:tcPr>
            <w:tcW w:w="1283" w:type="dxa"/>
            <w:tcBorders>
              <w:top w:val="single" w:color="auto" w:sz="4" w:space="0"/>
              <w:left w:val="single" w:color="auto" w:sz="4" w:space="0"/>
              <w:bottom w:val="single" w:color="auto" w:sz="4" w:space="0"/>
              <w:right w:val="single" w:color="auto" w:sz="4" w:space="0"/>
            </w:tcBorders>
            <w:vAlign w:val="center"/>
          </w:tcPr>
          <w:p w14:paraId="666A9EF5">
            <w:pPr>
              <w:widowControl/>
              <w:jc w:val="center"/>
              <w:textAlignment w:val="center"/>
              <w:rPr>
                <w:rFonts w:ascii="宋体" w:hAnsi="宋体" w:cs="宋体"/>
                <w:color w:val="auto"/>
                <w:kern w:val="0"/>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3610382">
            <w:pPr>
              <w:widowControl/>
              <w:jc w:val="center"/>
              <w:textAlignment w:val="center"/>
              <w:rPr>
                <w:rFonts w:ascii="宋体" w:hAnsi="宋体" w:cs="宋体"/>
                <w:color w:val="auto"/>
                <w:kern w:val="0"/>
                <w:szCs w:val="21"/>
                <w:highlight w:val="none"/>
              </w:rPr>
            </w:pPr>
          </w:p>
        </w:tc>
        <w:tc>
          <w:tcPr>
            <w:tcW w:w="1786" w:type="dxa"/>
            <w:tcBorders>
              <w:top w:val="single" w:color="auto" w:sz="4" w:space="0"/>
              <w:left w:val="single" w:color="auto" w:sz="4" w:space="0"/>
              <w:bottom w:val="single" w:color="auto" w:sz="4" w:space="0"/>
              <w:right w:val="single" w:color="auto" w:sz="4" w:space="0"/>
            </w:tcBorders>
            <w:vAlign w:val="center"/>
          </w:tcPr>
          <w:p w14:paraId="5BD05848">
            <w:pPr>
              <w:widowControl/>
              <w:wordWrap w:val="0"/>
              <w:spacing w:line="360" w:lineRule="exact"/>
              <w:jc w:val="center"/>
              <w:textAlignment w:val="center"/>
              <w:rPr>
                <w:rFonts w:ascii="宋体" w:hAnsi="宋体" w:cs="宋体"/>
                <w:color w:val="auto"/>
                <w:kern w:val="0"/>
                <w:szCs w:val="21"/>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14:paraId="62D7BBFD">
            <w:pPr>
              <w:wordWrap w:val="0"/>
              <w:spacing w:line="360" w:lineRule="exact"/>
              <w:jc w:val="center"/>
              <w:rPr>
                <w:rFonts w:ascii="宋体" w:hAnsi="宋体" w:cs="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vAlign w:val="center"/>
          </w:tcPr>
          <w:p w14:paraId="0953C017">
            <w:pPr>
              <w:wordWrap w:val="0"/>
              <w:spacing w:line="360" w:lineRule="exact"/>
              <w:jc w:val="center"/>
              <w:rPr>
                <w:rFonts w:ascii="宋体" w:hAnsi="宋体" w:cs="宋体"/>
                <w:color w:val="auto"/>
                <w:szCs w:val="21"/>
                <w:highlight w:val="none"/>
              </w:rPr>
            </w:pPr>
          </w:p>
        </w:tc>
      </w:tr>
      <w:tr w14:paraId="07C57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9257" w:type="dxa"/>
            <w:gridSpan w:val="7"/>
            <w:tcBorders>
              <w:top w:val="single" w:color="auto" w:sz="4" w:space="0"/>
              <w:left w:val="single" w:color="auto" w:sz="4" w:space="0"/>
              <w:bottom w:val="single" w:color="auto" w:sz="4" w:space="0"/>
              <w:right w:val="single" w:color="auto" w:sz="4" w:space="0"/>
            </w:tcBorders>
            <w:vAlign w:val="center"/>
          </w:tcPr>
          <w:p w14:paraId="3DB9462A">
            <w:pPr>
              <w:wordWrap w:val="0"/>
              <w:spacing w:line="360" w:lineRule="exact"/>
              <w:rPr>
                <w:rFonts w:ascii="宋体" w:hAnsi="宋体" w:cs="宋体"/>
                <w:b/>
                <w:bCs/>
                <w:color w:val="auto"/>
                <w:szCs w:val="21"/>
                <w:highlight w:val="none"/>
              </w:rPr>
            </w:pPr>
            <w:r>
              <w:rPr>
                <w:rFonts w:hint="eastAsia" w:ascii="宋体" w:hAnsi="宋体" w:cs="宋体"/>
                <w:b/>
                <w:bCs/>
                <w:color w:val="auto"/>
                <w:szCs w:val="21"/>
                <w:highlight w:val="none"/>
              </w:rPr>
              <w:t>磋商总报价（人民币）：</w:t>
            </w:r>
            <w:r>
              <w:rPr>
                <w:rFonts w:hint="eastAsia" w:ascii="宋体" w:hAnsi="宋体" w:cs="宋体"/>
                <w:b/>
                <w:bCs/>
                <w:color w:val="auto"/>
                <w:szCs w:val="21"/>
                <w:highlight w:val="none"/>
                <w:u w:val="single"/>
              </w:rPr>
              <w:t xml:space="preserve">（大写）                 （小写）             </w:t>
            </w:r>
          </w:p>
        </w:tc>
      </w:tr>
      <w:tr w14:paraId="7AFE5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257" w:type="dxa"/>
            <w:gridSpan w:val="7"/>
            <w:tcBorders>
              <w:top w:val="single" w:color="auto" w:sz="4" w:space="0"/>
              <w:left w:val="single" w:color="auto" w:sz="4" w:space="0"/>
              <w:bottom w:val="single" w:color="auto" w:sz="4" w:space="0"/>
              <w:right w:val="single" w:color="auto" w:sz="4" w:space="0"/>
            </w:tcBorders>
            <w:vAlign w:val="center"/>
          </w:tcPr>
          <w:p w14:paraId="3E6D1D00">
            <w:pPr>
              <w:wordWrap w:val="0"/>
              <w:spacing w:line="360" w:lineRule="exact"/>
              <w:rPr>
                <w:rFonts w:ascii="宋体" w:hAnsi="宋体" w:cs="宋体"/>
                <w:b/>
                <w:bCs/>
                <w:color w:val="auto"/>
                <w:szCs w:val="21"/>
                <w:highlight w:val="none"/>
              </w:rPr>
            </w:pPr>
            <w:r>
              <w:rPr>
                <w:rFonts w:hint="eastAsia" w:ascii="宋体" w:hAnsi="宋体" w:cs="宋体"/>
                <w:b/>
                <w:bCs/>
                <w:color w:val="auto"/>
                <w:szCs w:val="21"/>
                <w:highlight w:val="none"/>
              </w:rPr>
              <w:t>合同履行期限：</w:t>
            </w:r>
          </w:p>
        </w:tc>
      </w:tr>
    </w:tbl>
    <w:p w14:paraId="0BB568B2">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根据《成交通知书》的成交内容，合同的总金额为：（大写）</w:t>
      </w:r>
      <w:r>
        <w:rPr>
          <w:rFonts w:hint="eastAsia" w:ascii="宋体" w:hAnsi="宋体" w:cs="宋体"/>
          <w:color w:val="auto"/>
          <w:szCs w:val="21"/>
          <w:highlight w:val="none"/>
          <w:u w:val="single"/>
        </w:rPr>
        <w:t>　　　</w:t>
      </w:r>
      <w:r>
        <w:rPr>
          <w:rFonts w:hint="eastAsia" w:ascii="宋体" w:hAnsi="宋体" w:cs="宋体"/>
          <w:color w:val="auto"/>
          <w:szCs w:val="21"/>
          <w:highlight w:val="none"/>
        </w:rPr>
        <w:t>人民币（¥</w:t>
      </w:r>
      <w:r>
        <w:rPr>
          <w:rFonts w:hint="eastAsia" w:ascii="宋体" w:hAnsi="宋体" w:cs="宋体"/>
          <w:color w:val="auto"/>
          <w:szCs w:val="21"/>
          <w:highlight w:val="none"/>
          <w:u w:val="single"/>
        </w:rPr>
        <w:t>　  　</w:t>
      </w:r>
      <w:r>
        <w:rPr>
          <w:rFonts w:hint="eastAsia" w:ascii="宋体" w:hAnsi="宋体" w:cs="宋体"/>
          <w:color w:val="auto"/>
          <w:szCs w:val="21"/>
          <w:highlight w:val="none"/>
        </w:rPr>
        <w:t>元）。</w:t>
      </w:r>
    </w:p>
    <w:p w14:paraId="497E2AD6">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合同总金额包括但不限于整体服务价格及设备、人员成本、管理、利润、税金、保险、搬运、包装、运输、培训、验收、检测及其它所有成本、费用的总和。</w:t>
      </w:r>
    </w:p>
    <w:p w14:paraId="083E3A19">
      <w:pPr>
        <w:wordWrap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第二条  质量保证</w:t>
      </w:r>
    </w:p>
    <w:p w14:paraId="56478934">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乙方应按磋商文件要求及响应文件承诺向甲方提供服务。</w:t>
      </w:r>
    </w:p>
    <w:p w14:paraId="11676B9B">
      <w:pPr>
        <w:wordWrap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第三条  权力保证</w:t>
      </w:r>
    </w:p>
    <w:p w14:paraId="4797D95F">
      <w:pPr>
        <w:wordWrap w:val="0"/>
        <w:adjustRightInd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1.甲方权利和义务</w:t>
      </w:r>
    </w:p>
    <w:p w14:paraId="277AF6F7">
      <w:pPr>
        <w:wordWrap w:val="0"/>
        <w:adjustRightInd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（1）甲方负责审核确定乙方提交的清理计划。</w:t>
      </w:r>
    </w:p>
    <w:p w14:paraId="33613953">
      <w:pPr>
        <w:wordWrap w:val="0"/>
        <w:adjustRightInd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（2）甲方负责监督检查清理区域的清理效果情况。</w:t>
      </w:r>
    </w:p>
    <w:p w14:paraId="33E0E597">
      <w:pPr>
        <w:wordWrap w:val="0"/>
        <w:adjustRightInd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（3）甲方负责对乙方开展的工作情况进行验收，验收小组现场验收确定出清理亩数、清理时长；验收合格的，按实际清理工作量乘以成交单价进行清理费用的支付。</w:t>
      </w:r>
    </w:p>
    <w:p w14:paraId="55D4B3C9">
      <w:pPr>
        <w:wordWrap w:val="0"/>
        <w:adjustRightInd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2.乙方权利和义务</w:t>
      </w:r>
    </w:p>
    <w:p w14:paraId="5C020F5E">
      <w:pPr>
        <w:wordWrap w:val="0"/>
        <w:adjustRightInd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（1）乙方按国家、自治区有关规定和响应文件中的承诺负责组织落实好清理队伍并按安全生产有关规定组织好实施工作；</w:t>
      </w:r>
    </w:p>
    <w:p w14:paraId="561471D2">
      <w:pPr>
        <w:wordWrap w:val="0"/>
        <w:adjustRightInd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（2）乙方根据潮汐变化对清理范围内的清理内容开展经常性巡查，巡查发现后需及时沟通甲方共同参与清理；</w:t>
      </w:r>
    </w:p>
    <w:p w14:paraId="695F7BF9">
      <w:pPr>
        <w:wordWrap w:val="0"/>
        <w:adjustRightInd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（4）乙方按时支付项目人员工资并按有关规定落实有关保险事项，负责项目人员的人身安全；</w:t>
      </w:r>
    </w:p>
    <w:p w14:paraId="0F23F4DF">
      <w:pPr>
        <w:wordWrap w:val="0"/>
        <w:adjustRightInd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（5）乙方自行负责实施过程中所需的工具；</w:t>
      </w:r>
    </w:p>
    <w:p w14:paraId="7175DAB0">
      <w:pPr>
        <w:wordWrap w:val="0"/>
        <w:adjustRightInd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（6）乙方派驻专人负责对清理及实施全过程进行监管及向甲方进行实时汇报，监管应对清理过程拍摄相应照片等进行保存归档，并做好数量统计，接受甲方的检查。</w:t>
      </w:r>
    </w:p>
    <w:p w14:paraId="51537D4F">
      <w:pPr>
        <w:wordWrap w:val="0"/>
        <w:adjustRightInd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（7）乙方服从甲方的工作安排和监督管理。</w:t>
      </w:r>
    </w:p>
    <w:p w14:paraId="0AFB24C8">
      <w:pPr>
        <w:wordWrap w:val="0"/>
        <w:adjustRightInd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（8）乙方按时报送清理数据给甲方。</w:t>
      </w:r>
    </w:p>
    <w:p w14:paraId="5FBEC167">
      <w:pPr>
        <w:wordWrap w:val="0"/>
        <w:adjustRightInd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（9）在清理过程中，如果与群众发生了冲突，由乙方负责协调和解决，因冲突导致人员伤亡财产损失或者工期延误，由此产生的后果均由乙方负责。</w:t>
      </w:r>
    </w:p>
    <w:p w14:paraId="340E87D3">
      <w:pPr>
        <w:wordWrap w:val="0"/>
        <w:adjustRightInd w:val="0"/>
        <w:spacing w:line="360" w:lineRule="exact"/>
        <w:ind w:firstLine="422" w:firstLineChars="200"/>
        <w:rPr>
          <w:rFonts w:ascii="宋体" w:hAnsi="宋体" w:cs="宋体"/>
          <w:color w:val="auto"/>
          <w:kern w:val="0"/>
          <w:szCs w:val="21"/>
          <w:highlight w:val="none"/>
        </w:rPr>
      </w:pPr>
      <w:r>
        <w:rPr>
          <w:rFonts w:hint="eastAsia" w:ascii="宋体" w:hAnsi="宋体" w:cs="宋体"/>
          <w:b/>
          <w:color w:val="auto"/>
          <w:szCs w:val="21"/>
          <w:highlight w:val="none"/>
        </w:rPr>
        <w:t>第四条  合同履行期限及服务地点：</w:t>
      </w:r>
    </w:p>
    <w:p w14:paraId="2C7D89B6">
      <w:pPr>
        <w:wordWrap w:val="0"/>
        <w:adjustRightIn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（1）合同履行期限：；</w:t>
      </w:r>
    </w:p>
    <w:p w14:paraId="6718DFB6">
      <w:pPr>
        <w:wordWrap w:val="0"/>
        <w:adjustRightIn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（2）服务地点：。</w:t>
      </w:r>
    </w:p>
    <w:p w14:paraId="404B25BB">
      <w:pPr>
        <w:wordWrap w:val="0"/>
        <w:spacing w:line="36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第五条  项目验收</w:t>
      </w:r>
    </w:p>
    <w:p w14:paraId="1DF33DE5">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1.乙方须配合采购人完成项目验收工作，验收过程中产生的一切费用均由乙方承担，包括但不限于验收过程中可能使用到的无人机等相关设备费、检验检测费用等。报价时应考虑相关费用。</w:t>
      </w:r>
    </w:p>
    <w:p w14:paraId="179A2E32">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项目整体清理完成后，甲方在收到乙方提供的验收申请书后10天内组织验收。乙方在项目验收时由采购人对照采购文件及响应文件的服务内容及指标全面核对检验，如不符合采购文件的技术要求以及提供虚假承诺的，按相关规定做违约处理，成交供应商承担所有责任和费用，采购人保留进一步追究责任的权利。</w:t>
      </w:r>
    </w:p>
    <w:p w14:paraId="10EAE9E4">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3.乙方根据清理计划进行清理，要求对验收成果进行验收时，须提前通知甲方进行现场验收，乙方对验收过程必须全程录制视频监控。</w:t>
      </w:r>
    </w:p>
    <w:p w14:paraId="1F1B8C5F">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验收标准应达到：单次清理行动结束后（即按照甲方提供的清理范围内非法养殖设施需清理完成后），在当日（次日）最低潮清理验收时，要求清理范围内无竖立的蚝柱；渔箔、废弃蚝堆等非法养殖设施予以拆除。</w:t>
      </w:r>
    </w:p>
    <w:p w14:paraId="7EE4E95B">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5.采购项目有其他要求的按其要求。</w:t>
      </w:r>
    </w:p>
    <w:p w14:paraId="2ED947E3">
      <w:pPr>
        <w:wordWrap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第六条  服务要求</w:t>
      </w:r>
    </w:p>
    <w:p w14:paraId="60A7A4CE">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1.乙方应按照国家有关法律规定、响应文件和本合同所附的《项目实施方案》，为甲方提供服务。</w:t>
      </w:r>
    </w:p>
    <w:p w14:paraId="1A6A6EC5">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2.如在服务过程中发生质量问题，乙方在接到甲方通知后及时到达甲方现场处理。</w:t>
      </w:r>
    </w:p>
    <w:p w14:paraId="00283FAE">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3.在服务期内，乙方应对服务的质量及安全问题负责处理解决并承担一切费用。</w:t>
      </w:r>
    </w:p>
    <w:p w14:paraId="231FADF6">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4.乙方在履行合同中获取的数据、视频、照片及成果报告等未经甲方书面同意，不得向任何第三方披露或使用。</w:t>
      </w:r>
    </w:p>
    <w:p w14:paraId="11616F3E">
      <w:pPr>
        <w:wordWrap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第七条  税费</w:t>
      </w:r>
    </w:p>
    <w:p w14:paraId="61F55A37">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w:t>
      </w:r>
    </w:p>
    <w:p w14:paraId="1C92CEC4">
      <w:pPr>
        <w:wordWrap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第八条  付款方式</w:t>
      </w:r>
    </w:p>
    <w:p w14:paraId="4713066D">
      <w:pPr>
        <w:wordWrap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（1）结算时，工作量少于采购文件中的工作量时，按实际工作量*成交单价（元）结算；工作量多于采购文件中的工作量时，结算最高总额按合同总金额结算。</w:t>
      </w:r>
    </w:p>
    <w:p w14:paraId="3FEA598A">
      <w:pPr>
        <w:wordWrap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（2）付款进度（每次付款时，乙方应向甲方开具相应金额的合法正式发票，否则甲方有权延长付款期限，并不承担延期付款的违约责任）：</w:t>
      </w:r>
    </w:p>
    <w:p w14:paraId="1C79EA16">
      <w:pPr>
        <w:wordWrap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①签订合同后十个工作日内，甲方向国库支付机构提出申请支付令、办理国库支付手续，国库支付机构在规定时间内（不计入甲方付款期限）将合同总金额的30%作为预付款支付给乙方；</w:t>
      </w:r>
    </w:p>
    <w:p w14:paraId="0C161780">
      <w:pPr>
        <w:wordWrap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②项目完工后，乙方向甲方提交结算材料，甲方根据实际工作量计算初步的结算金额，甲方向国库支付机构提出申请支付令、办理国库支付手续，国库支付机构在规定时间内（不计入甲方付款期限）将初步结算金额的80%支付给乙方；</w:t>
      </w:r>
    </w:p>
    <w:p w14:paraId="4690443E">
      <w:pPr>
        <w:wordWrap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③项目验收合格后十个工作日内，甲方根据通过验收的实际工作量计算最终结算金额，甲方向国库支付机构提出申请支付令、办理国库支付手续，国库支付机构在规定时间内（不计入甲方付款期限）将合同剩余款项支付给乙方。</w:t>
      </w:r>
    </w:p>
    <w:p w14:paraId="2796E7F3">
      <w:pPr>
        <w:wordWrap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第九条  履约保证金</w:t>
      </w:r>
    </w:p>
    <w:p w14:paraId="634D1E8E">
      <w:pPr>
        <w:wordWrap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本项目不收取履约保证金。</w:t>
      </w:r>
    </w:p>
    <w:p w14:paraId="209A2027">
      <w:pPr>
        <w:wordWrap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第十条  违约责任</w:t>
      </w:r>
    </w:p>
    <w:p w14:paraId="53D04797">
      <w:pPr>
        <w:wordWrap w:val="0"/>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1.合同一方不履行合同义务、履行合同义务不符合约定或者违反合同项下所作保证的， 应向对方承担继续履行等补救措施或者赔偿损失等违约责任。</w:t>
      </w:r>
    </w:p>
    <w:p w14:paraId="78575A5F">
      <w:pPr>
        <w:wordWrap w:val="0"/>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2.乙方未能按时履行合同服务的，应向甲方支付迟延交付违约金。迟延交付违约金的计算方法如下：</w:t>
      </w:r>
    </w:p>
    <w:p w14:paraId="4A32EBA4">
      <w:pPr>
        <w:wordWrap w:val="0"/>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（1）从迟交的第一周到第四周，每周迟延交付违约金为合同价款（报酬）的</w:t>
      </w:r>
      <w:r>
        <w:rPr>
          <w:rFonts w:hint="eastAsia" w:ascii="宋体" w:hAnsi="宋体" w:cs="宋体"/>
          <w:i/>
          <w:color w:val="auto"/>
          <w:kern w:val="0"/>
          <w:szCs w:val="21"/>
          <w:highlight w:val="none"/>
          <w:u w:val="single"/>
        </w:rPr>
        <w:t xml:space="preserve"> 0.5%</w:t>
      </w:r>
      <w:r>
        <w:rPr>
          <w:rFonts w:hint="eastAsia" w:ascii="宋体" w:hAnsi="宋体" w:cs="宋体"/>
          <w:color w:val="auto"/>
          <w:kern w:val="0"/>
          <w:szCs w:val="21"/>
          <w:highlight w:val="none"/>
        </w:rPr>
        <w:t>；</w:t>
      </w:r>
    </w:p>
    <w:p w14:paraId="1E86D99B">
      <w:pPr>
        <w:wordWrap w:val="0"/>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（2）从迟交的第五周到第八周，每周迟延交付违约金为合同价款（报酬）的</w:t>
      </w:r>
      <w:r>
        <w:rPr>
          <w:rFonts w:hint="eastAsia" w:ascii="宋体" w:hAnsi="宋体" w:cs="宋体"/>
          <w:i/>
          <w:color w:val="auto"/>
          <w:kern w:val="0"/>
          <w:szCs w:val="21"/>
          <w:highlight w:val="none"/>
          <w:u w:val="single"/>
        </w:rPr>
        <w:t xml:space="preserve"> 1%</w:t>
      </w:r>
      <w:r>
        <w:rPr>
          <w:rFonts w:hint="eastAsia" w:ascii="宋体" w:hAnsi="宋体" w:cs="宋体"/>
          <w:color w:val="auto"/>
          <w:kern w:val="0"/>
          <w:szCs w:val="21"/>
          <w:highlight w:val="none"/>
        </w:rPr>
        <w:t>；</w:t>
      </w:r>
    </w:p>
    <w:p w14:paraId="3656DFC8">
      <w:pPr>
        <w:wordWrap w:val="0"/>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（3）从迟交第九周起，每周迟延交付违约金为合同价款（报酬）的</w:t>
      </w:r>
      <w:r>
        <w:rPr>
          <w:rFonts w:hint="eastAsia" w:ascii="宋体" w:hAnsi="宋体" w:cs="宋体"/>
          <w:i/>
          <w:color w:val="auto"/>
          <w:kern w:val="0"/>
          <w:szCs w:val="21"/>
          <w:highlight w:val="none"/>
          <w:u w:val="single"/>
        </w:rPr>
        <w:t xml:space="preserve"> 1.5%</w:t>
      </w:r>
      <w:r>
        <w:rPr>
          <w:rFonts w:hint="eastAsia" w:ascii="宋体" w:hAnsi="宋体" w:cs="宋体"/>
          <w:color w:val="auto"/>
          <w:kern w:val="0"/>
          <w:szCs w:val="21"/>
          <w:highlight w:val="none"/>
        </w:rPr>
        <w:t>。在计算迟延交付违约金时，迟交不足一周的按一周计算。迟延交付违约金的总额不得超过合同价款（报酬）的</w:t>
      </w:r>
      <w:r>
        <w:rPr>
          <w:rFonts w:hint="eastAsia" w:ascii="宋体" w:hAnsi="宋体" w:cs="宋体"/>
          <w:color w:val="auto"/>
          <w:kern w:val="0"/>
          <w:szCs w:val="21"/>
          <w:highlight w:val="none"/>
          <w:u w:val="single"/>
        </w:rPr>
        <w:t xml:space="preserve"> 10%</w:t>
      </w:r>
      <w:r>
        <w:rPr>
          <w:rFonts w:hint="eastAsia" w:ascii="宋体" w:hAnsi="宋体" w:cs="宋体"/>
          <w:color w:val="auto"/>
          <w:kern w:val="0"/>
          <w:szCs w:val="21"/>
          <w:highlight w:val="none"/>
        </w:rPr>
        <w:t>。迟延交付违约金的支付不能免除乙方继续交付相关合同服务的义务，但如迟延交付必然导致合同服务实施、调试、验收等工作推迟的，相关工作应相应顺延。</w:t>
      </w:r>
    </w:p>
    <w:p w14:paraId="3DD3D8A5">
      <w:pPr>
        <w:wordWrap w:val="0"/>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3.甲方未能按合同约定支付合同价款的，应向乙方支付延迟付款违约金。迟延付款违约金的计算方法如下：</w:t>
      </w:r>
    </w:p>
    <w:p w14:paraId="032AF562">
      <w:pPr>
        <w:wordWrap w:val="0"/>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（1）从迟付的第一周到第四周，每周迟延付款违约金为迟延付款金额的</w:t>
      </w:r>
      <w:r>
        <w:rPr>
          <w:rFonts w:hint="eastAsia" w:ascii="宋体" w:hAnsi="宋体" w:cs="宋体"/>
          <w:i/>
          <w:color w:val="auto"/>
          <w:kern w:val="0"/>
          <w:szCs w:val="21"/>
          <w:highlight w:val="none"/>
          <w:u w:val="single"/>
        </w:rPr>
        <w:t xml:space="preserve"> 0.5%</w:t>
      </w:r>
      <w:r>
        <w:rPr>
          <w:rFonts w:hint="eastAsia" w:ascii="宋体" w:hAnsi="宋体" w:cs="宋体"/>
          <w:color w:val="auto"/>
          <w:kern w:val="0"/>
          <w:szCs w:val="21"/>
          <w:highlight w:val="none"/>
        </w:rPr>
        <w:t>；</w:t>
      </w:r>
    </w:p>
    <w:p w14:paraId="22145000">
      <w:pPr>
        <w:wordWrap w:val="0"/>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（2）从迟付的第五周到第八周，每周迟延付款违约金为迟延付款金额的</w:t>
      </w:r>
      <w:r>
        <w:rPr>
          <w:rFonts w:hint="eastAsia" w:ascii="宋体" w:hAnsi="宋体" w:cs="宋体"/>
          <w:i/>
          <w:color w:val="auto"/>
          <w:kern w:val="0"/>
          <w:szCs w:val="21"/>
          <w:highlight w:val="none"/>
          <w:u w:val="single"/>
        </w:rPr>
        <w:t xml:space="preserve"> 1%</w:t>
      </w:r>
      <w:r>
        <w:rPr>
          <w:rFonts w:hint="eastAsia" w:ascii="宋体" w:hAnsi="宋体" w:cs="宋体"/>
          <w:color w:val="auto"/>
          <w:kern w:val="0"/>
          <w:szCs w:val="21"/>
          <w:highlight w:val="none"/>
        </w:rPr>
        <w:t>；</w:t>
      </w:r>
    </w:p>
    <w:p w14:paraId="004DC79A">
      <w:pPr>
        <w:wordWrap w:val="0"/>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（3）从迟付第九周起，每周迟延付款违约金为迟延付款金额的</w:t>
      </w:r>
      <w:r>
        <w:rPr>
          <w:rFonts w:hint="eastAsia" w:ascii="宋体" w:hAnsi="宋体" w:cs="宋体"/>
          <w:i/>
          <w:color w:val="auto"/>
          <w:kern w:val="0"/>
          <w:szCs w:val="21"/>
          <w:highlight w:val="none"/>
          <w:u w:val="single"/>
        </w:rPr>
        <w:t xml:space="preserve"> 1.5%</w:t>
      </w:r>
      <w:r>
        <w:rPr>
          <w:rFonts w:hint="eastAsia" w:ascii="宋体" w:hAnsi="宋体" w:cs="宋体"/>
          <w:color w:val="auto"/>
          <w:kern w:val="0"/>
          <w:szCs w:val="21"/>
          <w:highlight w:val="none"/>
        </w:rPr>
        <w:t>。在计算迟延付款违约金时，迟付不足一周的按一周计算。迟延付款违约金的总额不得超过合同价格的</w:t>
      </w:r>
      <w:r>
        <w:rPr>
          <w:rFonts w:hint="eastAsia" w:ascii="宋体" w:hAnsi="宋体" w:cs="宋体"/>
          <w:color w:val="auto"/>
          <w:kern w:val="0"/>
          <w:szCs w:val="21"/>
          <w:highlight w:val="none"/>
          <w:u w:val="single"/>
        </w:rPr>
        <w:t xml:space="preserve"> 10%</w:t>
      </w:r>
      <w:r>
        <w:rPr>
          <w:rFonts w:hint="eastAsia" w:ascii="宋体" w:hAnsi="宋体" w:cs="宋体"/>
          <w:color w:val="auto"/>
          <w:kern w:val="0"/>
          <w:szCs w:val="21"/>
          <w:highlight w:val="none"/>
        </w:rPr>
        <w:t>。</w:t>
      </w:r>
    </w:p>
    <w:p w14:paraId="42EF20E2">
      <w:pPr>
        <w:wordWrap w:val="0"/>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4.乙方未按本合同和响应文件承诺提供服务的，乙方应按本合同价款（报酬）的 %向甲方支付违约金。</w:t>
      </w:r>
    </w:p>
    <w:p w14:paraId="6ACD51F2">
      <w:pPr>
        <w:wordWrap w:val="0"/>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5.因某一方原因导致变更、中止或者终止政府采购合同的，该方应当对另一方受到的损失予以赔偿或者补偿。</w:t>
      </w:r>
    </w:p>
    <w:p w14:paraId="61CDA2F4">
      <w:pPr>
        <w:wordWrap w:val="0"/>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6.其他违约责任按《中华人民共和国民法典》处理。</w:t>
      </w:r>
    </w:p>
    <w:p w14:paraId="28F1562A">
      <w:pPr>
        <w:wordWrap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第十一条  不可抗力事件处理</w:t>
      </w:r>
    </w:p>
    <w:p w14:paraId="4D8355D6">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1.在合同有效期内，乙方因不可抗力事件导致不能履行合同的，则合同履行期可在甲方同意的前提下予以延长，其延长期与不可抗力影响期相同，但不得影响合同所涉旅游展的举办。</w:t>
      </w:r>
    </w:p>
    <w:p w14:paraId="4280BEA5">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2.不可抗力事件发生后，应在三日内通知甲方，并寄送有关权威机构出具的证明。</w:t>
      </w:r>
    </w:p>
    <w:p w14:paraId="601E99DB">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3.不可抗力事件延续三十天以上，双方应通过友好协商，确定是否继续履行合同。</w:t>
      </w:r>
    </w:p>
    <w:p w14:paraId="11013F34">
      <w:pPr>
        <w:wordWrap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第十二条  合同争议解决</w:t>
      </w:r>
    </w:p>
    <w:p w14:paraId="77E25CCB">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1.因服务质量问题发生争议的，应邀请国家认可的质量检测机构对服务质量进行鉴定。服务符合标准的，鉴定费由甲方承担；服务不符合标准的，鉴定费由乙方承担。</w:t>
      </w:r>
    </w:p>
    <w:p w14:paraId="420ECCB6">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2.因履行本合同引起的或与本合同有关的争议，甲乙双方应首先通过友好协商解决，如果协商不能解决，可向项目所在地仲裁委员会申请仲裁。</w:t>
      </w:r>
    </w:p>
    <w:p w14:paraId="4CD02A6C">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3.诉讼期间，本合同继续履行。</w:t>
      </w:r>
    </w:p>
    <w:p w14:paraId="68F855F0">
      <w:pPr>
        <w:wordWrap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第十三条  合同生效及其它</w:t>
      </w:r>
    </w:p>
    <w:p w14:paraId="1A05B6D3">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1.合同经甲乙双方法定代表人、负责人、自然人或相应的授权代表签字并加盖单位公章后生效。</w:t>
      </w:r>
    </w:p>
    <w:p w14:paraId="68437FF0">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2.合同执行中涉及采购资金和采购内容修改或补充的，需经北海市财政部门审批，并签订书面补充协议报北海市政府采购管理办公室备案，方可作为主合同不可分割的一部分。</w:t>
      </w:r>
    </w:p>
    <w:p w14:paraId="008FF860">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14:paraId="2E383AB7">
      <w:pPr>
        <w:wordWrap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第十四条  合同的变更、终止与转让</w:t>
      </w:r>
    </w:p>
    <w:p w14:paraId="3E314F08">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1.除《中华人民共和国政府采购法》第五十条规定的情形外，本合同一经签订，甲乙双方不得擅自变更，中止或终止。</w:t>
      </w:r>
    </w:p>
    <w:p w14:paraId="04B1AF01">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14:paraId="2F9360ED">
      <w:pPr>
        <w:wordWrap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第十五条  签订本合同依据：</w:t>
      </w:r>
    </w:p>
    <w:p w14:paraId="43FA3A57">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1.竞争性磋商文件；</w:t>
      </w:r>
    </w:p>
    <w:p w14:paraId="719CF810">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2.乙方提供的响应（或应答）文件；</w:t>
      </w:r>
    </w:p>
    <w:p w14:paraId="2DE58390">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3.磋商中的磋商记录；</w:t>
      </w:r>
    </w:p>
    <w:p w14:paraId="58F4E7A1">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4.成交通知书。</w:t>
      </w:r>
    </w:p>
    <w:p w14:paraId="4666EDCB">
      <w:pPr>
        <w:wordWrap w:val="0"/>
        <w:adjustRightInd w:val="0"/>
        <w:snapToGrid w:val="0"/>
        <w:spacing w:line="36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第十六条　</w:t>
      </w:r>
      <w:r>
        <w:rPr>
          <w:rFonts w:hint="eastAsia" w:ascii="宋体" w:hAnsi="宋体" w:cs="宋体"/>
          <w:color w:val="auto"/>
          <w:szCs w:val="21"/>
          <w:highlight w:val="none"/>
        </w:rPr>
        <w:t>本合同一式四份，具有同等法律效力，政府采购监管部门、采购代理机构各一份，甲乙双方各一份（可根据需要另增加）。</w:t>
      </w:r>
    </w:p>
    <w:p w14:paraId="75BD6A92">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本合同甲乙双方签字盖章后生效，自签订之日起1个工作日内，甲方或采购代理机构应当将合同上传至广西政府采购云平台报同级财政部门备案，并在指定网站公示。</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9"/>
        <w:gridCol w:w="4520"/>
      </w:tblGrid>
      <w:tr w14:paraId="0353A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4519" w:type="dxa"/>
            <w:vAlign w:val="center"/>
          </w:tcPr>
          <w:p w14:paraId="7EAE5D78">
            <w:pPr>
              <w:snapToGrid w:val="0"/>
              <w:spacing w:line="360" w:lineRule="exact"/>
              <w:rPr>
                <w:rFonts w:ascii="宋体" w:hAnsi="宋体"/>
                <w:color w:val="auto"/>
                <w:szCs w:val="21"/>
                <w:highlight w:val="none"/>
              </w:rPr>
            </w:pPr>
            <w:r>
              <w:rPr>
                <w:rFonts w:hint="eastAsia" w:ascii="宋体" w:hAnsi="宋体"/>
                <w:color w:val="auto"/>
                <w:szCs w:val="21"/>
                <w:highlight w:val="none"/>
              </w:rPr>
              <w:t xml:space="preserve">甲方（章）           </w:t>
            </w:r>
          </w:p>
          <w:p w14:paraId="0244BD4F">
            <w:pPr>
              <w:snapToGrid w:val="0"/>
              <w:spacing w:line="360" w:lineRule="exact"/>
              <w:jc w:val="left"/>
              <w:rPr>
                <w:rFonts w:ascii="宋体" w:hAnsi="宋体"/>
                <w:color w:val="auto"/>
                <w:szCs w:val="21"/>
                <w:highlight w:val="none"/>
              </w:rPr>
            </w:pPr>
          </w:p>
          <w:p w14:paraId="221F24CA">
            <w:pPr>
              <w:snapToGrid w:val="0"/>
              <w:spacing w:line="360" w:lineRule="exact"/>
              <w:jc w:val="right"/>
              <w:rPr>
                <w:rFonts w:ascii="宋体" w:hAnsi="宋体"/>
                <w:color w:val="auto"/>
                <w:szCs w:val="21"/>
                <w:highlight w:val="none"/>
              </w:rPr>
            </w:pPr>
            <w:r>
              <w:rPr>
                <w:rFonts w:hint="eastAsia" w:ascii="宋体" w:hAnsi="宋体"/>
                <w:color w:val="auto"/>
                <w:szCs w:val="21"/>
                <w:highlight w:val="none"/>
              </w:rPr>
              <w:t>年   月   日</w:t>
            </w:r>
          </w:p>
        </w:tc>
        <w:tc>
          <w:tcPr>
            <w:tcW w:w="4520" w:type="dxa"/>
            <w:vAlign w:val="center"/>
          </w:tcPr>
          <w:p w14:paraId="1FD32FDB">
            <w:pPr>
              <w:snapToGrid w:val="0"/>
              <w:spacing w:line="360" w:lineRule="exact"/>
              <w:rPr>
                <w:rFonts w:ascii="宋体" w:hAnsi="宋体"/>
                <w:color w:val="auto"/>
                <w:szCs w:val="21"/>
                <w:highlight w:val="none"/>
              </w:rPr>
            </w:pPr>
            <w:r>
              <w:rPr>
                <w:rFonts w:hint="eastAsia" w:ascii="宋体" w:hAnsi="宋体"/>
                <w:color w:val="auto"/>
                <w:szCs w:val="21"/>
                <w:highlight w:val="none"/>
              </w:rPr>
              <w:t xml:space="preserve">乙方（章）  </w:t>
            </w:r>
          </w:p>
          <w:p w14:paraId="03DFA035">
            <w:pPr>
              <w:snapToGrid w:val="0"/>
              <w:spacing w:line="360" w:lineRule="exact"/>
              <w:rPr>
                <w:rFonts w:ascii="宋体" w:hAnsi="宋体"/>
                <w:color w:val="auto"/>
                <w:szCs w:val="21"/>
                <w:highlight w:val="none"/>
              </w:rPr>
            </w:pPr>
          </w:p>
          <w:p w14:paraId="3511B4D9">
            <w:pPr>
              <w:snapToGrid w:val="0"/>
              <w:spacing w:line="360" w:lineRule="exact"/>
              <w:jc w:val="right"/>
              <w:rPr>
                <w:rFonts w:ascii="宋体" w:hAnsi="宋体"/>
                <w:color w:val="auto"/>
                <w:szCs w:val="21"/>
                <w:highlight w:val="none"/>
              </w:rPr>
            </w:pPr>
            <w:r>
              <w:rPr>
                <w:rFonts w:hint="eastAsia" w:ascii="宋体" w:hAnsi="宋体"/>
                <w:color w:val="auto"/>
                <w:szCs w:val="21"/>
                <w:highlight w:val="none"/>
              </w:rPr>
              <w:t>年   月   日</w:t>
            </w:r>
          </w:p>
        </w:tc>
      </w:tr>
      <w:tr w14:paraId="19AAE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4519" w:type="dxa"/>
            <w:vAlign w:val="center"/>
          </w:tcPr>
          <w:p w14:paraId="3B3B61E1">
            <w:pPr>
              <w:snapToGrid w:val="0"/>
              <w:spacing w:line="360" w:lineRule="exact"/>
              <w:rPr>
                <w:rFonts w:ascii="宋体" w:hAnsi="宋体"/>
                <w:color w:val="auto"/>
                <w:szCs w:val="21"/>
                <w:highlight w:val="none"/>
              </w:rPr>
            </w:pPr>
            <w:r>
              <w:rPr>
                <w:rFonts w:hint="eastAsia" w:ascii="宋体" w:hAnsi="宋体"/>
                <w:color w:val="auto"/>
                <w:szCs w:val="21"/>
                <w:highlight w:val="none"/>
              </w:rPr>
              <w:t>单位地址：</w:t>
            </w:r>
          </w:p>
        </w:tc>
        <w:tc>
          <w:tcPr>
            <w:tcW w:w="4520" w:type="dxa"/>
            <w:vAlign w:val="center"/>
          </w:tcPr>
          <w:p w14:paraId="7026C044">
            <w:pPr>
              <w:snapToGrid w:val="0"/>
              <w:spacing w:line="360" w:lineRule="exact"/>
              <w:rPr>
                <w:rFonts w:ascii="宋体" w:hAnsi="宋体"/>
                <w:color w:val="auto"/>
                <w:szCs w:val="21"/>
                <w:highlight w:val="none"/>
              </w:rPr>
            </w:pPr>
            <w:r>
              <w:rPr>
                <w:rFonts w:hint="eastAsia" w:ascii="宋体" w:hAnsi="宋体"/>
                <w:color w:val="auto"/>
                <w:szCs w:val="21"/>
                <w:highlight w:val="none"/>
              </w:rPr>
              <w:t>单位地址：</w:t>
            </w:r>
          </w:p>
        </w:tc>
      </w:tr>
      <w:tr w14:paraId="28B0D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4519" w:type="dxa"/>
            <w:vAlign w:val="center"/>
          </w:tcPr>
          <w:p w14:paraId="4C257A68">
            <w:pPr>
              <w:snapToGrid w:val="0"/>
              <w:spacing w:line="360" w:lineRule="exact"/>
              <w:rPr>
                <w:rFonts w:ascii="宋体" w:hAnsi="宋体"/>
                <w:color w:val="auto"/>
                <w:szCs w:val="21"/>
                <w:highlight w:val="none"/>
              </w:rPr>
            </w:pPr>
            <w:r>
              <w:rPr>
                <w:rFonts w:hint="eastAsia" w:ascii="宋体" w:hAnsi="宋体"/>
                <w:color w:val="auto"/>
                <w:szCs w:val="21"/>
                <w:highlight w:val="none"/>
              </w:rPr>
              <w:t>法定代表人：</w:t>
            </w:r>
          </w:p>
        </w:tc>
        <w:tc>
          <w:tcPr>
            <w:tcW w:w="4520" w:type="dxa"/>
            <w:vAlign w:val="center"/>
          </w:tcPr>
          <w:p w14:paraId="54D5C9F0">
            <w:pPr>
              <w:snapToGrid w:val="0"/>
              <w:spacing w:line="360" w:lineRule="exact"/>
              <w:rPr>
                <w:rFonts w:ascii="宋体" w:hAnsi="宋体"/>
                <w:color w:val="auto"/>
                <w:szCs w:val="21"/>
                <w:highlight w:val="none"/>
              </w:rPr>
            </w:pPr>
            <w:r>
              <w:rPr>
                <w:rFonts w:hint="eastAsia" w:ascii="宋体" w:hAnsi="宋体"/>
                <w:color w:val="auto"/>
                <w:szCs w:val="21"/>
                <w:highlight w:val="none"/>
              </w:rPr>
              <w:t>法定代表人：</w:t>
            </w:r>
          </w:p>
        </w:tc>
      </w:tr>
      <w:tr w14:paraId="2EDBB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4519" w:type="dxa"/>
            <w:vAlign w:val="center"/>
          </w:tcPr>
          <w:p w14:paraId="22C4DF94">
            <w:pPr>
              <w:snapToGrid w:val="0"/>
              <w:spacing w:line="360" w:lineRule="exact"/>
              <w:rPr>
                <w:rFonts w:ascii="宋体" w:hAnsi="宋体"/>
                <w:color w:val="auto"/>
                <w:szCs w:val="21"/>
                <w:highlight w:val="none"/>
              </w:rPr>
            </w:pPr>
            <w:r>
              <w:rPr>
                <w:rFonts w:hint="eastAsia" w:ascii="宋体" w:hAnsi="宋体"/>
                <w:color w:val="auto"/>
                <w:szCs w:val="21"/>
                <w:highlight w:val="none"/>
              </w:rPr>
              <w:t>委托代理人：</w:t>
            </w:r>
          </w:p>
        </w:tc>
        <w:tc>
          <w:tcPr>
            <w:tcW w:w="4520" w:type="dxa"/>
            <w:vAlign w:val="center"/>
          </w:tcPr>
          <w:p w14:paraId="75C20236">
            <w:pPr>
              <w:snapToGrid w:val="0"/>
              <w:spacing w:line="360" w:lineRule="exact"/>
              <w:rPr>
                <w:rFonts w:ascii="宋体" w:hAnsi="宋体"/>
                <w:color w:val="auto"/>
                <w:szCs w:val="21"/>
                <w:highlight w:val="none"/>
              </w:rPr>
            </w:pPr>
            <w:r>
              <w:rPr>
                <w:rFonts w:hint="eastAsia" w:ascii="宋体" w:hAnsi="宋体"/>
                <w:color w:val="auto"/>
                <w:szCs w:val="21"/>
                <w:highlight w:val="none"/>
              </w:rPr>
              <w:t>委托代理人</w:t>
            </w:r>
          </w:p>
        </w:tc>
      </w:tr>
      <w:tr w14:paraId="7511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19" w:type="dxa"/>
            <w:vAlign w:val="center"/>
          </w:tcPr>
          <w:p w14:paraId="3ED9FBF8">
            <w:pPr>
              <w:snapToGrid w:val="0"/>
              <w:spacing w:line="360" w:lineRule="exact"/>
              <w:rPr>
                <w:rFonts w:ascii="宋体" w:hAnsi="宋体"/>
                <w:color w:val="auto"/>
                <w:szCs w:val="21"/>
                <w:highlight w:val="none"/>
              </w:rPr>
            </w:pPr>
            <w:r>
              <w:rPr>
                <w:rFonts w:hint="eastAsia" w:ascii="宋体" w:hAnsi="宋体"/>
                <w:color w:val="auto"/>
                <w:szCs w:val="21"/>
                <w:highlight w:val="none"/>
              </w:rPr>
              <w:t>电话：</w:t>
            </w:r>
          </w:p>
        </w:tc>
        <w:tc>
          <w:tcPr>
            <w:tcW w:w="4520" w:type="dxa"/>
            <w:vAlign w:val="center"/>
          </w:tcPr>
          <w:p w14:paraId="4BA431A9">
            <w:pPr>
              <w:snapToGrid w:val="0"/>
              <w:spacing w:line="360" w:lineRule="exact"/>
              <w:rPr>
                <w:rFonts w:ascii="宋体" w:hAnsi="宋体"/>
                <w:color w:val="auto"/>
                <w:szCs w:val="21"/>
                <w:highlight w:val="none"/>
              </w:rPr>
            </w:pPr>
            <w:r>
              <w:rPr>
                <w:rFonts w:hint="eastAsia" w:ascii="宋体" w:hAnsi="宋体"/>
                <w:color w:val="auto"/>
                <w:szCs w:val="21"/>
                <w:highlight w:val="none"/>
              </w:rPr>
              <w:t>电话：</w:t>
            </w:r>
          </w:p>
        </w:tc>
      </w:tr>
      <w:tr w14:paraId="3E91B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4519" w:type="dxa"/>
            <w:vAlign w:val="center"/>
          </w:tcPr>
          <w:p w14:paraId="4BFEF562">
            <w:pPr>
              <w:snapToGrid w:val="0"/>
              <w:spacing w:line="360" w:lineRule="exact"/>
              <w:rPr>
                <w:rFonts w:ascii="宋体" w:hAnsi="宋体"/>
                <w:color w:val="auto"/>
                <w:szCs w:val="21"/>
                <w:highlight w:val="none"/>
              </w:rPr>
            </w:pPr>
            <w:r>
              <w:rPr>
                <w:rFonts w:hint="eastAsia" w:ascii="宋体" w:hAnsi="宋体"/>
                <w:color w:val="auto"/>
                <w:szCs w:val="21"/>
                <w:highlight w:val="none"/>
              </w:rPr>
              <w:t>电子邮箱：</w:t>
            </w:r>
          </w:p>
        </w:tc>
        <w:tc>
          <w:tcPr>
            <w:tcW w:w="4520" w:type="dxa"/>
            <w:vAlign w:val="center"/>
          </w:tcPr>
          <w:p w14:paraId="0F189ED3">
            <w:pPr>
              <w:snapToGrid w:val="0"/>
              <w:spacing w:line="360" w:lineRule="exact"/>
              <w:rPr>
                <w:rFonts w:ascii="宋体" w:hAnsi="宋体"/>
                <w:color w:val="auto"/>
                <w:szCs w:val="21"/>
                <w:highlight w:val="none"/>
              </w:rPr>
            </w:pPr>
            <w:r>
              <w:rPr>
                <w:rFonts w:hint="eastAsia" w:ascii="宋体" w:hAnsi="宋体"/>
                <w:color w:val="auto"/>
                <w:szCs w:val="21"/>
                <w:highlight w:val="none"/>
              </w:rPr>
              <w:t>电子邮箱：</w:t>
            </w:r>
          </w:p>
        </w:tc>
      </w:tr>
      <w:tr w14:paraId="7C95A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4519" w:type="dxa"/>
            <w:vAlign w:val="center"/>
          </w:tcPr>
          <w:p w14:paraId="786E2EDB">
            <w:pPr>
              <w:snapToGrid w:val="0"/>
              <w:spacing w:line="360" w:lineRule="exact"/>
              <w:rPr>
                <w:rFonts w:ascii="宋体" w:hAnsi="宋体"/>
                <w:color w:val="auto"/>
                <w:szCs w:val="21"/>
                <w:highlight w:val="none"/>
              </w:rPr>
            </w:pPr>
            <w:r>
              <w:rPr>
                <w:rFonts w:hint="eastAsia" w:ascii="宋体" w:hAnsi="宋体"/>
                <w:color w:val="auto"/>
                <w:szCs w:val="21"/>
                <w:highlight w:val="none"/>
              </w:rPr>
              <w:t>开户银行：</w:t>
            </w:r>
          </w:p>
        </w:tc>
        <w:tc>
          <w:tcPr>
            <w:tcW w:w="4520" w:type="dxa"/>
            <w:vAlign w:val="center"/>
          </w:tcPr>
          <w:p w14:paraId="36086EF6">
            <w:pPr>
              <w:snapToGrid w:val="0"/>
              <w:spacing w:line="360" w:lineRule="exact"/>
              <w:rPr>
                <w:rFonts w:ascii="宋体" w:hAnsi="宋体"/>
                <w:color w:val="auto"/>
                <w:szCs w:val="21"/>
                <w:highlight w:val="none"/>
              </w:rPr>
            </w:pPr>
            <w:r>
              <w:rPr>
                <w:rFonts w:hint="eastAsia" w:ascii="宋体" w:hAnsi="宋体"/>
                <w:color w:val="auto"/>
                <w:szCs w:val="21"/>
                <w:highlight w:val="none"/>
              </w:rPr>
              <w:t>开户银行：</w:t>
            </w:r>
          </w:p>
        </w:tc>
      </w:tr>
      <w:tr w14:paraId="3BD9E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4519" w:type="dxa"/>
            <w:vAlign w:val="center"/>
          </w:tcPr>
          <w:p w14:paraId="1334322C">
            <w:pPr>
              <w:snapToGrid w:val="0"/>
              <w:spacing w:line="360" w:lineRule="exact"/>
              <w:rPr>
                <w:rFonts w:ascii="宋体" w:hAnsi="宋体"/>
                <w:color w:val="auto"/>
                <w:szCs w:val="21"/>
                <w:highlight w:val="none"/>
              </w:rPr>
            </w:pPr>
            <w:r>
              <w:rPr>
                <w:rFonts w:hint="eastAsia" w:ascii="宋体" w:hAnsi="宋体"/>
                <w:color w:val="auto"/>
                <w:szCs w:val="21"/>
                <w:highlight w:val="none"/>
              </w:rPr>
              <w:t>账号：</w:t>
            </w:r>
          </w:p>
        </w:tc>
        <w:tc>
          <w:tcPr>
            <w:tcW w:w="4520" w:type="dxa"/>
            <w:vAlign w:val="center"/>
          </w:tcPr>
          <w:p w14:paraId="54758771">
            <w:pPr>
              <w:snapToGrid w:val="0"/>
              <w:spacing w:line="360" w:lineRule="exact"/>
              <w:rPr>
                <w:rFonts w:ascii="宋体" w:hAnsi="宋体"/>
                <w:color w:val="auto"/>
                <w:szCs w:val="21"/>
                <w:highlight w:val="none"/>
              </w:rPr>
            </w:pPr>
            <w:r>
              <w:rPr>
                <w:rFonts w:hint="eastAsia" w:ascii="宋体" w:hAnsi="宋体"/>
                <w:color w:val="auto"/>
                <w:szCs w:val="21"/>
                <w:highlight w:val="none"/>
              </w:rPr>
              <w:t>账号：</w:t>
            </w:r>
          </w:p>
        </w:tc>
      </w:tr>
      <w:tr w14:paraId="07059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9" w:type="dxa"/>
            <w:vAlign w:val="center"/>
          </w:tcPr>
          <w:p w14:paraId="30D32A48">
            <w:pPr>
              <w:snapToGrid w:val="0"/>
              <w:spacing w:line="360" w:lineRule="exact"/>
              <w:rPr>
                <w:rFonts w:ascii="宋体" w:hAnsi="宋体"/>
                <w:color w:val="auto"/>
                <w:szCs w:val="21"/>
                <w:highlight w:val="none"/>
              </w:rPr>
            </w:pPr>
            <w:r>
              <w:rPr>
                <w:rFonts w:hint="eastAsia" w:ascii="宋体" w:hAnsi="宋体"/>
                <w:color w:val="auto"/>
                <w:szCs w:val="21"/>
                <w:highlight w:val="none"/>
              </w:rPr>
              <w:t>邮政编码：</w:t>
            </w:r>
          </w:p>
        </w:tc>
        <w:tc>
          <w:tcPr>
            <w:tcW w:w="4520" w:type="dxa"/>
            <w:vAlign w:val="center"/>
          </w:tcPr>
          <w:p w14:paraId="3009E792">
            <w:pPr>
              <w:snapToGrid w:val="0"/>
              <w:spacing w:line="360" w:lineRule="exact"/>
              <w:rPr>
                <w:rFonts w:ascii="宋体" w:hAnsi="宋体"/>
                <w:color w:val="auto"/>
                <w:szCs w:val="21"/>
                <w:highlight w:val="none"/>
              </w:rPr>
            </w:pPr>
            <w:r>
              <w:rPr>
                <w:rFonts w:hint="eastAsia" w:ascii="宋体" w:hAnsi="宋体"/>
                <w:color w:val="auto"/>
                <w:szCs w:val="21"/>
                <w:highlight w:val="none"/>
              </w:rPr>
              <w:t>邮政编码：</w:t>
            </w:r>
          </w:p>
        </w:tc>
      </w:tr>
    </w:tbl>
    <w:p w14:paraId="7C6F14CA">
      <w:pPr>
        <w:spacing w:line="400" w:lineRule="exact"/>
        <w:rPr>
          <w:rFonts w:ascii="宋体" w:hAnsi="宋体"/>
          <w:bCs/>
          <w:color w:val="auto"/>
          <w:szCs w:val="21"/>
          <w:highlight w:val="none"/>
        </w:rPr>
      </w:pPr>
    </w:p>
    <w:sectPr>
      <w:headerReference r:id="rId7" w:type="first"/>
      <w:footerReference r:id="rId9" w:type="first"/>
      <w:footerReference r:id="rId8" w:type="default"/>
      <w:pgSz w:w="11906" w:h="16838"/>
      <w:pgMar w:top="1440" w:right="1440" w:bottom="1440"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4805709-8827-4F3F-8A45-B8FFC1A61472}"/>
  </w:font>
  <w:font w:name="黑体">
    <w:panose1 w:val="02010609060101010101"/>
    <w:charset w:val="86"/>
    <w:family w:val="auto"/>
    <w:pitch w:val="default"/>
    <w:sig w:usb0="800002BF" w:usb1="38CF7CFA" w:usb2="00000016" w:usb3="00000000" w:csb0="00040001" w:csb1="00000000"/>
    <w:embedRegular r:id="rId2" w:fontKey="{982C0540-9184-4EE2-A1FC-5CE1C62F9D4A}"/>
  </w:font>
  <w:font w:name="Courier New">
    <w:panose1 w:val="02070309020205020404"/>
    <w:charset w:val="01"/>
    <w:family w:val="modern"/>
    <w:pitch w:val="default"/>
    <w:sig w:usb0="E0002AFF" w:usb1="C0007843" w:usb2="00000009" w:usb3="00000000" w:csb0="400001FF" w:csb1="FFFF0000"/>
    <w:embedRegular r:id="rId3" w:fontKey="{282906EF-7AD3-47B7-BB39-A9EC82788EB6}"/>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embedRegular r:id="rId4" w:fontKey="{9197D4E4-5A0D-4F91-A0F2-07570899986B}"/>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5" w:fontKey="{D5B40AAC-08F1-4CDD-8207-02E57EA4217A}"/>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embedRegular r:id="rId6" w:fontKey="{6BCBA9C1-0537-4D93-BDD8-84ED39B643C2}"/>
  </w:font>
  <w:font w:name="华文新魏">
    <w:panose1 w:val="02010800040101010101"/>
    <w:charset w:val="86"/>
    <w:family w:val="auto"/>
    <w:pitch w:val="default"/>
    <w:sig w:usb0="00000001" w:usb1="080F0000" w:usb2="00000000" w:usb3="00000000" w:csb0="00040000" w:csb1="00000000"/>
    <w:embedRegular r:id="rId7" w:fontKey="{209635C2-C58D-4575-AB1D-5F36551C2043}"/>
  </w:font>
  <w:font w:name="Segoe UI Symbol">
    <w:panose1 w:val="020B0502040204020203"/>
    <w:charset w:val="00"/>
    <w:family w:val="swiss"/>
    <w:pitch w:val="default"/>
    <w:sig w:usb0="8000006F" w:usb1="1200FBEF" w:usb2="0064C000" w:usb3="00000002" w:csb0="00000001" w:csb1="40000000"/>
    <w:embedRegular r:id="rId8" w:fontKey="{52A2F9CF-652F-4633-B480-9F4313359343}"/>
  </w:font>
  <w:font w:name="仿宋">
    <w:panose1 w:val="02010609060101010101"/>
    <w:charset w:val="86"/>
    <w:family w:val="modern"/>
    <w:pitch w:val="default"/>
    <w:sig w:usb0="800002BF" w:usb1="38CF7CFA" w:usb2="00000016" w:usb3="00000000" w:csb0="00040001" w:csb1="00000000"/>
    <w:embedRegular r:id="rId9" w:fontKey="{25B1D3DB-A088-46E9-BB4B-B7256A0F91F9}"/>
  </w:font>
  <w:font w:name="Verdana">
    <w:panose1 w:val="020B0604030504040204"/>
    <w:charset w:val="00"/>
    <w:family w:val="swiss"/>
    <w:pitch w:val="default"/>
    <w:sig w:usb0="A10006FF" w:usb1="4000205B" w:usb2="00000010" w:usb3="00000000" w:csb0="2000019F" w:csb1="00000000"/>
    <w:embedRegular r:id="rId10" w:fontKey="{34950F15-DCBB-4227-9375-53A031B15FC3}"/>
  </w:font>
  <w:font w:name="微软雅黑">
    <w:panose1 w:val="020B0503020204020204"/>
    <w:charset w:val="86"/>
    <w:family w:val="swiss"/>
    <w:pitch w:val="default"/>
    <w:sig w:usb0="80000287" w:usb1="280F3C52" w:usb2="00000016" w:usb3="00000000" w:csb0="0004001F" w:csb1="00000000"/>
    <w:embedRegular r:id="rId11" w:fontKey="{273C0BB0-4D5F-4400-A793-28A843F3401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4FA4B">
    <w:pPr>
      <w:pStyle w:val="21"/>
      <w:tabs>
        <w:tab w:val="center" w:pos="4439"/>
        <w:tab w:val="clear" w:pos="4153"/>
      </w:tabs>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4099"/>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a:effectLst/>
                    </wps:spPr>
                    <wps:txbx>
                      <w:txbxContent>
                        <w:p w14:paraId="5F3697C0">
                          <w:pPr>
                            <w:pStyle w:val="21"/>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4099"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L3UTQAAAAAgEAAA8AAAAAAAAAAQAgAAAAIgAA&#10;AGRycy9kb3ducmV2LnhtbFBLAQIUABQAAAAIAIdO4kAckCoq1wEAAKcDAAAOAAAAAAAAAAEAIAAA&#10;AB8BAABkcnMvZTJvRG9jLnhtbFBLBQYAAAAABgAGAFkBAABoBQAAAAA=&#10;">
              <v:fill on="f" focussize="0,0"/>
              <v:stroke on="f"/>
              <v:imagedata o:title=""/>
              <o:lock v:ext="edit" aspectratio="f"/>
              <v:textbox inset="0mm,0mm,0mm,0mm" style="mso-fit-shape-to-text:t;">
                <w:txbxContent>
                  <w:p w14:paraId="5F3697C0">
                    <w:pPr>
                      <w:pStyle w:val="21"/>
                    </w:pPr>
                    <w:r>
                      <w:fldChar w:fldCharType="begin"/>
                    </w:r>
                    <w:r>
                      <w:instrText xml:space="preserve"> PAGE  \* MERGEFORMAT </w:instrText>
                    </w:r>
                    <w:r>
                      <w:fldChar w:fldCharType="separate"/>
                    </w:r>
                    <w:r>
                      <w:t>1</w:t>
                    </w:r>
                    <w:r>
                      <w:fldChar w:fldCharType="end"/>
                    </w:r>
                  </w:p>
                </w:txbxContent>
              </v:textbox>
            </v:shape>
          </w:pict>
        </mc:Fallback>
      </mc:AlternateContent>
    </w:r>
  </w:p>
  <w:p w14:paraId="74E2BE86">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B6DDA">
    <w:pPr>
      <w:pStyle w:val="21"/>
      <w:tabs>
        <w:tab w:val="center" w:pos="443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53035"/>
              <wp:effectExtent l="0" t="0" r="0" b="0"/>
              <wp:wrapNone/>
              <wp:docPr id="4" name="文本框 4100"/>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a:effectLst/>
                    </wps:spPr>
                    <wps:txbx>
                      <w:txbxContent>
                        <w:p w14:paraId="6252E093"/>
                      </w:txbxContent>
                    </wps:txbx>
                    <wps:bodyPr wrap="none" lIns="0" tIns="0" rIns="0" bIns="0" upright="1">
                      <a:spAutoFit/>
                    </wps:bodyPr>
                  </wps:wsp>
                </a:graphicData>
              </a:graphic>
            </wp:anchor>
          </w:drawing>
        </mc:Choice>
        <mc:Fallback>
          <w:pict>
            <v:shape id="文本框 4100" o:spid="_x0000_s1026" o:spt="202" type="#_x0000_t202" style="position:absolute;left:0pt;margin-top:0pt;height:12.05pt;width:9.05pt;mso-position-horizontal:center;mso-position-horizontal-relative:margin;mso-wrap-style:none;z-index:251662336;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JBU+a0AAAAAMBAAAPAAAAAAAAAAEAIAAAACIAAABk&#10;cnMvZG93bnJldi54bWxQSwECFAAUAAAACACHTuJAowIOv9UBAACoAwAADgAAAAAAAAABACAAAAAf&#10;AQAAZHJzL2Uyb0RvYy54bWxQSwUGAAAAAAYABgBZAQAAZgUAAAAA&#10;">
              <v:fill on="f" focussize="0,0"/>
              <v:stroke on="f"/>
              <v:imagedata o:title=""/>
              <o:lock v:ext="edit" aspectratio="f"/>
              <v:textbox inset="0mm,0mm,0mm,0mm" style="mso-fit-shape-to-text:t;">
                <w:txbxContent>
                  <w:p w14:paraId="6252E093"/>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30267">
    <w:pPr>
      <w:pStyle w:val="2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409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2751B0EC">
                          <w:pPr>
                            <w:pStyle w:val="21"/>
                            <w:jc w:val="center"/>
                          </w:pPr>
                          <w:r>
                            <w:fldChar w:fldCharType="begin"/>
                          </w:r>
                          <w:r>
                            <w:instrText xml:space="preserve"> PAGE  \* MERGEFORMAT </w:instrText>
                          </w:r>
                          <w:r>
                            <w:fldChar w:fldCharType="separate"/>
                          </w:r>
                          <w:r>
                            <w:t>42</w:t>
                          </w:r>
                          <w:r>
                            <w:fldChar w:fldCharType="end"/>
                          </w:r>
                        </w:p>
                      </w:txbxContent>
                    </wps:txbx>
                    <wps:bodyPr wrap="none" lIns="0" tIns="0" rIns="0" bIns="0" upright="1">
                      <a:spAutoFit/>
                    </wps:bodyPr>
                  </wps:wsp>
                </a:graphicData>
              </a:graphic>
            </wp:anchor>
          </w:drawing>
        </mc:Choice>
        <mc:Fallback>
          <w:pict>
            <v:shape id="文本框 4097"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V+SdAAAAADAQAADwAAAAAAAAABACAAAAAiAAAA&#10;ZHJzL2Rvd25yZXYueG1sUEsBAhQAFAAAAAgAh07iQNVHLvXWAQAAqAMAAA4AAAAAAAAAAQAgAAAA&#10;HwEAAGRycy9lMm9Eb2MueG1sUEsFBgAAAAAGAAYAWQEAAGcFAAAAAA==&#10;">
              <v:fill on="f" focussize="0,0"/>
              <v:stroke on="f"/>
              <v:imagedata o:title=""/>
              <o:lock v:ext="edit" aspectratio="f"/>
              <v:textbox inset="0mm,0mm,0mm,0mm" style="mso-fit-shape-to-text:t;">
                <w:txbxContent>
                  <w:p w14:paraId="2751B0EC">
                    <w:pPr>
                      <w:pStyle w:val="21"/>
                      <w:jc w:val="center"/>
                    </w:pPr>
                    <w:r>
                      <w:fldChar w:fldCharType="begin"/>
                    </w:r>
                    <w:r>
                      <w:instrText xml:space="preserve"> PAGE  \* MERGEFORMAT </w:instrText>
                    </w:r>
                    <w:r>
                      <w:fldChar w:fldCharType="separate"/>
                    </w:r>
                    <w:r>
                      <w:t>42</w:t>
                    </w:r>
                    <w:r>
                      <w:fldChar w:fldCharType="end"/>
                    </w:r>
                  </w:p>
                </w:txbxContent>
              </v:textbox>
            </v:shape>
          </w:pict>
        </mc:Fallback>
      </mc:AlternateContent>
    </w:r>
  </w:p>
  <w:p w14:paraId="0D7FEFB4">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B00A9">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409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a:effectLst/>
                    </wps:spPr>
                    <wps:txbx>
                      <w:txbxContent>
                        <w:p w14:paraId="1CCAFECA">
                          <w:pPr>
                            <w:pStyle w:val="21"/>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4098"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Pi91E0AAAAAIBAAAPAAAAAAAAAAEAIAAAACIAAABk&#10;cnMvZG93bnJldi54bWxQSwECFAAUAAAACACHTuJAm2yLxNUBAACnAwAADgAAAAAAAAABACAAAAAf&#10;AQAAZHJzL2Uyb0RvYy54bWxQSwUGAAAAAAYABgBZAQAAZgUAAAAA&#10;">
              <v:fill on="f" focussize="0,0"/>
              <v:stroke on="f"/>
              <v:imagedata o:title=""/>
              <o:lock v:ext="edit" aspectratio="f"/>
              <v:textbox inset="0mm,0mm,0mm,0mm" style="mso-fit-shape-to-text:t;">
                <w:txbxContent>
                  <w:p w14:paraId="1CCAFECA">
                    <w:pPr>
                      <w:pStyle w:val="21"/>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523D4">
    <w:pPr>
      <w:pStyle w:val="22"/>
      <w:pBdr>
        <w:bottom w:val="none" w:color="auto" w:sz="0" w:space="0"/>
      </w:pBdr>
      <w:rPr>
        <w:rFonts w:ascii="宋体" w:hAnsi="宋体"/>
        <w:bCs/>
        <w:u w:val="single"/>
      </w:rPr>
    </w:pPr>
    <w:r>
      <w:rPr>
        <w:rFonts w:hint="eastAsia" w:ascii="宋体" w:hAnsi="宋体"/>
        <w:bCs/>
        <w:u w:val="single"/>
      </w:rPr>
      <w:t>海城区廉州湾沙脚对出海域非法养殖占海设施清理整治项目（</w:t>
    </w:r>
    <w:r>
      <w:rPr>
        <w:rFonts w:hint="eastAsia" w:ascii="宋体" w:hAnsi="宋体"/>
        <w:bCs/>
        <w:u w:val="single"/>
        <w:lang w:eastAsia="zh-CN"/>
      </w:rPr>
      <w:t>BHZC2025-C3-020021-YZLZ</w:t>
    </w:r>
    <w:r>
      <w:rPr>
        <w:rFonts w:hint="eastAsia" w:ascii="宋体" w:hAnsi="宋体"/>
        <w:bCs/>
        <w:u w:val="single"/>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1DB66">
    <w:pPr>
      <w:pStyle w:val="2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2E03B">
    <w:pPr>
      <w:pStyle w:val="22"/>
      <w:pBdr>
        <w:bottom w:val="none" w:color="auto" w:sz="0" w:space="1"/>
      </w:pBdr>
      <w:rPr>
        <w:rFonts w:hint="eastAsia" w:ascii="宋体" w:hAnsi="宋体" w:eastAsia="宋体"/>
        <w:bCs/>
        <w:u w:val="single"/>
        <w:lang w:eastAsia="zh-CN"/>
      </w:rPr>
    </w:pPr>
    <w:r>
      <w:rPr>
        <w:rFonts w:hint="eastAsia" w:ascii="宋体" w:hAnsi="宋体"/>
        <w:bCs/>
        <w:u w:val="single"/>
      </w:rPr>
      <w:t>项目名称：海城区廉州湾沙脚对出海域非法养殖占海设施清理整治项目    项目编号：</w:t>
    </w:r>
    <w:r>
      <w:rPr>
        <w:rFonts w:hint="eastAsia" w:ascii="宋体" w:hAnsi="宋体"/>
        <w:bCs/>
        <w:u w:val="single"/>
        <w:lang w:eastAsia="zh-CN"/>
      </w:rPr>
      <w:t>BHZC2025-C3-020021-YZLZ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96F67F"/>
    <w:multiLevelType w:val="singleLevel"/>
    <w:tmpl w:val="5696F67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U1OTBiY2VmNmMxMWY2OGVkMWMyYTU1NDAwZjdiZGUifQ=="/>
  </w:docVars>
  <w:rsids>
    <w:rsidRoot w:val="00F34B14"/>
    <w:rsid w:val="000002E0"/>
    <w:rsid w:val="00000672"/>
    <w:rsid w:val="00000B7F"/>
    <w:rsid w:val="00001013"/>
    <w:rsid w:val="0000140E"/>
    <w:rsid w:val="000016CE"/>
    <w:rsid w:val="00001799"/>
    <w:rsid w:val="00001AF2"/>
    <w:rsid w:val="00001ECA"/>
    <w:rsid w:val="00002D29"/>
    <w:rsid w:val="00003725"/>
    <w:rsid w:val="00003B93"/>
    <w:rsid w:val="0000474D"/>
    <w:rsid w:val="00004C1F"/>
    <w:rsid w:val="00005FDF"/>
    <w:rsid w:val="0000644A"/>
    <w:rsid w:val="000070B3"/>
    <w:rsid w:val="000076B8"/>
    <w:rsid w:val="000109DC"/>
    <w:rsid w:val="00010D39"/>
    <w:rsid w:val="0001172C"/>
    <w:rsid w:val="00011BC9"/>
    <w:rsid w:val="00012854"/>
    <w:rsid w:val="00012EA6"/>
    <w:rsid w:val="00013359"/>
    <w:rsid w:val="000139CF"/>
    <w:rsid w:val="00013AA4"/>
    <w:rsid w:val="00013DFE"/>
    <w:rsid w:val="000141EA"/>
    <w:rsid w:val="00016ABC"/>
    <w:rsid w:val="00017645"/>
    <w:rsid w:val="000177DB"/>
    <w:rsid w:val="000179C9"/>
    <w:rsid w:val="00017CCC"/>
    <w:rsid w:val="00020227"/>
    <w:rsid w:val="00020263"/>
    <w:rsid w:val="00020455"/>
    <w:rsid w:val="00020813"/>
    <w:rsid w:val="00020AAC"/>
    <w:rsid w:val="000215D0"/>
    <w:rsid w:val="000220B2"/>
    <w:rsid w:val="00022440"/>
    <w:rsid w:val="0002264C"/>
    <w:rsid w:val="00022731"/>
    <w:rsid w:val="00022792"/>
    <w:rsid w:val="00022A03"/>
    <w:rsid w:val="00024463"/>
    <w:rsid w:val="00025461"/>
    <w:rsid w:val="00025636"/>
    <w:rsid w:val="00025E36"/>
    <w:rsid w:val="00026855"/>
    <w:rsid w:val="00026886"/>
    <w:rsid w:val="00026BD9"/>
    <w:rsid w:val="0002785D"/>
    <w:rsid w:val="00030691"/>
    <w:rsid w:val="000307BE"/>
    <w:rsid w:val="000329E0"/>
    <w:rsid w:val="0003527A"/>
    <w:rsid w:val="000352E9"/>
    <w:rsid w:val="00035494"/>
    <w:rsid w:val="00035677"/>
    <w:rsid w:val="00036125"/>
    <w:rsid w:val="00036A07"/>
    <w:rsid w:val="0003780B"/>
    <w:rsid w:val="00040571"/>
    <w:rsid w:val="00040973"/>
    <w:rsid w:val="0004156E"/>
    <w:rsid w:val="00041713"/>
    <w:rsid w:val="0004404E"/>
    <w:rsid w:val="0004440C"/>
    <w:rsid w:val="00044EAE"/>
    <w:rsid w:val="00046B5E"/>
    <w:rsid w:val="00046DB5"/>
    <w:rsid w:val="000470CB"/>
    <w:rsid w:val="0004783C"/>
    <w:rsid w:val="000509D9"/>
    <w:rsid w:val="000512AF"/>
    <w:rsid w:val="00051ACB"/>
    <w:rsid w:val="000533E7"/>
    <w:rsid w:val="00054C33"/>
    <w:rsid w:val="00055D41"/>
    <w:rsid w:val="00056EF6"/>
    <w:rsid w:val="00057CD6"/>
    <w:rsid w:val="00060DCE"/>
    <w:rsid w:val="000610E3"/>
    <w:rsid w:val="000614F3"/>
    <w:rsid w:val="000623B4"/>
    <w:rsid w:val="00062405"/>
    <w:rsid w:val="00062412"/>
    <w:rsid w:val="000630B3"/>
    <w:rsid w:val="000634A7"/>
    <w:rsid w:val="00063B0B"/>
    <w:rsid w:val="00063F81"/>
    <w:rsid w:val="00064847"/>
    <w:rsid w:val="00065E08"/>
    <w:rsid w:val="000673E2"/>
    <w:rsid w:val="000678B1"/>
    <w:rsid w:val="00067EF1"/>
    <w:rsid w:val="0007063F"/>
    <w:rsid w:val="000707FD"/>
    <w:rsid w:val="00070949"/>
    <w:rsid w:val="000711E4"/>
    <w:rsid w:val="00071E9B"/>
    <w:rsid w:val="000720A1"/>
    <w:rsid w:val="000724D9"/>
    <w:rsid w:val="00072AED"/>
    <w:rsid w:val="00073F47"/>
    <w:rsid w:val="000747AA"/>
    <w:rsid w:val="0007492F"/>
    <w:rsid w:val="00074ED8"/>
    <w:rsid w:val="00075B7E"/>
    <w:rsid w:val="00077ACA"/>
    <w:rsid w:val="00077C70"/>
    <w:rsid w:val="000813B5"/>
    <w:rsid w:val="000816B6"/>
    <w:rsid w:val="0008191E"/>
    <w:rsid w:val="00081BA3"/>
    <w:rsid w:val="00081D2E"/>
    <w:rsid w:val="00081F89"/>
    <w:rsid w:val="000823EE"/>
    <w:rsid w:val="00082619"/>
    <w:rsid w:val="00082D02"/>
    <w:rsid w:val="0008381A"/>
    <w:rsid w:val="00083871"/>
    <w:rsid w:val="00083B91"/>
    <w:rsid w:val="00084195"/>
    <w:rsid w:val="0008473C"/>
    <w:rsid w:val="0008520B"/>
    <w:rsid w:val="000857DE"/>
    <w:rsid w:val="000860BD"/>
    <w:rsid w:val="000871B8"/>
    <w:rsid w:val="00087B0A"/>
    <w:rsid w:val="000916DA"/>
    <w:rsid w:val="00091AAB"/>
    <w:rsid w:val="00092442"/>
    <w:rsid w:val="000929EF"/>
    <w:rsid w:val="00092C26"/>
    <w:rsid w:val="000933BE"/>
    <w:rsid w:val="0009560F"/>
    <w:rsid w:val="0009588E"/>
    <w:rsid w:val="000959EE"/>
    <w:rsid w:val="0009634C"/>
    <w:rsid w:val="000967F8"/>
    <w:rsid w:val="00096DB9"/>
    <w:rsid w:val="00097183"/>
    <w:rsid w:val="000972CB"/>
    <w:rsid w:val="00097608"/>
    <w:rsid w:val="000A0F35"/>
    <w:rsid w:val="000A1175"/>
    <w:rsid w:val="000A131B"/>
    <w:rsid w:val="000A13F3"/>
    <w:rsid w:val="000A23B1"/>
    <w:rsid w:val="000A2B0E"/>
    <w:rsid w:val="000A398F"/>
    <w:rsid w:val="000A448C"/>
    <w:rsid w:val="000A509C"/>
    <w:rsid w:val="000A54A7"/>
    <w:rsid w:val="000A5A17"/>
    <w:rsid w:val="000A6007"/>
    <w:rsid w:val="000A65A6"/>
    <w:rsid w:val="000A70E3"/>
    <w:rsid w:val="000A7275"/>
    <w:rsid w:val="000A7A12"/>
    <w:rsid w:val="000A7A72"/>
    <w:rsid w:val="000B1202"/>
    <w:rsid w:val="000B1801"/>
    <w:rsid w:val="000B1D0C"/>
    <w:rsid w:val="000B2273"/>
    <w:rsid w:val="000B2BC6"/>
    <w:rsid w:val="000B2D03"/>
    <w:rsid w:val="000B37F2"/>
    <w:rsid w:val="000B3815"/>
    <w:rsid w:val="000B3C7B"/>
    <w:rsid w:val="000B3E68"/>
    <w:rsid w:val="000B3FFD"/>
    <w:rsid w:val="000B4321"/>
    <w:rsid w:val="000B63AB"/>
    <w:rsid w:val="000B6893"/>
    <w:rsid w:val="000B6A6B"/>
    <w:rsid w:val="000B6C95"/>
    <w:rsid w:val="000B6E23"/>
    <w:rsid w:val="000B7478"/>
    <w:rsid w:val="000B79FC"/>
    <w:rsid w:val="000C1679"/>
    <w:rsid w:val="000C1EE3"/>
    <w:rsid w:val="000C3079"/>
    <w:rsid w:val="000C3AE7"/>
    <w:rsid w:val="000C3CC9"/>
    <w:rsid w:val="000C59C6"/>
    <w:rsid w:val="000C6DE4"/>
    <w:rsid w:val="000C6F93"/>
    <w:rsid w:val="000C7202"/>
    <w:rsid w:val="000C7CC8"/>
    <w:rsid w:val="000D0A89"/>
    <w:rsid w:val="000D1389"/>
    <w:rsid w:val="000D1798"/>
    <w:rsid w:val="000D2508"/>
    <w:rsid w:val="000D25A6"/>
    <w:rsid w:val="000D2626"/>
    <w:rsid w:val="000D411D"/>
    <w:rsid w:val="000D4589"/>
    <w:rsid w:val="000D4809"/>
    <w:rsid w:val="000D73DD"/>
    <w:rsid w:val="000E1C51"/>
    <w:rsid w:val="000E28AB"/>
    <w:rsid w:val="000E2E3E"/>
    <w:rsid w:val="000E3583"/>
    <w:rsid w:val="000E3AF0"/>
    <w:rsid w:val="000E4E04"/>
    <w:rsid w:val="000E693B"/>
    <w:rsid w:val="000E6ADF"/>
    <w:rsid w:val="000E6D5C"/>
    <w:rsid w:val="000E6EC9"/>
    <w:rsid w:val="000E70B4"/>
    <w:rsid w:val="000E7B62"/>
    <w:rsid w:val="000F0E1E"/>
    <w:rsid w:val="000F0F33"/>
    <w:rsid w:val="000F1A1B"/>
    <w:rsid w:val="000F2A95"/>
    <w:rsid w:val="000F3281"/>
    <w:rsid w:val="000F32FD"/>
    <w:rsid w:val="000F3733"/>
    <w:rsid w:val="000F37B1"/>
    <w:rsid w:val="000F4F56"/>
    <w:rsid w:val="000F5F8B"/>
    <w:rsid w:val="000F6153"/>
    <w:rsid w:val="000F64AA"/>
    <w:rsid w:val="000F68A7"/>
    <w:rsid w:val="000F74A0"/>
    <w:rsid w:val="000F7AF4"/>
    <w:rsid w:val="000F7C33"/>
    <w:rsid w:val="000F7F0C"/>
    <w:rsid w:val="001004D6"/>
    <w:rsid w:val="00100830"/>
    <w:rsid w:val="00100BC1"/>
    <w:rsid w:val="001014C0"/>
    <w:rsid w:val="00101D1B"/>
    <w:rsid w:val="00102676"/>
    <w:rsid w:val="00103646"/>
    <w:rsid w:val="00103918"/>
    <w:rsid w:val="00103C40"/>
    <w:rsid w:val="00104897"/>
    <w:rsid w:val="00104AB2"/>
    <w:rsid w:val="00104EDE"/>
    <w:rsid w:val="00104F54"/>
    <w:rsid w:val="00105CDA"/>
    <w:rsid w:val="00106BEE"/>
    <w:rsid w:val="0010711C"/>
    <w:rsid w:val="00107368"/>
    <w:rsid w:val="00107BDF"/>
    <w:rsid w:val="00107C74"/>
    <w:rsid w:val="0011091C"/>
    <w:rsid w:val="00110A2A"/>
    <w:rsid w:val="00111266"/>
    <w:rsid w:val="001112EB"/>
    <w:rsid w:val="00111C7B"/>
    <w:rsid w:val="0011247D"/>
    <w:rsid w:val="00113678"/>
    <w:rsid w:val="00113A7D"/>
    <w:rsid w:val="00113C3E"/>
    <w:rsid w:val="00115813"/>
    <w:rsid w:val="00115E11"/>
    <w:rsid w:val="00115EEE"/>
    <w:rsid w:val="00115F56"/>
    <w:rsid w:val="001162AB"/>
    <w:rsid w:val="00116635"/>
    <w:rsid w:val="00116CA9"/>
    <w:rsid w:val="00116F38"/>
    <w:rsid w:val="001170A4"/>
    <w:rsid w:val="00117AE7"/>
    <w:rsid w:val="00117B85"/>
    <w:rsid w:val="00117CBD"/>
    <w:rsid w:val="0012006A"/>
    <w:rsid w:val="00121979"/>
    <w:rsid w:val="00122064"/>
    <w:rsid w:val="0012280A"/>
    <w:rsid w:val="00122D4D"/>
    <w:rsid w:val="00124341"/>
    <w:rsid w:val="0012435A"/>
    <w:rsid w:val="00124492"/>
    <w:rsid w:val="00124B12"/>
    <w:rsid w:val="001250A0"/>
    <w:rsid w:val="001263B8"/>
    <w:rsid w:val="00127BA0"/>
    <w:rsid w:val="00130217"/>
    <w:rsid w:val="00130783"/>
    <w:rsid w:val="00130A47"/>
    <w:rsid w:val="00130FB0"/>
    <w:rsid w:val="00132B47"/>
    <w:rsid w:val="001337F8"/>
    <w:rsid w:val="001348B4"/>
    <w:rsid w:val="001351CB"/>
    <w:rsid w:val="00135530"/>
    <w:rsid w:val="00135947"/>
    <w:rsid w:val="001359A2"/>
    <w:rsid w:val="00135F92"/>
    <w:rsid w:val="00136020"/>
    <w:rsid w:val="00136445"/>
    <w:rsid w:val="00136A9C"/>
    <w:rsid w:val="00137389"/>
    <w:rsid w:val="00140132"/>
    <w:rsid w:val="00141C9C"/>
    <w:rsid w:val="0014277F"/>
    <w:rsid w:val="001434BE"/>
    <w:rsid w:val="00143AAD"/>
    <w:rsid w:val="00144050"/>
    <w:rsid w:val="00144369"/>
    <w:rsid w:val="0014479F"/>
    <w:rsid w:val="001452B4"/>
    <w:rsid w:val="00145320"/>
    <w:rsid w:val="001476D3"/>
    <w:rsid w:val="00147ECF"/>
    <w:rsid w:val="001509CF"/>
    <w:rsid w:val="00150AF4"/>
    <w:rsid w:val="00150D1D"/>
    <w:rsid w:val="001525AA"/>
    <w:rsid w:val="00152A14"/>
    <w:rsid w:val="00152A87"/>
    <w:rsid w:val="00152AC1"/>
    <w:rsid w:val="00153BB5"/>
    <w:rsid w:val="00154518"/>
    <w:rsid w:val="00156359"/>
    <w:rsid w:val="00156DD6"/>
    <w:rsid w:val="0016086E"/>
    <w:rsid w:val="001609B9"/>
    <w:rsid w:val="00160D0C"/>
    <w:rsid w:val="00160DD1"/>
    <w:rsid w:val="00161172"/>
    <w:rsid w:val="00161998"/>
    <w:rsid w:val="00161E65"/>
    <w:rsid w:val="00162597"/>
    <w:rsid w:val="00162728"/>
    <w:rsid w:val="001629AF"/>
    <w:rsid w:val="001629FD"/>
    <w:rsid w:val="00163E37"/>
    <w:rsid w:val="0016428A"/>
    <w:rsid w:val="001647C9"/>
    <w:rsid w:val="00164AF9"/>
    <w:rsid w:val="00165627"/>
    <w:rsid w:val="0016570B"/>
    <w:rsid w:val="001661A3"/>
    <w:rsid w:val="00167226"/>
    <w:rsid w:val="0016782B"/>
    <w:rsid w:val="0016784D"/>
    <w:rsid w:val="00167853"/>
    <w:rsid w:val="00167887"/>
    <w:rsid w:val="0017161C"/>
    <w:rsid w:val="00172CA8"/>
    <w:rsid w:val="00173256"/>
    <w:rsid w:val="00173B0E"/>
    <w:rsid w:val="00173E03"/>
    <w:rsid w:val="00174B44"/>
    <w:rsid w:val="00174B92"/>
    <w:rsid w:val="0017512C"/>
    <w:rsid w:val="001756AF"/>
    <w:rsid w:val="0017586A"/>
    <w:rsid w:val="00175BA6"/>
    <w:rsid w:val="00176CA7"/>
    <w:rsid w:val="00176D0C"/>
    <w:rsid w:val="00176F8E"/>
    <w:rsid w:val="001778C5"/>
    <w:rsid w:val="00177E56"/>
    <w:rsid w:val="00177F0A"/>
    <w:rsid w:val="001801FB"/>
    <w:rsid w:val="00180DA0"/>
    <w:rsid w:val="00181EAD"/>
    <w:rsid w:val="00182862"/>
    <w:rsid w:val="00184F57"/>
    <w:rsid w:val="00185091"/>
    <w:rsid w:val="00185544"/>
    <w:rsid w:val="00185617"/>
    <w:rsid w:val="00186FE1"/>
    <w:rsid w:val="00187A14"/>
    <w:rsid w:val="001902C2"/>
    <w:rsid w:val="0019171E"/>
    <w:rsid w:val="00192368"/>
    <w:rsid w:val="001923A0"/>
    <w:rsid w:val="001926C6"/>
    <w:rsid w:val="001928B1"/>
    <w:rsid w:val="00193537"/>
    <w:rsid w:val="00193846"/>
    <w:rsid w:val="00194858"/>
    <w:rsid w:val="00195424"/>
    <w:rsid w:val="001955FF"/>
    <w:rsid w:val="00197EDD"/>
    <w:rsid w:val="001A02B3"/>
    <w:rsid w:val="001A04BB"/>
    <w:rsid w:val="001A08D0"/>
    <w:rsid w:val="001A1B39"/>
    <w:rsid w:val="001A2120"/>
    <w:rsid w:val="001A28C6"/>
    <w:rsid w:val="001A2E69"/>
    <w:rsid w:val="001A3C34"/>
    <w:rsid w:val="001A3EDE"/>
    <w:rsid w:val="001A4222"/>
    <w:rsid w:val="001A50EA"/>
    <w:rsid w:val="001A5E24"/>
    <w:rsid w:val="001A661D"/>
    <w:rsid w:val="001A6795"/>
    <w:rsid w:val="001A6B27"/>
    <w:rsid w:val="001A6D8B"/>
    <w:rsid w:val="001A6DAA"/>
    <w:rsid w:val="001A7717"/>
    <w:rsid w:val="001A793A"/>
    <w:rsid w:val="001A7B24"/>
    <w:rsid w:val="001A7DBF"/>
    <w:rsid w:val="001B125A"/>
    <w:rsid w:val="001B1EBA"/>
    <w:rsid w:val="001B2142"/>
    <w:rsid w:val="001B2C70"/>
    <w:rsid w:val="001B2F2B"/>
    <w:rsid w:val="001B327A"/>
    <w:rsid w:val="001B35DE"/>
    <w:rsid w:val="001B3A13"/>
    <w:rsid w:val="001B3F5C"/>
    <w:rsid w:val="001B57C9"/>
    <w:rsid w:val="001B59FF"/>
    <w:rsid w:val="001B6512"/>
    <w:rsid w:val="001B65D7"/>
    <w:rsid w:val="001B6752"/>
    <w:rsid w:val="001B6768"/>
    <w:rsid w:val="001B6F1F"/>
    <w:rsid w:val="001B7080"/>
    <w:rsid w:val="001B7ECC"/>
    <w:rsid w:val="001C025B"/>
    <w:rsid w:val="001C115F"/>
    <w:rsid w:val="001C1EAB"/>
    <w:rsid w:val="001C25A7"/>
    <w:rsid w:val="001C2775"/>
    <w:rsid w:val="001C2E61"/>
    <w:rsid w:val="001C318C"/>
    <w:rsid w:val="001C35C4"/>
    <w:rsid w:val="001C3C0E"/>
    <w:rsid w:val="001C4287"/>
    <w:rsid w:val="001C4479"/>
    <w:rsid w:val="001C5190"/>
    <w:rsid w:val="001C51EE"/>
    <w:rsid w:val="001C6081"/>
    <w:rsid w:val="001C73EB"/>
    <w:rsid w:val="001C7B48"/>
    <w:rsid w:val="001D0CFB"/>
    <w:rsid w:val="001D1A0D"/>
    <w:rsid w:val="001D343C"/>
    <w:rsid w:val="001D56E2"/>
    <w:rsid w:val="001D58A1"/>
    <w:rsid w:val="001D58C2"/>
    <w:rsid w:val="001D5A8A"/>
    <w:rsid w:val="001D61CA"/>
    <w:rsid w:val="001D6E87"/>
    <w:rsid w:val="001D735E"/>
    <w:rsid w:val="001D73C8"/>
    <w:rsid w:val="001D7BC6"/>
    <w:rsid w:val="001E129E"/>
    <w:rsid w:val="001E175C"/>
    <w:rsid w:val="001E1B0E"/>
    <w:rsid w:val="001E3B63"/>
    <w:rsid w:val="001E5A94"/>
    <w:rsid w:val="001F13FD"/>
    <w:rsid w:val="001F2A2E"/>
    <w:rsid w:val="001F3356"/>
    <w:rsid w:val="001F3C63"/>
    <w:rsid w:val="001F4460"/>
    <w:rsid w:val="001F6C96"/>
    <w:rsid w:val="001F711A"/>
    <w:rsid w:val="001F75B0"/>
    <w:rsid w:val="0020057C"/>
    <w:rsid w:val="0020083C"/>
    <w:rsid w:val="00200CE5"/>
    <w:rsid w:val="00200F4A"/>
    <w:rsid w:val="00200F7C"/>
    <w:rsid w:val="002012A1"/>
    <w:rsid w:val="002014DB"/>
    <w:rsid w:val="0020150B"/>
    <w:rsid w:val="00201E12"/>
    <w:rsid w:val="00202295"/>
    <w:rsid w:val="002033B5"/>
    <w:rsid w:val="0020382C"/>
    <w:rsid w:val="0020437A"/>
    <w:rsid w:val="0020454C"/>
    <w:rsid w:val="00204740"/>
    <w:rsid w:val="00205129"/>
    <w:rsid w:val="0020521F"/>
    <w:rsid w:val="0020532C"/>
    <w:rsid w:val="002114C7"/>
    <w:rsid w:val="002125AF"/>
    <w:rsid w:val="0021302C"/>
    <w:rsid w:val="00213B1C"/>
    <w:rsid w:val="00213F1E"/>
    <w:rsid w:val="00214202"/>
    <w:rsid w:val="002148E3"/>
    <w:rsid w:val="002150A2"/>
    <w:rsid w:val="0021552D"/>
    <w:rsid w:val="002156AE"/>
    <w:rsid w:val="00215D51"/>
    <w:rsid w:val="00215E99"/>
    <w:rsid w:val="0022054D"/>
    <w:rsid w:val="00220F7F"/>
    <w:rsid w:val="0022107B"/>
    <w:rsid w:val="00221FBD"/>
    <w:rsid w:val="00223DDB"/>
    <w:rsid w:val="00223FA4"/>
    <w:rsid w:val="00223FB0"/>
    <w:rsid w:val="0022405A"/>
    <w:rsid w:val="00224067"/>
    <w:rsid w:val="0022421C"/>
    <w:rsid w:val="00224C4A"/>
    <w:rsid w:val="00224E83"/>
    <w:rsid w:val="00225664"/>
    <w:rsid w:val="0022663D"/>
    <w:rsid w:val="00227C56"/>
    <w:rsid w:val="00227F2D"/>
    <w:rsid w:val="00231851"/>
    <w:rsid w:val="002319FB"/>
    <w:rsid w:val="00231B89"/>
    <w:rsid w:val="00231F11"/>
    <w:rsid w:val="00231F5E"/>
    <w:rsid w:val="002346B4"/>
    <w:rsid w:val="00234F6E"/>
    <w:rsid w:val="002355BE"/>
    <w:rsid w:val="002358EA"/>
    <w:rsid w:val="00235FF1"/>
    <w:rsid w:val="00236578"/>
    <w:rsid w:val="002366E1"/>
    <w:rsid w:val="00236DE9"/>
    <w:rsid w:val="00237342"/>
    <w:rsid w:val="00237D5A"/>
    <w:rsid w:val="00240D75"/>
    <w:rsid w:val="002415AE"/>
    <w:rsid w:val="00241D3C"/>
    <w:rsid w:val="00242109"/>
    <w:rsid w:val="00243189"/>
    <w:rsid w:val="002439AB"/>
    <w:rsid w:val="00243C19"/>
    <w:rsid w:val="00244AE8"/>
    <w:rsid w:val="00244DC9"/>
    <w:rsid w:val="00245587"/>
    <w:rsid w:val="00245F2B"/>
    <w:rsid w:val="002466CD"/>
    <w:rsid w:val="00247F3A"/>
    <w:rsid w:val="00250122"/>
    <w:rsid w:val="0025024D"/>
    <w:rsid w:val="00250755"/>
    <w:rsid w:val="00251043"/>
    <w:rsid w:val="00251C4A"/>
    <w:rsid w:val="002522D4"/>
    <w:rsid w:val="0025271C"/>
    <w:rsid w:val="0025277A"/>
    <w:rsid w:val="002533CD"/>
    <w:rsid w:val="002535EA"/>
    <w:rsid w:val="00254EAB"/>
    <w:rsid w:val="002557AF"/>
    <w:rsid w:val="0025589C"/>
    <w:rsid w:val="00255B62"/>
    <w:rsid w:val="002566B1"/>
    <w:rsid w:val="002575E3"/>
    <w:rsid w:val="00257A74"/>
    <w:rsid w:val="00257C5D"/>
    <w:rsid w:val="002603C1"/>
    <w:rsid w:val="002609A1"/>
    <w:rsid w:val="002612B1"/>
    <w:rsid w:val="00265A12"/>
    <w:rsid w:val="00266165"/>
    <w:rsid w:val="00266F2C"/>
    <w:rsid w:val="0027125E"/>
    <w:rsid w:val="00271767"/>
    <w:rsid w:val="00272293"/>
    <w:rsid w:val="002723C8"/>
    <w:rsid w:val="00273C2A"/>
    <w:rsid w:val="00273CBE"/>
    <w:rsid w:val="00274538"/>
    <w:rsid w:val="002746B1"/>
    <w:rsid w:val="00274BAD"/>
    <w:rsid w:val="00276FB5"/>
    <w:rsid w:val="002807B0"/>
    <w:rsid w:val="00282382"/>
    <w:rsid w:val="002826DB"/>
    <w:rsid w:val="00282ACB"/>
    <w:rsid w:val="00282D56"/>
    <w:rsid w:val="002835B0"/>
    <w:rsid w:val="00283C74"/>
    <w:rsid w:val="0028407E"/>
    <w:rsid w:val="0028410F"/>
    <w:rsid w:val="00284572"/>
    <w:rsid w:val="002850AA"/>
    <w:rsid w:val="00285221"/>
    <w:rsid w:val="00286FB5"/>
    <w:rsid w:val="00287763"/>
    <w:rsid w:val="00290606"/>
    <w:rsid w:val="002909B2"/>
    <w:rsid w:val="00291D6D"/>
    <w:rsid w:val="00291FF1"/>
    <w:rsid w:val="00292AA2"/>
    <w:rsid w:val="00293361"/>
    <w:rsid w:val="00294895"/>
    <w:rsid w:val="00294F10"/>
    <w:rsid w:val="002952B1"/>
    <w:rsid w:val="00295D11"/>
    <w:rsid w:val="00296FB6"/>
    <w:rsid w:val="002974A3"/>
    <w:rsid w:val="002A0001"/>
    <w:rsid w:val="002A0BD9"/>
    <w:rsid w:val="002A0C3A"/>
    <w:rsid w:val="002A0DF8"/>
    <w:rsid w:val="002A0F1C"/>
    <w:rsid w:val="002A1130"/>
    <w:rsid w:val="002A1880"/>
    <w:rsid w:val="002A23B7"/>
    <w:rsid w:val="002A3A57"/>
    <w:rsid w:val="002A4B4F"/>
    <w:rsid w:val="002A57A8"/>
    <w:rsid w:val="002A64F1"/>
    <w:rsid w:val="002A6886"/>
    <w:rsid w:val="002A6DEF"/>
    <w:rsid w:val="002A770B"/>
    <w:rsid w:val="002B013E"/>
    <w:rsid w:val="002B058D"/>
    <w:rsid w:val="002B0C16"/>
    <w:rsid w:val="002B2456"/>
    <w:rsid w:val="002B2AC5"/>
    <w:rsid w:val="002B2CD1"/>
    <w:rsid w:val="002B3528"/>
    <w:rsid w:val="002B3539"/>
    <w:rsid w:val="002B4395"/>
    <w:rsid w:val="002B4532"/>
    <w:rsid w:val="002B4DD9"/>
    <w:rsid w:val="002B5042"/>
    <w:rsid w:val="002B69CC"/>
    <w:rsid w:val="002B6D71"/>
    <w:rsid w:val="002C03AE"/>
    <w:rsid w:val="002C0C1C"/>
    <w:rsid w:val="002C11AB"/>
    <w:rsid w:val="002C41BF"/>
    <w:rsid w:val="002C4EBB"/>
    <w:rsid w:val="002C4EFE"/>
    <w:rsid w:val="002C54C2"/>
    <w:rsid w:val="002C5D34"/>
    <w:rsid w:val="002C60BB"/>
    <w:rsid w:val="002C661A"/>
    <w:rsid w:val="002D0D6F"/>
    <w:rsid w:val="002D25FC"/>
    <w:rsid w:val="002D4AC6"/>
    <w:rsid w:val="002D59BF"/>
    <w:rsid w:val="002D5BF5"/>
    <w:rsid w:val="002D5EE8"/>
    <w:rsid w:val="002D7360"/>
    <w:rsid w:val="002D7648"/>
    <w:rsid w:val="002D7C80"/>
    <w:rsid w:val="002E109C"/>
    <w:rsid w:val="002E193E"/>
    <w:rsid w:val="002E1A94"/>
    <w:rsid w:val="002E1D55"/>
    <w:rsid w:val="002E26C4"/>
    <w:rsid w:val="002E2734"/>
    <w:rsid w:val="002E30A5"/>
    <w:rsid w:val="002E3768"/>
    <w:rsid w:val="002E38AD"/>
    <w:rsid w:val="002E47E4"/>
    <w:rsid w:val="002E4BF9"/>
    <w:rsid w:val="002E4D61"/>
    <w:rsid w:val="002E68A7"/>
    <w:rsid w:val="002E6E6C"/>
    <w:rsid w:val="002F016E"/>
    <w:rsid w:val="002F0522"/>
    <w:rsid w:val="002F16DD"/>
    <w:rsid w:val="002F199D"/>
    <w:rsid w:val="002F213C"/>
    <w:rsid w:val="002F2453"/>
    <w:rsid w:val="002F33FA"/>
    <w:rsid w:val="002F352D"/>
    <w:rsid w:val="002F381E"/>
    <w:rsid w:val="002F4084"/>
    <w:rsid w:val="002F4A08"/>
    <w:rsid w:val="002F4ADB"/>
    <w:rsid w:val="002F531E"/>
    <w:rsid w:val="002F548D"/>
    <w:rsid w:val="002F5ACC"/>
    <w:rsid w:val="002F704B"/>
    <w:rsid w:val="002F72C3"/>
    <w:rsid w:val="002F768C"/>
    <w:rsid w:val="002F7D1E"/>
    <w:rsid w:val="003001BA"/>
    <w:rsid w:val="00300201"/>
    <w:rsid w:val="0030025A"/>
    <w:rsid w:val="00300F13"/>
    <w:rsid w:val="00301B3B"/>
    <w:rsid w:val="00302AF0"/>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66F"/>
    <w:rsid w:val="00310CC1"/>
    <w:rsid w:val="003117DC"/>
    <w:rsid w:val="00312059"/>
    <w:rsid w:val="00312504"/>
    <w:rsid w:val="00312B89"/>
    <w:rsid w:val="00313026"/>
    <w:rsid w:val="00313831"/>
    <w:rsid w:val="00313913"/>
    <w:rsid w:val="0031421F"/>
    <w:rsid w:val="00314B31"/>
    <w:rsid w:val="00315A65"/>
    <w:rsid w:val="0031642B"/>
    <w:rsid w:val="003165D7"/>
    <w:rsid w:val="0031666B"/>
    <w:rsid w:val="0031670F"/>
    <w:rsid w:val="00316ABE"/>
    <w:rsid w:val="00317BA7"/>
    <w:rsid w:val="00320BE2"/>
    <w:rsid w:val="00320F48"/>
    <w:rsid w:val="00321886"/>
    <w:rsid w:val="00321EDC"/>
    <w:rsid w:val="00322D52"/>
    <w:rsid w:val="0032359E"/>
    <w:rsid w:val="00323688"/>
    <w:rsid w:val="00323694"/>
    <w:rsid w:val="00323BE7"/>
    <w:rsid w:val="00324C3A"/>
    <w:rsid w:val="00324D63"/>
    <w:rsid w:val="003255AF"/>
    <w:rsid w:val="003256EB"/>
    <w:rsid w:val="003259DB"/>
    <w:rsid w:val="0032795B"/>
    <w:rsid w:val="003303CD"/>
    <w:rsid w:val="00330FF2"/>
    <w:rsid w:val="003314D9"/>
    <w:rsid w:val="00331653"/>
    <w:rsid w:val="00331A48"/>
    <w:rsid w:val="00331BCC"/>
    <w:rsid w:val="003330C9"/>
    <w:rsid w:val="0033364C"/>
    <w:rsid w:val="00334415"/>
    <w:rsid w:val="00334D63"/>
    <w:rsid w:val="00335983"/>
    <w:rsid w:val="00335EA1"/>
    <w:rsid w:val="0033691E"/>
    <w:rsid w:val="00336A6A"/>
    <w:rsid w:val="00336CCB"/>
    <w:rsid w:val="003411D1"/>
    <w:rsid w:val="003416BA"/>
    <w:rsid w:val="00342148"/>
    <w:rsid w:val="00342F99"/>
    <w:rsid w:val="0034575A"/>
    <w:rsid w:val="00345F57"/>
    <w:rsid w:val="00347923"/>
    <w:rsid w:val="00350458"/>
    <w:rsid w:val="00350E6C"/>
    <w:rsid w:val="003518A6"/>
    <w:rsid w:val="00351E7F"/>
    <w:rsid w:val="00352953"/>
    <w:rsid w:val="00353C8C"/>
    <w:rsid w:val="00354062"/>
    <w:rsid w:val="0035459E"/>
    <w:rsid w:val="00354AE9"/>
    <w:rsid w:val="00355C0D"/>
    <w:rsid w:val="00355F01"/>
    <w:rsid w:val="003566A9"/>
    <w:rsid w:val="00356988"/>
    <w:rsid w:val="003569D3"/>
    <w:rsid w:val="00356CE9"/>
    <w:rsid w:val="003570BB"/>
    <w:rsid w:val="00357128"/>
    <w:rsid w:val="0035755E"/>
    <w:rsid w:val="00357A80"/>
    <w:rsid w:val="00360A2A"/>
    <w:rsid w:val="003611D1"/>
    <w:rsid w:val="00361441"/>
    <w:rsid w:val="00361B8B"/>
    <w:rsid w:val="00362DAD"/>
    <w:rsid w:val="00363F39"/>
    <w:rsid w:val="003640FC"/>
    <w:rsid w:val="0036445C"/>
    <w:rsid w:val="00364627"/>
    <w:rsid w:val="00364AB0"/>
    <w:rsid w:val="00364D71"/>
    <w:rsid w:val="003667B0"/>
    <w:rsid w:val="003667DD"/>
    <w:rsid w:val="00366B48"/>
    <w:rsid w:val="00367764"/>
    <w:rsid w:val="00370316"/>
    <w:rsid w:val="003708DE"/>
    <w:rsid w:val="00370DC7"/>
    <w:rsid w:val="00371CBD"/>
    <w:rsid w:val="00371F20"/>
    <w:rsid w:val="003721E3"/>
    <w:rsid w:val="00372B98"/>
    <w:rsid w:val="003737B7"/>
    <w:rsid w:val="00373BA4"/>
    <w:rsid w:val="003740CC"/>
    <w:rsid w:val="003745F4"/>
    <w:rsid w:val="0037491A"/>
    <w:rsid w:val="00374E79"/>
    <w:rsid w:val="0037529A"/>
    <w:rsid w:val="00375388"/>
    <w:rsid w:val="00375559"/>
    <w:rsid w:val="00375FB9"/>
    <w:rsid w:val="00376170"/>
    <w:rsid w:val="00376851"/>
    <w:rsid w:val="00376FA2"/>
    <w:rsid w:val="00377133"/>
    <w:rsid w:val="00377A3B"/>
    <w:rsid w:val="00377E3C"/>
    <w:rsid w:val="00377F1A"/>
    <w:rsid w:val="00380874"/>
    <w:rsid w:val="00380BBE"/>
    <w:rsid w:val="00381D70"/>
    <w:rsid w:val="0038235E"/>
    <w:rsid w:val="003829D0"/>
    <w:rsid w:val="0038326A"/>
    <w:rsid w:val="00383535"/>
    <w:rsid w:val="0038444F"/>
    <w:rsid w:val="00385BD7"/>
    <w:rsid w:val="003861F0"/>
    <w:rsid w:val="0038649C"/>
    <w:rsid w:val="00386AF0"/>
    <w:rsid w:val="00386CF0"/>
    <w:rsid w:val="00387051"/>
    <w:rsid w:val="00387ECF"/>
    <w:rsid w:val="0039021B"/>
    <w:rsid w:val="00390429"/>
    <w:rsid w:val="003906A0"/>
    <w:rsid w:val="003923D5"/>
    <w:rsid w:val="003931AF"/>
    <w:rsid w:val="0039366C"/>
    <w:rsid w:val="00393E71"/>
    <w:rsid w:val="00393EC8"/>
    <w:rsid w:val="00395E42"/>
    <w:rsid w:val="00396409"/>
    <w:rsid w:val="00396A2D"/>
    <w:rsid w:val="00396FC3"/>
    <w:rsid w:val="003A1431"/>
    <w:rsid w:val="003A1A94"/>
    <w:rsid w:val="003A204E"/>
    <w:rsid w:val="003A2D25"/>
    <w:rsid w:val="003A5101"/>
    <w:rsid w:val="003A5728"/>
    <w:rsid w:val="003A60E7"/>
    <w:rsid w:val="003A7092"/>
    <w:rsid w:val="003A72A1"/>
    <w:rsid w:val="003A7611"/>
    <w:rsid w:val="003A7D1F"/>
    <w:rsid w:val="003B0B6A"/>
    <w:rsid w:val="003B12DA"/>
    <w:rsid w:val="003B2258"/>
    <w:rsid w:val="003B22F7"/>
    <w:rsid w:val="003B29CF"/>
    <w:rsid w:val="003B3A90"/>
    <w:rsid w:val="003B3D01"/>
    <w:rsid w:val="003B534F"/>
    <w:rsid w:val="003B5C0B"/>
    <w:rsid w:val="003B6B4B"/>
    <w:rsid w:val="003B7A79"/>
    <w:rsid w:val="003C0FE1"/>
    <w:rsid w:val="003C151A"/>
    <w:rsid w:val="003C350C"/>
    <w:rsid w:val="003C3733"/>
    <w:rsid w:val="003C3903"/>
    <w:rsid w:val="003C3BA0"/>
    <w:rsid w:val="003C4580"/>
    <w:rsid w:val="003C5C5E"/>
    <w:rsid w:val="003C5C81"/>
    <w:rsid w:val="003C6746"/>
    <w:rsid w:val="003C7555"/>
    <w:rsid w:val="003C7898"/>
    <w:rsid w:val="003D0E27"/>
    <w:rsid w:val="003D0FF5"/>
    <w:rsid w:val="003D11A3"/>
    <w:rsid w:val="003D1537"/>
    <w:rsid w:val="003D183C"/>
    <w:rsid w:val="003D207F"/>
    <w:rsid w:val="003D2D1B"/>
    <w:rsid w:val="003D3809"/>
    <w:rsid w:val="003D48C7"/>
    <w:rsid w:val="003D4C27"/>
    <w:rsid w:val="003D5CBF"/>
    <w:rsid w:val="003D6880"/>
    <w:rsid w:val="003D6D37"/>
    <w:rsid w:val="003D7109"/>
    <w:rsid w:val="003D7CE8"/>
    <w:rsid w:val="003E0514"/>
    <w:rsid w:val="003E1032"/>
    <w:rsid w:val="003E14BE"/>
    <w:rsid w:val="003E164F"/>
    <w:rsid w:val="003E1904"/>
    <w:rsid w:val="003E285E"/>
    <w:rsid w:val="003E3124"/>
    <w:rsid w:val="003E3300"/>
    <w:rsid w:val="003E43D3"/>
    <w:rsid w:val="003E48E1"/>
    <w:rsid w:val="003E50F4"/>
    <w:rsid w:val="003E59BB"/>
    <w:rsid w:val="003E5E97"/>
    <w:rsid w:val="003E6225"/>
    <w:rsid w:val="003E65AC"/>
    <w:rsid w:val="003E66AE"/>
    <w:rsid w:val="003E72B9"/>
    <w:rsid w:val="003E7612"/>
    <w:rsid w:val="003E7C3F"/>
    <w:rsid w:val="003E7ED4"/>
    <w:rsid w:val="003F0E52"/>
    <w:rsid w:val="003F0F6B"/>
    <w:rsid w:val="003F1FC6"/>
    <w:rsid w:val="003F1FE3"/>
    <w:rsid w:val="003F2359"/>
    <w:rsid w:val="003F3232"/>
    <w:rsid w:val="003F3865"/>
    <w:rsid w:val="003F38AC"/>
    <w:rsid w:val="003F3D55"/>
    <w:rsid w:val="003F44E2"/>
    <w:rsid w:val="003F4632"/>
    <w:rsid w:val="003F47BA"/>
    <w:rsid w:val="003F4937"/>
    <w:rsid w:val="003F4FE6"/>
    <w:rsid w:val="003F52B3"/>
    <w:rsid w:val="003F5638"/>
    <w:rsid w:val="003F6617"/>
    <w:rsid w:val="00402332"/>
    <w:rsid w:val="004025C2"/>
    <w:rsid w:val="00403195"/>
    <w:rsid w:val="004033A9"/>
    <w:rsid w:val="00403C06"/>
    <w:rsid w:val="00403E55"/>
    <w:rsid w:val="0040407C"/>
    <w:rsid w:val="0040416C"/>
    <w:rsid w:val="004041CA"/>
    <w:rsid w:val="00404681"/>
    <w:rsid w:val="00405445"/>
    <w:rsid w:val="00405AC1"/>
    <w:rsid w:val="00406923"/>
    <w:rsid w:val="0040763D"/>
    <w:rsid w:val="00410AF5"/>
    <w:rsid w:val="00410D17"/>
    <w:rsid w:val="00412AA9"/>
    <w:rsid w:val="00413373"/>
    <w:rsid w:val="00413442"/>
    <w:rsid w:val="00413821"/>
    <w:rsid w:val="00413BA5"/>
    <w:rsid w:val="004141A3"/>
    <w:rsid w:val="00414909"/>
    <w:rsid w:val="00414F9F"/>
    <w:rsid w:val="0041582F"/>
    <w:rsid w:val="00416112"/>
    <w:rsid w:val="004163EF"/>
    <w:rsid w:val="00417A18"/>
    <w:rsid w:val="00417AE0"/>
    <w:rsid w:val="00417BAA"/>
    <w:rsid w:val="00417CF1"/>
    <w:rsid w:val="004200A8"/>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6823"/>
    <w:rsid w:val="004371D5"/>
    <w:rsid w:val="0044006B"/>
    <w:rsid w:val="0044010C"/>
    <w:rsid w:val="0044033F"/>
    <w:rsid w:val="00440630"/>
    <w:rsid w:val="00441F0F"/>
    <w:rsid w:val="00442965"/>
    <w:rsid w:val="004432B6"/>
    <w:rsid w:val="00444157"/>
    <w:rsid w:val="0044417C"/>
    <w:rsid w:val="00444DB3"/>
    <w:rsid w:val="00445617"/>
    <w:rsid w:val="00445859"/>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1FC2"/>
    <w:rsid w:val="004640DD"/>
    <w:rsid w:val="0046483B"/>
    <w:rsid w:val="00464AB7"/>
    <w:rsid w:val="004655CA"/>
    <w:rsid w:val="00465998"/>
    <w:rsid w:val="00465DE5"/>
    <w:rsid w:val="00467EF8"/>
    <w:rsid w:val="00471671"/>
    <w:rsid w:val="00471AC3"/>
    <w:rsid w:val="00472429"/>
    <w:rsid w:val="004725E5"/>
    <w:rsid w:val="00472751"/>
    <w:rsid w:val="00472F22"/>
    <w:rsid w:val="00473128"/>
    <w:rsid w:val="004731DC"/>
    <w:rsid w:val="00475078"/>
    <w:rsid w:val="00475767"/>
    <w:rsid w:val="00476925"/>
    <w:rsid w:val="004779A0"/>
    <w:rsid w:val="00480623"/>
    <w:rsid w:val="004808E3"/>
    <w:rsid w:val="00480C08"/>
    <w:rsid w:val="00481016"/>
    <w:rsid w:val="00481069"/>
    <w:rsid w:val="0048204C"/>
    <w:rsid w:val="004821BB"/>
    <w:rsid w:val="0048237A"/>
    <w:rsid w:val="004826FE"/>
    <w:rsid w:val="004827D5"/>
    <w:rsid w:val="00482AF2"/>
    <w:rsid w:val="004830C9"/>
    <w:rsid w:val="00483347"/>
    <w:rsid w:val="00483E2E"/>
    <w:rsid w:val="00484B69"/>
    <w:rsid w:val="00485406"/>
    <w:rsid w:val="00485650"/>
    <w:rsid w:val="0048590F"/>
    <w:rsid w:val="00486D60"/>
    <w:rsid w:val="00491FA1"/>
    <w:rsid w:val="00492A25"/>
    <w:rsid w:val="004938A3"/>
    <w:rsid w:val="0049558B"/>
    <w:rsid w:val="00496350"/>
    <w:rsid w:val="0049797C"/>
    <w:rsid w:val="004A1405"/>
    <w:rsid w:val="004A15BD"/>
    <w:rsid w:val="004A1E28"/>
    <w:rsid w:val="004A1FC6"/>
    <w:rsid w:val="004A2E5F"/>
    <w:rsid w:val="004A3837"/>
    <w:rsid w:val="004A38C2"/>
    <w:rsid w:val="004A3C03"/>
    <w:rsid w:val="004A3DB7"/>
    <w:rsid w:val="004A463B"/>
    <w:rsid w:val="004A5088"/>
    <w:rsid w:val="004A5255"/>
    <w:rsid w:val="004A5B62"/>
    <w:rsid w:val="004A6551"/>
    <w:rsid w:val="004A6B28"/>
    <w:rsid w:val="004A6CB0"/>
    <w:rsid w:val="004A70FF"/>
    <w:rsid w:val="004A7BAD"/>
    <w:rsid w:val="004A7EDE"/>
    <w:rsid w:val="004B0D93"/>
    <w:rsid w:val="004B1FA4"/>
    <w:rsid w:val="004B29AC"/>
    <w:rsid w:val="004B2F17"/>
    <w:rsid w:val="004B35DF"/>
    <w:rsid w:val="004B3627"/>
    <w:rsid w:val="004B3F05"/>
    <w:rsid w:val="004B4922"/>
    <w:rsid w:val="004B57DF"/>
    <w:rsid w:val="004B5976"/>
    <w:rsid w:val="004B6E9F"/>
    <w:rsid w:val="004B722E"/>
    <w:rsid w:val="004B72E8"/>
    <w:rsid w:val="004C01A5"/>
    <w:rsid w:val="004C0412"/>
    <w:rsid w:val="004C09A7"/>
    <w:rsid w:val="004C2138"/>
    <w:rsid w:val="004C3940"/>
    <w:rsid w:val="004C401E"/>
    <w:rsid w:val="004C4A7B"/>
    <w:rsid w:val="004C51FD"/>
    <w:rsid w:val="004C581E"/>
    <w:rsid w:val="004C65A8"/>
    <w:rsid w:val="004C6689"/>
    <w:rsid w:val="004D139A"/>
    <w:rsid w:val="004D14DC"/>
    <w:rsid w:val="004D17C6"/>
    <w:rsid w:val="004D2858"/>
    <w:rsid w:val="004D2E49"/>
    <w:rsid w:val="004D35BA"/>
    <w:rsid w:val="004D38E5"/>
    <w:rsid w:val="004D3C5A"/>
    <w:rsid w:val="004D449A"/>
    <w:rsid w:val="004D4701"/>
    <w:rsid w:val="004D47C7"/>
    <w:rsid w:val="004D4B2B"/>
    <w:rsid w:val="004D4F35"/>
    <w:rsid w:val="004D51EE"/>
    <w:rsid w:val="004D5D45"/>
    <w:rsid w:val="004D618D"/>
    <w:rsid w:val="004D62A9"/>
    <w:rsid w:val="004D6FC3"/>
    <w:rsid w:val="004D7476"/>
    <w:rsid w:val="004D7716"/>
    <w:rsid w:val="004E0306"/>
    <w:rsid w:val="004E0572"/>
    <w:rsid w:val="004E0859"/>
    <w:rsid w:val="004E1641"/>
    <w:rsid w:val="004E1818"/>
    <w:rsid w:val="004E1990"/>
    <w:rsid w:val="004E25A8"/>
    <w:rsid w:val="004E3930"/>
    <w:rsid w:val="004E3ED9"/>
    <w:rsid w:val="004E40F8"/>
    <w:rsid w:val="004E4178"/>
    <w:rsid w:val="004E5866"/>
    <w:rsid w:val="004E6097"/>
    <w:rsid w:val="004E61EF"/>
    <w:rsid w:val="004E63C6"/>
    <w:rsid w:val="004E76A7"/>
    <w:rsid w:val="004E7B03"/>
    <w:rsid w:val="004F0064"/>
    <w:rsid w:val="004F06AC"/>
    <w:rsid w:val="004F0E50"/>
    <w:rsid w:val="004F1233"/>
    <w:rsid w:val="004F165E"/>
    <w:rsid w:val="004F1AB3"/>
    <w:rsid w:val="004F1D2A"/>
    <w:rsid w:val="004F243F"/>
    <w:rsid w:val="004F252C"/>
    <w:rsid w:val="004F36A3"/>
    <w:rsid w:val="004F3E0C"/>
    <w:rsid w:val="004F4308"/>
    <w:rsid w:val="004F62F7"/>
    <w:rsid w:val="004F6996"/>
    <w:rsid w:val="004F7160"/>
    <w:rsid w:val="00500258"/>
    <w:rsid w:val="00500B2D"/>
    <w:rsid w:val="005011AE"/>
    <w:rsid w:val="00501A99"/>
    <w:rsid w:val="00503180"/>
    <w:rsid w:val="005038A4"/>
    <w:rsid w:val="00504CD4"/>
    <w:rsid w:val="00504E1B"/>
    <w:rsid w:val="0050524B"/>
    <w:rsid w:val="00505450"/>
    <w:rsid w:val="00505FC6"/>
    <w:rsid w:val="00507B99"/>
    <w:rsid w:val="005100B7"/>
    <w:rsid w:val="005105DE"/>
    <w:rsid w:val="00510CB3"/>
    <w:rsid w:val="005113C9"/>
    <w:rsid w:val="00512050"/>
    <w:rsid w:val="00512055"/>
    <w:rsid w:val="0051280C"/>
    <w:rsid w:val="00512842"/>
    <w:rsid w:val="005128BE"/>
    <w:rsid w:val="0051356F"/>
    <w:rsid w:val="00513E7C"/>
    <w:rsid w:val="005140BB"/>
    <w:rsid w:val="00514FBE"/>
    <w:rsid w:val="00514FD9"/>
    <w:rsid w:val="0051550A"/>
    <w:rsid w:val="005157B8"/>
    <w:rsid w:val="0051608F"/>
    <w:rsid w:val="00516480"/>
    <w:rsid w:val="005175FB"/>
    <w:rsid w:val="005179FD"/>
    <w:rsid w:val="00517CE9"/>
    <w:rsid w:val="00520EF8"/>
    <w:rsid w:val="005210F7"/>
    <w:rsid w:val="005213FE"/>
    <w:rsid w:val="00521753"/>
    <w:rsid w:val="0052239D"/>
    <w:rsid w:val="005224EE"/>
    <w:rsid w:val="00522879"/>
    <w:rsid w:val="0052395D"/>
    <w:rsid w:val="00523B63"/>
    <w:rsid w:val="00523BB1"/>
    <w:rsid w:val="00524B23"/>
    <w:rsid w:val="0052570E"/>
    <w:rsid w:val="005260CD"/>
    <w:rsid w:val="00526265"/>
    <w:rsid w:val="0052655D"/>
    <w:rsid w:val="005265E0"/>
    <w:rsid w:val="00526BC3"/>
    <w:rsid w:val="00530064"/>
    <w:rsid w:val="00531761"/>
    <w:rsid w:val="0053248F"/>
    <w:rsid w:val="005327AB"/>
    <w:rsid w:val="0053332A"/>
    <w:rsid w:val="0053358A"/>
    <w:rsid w:val="00534668"/>
    <w:rsid w:val="00534DDD"/>
    <w:rsid w:val="00535291"/>
    <w:rsid w:val="00535A94"/>
    <w:rsid w:val="00537874"/>
    <w:rsid w:val="0053795F"/>
    <w:rsid w:val="00537D3D"/>
    <w:rsid w:val="00540511"/>
    <w:rsid w:val="00540578"/>
    <w:rsid w:val="0054079B"/>
    <w:rsid w:val="00540808"/>
    <w:rsid w:val="0054080E"/>
    <w:rsid w:val="00540D1A"/>
    <w:rsid w:val="00540DE5"/>
    <w:rsid w:val="00540EA1"/>
    <w:rsid w:val="00541B7E"/>
    <w:rsid w:val="00541E5A"/>
    <w:rsid w:val="0054358E"/>
    <w:rsid w:val="00543AF4"/>
    <w:rsid w:val="00543F53"/>
    <w:rsid w:val="00544191"/>
    <w:rsid w:val="0054440C"/>
    <w:rsid w:val="005448EC"/>
    <w:rsid w:val="00544C0A"/>
    <w:rsid w:val="00544F39"/>
    <w:rsid w:val="005457FB"/>
    <w:rsid w:val="00546B96"/>
    <w:rsid w:val="00546F90"/>
    <w:rsid w:val="00547EFB"/>
    <w:rsid w:val="00550192"/>
    <w:rsid w:val="00550F4F"/>
    <w:rsid w:val="005522F2"/>
    <w:rsid w:val="005531DF"/>
    <w:rsid w:val="00553874"/>
    <w:rsid w:val="00553DCE"/>
    <w:rsid w:val="00554577"/>
    <w:rsid w:val="00554AD8"/>
    <w:rsid w:val="00554F78"/>
    <w:rsid w:val="00555661"/>
    <w:rsid w:val="00555DA1"/>
    <w:rsid w:val="00556BF7"/>
    <w:rsid w:val="00556E53"/>
    <w:rsid w:val="005571E2"/>
    <w:rsid w:val="00557F60"/>
    <w:rsid w:val="00561730"/>
    <w:rsid w:val="00561B97"/>
    <w:rsid w:val="00562149"/>
    <w:rsid w:val="0056407A"/>
    <w:rsid w:val="005640EB"/>
    <w:rsid w:val="005643AA"/>
    <w:rsid w:val="005666A4"/>
    <w:rsid w:val="00567B5D"/>
    <w:rsid w:val="005702EF"/>
    <w:rsid w:val="00570757"/>
    <w:rsid w:val="00573520"/>
    <w:rsid w:val="00573733"/>
    <w:rsid w:val="00573F8B"/>
    <w:rsid w:val="00574554"/>
    <w:rsid w:val="00574E06"/>
    <w:rsid w:val="005751BB"/>
    <w:rsid w:val="00576089"/>
    <w:rsid w:val="005764B1"/>
    <w:rsid w:val="00576852"/>
    <w:rsid w:val="00576D06"/>
    <w:rsid w:val="005779E4"/>
    <w:rsid w:val="00580EC7"/>
    <w:rsid w:val="0058289C"/>
    <w:rsid w:val="005836C7"/>
    <w:rsid w:val="00583C96"/>
    <w:rsid w:val="0058408E"/>
    <w:rsid w:val="005844C3"/>
    <w:rsid w:val="00585374"/>
    <w:rsid w:val="005854CA"/>
    <w:rsid w:val="00585FAB"/>
    <w:rsid w:val="00586C48"/>
    <w:rsid w:val="00590B77"/>
    <w:rsid w:val="00590D9A"/>
    <w:rsid w:val="005913A3"/>
    <w:rsid w:val="00591A5A"/>
    <w:rsid w:val="005920CF"/>
    <w:rsid w:val="005940D4"/>
    <w:rsid w:val="00594A7B"/>
    <w:rsid w:val="0059580E"/>
    <w:rsid w:val="00595D90"/>
    <w:rsid w:val="00596A6F"/>
    <w:rsid w:val="00596FCE"/>
    <w:rsid w:val="005A11BC"/>
    <w:rsid w:val="005A1525"/>
    <w:rsid w:val="005A1E17"/>
    <w:rsid w:val="005A252B"/>
    <w:rsid w:val="005A2A8F"/>
    <w:rsid w:val="005A3008"/>
    <w:rsid w:val="005A3204"/>
    <w:rsid w:val="005A3341"/>
    <w:rsid w:val="005A3C3D"/>
    <w:rsid w:val="005A3F43"/>
    <w:rsid w:val="005A46EC"/>
    <w:rsid w:val="005A5EAE"/>
    <w:rsid w:val="005A6273"/>
    <w:rsid w:val="005A6407"/>
    <w:rsid w:val="005A726C"/>
    <w:rsid w:val="005B02A7"/>
    <w:rsid w:val="005B07EC"/>
    <w:rsid w:val="005B0E5A"/>
    <w:rsid w:val="005B131A"/>
    <w:rsid w:val="005B183B"/>
    <w:rsid w:val="005B2B11"/>
    <w:rsid w:val="005B32A4"/>
    <w:rsid w:val="005B3371"/>
    <w:rsid w:val="005B338D"/>
    <w:rsid w:val="005B33A1"/>
    <w:rsid w:val="005B3852"/>
    <w:rsid w:val="005B3BAF"/>
    <w:rsid w:val="005B4DA3"/>
    <w:rsid w:val="005B5BEE"/>
    <w:rsid w:val="005B6C7B"/>
    <w:rsid w:val="005B77D2"/>
    <w:rsid w:val="005C0195"/>
    <w:rsid w:val="005C019B"/>
    <w:rsid w:val="005C08D0"/>
    <w:rsid w:val="005C1AED"/>
    <w:rsid w:val="005C1C32"/>
    <w:rsid w:val="005C2136"/>
    <w:rsid w:val="005C30F5"/>
    <w:rsid w:val="005C3840"/>
    <w:rsid w:val="005C3DCB"/>
    <w:rsid w:val="005C51A5"/>
    <w:rsid w:val="005C557A"/>
    <w:rsid w:val="005C566F"/>
    <w:rsid w:val="005C5C47"/>
    <w:rsid w:val="005C61DD"/>
    <w:rsid w:val="005C6438"/>
    <w:rsid w:val="005C6B8B"/>
    <w:rsid w:val="005C727F"/>
    <w:rsid w:val="005C7DAD"/>
    <w:rsid w:val="005D02E3"/>
    <w:rsid w:val="005D1F34"/>
    <w:rsid w:val="005D2C1F"/>
    <w:rsid w:val="005D317B"/>
    <w:rsid w:val="005D34B2"/>
    <w:rsid w:val="005D3B54"/>
    <w:rsid w:val="005D40CD"/>
    <w:rsid w:val="005D6B59"/>
    <w:rsid w:val="005D784B"/>
    <w:rsid w:val="005D78F4"/>
    <w:rsid w:val="005E03E4"/>
    <w:rsid w:val="005E0454"/>
    <w:rsid w:val="005E05F6"/>
    <w:rsid w:val="005E1B9D"/>
    <w:rsid w:val="005E1BDA"/>
    <w:rsid w:val="005E2375"/>
    <w:rsid w:val="005E2442"/>
    <w:rsid w:val="005E2897"/>
    <w:rsid w:val="005E3111"/>
    <w:rsid w:val="005E3CA0"/>
    <w:rsid w:val="005E3F85"/>
    <w:rsid w:val="005E4A5F"/>
    <w:rsid w:val="005E516A"/>
    <w:rsid w:val="005E57B0"/>
    <w:rsid w:val="005E5B01"/>
    <w:rsid w:val="005E6D3B"/>
    <w:rsid w:val="005F009E"/>
    <w:rsid w:val="005F0418"/>
    <w:rsid w:val="005F0DF1"/>
    <w:rsid w:val="005F1516"/>
    <w:rsid w:val="005F1A6F"/>
    <w:rsid w:val="005F229E"/>
    <w:rsid w:val="005F2564"/>
    <w:rsid w:val="005F3822"/>
    <w:rsid w:val="005F38AF"/>
    <w:rsid w:val="005F4635"/>
    <w:rsid w:val="005F4900"/>
    <w:rsid w:val="005F4E52"/>
    <w:rsid w:val="005F60E3"/>
    <w:rsid w:val="005F6638"/>
    <w:rsid w:val="005F6D58"/>
    <w:rsid w:val="005F7383"/>
    <w:rsid w:val="005F7F36"/>
    <w:rsid w:val="0060058E"/>
    <w:rsid w:val="00602A3C"/>
    <w:rsid w:val="00603EFD"/>
    <w:rsid w:val="0060475B"/>
    <w:rsid w:val="00604BED"/>
    <w:rsid w:val="00604FB6"/>
    <w:rsid w:val="00605387"/>
    <w:rsid w:val="00606302"/>
    <w:rsid w:val="006076FD"/>
    <w:rsid w:val="00607779"/>
    <w:rsid w:val="00610587"/>
    <w:rsid w:val="00610811"/>
    <w:rsid w:val="00610CE8"/>
    <w:rsid w:val="0061143F"/>
    <w:rsid w:val="006114D8"/>
    <w:rsid w:val="00613553"/>
    <w:rsid w:val="00613601"/>
    <w:rsid w:val="00613791"/>
    <w:rsid w:val="00613BD7"/>
    <w:rsid w:val="00613C8B"/>
    <w:rsid w:val="00614110"/>
    <w:rsid w:val="006150D6"/>
    <w:rsid w:val="00615245"/>
    <w:rsid w:val="0061590D"/>
    <w:rsid w:val="00617EEE"/>
    <w:rsid w:val="00620A1F"/>
    <w:rsid w:val="0062169D"/>
    <w:rsid w:val="0062181E"/>
    <w:rsid w:val="0062211B"/>
    <w:rsid w:val="00622BB7"/>
    <w:rsid w:val="00622C1E"/>
    <w:rsid w:val="00623389"/>
    <w:rsid w:val="00623D7B"/>
    <w:rsid w:val="00623DAA"/>
    <w:rsid w:val="00623FAF"/>
    <w:rsid w:val="006244AB"/>
    <w:rsid w:val="006265C4"/>
    <w:rsid w:val="0062678A"/>
    <w:rsid w:val="006270AF"/>
    <w:rsid w:val="00631FBF"/>
    <w:rsid w:val="00634367"/>
    <w:rsid w:val="0063547A"/>
    <w:rsid w:val="006360E2"/>
    <w:rsid w:val="00636CE3"/>
    <w:rsid w:val="00640082"/>
    <w:rsid w:val="00640291"/>
    <w:rsid w:val="00640D0E"/>
    <w:rsid w:val="00640EFE"/>
    <w:rsid w:val="00641D6D"/>
    <w:rsid w:val="00641FAC"/>
    <w:rsid w:val="00643607"/>
    <w:rsid w:val="00643664"/>
    <w:rsid w:val="00643CAA"/>
    <w:rsid w:val="00644F16"/>
    <w:rsid w:val="006455EB"/>
    <w:rsid w:val="006456C2"/>
    <w:rsid w:val="00645A65"/>
    <w:rsid w:val="00646959"/>
    <w:rsid w:val="006477F0"/>
    <w:rsid w:val="006478E4"/>
    <w:rsid w:val="0065171A"/>
    <w:rsid w:val="00652680"/>
    <w:rsid w:val="00653288"/>
    <w:rsid w:val="00653CDE"/>
    <w:rsid w:val="00654585"/>
    <w:rsid w:val="006552A0"/>
    <w:rsid w:val="0065566E"/>
    <w:rsid w:val="00655AB6"/>
    <w:rsid w:val="00655EFA"/>
    <w:rsid w:val="00656061"/>
    <w:rsid w:val="00656281"/>
    <w:rsid w:val="0065636A"/>
    <w:rsid w:val="00657003"/>
    <w:rsid w:val="006570AE"/>
    <w:rsid w:val="00657477"/>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77F7D"/>
    <w:rsid w:val="0068051E"/>
    <w:rsid w:val="00680B9D"/>
    <w:rsid w:val="00681F13"/>
    <w:rsid w:val="0068200A"/>
    <w:rsid w:val="0068231C"/>
    <w:rsid w:val="00682344"/>
    <w:rsid w:val="00682A52"/>
    <w:rsid w:val="00682F28"/>
    <w:rsid w:val="00683515"/>
    <w:rsid w:val="00684079"/>
    <w:rsid w:val="00684842"/>
    <w:rsid w:val="006859AA"/>
    <w:rsid w:val="00685BD6"/>
    <w:rsid w:val="00687116"/>
    <w:rsid w:val="006878A6"/>
    <w:rsid w:val="00687D5F"/>
    <w:rsid w:val="00690437"/>
    <w:rsid w:val="00690DC3"/>
    <w:rsid w:val="00690E65"/>
    <w:rsid w:val="006911B7"/>
    <w:rsid w:val="00691387"/>
    <w:rsid w:val="00691635"/>
    <w:rsid w:val="0069188E"/>
    <w:rsid w:val="00691974"/>
    <w:rsid w:val="00692BAB"/>
    <w:rsid w:val="00692BF6"/>
    <w:rsid w:val="00692CE6"/>
    <w:rsid w:val="00693186"/>
    <w:rsid w:val="00693381"/>
    <w:rsid w:val="00693B6C"/>
    <w:rsid w:val="006942AE"/>
    <w:rsid w:val="00695421"/>
    <w:rsid w:val="00696395"/>
    <w:rsid w:val="00697BD3"/>
    <w:rsid w:val="00697DFA"/>
    <w:rsid w:val="006A16D5"/>
    <w:rsid w:val="006A1772"/>
    <w:rsid w:val="006A1780"/>
    <w:rsid w:val="006A21DD"/>
    <w:rsid w:val="006A26C6"/>
    <w:rsid w:val="006A3302"/>
    <w:rsid w:val="006A3B28"/>
    <w:rsid w:val="006A4FEE"/>
    <w:rsid w:val="006A5549"/>
    <w:rsid w:val="006A703E"/>
    <w:rsid w:val="006A7BE3"/>
    <w:rsid w:val="006A7D32"/>
    <w:rsid w:val="006B01D1"/>
    <w:rsid w:val="006B0C28"/>
    <w:rsid w:val="006B0DF4"/>
    <w:rsid w:val="006B16EA"/>
    <w:rsid w:val="006B1780"/>
    <w:rsid w:val="006B21DC"/>
    <w:rsid w:val="006B224E"/>
    <w:rsid w:val="006B376E"/>
    <w:rsid w:val="006B4589"/>
    <w:rsid w:val="006B5157"/>
    <w:rsid w:val="006B610E"/>
    <w:rsid w:val="006B6805"/>
    <w:rsid w:val="006B6C07"/>
    <w:rsid w:val="006B6DE0"/>
    <w:rsid w:val="006B7703"/>
    <w:rsid w:val="006B7B07"/>
    <w:rsid w:val="006B7E1F"/>
    <w:rsid w:val="006C16C3"/>
    <w:rsid w:val="006C1938"/>
    <w:rsid w:val="006C2187"/>
    <w:rsid w:val="006C2623"/>
    <w:rsid w:val="006C27D9"/>
    <w:rsid w:val="006C32F4"/>
    <w:rsid w:val="006C3C54"/>
    <w:rsid w:val="006C4B6B"/>
    <w:rsid w:val="006C4CE1"/>
    <w:rsid w:val="006C4F9F"/>
    <w:rsid w:val="006C71A2"/>
    <w:rsid w:val="006C73EC"/>
    <w:rsid w:val="006D0C1D"/>
    <w:rsid w:val="006D28F3"/>
    <w:rsid w:val="006D2E9D"/>
    <w:rsid w:val="006D4A4E"/>
    <w:rsid w:val="006D4C42"/>
    <w:rsid w:val="006D5389"/>
    <w:rsid w:val="006D53A2"/>
    <w:rsid w:val="006D5809"/>
    <w:rsid w:val="006D5941"/>
    <w:rsid w:val="006D607E"/>
    <w:rsid w:val="006D6E12"/>
    <w:rsid w:val="006D70CB"/>
    <w:rsid w:val="006D715C"/>
    <w:rsid w:val="006D7363"/>
    <w:rsid w:val="006D774E"/>
    <w:rsid w:val="006E0754"/>
    <w:rsid w:val="006E2668"/>
    <w:rsid w:val="006E2D39"/>
    <w:rsid w:val="006E2FE9"/>
    <w:rsid w:val="006E32B0"/>
    <w:rsid w:val="006E348E"/>
    <w:rsid w:val="006E396A"/>
    <w:rsid w:val="006E3D63"/>
    <w:rsid w:val="006E4AB9"/>
    <w:rsid w:val="006E58BF"/>
    <w:rsid w:val="006E5DD8"/>
    <w:rsid w:val="006E5EA1"/>
    <w:rsid w:val="006E6DEE"/>
    <w:rsid w:val="006E7A5A"/>
    <w:rsid w:val="006E7D4B"/>
    <w:rsid w:val="006F018A"/>
    <w:rsid w:val="006F0760"/>
    <w:rsid w:val="006F11E2"/>
    <w:rsid w:val="006F2574"/>
    <w:rsid w:val="006F3231"/>
    <w:rsid w:val="006F3DE3"/>
    <w:rsid w:val="006F4787"/>
    <w:rsid w:val="006F61D8"/>
    <w:rsid w:val="006F62B7"/>
    <w:rsid w:val="006F70BC"/>
    <w:rsid w:val="006F726C"/>
    <w:rsid w:val="006F7E7C"/>
    <w:rsid w:val="007016E7"/>
    <w:rsid w:val="0070174E"/>
    <w:rsid w:val="007018DB"/>
    <w:rsid w:val="00701B59"/>
    <w:rsid w:val="00701DE6"/>
    <w:rsid w:val="00702740"/>
    <w:rsid w:val="0070381B"/>
    <w:rsid w:val="00703985"/>
    <w:rsid w:val="007060C1"/>
    <w:rsid w:val="0070796C"/>
    <w:rsid w:val="007109BB"/>
    <w:rsid w:val="00710E59"/>
    <w:rsid w:val="00710EBF"/>
    <w:rsid w:val="007110B8"/>
    <w:rsid w:val="0071209F"/>
    <w:rsid w:val="007125A2"/>
    <w:rsid w:val="00713DD9"/>
    <w:rsid w:val="00713F79"/>
    <w:rsid w:val="007148A8"/>
    <w:rsid w:val="00716A66"/>
    <w:rsid w:val="00716AC8"/>
    <w:rsid w:val="00716E54"/>
    <w:rsid w:val="0072033C"/>
    <w:rsid w:val="00720B1B"/>
    <w:rsid w:val="00721062"/>
    <w:rsid w:val="00721E5D"/>
    <w:rsid w:val="007229D4"/>
    <w:rsid w:val="007230F8"/>
    <w:rsid w:val="007233F4"/>
    <w:rsid w:val="00724044"/>
    <w:rsid w:val="007248D3"/>
    <w:rsid w:val="00724DF8"/>
    <w:rsid w:val="00725137"/>
    <w:rsid w:val="00725378"/>
    <w:rsid w:val="00727A43"/>
    <w:rsid w:val="00727FF2"/>
    <w:rsid w:val="00730550"/>
    <w:rsid w:val="00730C2A"/>
    <w:rsid w:val="00731434"/>
    <w:rsid w:val="00731E59"/>
    <w:rsid w:val="007323E0"/>
    <w:rsid w:val="00732911"/>
    <w:rsid w:val="007329EE"/>
    <w:rsid w:val="00733721"/>
    <w:rsid w:val="00733DAE"/>
    <w:rsid w:val="00733DE2"/>
    <w:rsid w:val="00734142"/>
    <w:rsid w:val="007352EA"/>
    <w:rsid w:val="0073792F"/>
    <w:rsid w:val="00740C81"/>
    <w:rsid w:val="00740DA6"/>
    <w:rsid w:val="00741B4B"/>
    <w:rsid w:val="00741D1E"/>
    <w:rsid w:val="00741DD6"/>
    <w:rsid w:val="00741EE2"/>
    <w:rsid w:val="00741F3D"/>
    <w:rsid w:val="0074207F"/>
    <w:rsid w:val="00742367"/>
    <w:rsid w:val="00742EAA"/>
    <w:rsid w:val="00743360"/>
    <w:rsid w:val="00743818"/>
    <w:rsid w:val="00743857"/>
    <w:rsid w:val="007441FB"/>
    <w:rsid w:val="00744517"/>
    <w:rsid w:val="0074522A"/>
    <w:rsid w:val="00745A5F"/>
    <w:rsid w:val="00745CAD"/>
    <w:rsid w:val="00747295"/>
    <w:rsid w:val="00747829"/>
    <w:rsid w:val="0074789C"/>
    <w:rsid w:val="00747DE2"/>
    <w:rsid w:val="007502D0"/>
    <w:rsid w:val="007504BF"/>
    <w:rsid w:val="007506CD"/>
    <w:rsid w:val="0075267F"/>
    <w:rsid w:val="007526EC"/>
    <w:rsid w:val="007539EF"/>
    <w:rsid w:val="00753C48"/>
    <w:rsid w:val="00754250"/>
    <w:rsid w:val="007549A2"/>
    <w:rsid w:val="00754FE4"/>
    <w:rsid w:val="00755216"/>
    <w:rsid w:val="00756236"/>
    <w:rsid w:val="00756271"/>
    <w:rsid w:val="00756348"/>
    <w:rsid w:val="00756521"/>
    <w:rsid w:val="00756AB7"/>
    <w:rsid w:val="00757C3C"/>
    <w:rsid w:val="0076106D"/>
    <w:rsid w:val="007623FB"/>
    <w:rsid w:val="00762517"/>
    <w:rsid w:val="00763240"/>
    <w:rsid w:val="0076376A"/>
    <w:rsid w:val="007648AD"/>
    <w:rsid w:val="0076504E"/>
    <w:rsid w:val="007673DA"/>
    <w:rsid w:val="00767BFD"/>
    <w:rsid w:val="00767EA0"/>
    <w:rsid w:val="0077068F"/>
    <w:rsid w:val="007706E5"/>
    <w:rsid w:val="00771749"/>
    <w:rsid w:val="00771EDF"/>
    <w:rsid w:val="00772A90"/>
    <w:rsid w:val="00772F8D"/>
    <w:rsid w:val="0077408D"/>
    <w:rsid w:val="00774270"/>
    <w:rsid w:val="007743F6"/>
    <w:rsid w:val="00774733"/>
    <w:rsid w:val="00775363"/>
    <w:rsid w:val="00775679"/>
    <w:rsid w:val="0077574F"/>
    <w:rsid w:val="00775823"/>
    <w:rsid w:val="00777153"/>
    <w:rsid w:val="007777CC"/>
    <w:rsid w:val="00777B32"/>
    <w:rsid w:val="0078051E"/>
    <w:rsid w:val="00781089"/>
    <w:rsid w:val="007838F3"/>
    <w:rsid w:val="007856FE"/>
    <w:rsid w:val="00785F46"/>
    <w:rsid w:val="007865F4"/>
    <w:rsid w:val="00786D5C"/>
    <w:rsid w:val="00786E96"/>
    <w:rsid w:val="00787BB6"/>
    <w:rsid w:val="00787DFF"/>
    <w:rsid w:val="00787F93"/>
    <w:rsid w:val="00791E6D"/>
    <w:rsid w:val="00791EB5"/>
    <w:rsid w:val="0079343F"/>
    <w:rsid w:val="00793696"/>
    <w:rsid w:val="00794D9D"/>
    <w:rsid w:val="007955DA"/>
    <w:rsid w:val="00795E4C"/>
    <w:rsid w:val="00796366"/>
    <w:rsid w:val="00796F65"/>
    <w:rsid w:val="007A0A32"/>
    <w:rsid w:val="007A11C2"/>
    <w:rsid w:val="007A18BB"/>
    <w:rsid w:val="007A27DD"/>
    <w:rsid w:val="007A303D"/>
    <w:rsid w:val="007A31BE"/>
    <w:rsid w:val="007A41BF"/>
    <w:rsid w:val="007A490A"/>
    <w:rsid w:val="007A7B95"/>
    <w:rsid w:val="007A7C8C"/>
    <w:rsid w:val="007B0297"/>
    <w:rsid w:val="007B02FA"/>
    <w:rsid w:val="007B0F53"/>
    <w:rsid w:val="007B21AE"/>
    <w:rsid w:val="007B2570"/>
    <w:rsid w:val="007B3113"/>
    <w:rsid w:val="007B3304"/>
    <w:rsid w:val="007B3639"/>
    <w:rsid w:val="007B3B5E"/>
    <w:rsid w:val="007B3BF0"/>
    <w:rsid w:val="007B6925"/>
    <w:rsid w:val="007B7490"/>
    <w:rsid w:val="007C0525"/>
    <w:rsid w:val="007C13F7"/>
    <w:rsid w:val="007C1D77"/>
    <w:rsid w:val="007C218D"/>
    <w:rsid w:val="007C2D28"/>
    <w:rsid w:val="007C3E22"/>
    <w:rsid w:val="007C58C1"/>
    <w:rsid w:val="007C6218"/>
    <w:rsid w:val="007C6484"/>
    <w:rsid w:val="007C67C6"/>
    <w:rsid w:val="007C78BE"/>
    <w:rsid w:val="007C7A5D"/>
    <w:rsid w:val="007C7E59"/>
    <w:rsid w:val="007D0476"/>
    <w:rsid w:val="007D0B91"/>
    <w:rsid w:val="007D0F54"/>
    <w:rsid w:val="007D0FE7"/>
    <w:rsid w:val="007D1452"/>
    <w:rsid w:val="007D1563"/>
    <w:rsid w:val="007D1ECB"/>
    <w:rsid w:val="007D3DCB"/>
    <w:rsid w:val="007D460C"/>
    <w:rsid w:val="007D4996"/>
    <w:rsid w:val="007D4AD3"/>
    <w:rsid w:val="007D5D19"/>
    <w:rsid w:val="007D5FDC"/>
    <w:rsid w:val="007D6176"/>
    <w:rsid w:val="007D69CD"/>
    <w:rsid w:val="007D6D68"/>
    <w:rsid w:val="007D7F70"/>
    <w:rsid w:val="007E194F"/>
    <w:rsid w:val="007E32DA"/>
    <w:rsid w:val="007E4998"/>
    <w:rsid w:val="007E4A9C"/>
    <w:rsid w:val="007E6914"/>
    <w:rsid w:val="007E7E2E"/>
    <w:rsid w:val="007E7F78"/>
    <w:rsid w:val="007F0179"/>
    <w:rsid w:val="007F0BCD"/>
    <w:rsid w:val="007F1397"/>
    <w:rsid w:val="007F19EF"/>
    <w:rsid w:val="007F2C13"/>
    <w:rsid w:val="007F2CEC"/>
    <w:rsid w:val="007F2ED1"/>
    <w:rsid w:val="007F2EEE"/>
    <w:rsid w:val="007F3435"/>
    <w:rsid w:val="007F505D"/>
    <w:rsid w:val="007F531B"/>
    <w:rsid w:val="007F55DE"/>
    <w:rsid w:val="007F762D"/>
    <w:rsid w:val="007F78F0"/>
    <w:rsid w:val="007F78FF"/>
    <w:rsid w:val="008001C5"/>
    <w:rsid w:val="00800F6C"/>
    <w:rsid w:val="00801065"/>
    <w:rsid w:val="00801DB4"/>
    <w:rsid w:val="00802C0B"/>
    <w:rsid w:val="008034BA"/>
    <w:rsid w:val="00805040"/>
    <w:rsid w:val="008051FC"/>
    <w:rsid w:val="008055A9"/>
    <w:rsid w:val="008056C4"/>
    <w:rsid w:val="008057FD"/>
    <w:rsid w:val="00805D8B"/>
    <w:rsid w:val="0081010F"/>
    <w:rsid w:val="0081015D"/>
    <w:rsid w:val="00810768"/>
    <w:rsid w:val="00810BB6"/>
    <w:rsid w:val="00810E8E"/>
    <w:rsid w:val="00812C44"/>
    <w:rsid w:val="008135E1"/>
    <w:rsid w:val="00813779"/>
    <w:rsid w:val="00813E26"/>
    <w:rsid w:val="0081481D"/>
    <w:rsid w:val="00814BE8"/>
    <w:rsid w:val="00814F6E"/>
    <w:rsid w:val="00815B84"/>
    <w:rsid w:val="00816342"/>
    <w:rsid w:val="008166F6"/>
    <w:rsid w:val="00816BE9"/>
    <w:rsid w:val="00817D10"/>
    <w:rsid w:val="008212CB"/>
    <w:rsid w:val="00822518"/>
    <w:rsid w:val="008226F5"/>
    <w:rsid w:val="00823FC6"/>
    <w:rsid w:val="00824306"/>
    <w:rsid w:val="00825A76"/>
    <w:rsid w:val="00825C74"/>
    <w:rsid w:val="00825CFA"/>
    <w:rsid w:val="00826AB9"/>
    <w:rsid w:val="00826E0E"/>
    <w:rsid w:val="00827451"/>
    <w:rsid w:val="00827D11"/>
    <w:rsid w:val="00827E0F"/>
    <w:rsid w:val="00827F6E"/>
    <w:rsid w:val="00830712"/>
    <w:rsid w:val="00831758"/>
    <w:rsid w:val="008317D9"/>
    <w:rsid w:val="00831AEC"/>
    <w:rsid w:val="0083241D"/>
    <w:rsid w:val="0083279F"/>
    <w:rsid w:val="00832CE9"/>
    <w:rsid w:val="0083307F"/>
    <w:rsid w:val="008334DB"/>
    <w:rsid w:val="00833B7F"/>
    <w:rsid w:val="00833E8E"/>
    <w:rsid w:val="00834906"/>
    <w:rsid w:val="00836075"/>
    <w:rsid w:val="00836417"/>
    <w:rsid w:val="008368C4"/>
    <w:rsid w:val="00837526"/>
    <w:rsid w:val="008407A7"/>
    <w:rsid w:val="0084322B"/>
    <w:rsid w:val="00843F81"/>
    <w:rsid w:val="00844087"/>
    <w:rsid w:val="008448F1"/>
    <w:rsid w:val="0084519E"/>
    <w:rsid w:val="00845AAD"/>
    <w:rsid w:val="00845CAE"/>
    <w:rsid w:val="0084617B"/>
    <w:rsid w:val="008462C5"/>
    <w:rsid w:val="008462FA"/>
    <w:rsid w:val="00846370"/>
    <w:rsid w:val="00846873"/>
    <w:rsid w:val="008477A5"/>
    <w:rsid w:val="008477E7"/>
    <w:rsid w:val="00847C2B"/>
    <w:rsid w:val="00850272"/>
    <w:rsid w:val="008506B9"/>
    <w:rsid w:val="0085086F"/>
    <w:rsid w:val="00851822"/>
    <w:rsid w:val="00851C16"/>
    <w:rsid w:val="008532BF"/>
    <w:rsid w:val="008539B2"/>
    <w:rsid w:val="00853BF4"/>
    <w:rsid w:val="00854294"/>
    <w:rsid w:val="00854295"/>
    <w:rsid w:val="0085572E"/>
    <w:rsid w:val="00855D45"/>
    <w:rsid w:val="0085788B"/>
    <w:rsid w:val="00857A9E"/>
    <w:rsid w:val="00857DE2"/>
    <w:rsid w:val="0086003D"/>
    <w:rsid w:val="00862779"/>
    <w:rsid w:val="00863A8E"/>
    <w:rsid w:val="0086407F"/>
    <w:rsid w:val="008645E3"/>
    <w:rsid w:val="00864E79"/>
    <w:rsid w:val="0086572B"/>
    <w:rsid w:val="00866615"/>
    <w:rsid w:val="0086661F"/>
    <w:rsid w:val="00866A0D"/>
    <w:rsid w:val="00866DB5"/>
    <w:rsid w:val="0086701D"/>
    <w:rsid w:val="0086702B"/>
    <w:rsid w:val="008672E2"/>
    <w:rsid w:val="0086784E"/>
    <w:rsid w:val="00870103"/>
    <w:rsid w:val="0087121C"/>
    <w:rsid w:val="00871E72"/>
    <w:rsid w:val="00871FD2"/>
    <w:rsid w:val="00872084"/>
    <w:rsid w:val="00872827"/>
    <w:rsid w:val="00872A32"/>
    <w:rsid w:val="00872D46"/>
    <w:rsid w:val="00874684"/>
    <w:rsid w:val="00874911"/>
    <w:rsid w:val="008754E4"/>
    <w:rsid w:val="00876EAE"/>
    <w:rsid w:val="00880106"/>
    <w:rsid w:val="008802A8"/>
    <w:rsid w:val="00880E13"/>
    <w:rsid w:val="00880F95"/>
    <w:rsid w:val="00881B3B"/>
    <w:rsid w:val="00882B44"/>
    <w:rsid w:val="008838AD"/>
    <w:rsid w:val="008841CE"/>
    <w:rsid w:val="00885BC9"/>
    <w:rsid w:val="008864B3"/>
    <w:rsid w:val="008865E5"/>
    <w:rsid w:val="008871B0"/>
    <w:rsid w:val="00890B57"/>
    <w:rsid w:val="00890DEC"/>
    <w:rsid w:val="008916BA"/>
    <w:rsid w:val="0089217C"/>
    <w:rsid w:val="00892790"/>
    <w:rsid w:val="00892F89"/>
    <w:rsid w:val="00893671"/>
    <w:rsid w:val="00895185"/>
    <w:rsid w:val="00895838"/>
    <w:rsid w:val="00895A1E"/>
    <w:rsid w:val="00895A72"/>
    <w:rsid w:val="00895CDF"/>
    <w:rsid w:val="00896679"/>
    <w:rsid w:val="00896D8C"/>
    <w:rsid w:val="008A0784"/>
    <w:rsid w:val="008A0FC9"/>
    <w:rsid w:val="008A1956"/>
    <w:rsid w:val="008A1A7C"/>
    <w:rsid w:val="008A2CE2"/>
    <w:rsid w:val="008A40D3"/>
    <w:rsid w:val="008A469C"/>
    <w:rsid w:val="008A486C"/>
    <w:rsid w:val="008A50FB"/>
    <w:rsid w:val="008A51D1"/>
    <w:rsid w:val="008A5DCE"/>
    <w:rsid w:val="008A75D3"/>
    <w:rsid w:val="008B05DD"/>
    <w:rsid w:val="008B07B8"/>
    <w:rsid w:val="008B17E8"/>
    <w:rsid w:val="008B18F0"/>
    <w:rsid w:val="008B2875"/>
    <w:rsid w:val="008B2C45"/>
    <w:rsid w:val="008B2E7C"/>
    <w:rsid w:val="008B399A"/>
    <w:rsid w:val="008B3E67"/>
    <w:rsid w:val="008B45F0"/>
    <w:rsid w:val="008B4A70"/>
    <w:rsid w:val="008B502F"/>
    <w:rsid w:val="008B6DFC"/>
    <w:rsid w:val="008B7227"/>
    <w:rsid w:val="008C02FB"/>
    <w:rsid w:val="008C04E0"/>
    <w:rsid w:val="008C191C"/>
    <w:rsid w:val="008C1DA4"/>
    <w:rsid w:val="008C2138"/>
    <w:rsid w:val="008C29B0"/>
    <w:rsid w:val="008C2CD5"/>
    <w:rsid w:val="008C3618"/>
    <w:rsid w:val="008C39E7"/>
    <w:rsid w:val="008C43AD"/>
    <w:rsid w:val="008C6118"/>
    <w:rsid w:val="008C6341"/>
    <w:rsid w:val="008C653D"/>
    <w:rsid w:val="008C731F"/>
    <w:rsid w:val="008C7482"/>
    <w:rsid w:val="008C74D9"/>
    <w:rsid w:val="008D2050"/>
    <w:rsid w:val="008D3973"/>
    <w:rsid w:val="008D3B2D"/>
    <w:rsid w:val="008D4DAF"/>
    <w:rsid w:val="008D58D9"/>
    <w:rsid w:val="008D5AD4"/>
    <w:rsid w:val="008D695E"/>
    <w:rsid w:val="008D6DD5"/>
    <w:rsid w:val="008D6E59"/>
    <w:rsid w:val="008D7155"/>
    <w:rsid w:val="008D76E0"/>
    <w:rsid w:val="008E0B29"/>
    <w:rsid w:val="008E141A"/>
    <w:rsid w:val="008E1A44"/>
    <w:rsid w:val="008E28E6"/>
    <w:rsid w:val="008E3232"/>
    <w:rsid w:val="008E3674"/>
    <w:rsid w:val="008E3B6C"/>
    <w:rsid w:val="008E3DE7"/>
    <w:rsid w:val="008E5227"/>
    <w:rsid w:val="008E562C"/>
    <w:rsid w:val="008E6540"/>
    <w:rsid w:val="008E77D4"/>
    <w:rsid w:val="008E7ADD"/>
    <w:rsid w:val="008F091F"/>
    <w:rsid w:val="008F17B2"/>
    <w:rsid w:val="008F22B3"/>
    <w:rsid w:val="008F357A"/>
    <w:rsid w:val="008F357B"/>
    <w:rsid w:val="008F44CA"/>
    <w:rsid w:val="008F49D3"/>
    <w:rsid w:val="008F6411"/>
    <w:rsid w:val="008F6519"/>
    <w:rsid w:val="008F6D6E"/>
    <w:rsid w:val="008F7012"/>
    <w:rsid w:val="008F7ADA"/>
    <w:rsid w:val="008F7B17"/>
    <w:rsid w:val="00900042"/>
    <w:rsid w:val="0090034B"/>
    <w:rsid w:val="0090061F"/>
    <w:rsid w:val="009007CA"/>
    <w:rsid w:val="0090087C"/>
    <w:rsid w:val="00901121"/>
    <w:rsid w:val="00902623"/>
    <w:rsid w:val="00902A67"/>
    <w:rsid w:val="00902C5E"/>
    <w:rsid w:val="00903521"/>
    <w:rsid w:val="00904BE4"/>
    <w:rsid w:val="0090504A"/>
    <w:rsid w:val="009051F5"/>
    <w:rsid w:val="00905221"/>
    <w:rsid w:val="00905664"/>
    <w:rsid w:val="00905A7C"/>
    <w:rsid w:val="00905D7E"/>
    <w:rsid w:val="009061C2"/>
    <w:rsid w:val="00907037"/>
    <w:rsid w:val="00907259"/>
    <w:rsid w:val="00910C5D"/>
    <w:rsid w:val="0091112C"/>
    <w:rsid w:val="0091160A"/>
    <w:rsid w:val="00912E04"/>
    <w:rsid w:val="00913258"/>
    <w:rsid w:val="009133A3"/>
    <w:rsid w:val="00913851"/>
    <w:rsid w:val="00913BB0"/>
    <w:rsid w:val="0091456C"/>
    <w:rsid w:val="00914C58"/>
    <w:rsid w:val="00914D78"/>
    <w:rsid w:val="00914EA5"/>
    <w:rsid w:val="0091564D"/>
    <w:rsid w:val="009156DA"/>
    <w:rsid w:val="00915774"/>
    <w:rsid w:val="009165E3"/>
    <w:rsid w:val="00916BC5"/>
    <w:rsid w:val="00916DC2"/>
    <w:rsid w:val="0091726A"/>
    <w:rsid w:val="00917C01"/>
    <w:rsid w:val="00920184"/>
    <w:rsid w:val="00920EA4"/>
    <w:rsid w:val="00921792"/>
    <w:rsid w:val="00921BEA"/>
    <w:rsid w:val="009227BE"/>
    <w:rsid w:val="009238FD"/>
    <w:rsid w:val="00923998"/>
    <w:rsid w:val="00923DB4"/>
    <w:rsid w:val="0092420B"/>
    <w:rsid w:val="0092430E"/>
    <w:rsid w:val="00925F4B"/>
    <w:rsid w:val="00926112"/>
    <w:rsid w:val="0092625F"/>
    <w:rsid w:val="00926B28"/>
    <w:rsid w:val="00926D9C"/>
    <w:rsid w:val="00927028"/>
    <w:rsid w:val="009275CB"/>
    <w:rsid w:val="00927763"/>
    <w:rsid w:val="0092798B"/>
    <w:rsid w:val="00927A2D"/>
    <w:rsid w:val="00927B37"/>
    <w:rsid w:val="009321B1"/>
    <w:rsid w:val="009327F0"/>
    <w:rsid w:val="00932ED7"/>
    <w:rsid w:val="0093422D"/>
    <w:rsid w:val="0093483B"/>
    <w:rsid w:val="00934CF9"/>
    <w:rsid w:val="00934DD7"/>
    <w:rsid w:val="00935CB2"/>
    <w:rsid w:val="009369A9"/>
    <w:rsid w:val="00936CF7"/>
    <w:rsid w:val="00937783"/>
    <w:rsid w:val="0093781B"/>
    <w:rsid w:val="00937EAD"/>
    <w:rsid w:val="00937F28"/>
    <w:rsid w:val="00940AA6"/>
    <w:rsid w:val="00940FE1"/>
    <w:rsid w:val="00941474"/>
    <w:rsid w:val="00942306"/>
    <w:rsid w:val="009424B8"/>
    <w:rsid w:val="009432E2"/>
    <w:rsid w:val="00944668"/>
    <w:rsid w:val="00944DC6"/>
    <w:rsid w:val="009458B0"/>
    <w:rsid w:val="00945B52"/>
    <w:rsid w:val="00945B7A"/>
    <w:rsid w:val="00945F05"/>
    <w:rsid w:val="00946348"/>
    <w:rsid w:val="0094639A"/>
    <w:rsid w:val="00947224"/>
    <w:rsid w:val="00947797"/>
    <w:rsid w:val="009478A2"/>
    <w:rsid w:val="00950746"/>
    <w:rsid w:val="00951ED3"/>
    <w:rsid w:val="009533BD"/>
    <w:rsid w:val="009536FB"/>
    <w:rsid w:val="00953808"/>
    <w:rsid w:val="0095399D"/>
    <w:rsid w:val="009539A6"/>
    <w:rsid w:val="00954032"/>
    <w:rsid w:val="00954537"/>
    <w:rsid w:val="0095472D"/>
    <w:rsid w:val="00954C5C"/>
    <w:rsid w:val="00955342"/>
    <w:rsid w:val="00955FBB"/>
    <w:rsid w:val="0095694B"/>
    <w:rsid w:val="00956BD5"/>
    <w:rsid w:val="00956D84"/>
    <w:rsid w:val="009577B5"/>
    <w:rsid w:val="0096018C"/>
    <w:rsid w:val="009608E6"/>
    <w:rsid w:val="00960F57"/>
    <w:rsid w:val="00961C90"/>
    <w:rsid w:val="00961F82"/>
    <w:rsid w:val="00965443"/>
    <w:rsid w:val="00965954"/>
    <w:rsid w:val="0096596F"/>
    <w:rsid w:val="00965A21"/>
    <w:rsid w:val="00965DD1"/>
    <w:rsid w:val="00965E55"/>
    <w:rsid w:val="0096608E"/>
    <w:rsid w:val="00966522"/>
    <w:rsid w:val="00966979"/>
    <w:rsid w:val="00966C33"/>
    <w:rsid w:val="00967D87"/>
    <w:rsid w:val="00970F18"/>
    <w:rsid w:val="00971CF1"/>
    <w:rsid w:val="00971F5D"/>
    <w:rsid w:val="009721E9"/>
    <w:rsid w:val="00973772"/>
    <w:rsid w:val="009739CB"/>
    <w:rsid w:val="00974E9F"/>
    <w:rsid w:val="0097560A"/>
    <w:rsid w:val="00975E1E"/>
    <w:rsid w:val="00975E70"/>
    <w:rsid w:val="009761DE"/>
    <w:rsid w:val="009766FA"/>
    <w:rsid w:val="00977CD6"/>
    <w:rsid w:val="0098048B"/>
    <w:rsid w:val="00980908"/>
    <w:rsid w:val="00980DF9"/>
    <w:rsid w:val="00981CD8"/>
    <w:rsid w:val="0098243D"/>
    <w:rsid w:val="00982D26"/>
    <w:rsid w:val="00983B6E"/>
    <w:rsid w:val="00983B7B"/>
    <w:rsid w:val="00983FE5"/>
    <w:rsid w:val="009849E9"/>
    <w:rsid w:val="00984AFF"/>
    <w:rsid w:val="009850EA"/>
    <w:rsid w:val="009859E4"/>
    <w:rsid w:val="00985D7F"/>
    <w:rsid w:val="00986F6A"/>
    <w:rsid w:val="00987812"/>
    <w:rsid w:val="00990225"/>
    <w:rsid w:val="00991307"/>
    <w:rsid w:val="00991FAA"/>
    <w:rsid w:val="009928C4"/>
    <w:rsid w:val="00992A13"/>
    <w:rsid w:val="00994AAD"/>
    <w:rsid w:val="00995150"/>
    <w:rsid w:val="0099538C"/>
    <w:rsid w:val="00995D67"/>
    <w:rsid w:val="00996509"/>
    <w:rsid w:val="00997613"/>
    <w:rsid w:val="00997852"/>
    <w:rsid w:val="009A013B"/>
    <w:rsid w:val="009A02F4"/>
    <w:rsid w:val="009A06BF"/>
    <w:rsid w:val="009A0D17"/>
    <w:rsid w:val="009A2494"/>
    <w:rsid w:val="009A32B1"/>
    <w:rsid w:val="009A33A3"/>
    <w:rsid w:val="009A36F2"/>
    <w:rsid w:val="009A3E18"/>
    <w:rsid w:val="009A40C3"/>
    <w:rsid w:val="009A40D5"/>
    <w:rsid w:val="009A5268"/>
    <w:rsid w:val="009A57D0"/>
    <w:rsid w:val="009A5C36"/>
    <w:rsid w:val="009A6559"/>
    <w:rsid w:val="009A674C"/>
    <w:rsid w:val="009A68FC"/>
    <w:rsid w:val="009A6CE4"/>
    <w:rsid w:val="009A7514"/>
    <w:rsid w:val="009A7E7A"/>
    <w:rsid w:val="009B0925"/>
    <w:rsid w:val="009B1584"/>
    <w:rsid w:val="009B18F0"/>
    <w:rsid w:val="009B1F4C"/>
    <w:rsid w:val="009B2471"/>
    <w:rsid w:val="009B2C53"/>
    <w:rsid w:val="009B314F"/>
    <w:rsid w:val="009B439C"/>
    <w:rsid w:val="009B49A1"/>
    <w:rsid w:val="009B4A6C"/>
    <w:rsid w:val="009B4DA8"/>
    <w:rsid w:val="009B519A"/>
    <w:rsid w:val="009B620C"/>
    <w:rsid w:val="009B6753"/>
    <w:rsid w:val="009B676C"/>
    <w:rsid w:val="009B6A26"/>
    <w:rsid w:val="009C079D"/>
    <w:rsid w:val="009C0D70"/>
    <w:rsid w:val="009C13D1"/>
    <w:rsid w:val="009C2555"/>
    <w:rsid w:val="009C2913"/>
    <w:rsid w:val="009C2BD4"/>
    <w:rsid w:val="009C5AFE"/>
    <w:rsid w:val="009C6606"/>
    <w:rsid w:val="009C6CE5"/>
    <w:rsid w:val="009C6D50"/>
    <w:rsid w:val="009C7547"/>
    <w:rsid w:val="009D029D"/>
    <w:rsid w:val="009D05EC"/>
    <w:rsid w:val="009D06B5"/>
    <w:rsid w:val="009D17CA"/>
    <w:rsid w:val="009D18D4"/>
    <w:rsid w:val="009D1FCF"/>
    <w:rsid w:val="009D2F60"/>
    <w:rsid w:val="009D3A2E"/>
    <w:rsid w:val="009D3BA9"/>
    <w:rsid w:val="009D5ADE"/>
    <w:rsid w:val="009D5BAC"/>
    <w:rsid w:val="009D5C56"/>
    <w:rsid w:val="009D6265"/>
    <w:rsid w:val="009D64BD"/>
    <w:rsid w:val="009D6CB1"/>
    <w:rsid w:val="009E0286"/>
    <w:rsid w:val="009E0D41"/>
    <w:rsid w:val="009E10BD"/>
    <w:rsid w:val="009E153F"/>
    <w:rsid w:val="009E18C5"/>
    <w:rsid w:val="009E322A"/>
    <w:rsid w:val="009E393E"/>
    <w:rsid w:val="009E3F36"/>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4DF"/>
    <w:rsid w:val="00A00FD5"/>
    <w:rsid w:val="00A012C0"/>
    <w:rsid w:val="00A019A8"/>
    <w:rsid w:val="00A01B03"/>
    <w:rsid w:val="00A01B89"/>
    <w:rsid w:val="00A02C66"/>
    <w:rsid w:val="00A02C84"/>
    <w:rsid w:val="00A0464C"/>
    <w:rsid w:val="00A050BB"/>
    <w:rsid w:val="00A0521B"/>
    <w:rsid w:val="00A054E0"/>
    <w:rsid w:val="00A05D91"/>
    <w:rsid w:val="00A0740B"/>
    <w:rsid w:val="00A07ED3"/>
    <w:rsid w:val="00A10218"/>
    <w:rsid w:val="00A10CA8"/>
    <w:rsid w:val="00A11042"/>
    <w:rsid w:val="00A12579"/>
    <w:rsid w:val="00A12CDC"/>
    <w:rsid w:val="00A133D8"/>
    <w:rsid w:val="00A15655"/>
    <w:rsid w:val="00A15A40"/>
    <w:rsid w:val="00A160B0"/>
    <w:rsid w:val="00A16FDE"/>
    <w:rsid w:val="00A1740C"/>
    <w:rsid w:val="00A17904"/>
    <w:rsid w:val="00A20069"/>
    <w:rsid w:val="00A2244D"/>
    <w:rsid w:val="00A2253D"/>
    <w:rsid w:val="00A2267F"/>
    <w:rsid w:val="00A22CDB"/>
    <w:rsid w:val="00A232E9"/>
    <w:rsid w:val="00A247B8"/>
    <w:rsid w:val="00A2495A"/>
    <w:rsid w:val="00A24C7A"/>
    <w:rsid w:val="00A24D8F"/>
    <w:rsid w:val="00A25B8B"/>
    <w:rsid w:val="00A25D8E"/>
    <w:rsid w:val="00A2689F"/>
    <w:rsid w:val="00A26ECA"/>
    <w:rsid w:val="00A27461"/>
    <w:rsid w:val="00A27D67"/>
    <w:rsid w:val="00A30ABC"/>
    <w:rsid w:val="00A31C00"/>
    <w:rsid w:val="00A33B74"/>
    <w:rsid w:val="00A342C5"/>
    <w:rsid w:val="00A3467F"/>
    <w:rsid w:val="00A34B28"/>
    <w:rsid w:val="00A34B4C"/>
    <w:rsid w:val="00A35030"/>
    <w:rsid w:val="00A3551A"/>
    <w:rsid w:val="00A366A0"/>
    <w:rsid w:val="00A36D34"/>
    <w:rsid w:val="00A37209"/>
    <w:rsid w:val="00A37584"/>
    <w:rsid w:val="00A376E8"/>
    <w:rsid w:val="00A37F8E"/>
    <w:rsid w:val="00A41537"/>
    <w:rsid w:val="00A41737"/>
    <w:rsid w:val="00A41750"/>
    <w:rsid w:val="00A42B8F"/>
    <w:rsid w:val="00A42D8E"/>
    <w:rsid w:val="00A42DDD"/>
    <w:rsid w:val="00A42F8F"/>
    <w:rsid w:val="00A43254"/>
    <w:rsid w:val="00A43896"/>
    <w:rsid w:val="00A43951"/>
    <w:rsid w:val="00A43A26"/>
    <w:rsid w:val="00A447A0"/>
    <w:rsid w:val="00A44AD3"/>
    <w:rsid w:val="00A459F5"/>
    <w:rsid w:val="00A45FC0"/>
    <w:rsid w:val="00A46802"/>
    <w:rsid w:val="00A46B74"/>
    <w:rsid w:val="00A47BF7"/>
    <w:rsid w:val="00A47ECC"/>
    <w:rsid w:val="00A50171"/>
    <w:rsid w:val="00A504FA"/>
    <w:rsid w:val="00A50AC2"/>
    <w:rsid w:val="00A5102E"/>
    <w:rsid w:val="00A5132E"/>
    <w:rsid w:val="00A51375"/>
    <w:rsid w:val="00A51533"/>
    <w:rsid w:val="00A531D4"/>
    <w:rsid w:val="00A54572"/>
    <w:rsid w:val="00A575B8"/>
    <w:rsid w:val="00A619BB"/>
    <w:rsid w:val="00A61C60"/>
    <w:rsid w:val="00A61ECB"/>
    <w:rsid w:val="00A6410C"/>
    <w:rsid w:val="00A647B1"/>
    <w:rsid w:val="00A64DEF"/>
    <w:rsid w:val="00A654D2"/>
    <w:rsid w:val="00A665DF"/>
    <w:rsid w:val="00A66F18"/>
    <w:rsid w:val="00A67FCC"/>
    <w:rsid w:val="00A70AA5"/>
    <w:rsid w:val="00A70C03"/>
    <w:rsid w:val="00A71256"/>
    <w:rsid w:val="00A7217B"/>
    <w:rsid w:val="00A722D7"/>
    <w:rsid w:val="00A723A3"/>
    <w:rsid w:val="00A73861"/>
    <w:rsid w:val="00A739A6"/>
    <w:rsid w:val="00A740ED"/>
    <w:rsid w:val="00A74C29"/>
    <w:rsid w:val="00A74C62"/>
    <w:rsid w:val="00A75EF9"/>
    <w:rsid w:val="00A764ED"/>
    <w:rsid w:val="00A7657C"/>
    <w:rsid w:val="00A77EFC"/>
    <w:rsid w:val="00A80216"/>
    <w:rsid w:val="00A8118A"/>
    <w:rsid w:val="00A81DA8"/>
    <w:rsid w:val="00A81F2D"/>
    <w:rsid w:val="00A8311C"/>
    <w:rsid w:val="00A835D0"/>
    <w:rsid w:val="00A84C5F"/>
    <w:rsid w:val="00A84FBE"/>
    <w:rsid w:val="00A85930"/>
    <w:rsid w:val="00A863F7"/>
    <w:rsid w:val="00A86604"/>
    <w:rsid w:val="00A87519"/>
    <w:rsid w:val="00A9246D"/>
    <w:rsid w:val="00A92804"/>
    <w:rsid w:val="00A92CCA"/>
    <w:rsid w:val="00A92EED"/>
    <w:rsid w:val="00A93BD0"/>
    <w:rsid w:val="00A93CC2"/>
    <w:rsid w:val="00A93D03"/>
    <w:rsid w:val="00A94D4B"/>
    <w:rsid w:val="00A974CC"/>
    <w:rsid w:val="00AA16FB"/>
    <w:rsid w:val="00AA2001"/>
    <w:rsid w:val="00AA2B5C"/>
    <w:rsid w:val="00AA32D2"/>
    <w:rsid w:val="00AA3B8B"/>
    <w:rsid w:val="00AA3F61"/>
    <w:rsid w:val="00AA4016"/>
    <w:rsid w:val="00AA4C1F"/>
    <w:rsid w:val="00AA5328"/>
    <w:rsid w:val="00AA5393"/>
    <w:rsid w:val="00AA5D54"/>
    <w:rsid w:val="00AA63D4"/>
    <w:rsid w:val="00AA7989"/>
    <w:rsid w:val="00AA7AE4"/>
    <w:rsid w:val="00AB03FD"/>
    <w:rsid w:val="00AB2000"/>
    <w:rsid w:val="00AB38CB"/>
    <w:rsid w:val="00AB3BEC"/>
    <w:rsid w:val="00AB44E4"/>
    <w:rsid w:val="00AB4AEB"/>
    <w:rsid w:val="00AB4E5F"/>
    <w:rsid w:val="00AB5352"/>
    <w:rsid w:val="00AB56AE"/>
    <w:rsid w:val="00AB62D5"/>
    <w:rsid w:val="00AB65B5"/>
    <w:rsid w:val="00AB6DCD"/>
    <w:rsid w:val="00AB6EE0"/>
    <w:rsid w:val="00AB7B84"/>
    <w:rsid w:val="00AC17A2"/>
    <w:rsid w:val="00AC2494"/>
    <w:rsid w:val="00AC40B7"/>
    <w:rsid w:val="00AC5148"/>
    <w:rsid w:val="00AC531F"/>
    <w:rsid w:val="00AC5B36"/>
    <w:rsid w:val="00AC6377"/>
    <w:rsid w:val="00AC66A4"/>
    <w:rsid w:val="00AC6CB1"/>
    <w:rsid w:val="00AC75E9"/>
    <w:rsid w:val="00AC7669"/>
    <w:rsid w:val="00AC7D6D"/>
    <w:rsid w:val="00AD0091"/>
    <w:rsid w:val="00AD23EF"/>
    <w:rsid w:val="00AD2583"/>
    <w:rsid w:val="00AD2662"/>
    <w:rsid w:val="00AD307B"/>
    <w:rsid w:val="00AD3581"/>
    <w:rsid w:val="00AD4014"/>
    <w:rsid w:val="00AD41B3"/>
    <w:rsid w:val="00AD5721"/>
    <w:rsid w:val="00AD57D5"/>
    <w:rsid w:val="00AD69F0"/>
    <w:rsid w:val="00AD7127"/>
    <w:rsid w:val="00AD730C"/>
    <w:rsid w:val="00AE123A"/>
    <w:rsid w:val="00AE1539"/>
    <w:rsid w:val="00AE28A7"/>
    <w:rsid w:val="00AE2A98"/>
    <w:rsid w:val="00AE2CF2"/>
    <w:rsid w:val="00AE3012"/>
    <w:rsid w:val="00AE3297"/>
    <w:rsid w:val="00AE33A6"/>
    <w:rsid w:val="00AE3513"/>
    <w:rsid w:val="00AE3729"/>
    <w:rsid w:val="00AE4A3E"/>
    <w:rsid w:val="00AE4CCE"/>
    <w:rsid w:val="00AE5C6A"/>
    <w:rsid w:val="00AE7280"/>
    <w:rsid w:val="00AF01FA"/>
    <w:rsid w:val="00AF033A"/>
    <w:rsid w:val="00AF1658"/>
    <w:rsid w:val="00AF1699"/>
    <w:rsid w:val="00AF1FD3"/>
    <w:rsid w:val="00AF20C5"/>
    <w:rsid w:val="00AF2910"/>
    <w:rsid w:val="00AF34B8"/>
    <w:rsid w:val="00AF3896"/>
    <w:rsid w:val="00AF39C9"/>
    <w:rsid w:val="00AF3FC2"/>
    <w:rsid w:val="00AF4DEC"/>
    <w:rsid w:val="00AF6C5B"/>
    <w:rsid w:val="00B003FF"/>
    <w:rsid w:val="00B0098A"/>
    <w:rsid w:val="00B00A5F"/>
    <w:rsid w:val="00B0247D"/>
    <w:rsid w:val="00B029B8"/>
    <w:rsid w:val="00B02F60"/>
    <w:rsid w:val="00B02F94"/>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A4F"/>
    <w:rsid w:val="00B13EC9"/>
    <w:rsid w:val="00B14319"/>
    <w:rsid w:val="00B14A06"/>
    <w:rsid w:val="00B158E1"/>
    <w:rsid w:val="00B16715"/>
    <w:rsid w:val="00B1764B"/>
    <w:rsid w:val="00B1768E"/>
    <w:rsid w:val="00B17910"/>
    <w:rsid w:val="00B20F18"/>
    <w:rsid w:val="00B21516"/>
    <w:rsid w:val="00B21A37"/>
    <w:rsid w:val="00B21D23"/>
    <w:rsid w:val="00B21F62"/>
    <w:rsid w:val="00B22CE0"/>
    <w:rsid w:val="00B23738"/>
    <w:rsid w:val="00B23BEF"/>
    <w:rsid w:val="00B247BB"/>
    <w:rsid w:val="00B24910"/>
    <w:rsid w:val="00B2504A"/>
    <w:rsid w:val="00B25EE6"/>
    <w:rsid w:val="00B3115A"/>
    <w:rsid w:val="00B3178B"/>
    <w:rsid w:val="00B31825"/>
    <w:rsid w:val="00B31A5C"/>
    <w:rsid w:val="00B32265"/>
    <w:rsid w:val="00B3276D"/>
    <w:rsid w:val="00B33AF9"/>
    <w:rsid w:val="00B33B06"/>
    <w:rsid w:val="00B33C19"/>
    <w:rsid w:val="00B34AE0"/>
    <w:rsid w:val="00B35607"/>
    <w:rsid w:val="00B35A15"/>
    <w:rsid w:val="00B35B45"/>
    <w:rsid w:val="00B36165"/>
    <w:rsid w:val="00B36A99"/>
    <w:rsid w:val="00B40602"/>
    <w:rsid w:val="00B41C80"/>
    <w:rsid w:val="00B42264"/>
    <w:rsid w:val="00B434B2"/>
    <w:rsid w:val="00B43D45"/>
    <w:rsid w:val="00B459AF"/>
    <w:rsid w:val="00B468F2"/>
    <w:rsid w:val="00B469DE"/>
    <w:rsid w:val="00B47286"/>
    <w:rsid w:val="00B47EB4"/>
    <w:rsid w:val="00B50234"/>
    <w:rsid w:val="00B51BF4"/>
    <w:rsid w:val="00B52C68"/>
    <w:rsid w:val="00B5372B"/>
    <w:rsid w:val="00B539B2"/>
    <w:rsid w:val="00B542FE"/>
    <w:rsid w:val="00B55A1B"/>
    <w:rsid w:val="00B561DB"/>
    <w:rsid w:val="00B56DF9"/>
    <w:rsid w:val="00B56E80"/>
    <w:rsid w:val="00B571F1"/>
    <w:rsid w:val="00B57EC7"/>
    <w:rsid w:val="00B600BD"/>
    <w:rsid w:val="00B60E4E"/>
    <w:rsid w:val="00B61274"/>
    <w:rsid w:val="00B61DCE"/>
    <w:rsid w:val="00B62188"/>
    <w:rsid w:val="00B62F79"/>
    <w:rsid w:val="00B62F82"/>
    <w:rsid w:val="00B6306A"/>
    <w:rsid w:val="00B635E3"/>
    <w:rsid w:val="00B662FF"/>
    <w:rsid w:val="00B66679"/>
    <w:rsid w:val="00B668BE"/>
    <w:rsid w:val="00B70145"/>
    <w:rsid w:val="00B717F9"/>
    <w:rsid w:val="00B71A92"/>
    <w:rsid w:val="00B721D8"/>
    <w:rsid w:val="00B72AC5"/>
    <w:rsid w:val="00B730CA"/>
    <w:rsid w:val="00B732EA"/>
    <w:rsid w:val="00B73747"/>
    <w:rsid w:val="00B747C5"/>
    <w:rsid w:val="00B74F2F"/>
    <w:rsid w:val="00B753ED"/>
    <w:rsid w:val="00B7665F"/>
    <w:rsid w:val="00B769BC"/>
    <w:rsid w:val="00B770F7"/>
    <w:rsid w:val="00B77349"/>
    <w:rsid w:val="00B7761E"/>
    <w:rsid w:val="00B80A3D"/>
    <w:rsid w:val="00B80B04"/>
    <w:rsid w:val="00B821E4"/>
    <w:rsid w:val="00B823E0"/>
    <w:rsid w:val="00B8260D"/>
    <w:rsid w:val="00B82765"/>
    <w:rsid w:val="00B82B78"/>
    <w:rsid w:val="00B845B4"/>
    <w:rsid w:val="00B84662"/>
    <w:rsid w:val="00B84C74"/>
    <w:rsid w:val="00B84CE9"/>
    <w:rsid w:val="00B85191"/>
    <w:rsid w:val="00B858A1"/>
    <w:rsid w:val="00B85FEC"/>
    <w:rsid w:val="00B8637D"/>
    <w:rsid w:val="00B864A3"/>
    <w:rsid w:val="00B86C2A"/>
    <w:rsid w:val="00B902A5"/>
    <w:rsid w:val="00B90420"/>
    <w:rsid w:val="00B90848"/>
    <w:rsid w:val="00B91146"/>
    <w:rsid w:val="00B913E4"/>
    <w:rsid w:val="00B91DB9"/>
    <w:rsid w:val="00B91FF3"/>
    <w:rsid w:val="00B925F8"/>
    <w:rsid w:val="00B934AF"/>
    <w:rsid w:val="00B93EFE"/>
    <w:rsid w:val="00B944B9"/>
    <w:rsid w:val="00B94956"/>
    <w:rsid w:val="00B94C7F"/>
    <w:rsid w:val="00B94E93"/>
    <w:rsid w:val="00B956B5"/>
    <w:rsid w:val="00B95956"/>
    <w:rsid w:val="00B96DF2"/>
    <w:rsid w:val="00B96E18"/>
    <w:rsid w:val="00B96F5A"/>
    <w:rsid w:val="00B97B44"/>
    <w:rsid w:val="00BA0B39"/>
    <w:rsid w:val="00BA0CB2"/>
    <w:rsid w:val="00BA0E26"/>
    <w:rsid w:val="00BA138B"/>
    <w:rsid w:val="00BA1A9E"/>
    <w:rsid w:val="00BA305B"/>
    <w:rsid w:val="00BA31BF"/>
    <w:rsid w:val="00BA3916"/>
    <w:rsid w:val="00BA3C0F"/>
    <w:rsid w:val="00BA3FC7"/>
    <w:rsid w:val="00BA478B"/>
    <w:rsid w:val="00BA5224"/>
    <w:rsid w:val="00BA575E"/>
    <w:rsid w:val="00BA76B7"/>
    <w:rsid w:val="00BA7E3B"/>
    <w:rsid w:val="00BB078D"/>
    <w:rsid w:val="00BB079C"/>
    <w:rsid w:val="00BB0D7A"/>
    <w:rsid w:val="00BB10E1"/>
    <w:rsid w:val="00BB2471"/>
    <w:rsid w:val="00BB3035"/>
    <w:rsid w:val="00BB39C1"/>
    <w:rsid w:val="00BB3DF5"/>
    <w:rsid w:val="00BB3EA7"/>
    <w:rsid w:val="00BB5D16"/>
    <w:rsid w:val="00BB6180"/>
    <w:rsid w:val="00BB69E6"/>
    <w:rsid w:val="00BB7323"/>
    <w:rsid w:val="00BB7BE5"/>
    <w:rsid w:val="00BC08BD"/>
    <w:rsid w:val="00BC11E8"/>
    <w:rsid w:val="00BC1B7A"/>
    <w:rsid w:val="00BC2416"/>
    <w:rsid w:val="00BC2C17"/>
    <w:rsid w:val="00BC397C"/>
    <w:rsid w:val="00BC3ACD"/>
    <w:rsid w:val="00BC3B20"/>
    <w:rsid w:val="00BC3EE4"/>
    <w:rsid w:val="00BC588C"/>
    <w:rsid w:val="00BC6E73"/>
    <w:rsid w:val="00BC721B"/>
    <w:rsid w:val="00BC74D3"/>
    <w:rsid w:val="00BD0014"/>
    <w:rsid w:val="00BD01D8"/>
    <w:rsid w:val="00BD255F"/>
    <w:rsid w:val="00BD2895"/>
    <w:rsid w:val="00BD4236"/>
    <w:rsid w:val="00BD483B"/>
    <w:rsid w:val="00BD51F9"/>
    <w:rsid w:val="00BD5CD4"/>
    <w:rsid w:val="00BD65D9"/>
    <w:rsid w:val="00BD6DF3"/>
    <w:rsid w:val="00BD6E09"/>
    <w:rsid w:val="00BD6EF9"/>
    <w:rsid w:val="00BE0ACB"/>
    <w:rsid w:val="00BE2260"/>
    <w:rsid w:val="00BE3319"/>
    <w:rsid w:val="00BE3917"/>
    <w:rsid w:val="00BE48D3"/>
    <w:rsid w:val="00BE4BFE"/>
    <w:rsid w:val="00BE4D94"/>
    <w:rsid w:val="00BE50FD"/>
    <w:rsid w:val="00BE51CA"/>
    <w:rsid w:val="00BE537F"/>
    <w:rsid w:val="00BE5D77"/>
    <w:rsid w:val="00BE6884"/>
    <w:rsid w:val="00BE6D47"/>
    <w:rsid w:val="00BE7032"/>
    <w:rsid w:val="00BE7330"/>
    <w:rsid w:val="00BE78F1"/>
    <w:rsid w:val="00BF01C5"/>
    <w:rsid w:val="00BF061A"/>
    <w:rsid w:val="00BF066A"/>
    <w:rsid w:val="00BF14CC"/>
    <w:rsid w:val="00BF1821"/>
    <w:rsid w:val="00BF22E9"/>
    <w:rsid w:val="00BF4342"/>
    <w:rsid w:val="00BF4704"/>
    <w:rsid w:val="00BF4FFC"/>
    <w:rsid w:val="00BF5050"/>
    <w:rsid w:val="00BF50D1"/>
    <w:rsid w:val="00BF5422"/>
    <w:rsid w:val="00BF59B1"/>
    <w:rsid w:val="00BF6625"/>
    <w:rsid w:val="00BF6A78"/>
    <w:rsid w:val="00BF7695"/>
    <w:rsid w:val="00BF79B4"/>
    <w:rsid w:val="00BF7C61"/>
    <w:rsid w:val="00C01427"/>
    <w:rsid w:val="00C014C7"/>
    <w:rsid w:val="00C03155"/>
    <w:rsid w:val="00C031CF"/>
    <w:rsid w:val="00C047AB"/>
    <w:rsid w:val="00C058AF"/>
    <w:rsid w:val="00C05935"/>
    <w:rsid w:val="00C075B6"/>
    <w:rsid w:val="00C11ACA"/>
    <w:rsid w:val="00C124C1"/>
    <w:rsid w:val="00C128AE"/>
    <w:rsid w:val="00C12BA8"/>
    <w:rsid w:val="00C13094"/>
    <w:rsid w:val="00C136D6"/>
    <w:rsid w:val="00C13D5B"/>
    <w:rsid w:val="00C141D7"/>
    <w:rsid w:val="00C169B9"/>
    <w:rsid w:val="00C1711B"/>
    <w:rsid w:val="00C17AE2"/>
    <w:rsid w:val="00C20140"/>
    <w:rsid w:val="00C20F27"/>
    <w:rsid w:val="00C215CF"/>
    <w:rsid w:val="00C2244B"/>
    <w:rsid w:val="00C22711"/>
    <w:rsid w:val="00C2280A"/>
    <w:rsid w:val="00C22AAA"/>
    <w:rsid w:val="00C22B0D"/>
    <w:rsid w:val="00C22BFF"/>
    <w:rsid w:val="00C23522"/>
    <w:rsid w:val="00C23E89"/>
    <w:rsid w:val="00C240C1"/>
    <w:rsid w:val="00C244A1"/>
    <w:rsid w:val="00C24AED"/>
    <w:rsid w:val="00C250D0"/>
    <w:rsid w:val="00C252AC"/>
    <w:rsid w:val="00C25C0F"/>
    <w:rsid w:val="00C26567"/>
    <w:rsid w:val="00C26923"/>
    <w:rsid w:val="00C2695A"/>
    <w:rsid w:val="00C27214"/>
    <w:rsid w:val="00C27597"/>
    <w:rsid w:val="00C27E5E"/>
    <w:rsid w:val="00C30382"/>
    <w:rsid w:val="00C30772"/>
    <w:rsid w:val="00C30D6F"/>
    <w:rsid w:val="00C31063"/>
    <w:rsid w:val="00C31B7E"/>
    <w:rsid w:val="00C322D1"/>
    <w:rsid w:val="00C3242A"/>
    <w:rsid w:val="00C33201"/>
    <w:rsid w:val="00C33A39"/>
    <w:rsid w:val="00C34619"/>
    <w:rsid w:val="00C3467C"/>
    <w:rsid w:val="00C348D9"/>
    <w:rsid w:val="00C35D01"/>
    <w:rsid w:val="00C360B3"/>
    <w:rsid w:val="00C36885"/>
    <w:rsid w:val="00C37027"/>
    <w:rsid w:val="00C373BF"/>
    <w:rsid w:val="00C37B19"/>
    <w:rsid w:val="00C41349"/>
    <w:rsid w:val="00C413CB"/>
    <w:rsid w:val="00C42752"/>
    <w:rsid w:val="00C42973"/>
    <w:rsid w:val="00C44D22"/>
    <w:rsid w:val="00C46B95"/>
    <w:rsid w:val="00C4712A"/>
    <w:rsid w:val="00C5034F"/>
    <w:rsid w:val="00C50830"/>
    <w:rsid w:val="00C52479"/>
    <w:rsid w:val="00C5266E"/>
    <w:rsid w:val="00C52C59"/>
    <w:rsid w:val="00C5349E"/>
    <w:rsid w:val="00C539FF"/>
    <w:rsid w:val="00C544BD"/>
    <w:rsid w:val="00C54D3D"/>
    <w:rsid w:val="00C55A30"/>
    <w:rsid w:val="00C56384"/>
    <w:rsid w:val="00C60F8C"/>
    <w:rsid w:val="00C61424"/>
    <w:rsid w:val="00C61794"/>
    <w:rsid w:val="00C62635"/>
    <w:rsid w:val="00C62A48"/>
    <w:rsid w:val="00C62AC4"/>
    <w:rsid w:val="00C62B59"/>
    <w:rsid w:val="00C62F96"/>
    <w:rsid w:val="00C631E1"/>
    <w:rsid w:val="00C638D8"/>
    <w:rsid w:val="00C63A43"/>
    <w:rsid w:val="00C63AE7"/>
    <w:rsid w:val="00C63D26"/>
    <w:rsid w:val="00C6540A"/>
    <w:rsid w:val="00C668A1"/>
    <w:rsid w:val="00C67223"/>
    <w:rsid w:val="00C701FE"/>
    <w:rsid w:val="00C707B8"/>
    <w:rsid w:val="00C712AC"/>
    <w:rsid w:val="00C71ADC"/>
    <w:rsid w:val="00C71C15"/>
    <w:rsid w:val="00C71F3D"/>
    <w:rsid w:val="00C72F53"/>
    <w:rsid w:val="00C74035"/>
    <w:rsid w:val="00C748EA"/>
    <w:rsid w:val="00C77818"/>
    <w:rsid w:val="00C8063F"/>
    <w:rsid w:val="00C81282"/>
    <w:rsid w:val="00C827B4"/>
    <w:rsid w:val="00C83214"/>
    <w:rsid w:val="00C8329F"/>
    <w:rsid w:val="00C83B21"/>
    <w:rsid w:val="00C84F8A"/>
    <w:rsid w:val="00C85BA4"/>
    <w:rsid w:val="00C8618F"/>
    <w:rsid w:val="00C8625D"/>
    <w:rsid w:val="00C86A49"/>
    <w:rsid w:val="00C874F1"/>
    <w:rsid w:val="00C90103"/>
    <w:rsid w:val="00C90364"/>
    <w:rsid w:val="00C90372"/>
    <w:rsid w:val="00C9041F"/>
    <w:rsid w:val="00C91023"/>
    <w:rsid w:val="00C9166B"/>
    <w:rsid w:val="00C91945"/>
    <w:rsid w:val="00C91A45"/>
    <w:rsid w:val="00C91FB4"/>
    <w:rsid w:val="00C92150"/>
    <w:rsid w:val="00C92328"/>
    <w:rsid w:val="00C92D42"/>
    <w:rsid w:val="00C938C2"/>
    <w:rsid w:val="00C93F8A"/>
    <w:rsid w:val="00C94EA1"/>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A66DE"/>
    <w:rsid w:val="00CB105E"/>
    <w:rsid w:val="00CB19D7"/>
    <w:rsid w:val="00CB19FE"/>
    <w:rsid w:val="00CB1C3F"/>
    <w:rsid w:val="00CB2364"/>
    <w:rsid w:val="00CB25BA"/>
    <w:rsid w:val="00CB304C"/>
    <w:rsid w:val="00CB3933"/>
    <w:rsid w:val="00CB5010"/>
    <w:rsid w:val="00CB53E8"/>
    <w:rsid w:val="00CB594A"/>
    <w:rsid w:val="00CB5CB2"/>
    <w:rsid w:val="00CB6979"/>
    <w:rsid w:val="00CB7DDE"/>
    <w:rsid w:val="00CC0A3D"/>
    <w:rsid w:val="00CC2F62"/>
    <w:rsid w:val="00CC2FF0"/>
    <w:rsid w:val="00CC3261"/>
    <w:rsid w:val="00CC3C53"/>
    <w:rsid w:val="00CC3D24"/>
    <w:rsid w:val="00CC3F91"/>
    <w:rsid w:val="00CC47EE"/>
    <w:rsid w:val="00CC4ACD"/>
    <w:rsid w:val="00CC4B0A"/>
    <w:rsid w:val="00CC544A"/>
    <w:rsid w:val="00CC57AE"/>
    <w:rsid w:val="00CC57EA"/>
    <w:rsid w:val="00CC5954"/>
    <w:rsid w:val="00CC629B"/>
    <w:rsid w:val="00CC6C4E"/>
    <w:rsid w:val="00CD009D"/>
    <w:rsid w:val="00CD05A2"/>
    <w:rsid w:val="00CD29D4"/>
    <w:rsid w:val="00CD2B5C"/>
    <w:rsid w:val="00CD2FF3"/>
    <w:rsid w:val="00CD3323"/>
    <w:rsid w:val="00CD38F5"/>
    <w:rsid w:val="00CD3BF2"/>
    <w:rsid w:val="00CD437E"/>
    <w:rsid w:val="00CD5DAD"/>
    <w:rsid w:val="00CD63D3"/>
    <w:rsid w:val="00CD7111"/>
    <w:rsid w:val="00CD72C5"/>
    <w:rsid w:val="00CD79A7"/>
    <w:rsid w:val="00CD7FAD"/>
    <w:rsid w:val="00CE0789"/>
    <w:rsid w:val="00CE0AF1"/>
    <w:rsid w:val="00CE0E8D"/>
    <w:rsid w:val="00CE1A03"/>
    <w:rsid w:val="00CE2346"/>
    <w:rsid w:val="00CE25B2"/>
    <w:rsid w:val="00CE2D47"/>
    <w:rsid w:val="00CE3529"/>
    <w:rsid w:val="00CE35C8"/>
    <w:rsid w:val="00CE3962"/>
    <w:rsid w:val="00CE4920"/>
    <w:rsid w:val="00CE4A07"/>
    <w:rsid w:val="00CE4D0A"/>
    <w:rsid w:val="00CE4D1A"/>
    <w:rsid w:val="00CE4E8A"/>
    <w:rsid w:val="00CE5105"/>
    <w:rsid w:val="00CE56BD"/>
    <w:rsid w:val="00CE5EC0"/>
    <w:rsid w:val="00CE68AD"/>
    <w:rsid w:val="00CE6F9F"/>
    <w:rsid w:val="00CE7719"/>
    <w:rsid w:val="00CE781A"/>
    <w:rsid w:val="00CE790C"/>
    <w:rsid w:val="00CE7B08"/>
    <w:rsid w:val="00CE7D52"/>
    <w:rsid w:val="00CF0AB7"/>
    <w:rsid w:val="00CF1D74"/>
    <w:rsid w:val="00CF287D"/>
    <w:rsid w:val="00CF2BE2"/>
    <w:rsid w:val="00CF3DEB"/>
    <w:rsid w:val="00CF4498"/>
    <w:rsid w:val="00CF55F9"/>
    <w:rsid w:val="00CF585F"/>
    <w:rsid w:val="00CF5D43"/>
    <w:rsid w:val="00CF6870"/>
    <w:rsid w:val="00CF7074"/>
    <w:rsid w:val="00CF7495"/>
    <w:rsid w:val="00D01CF9"/>
    <w:rsid w:val="00D02D65"/>
    <w:rsid w:val="00D0334D"/>
    <w:rsid w:val="00D0374D"/>
    <w:rsid w:val="00D06D7B"/>
    <w:rsid w:val="00D06DA5"/>
    <w:rsid w:val="00D07191"/>
    <w:rsid w:val="00D07F1D"/>
    <w:rsid w:val="00D10136"/>
    <w:rsid w:val="00D10558"/>
    <w:rsid w:val="00D11D4D"/>
    <w:rsid w:val="00D11DB1"/>
    <w:rsid w:val="00D11F76"/>
    <w:rsid w:val="00D126DC"/>
    <w:rsid w:val="00D12B03"/>
    <w:rsid w:val="00D13E70"/>
    <w:rsid w:val="00D13EE7"/>
    <w:rsid w:val="00D15FCD"/>
    <w:rsid w:val="00D16C58"/>
    <w:rsid w:val="00D17019"/>
    <w:rsid w:val="00D17FC8"/>
    <w:rsid w:val="00D2015B"/>
    <w:rsid w:val="00D20B44"/>
    <w:rsid w:val="00D21168"/>
    <w:rsid w:val="00D22655"/>
    <w:rsid w:val="00D2438C"/>
    <w:rsid w:val="00D2585A"/>
    <w:rsid w:val="00D259B0"/>
    <w:rsid w:val="00D259C2"/>
    <w:rsid w:val="00D26C3F"/>
    <w:rsid w:val="00D27185"/>
    <w:rsid w:val="00D3028A"/>
    <w:rsid w:val="00D32A03"/>
    <w:rsid w:val="00D33488"/>
    <w:rsid w:val="00D338D9"/>
    <w:rsid w:val="00D33AB3"/>
    <w:rsid w:val="00D33F24"/>
    <w:rsid w:val="00D34160"/>
    <w:rsid w:val="00D346B8"/>
    <w:rsid w:val="00D34DCA"/>
    <w:rsid w:val="00D35AC8"/>
    <w:rsid w:val="00D35B55"/>
    <w:rsid w:val="00D36F87"/>
    <w:rsid w:val="00D37D77"/>
    <w:rsid w:val="00D37E4E"/>
    <w:rsid w:val="00D417D8"/>
    <w:rsid w:val="00D41F78"/>
    <w:rsid w:val="00D42D63"/>
    <w:rsid w:val="00D42E6C"/>
    <w:rsid w:val="00D4351C"/>
    <w:rsid w:val="00D43B80"/>
    <w:rsid w:val="00D44261"/>
    <w:rsid w:val="00D44988"/>
    <w:rsid w:val="00D45B4C"/>
    <w:rsid w:val="00D45BA4"/>
    <w:rsid w:val="00D471AF"/>
    <w:rsid w:val="00D471E2"/>
    <w:rsid w:val="00D4724F"/>
    <w:rsid w:val="00D4738A"/>
    <w:rsid w:val="00D50519"/>
    <w:rsid w:val="00D50779"/>
    <w:rsid w:val="00D51496"/>
    <w:rsid w:val="00D51601"/>
    <w:rsid w:val="00D51ECB"/>
    <w:rsid w:val="00D521CE"/>
    <w:rsid w:val="00D5264C"/>
    <w:rsid w:val="00D52BBC"/>
    <w:rsid w:val="00D537FE"/>
    <w:rsid w:val="00D53CC9"/>
    <w:rsid w:val="00D54A6A"/>
    <w:rsid w:val="00D54B8F"/>
    <w:rsid w:val="00D54C5C"/>
    <w:rsid w:val="00D55848"/>
    <w:rsid w:val="00D55951"/>
    <w:rsid w:val="00D559F0"/>
    <w:rsid w:val="00D5650F"/>
    <w:rsid w:val="00D57EB6"/>
    <w:rsid w:val="00D608C0"/>
    <w:rsid w:val="00D60C14"/>
    <w:rsid w:val="00D60D6D"/>
    <w:rsid w:val="00D6128C"/>
    <w:rsid w:val="00D61CFF"/>
    <w:rsid w:val="00D63B22"/>
    <w:rsid w:val="00D63E63"/>
    <w:rsid w:val="00D66D8B"/>
    <w:rsid w:val="00D70849"/>
    <w:rsid w:val="00D72297"/>
    <w:rsid w:val="00D72A1C"/>
    <w:rsid w:val="00D7308F"/>
    <w:rsid w:val="00D7313E"/>
    <w:rsid w:val="00D73580"/>
    <w:rsid w:val="00D73802"/>
    <w:rsid w:val="00D73C2C"/>
    <w:rsid w:val="00D73D52"/>
    <w:rsid w:val="00D745E7"/>
    <w:rsid w:val="00D75FDA"/>
    <w:rsid w:val="00D774ED"/>
    <w:rsid w:val="00D777C3"/>
    <w:rsid w:val="00D7797C"/>
    <w:rsid w:val="00D77C44"/>
    <w:rsid w:val="00D77F88"/>
    <w:rsid w:val="00D80237"/>
    <w:rsid w:val="00D81AFA"/>
    <w:rsid w:val="00D81EAA"/>
    <w:rsid w:val="00D81FE2"/>
    <w:rsid w:val="00D820A5"/>
    <w:rsid w:val="00D8259F"/>
    <w:rsid w:val="00D825F2"/>
    <w:rsid w:val="00D8285C"/>
    <w:rsid w:val="00D828B1"/>
    <w:rsid w:val="00D8294D"/>
    <w:rsid w:val="00D82A55"/>
    <w:rsid w:val="00D830F8"/>
    <w:rsid w:val="00D83D49"/>
    <w:rsid w:val="00D84181"/>
    <w:rsid w:val="00D846AD"/>
    <w:rsid w:val="00D84754"/>
    <w:rsid w:val="00D84F27"/>
    <w:rsid w:val="00D853F0"/>
    <w:rsid w:val="00D85862"/>
    <w:rsid w:val="00D86D47"/>
    <w:rsid w:val="00D8710C"/>
    <w:rsid w:val="00D873C6"/>
    <w:rsid w:val="00D9074A"/>
    <w:rsid w:val="00D9099E"/>
    <w:rsid w:val="00D9193A"/>
    <w:rsid w:val="00D91AF1"/>
    <w:rsid w:val="00D923B2"/>
    <w:rsid w:val="00D92463"/>
    <w:rsid w:val="00D93E64"/>
    <w:rsid w:val="00D93F64"/>
    <w:rsid w:val="00D94CA4"/>
    <w:rsid w:val="00D95E99"/>
    <w:rsid w:val="00D965D5"/>
    <w:rsid w:val="00D970B3"/>
    <w:rsid w:val="00D97D58"/>
    <w:rsid w:val="00D97DA2"/>
    <w:rsid w:val="00DA0485"/>
    <w:rsid w:val="00DA1A3A"/>
    <w:rsid w:val="00DA2351"/>
    <w:rsid w:val="00DA249E"/>
    <w:rsid w:val="00DA2D3D"/>
    <w:rsid w:val="00DA3855"/>
    <w:rsid w:val="00DA39BA"/>
    <w:rsid w:val="00DA3D28"/>
    <w:rsid w:val="00DA4C30"/>
    <w:rsid w:val="00DA5C6B"/>
    <w:rsid w:val="00DA6A44"/>
    <w:rsid w:val="00DA7A3C"/>
    <w:rsid w:val="00DB145E"/>
    <w:rsid w:val="00DB1A94"/>
    <w:rsid w:val="00DB1D52"/>
    <w:rsid w:val="00DB1E2B"/>
    <w:rsid w:val="00DB1F62"/>
    <w:rsid w:val="00DB21E7"/>
    <w:rsid w:val="00DB2E03"/>
    <w:rsid w:val="00DB3742"/>
    <w:rsid w:val="00DB3E9B"/>
    <w:rsid w:val="00DB3F4B"/>
    <w:rsid w:val="00DB5375"/>
    <w:rsid w:val="00DB5382"/>
    <w:rsid w:val="00DB67C1"/>
    <w:rsid w:val="00DB6C0B"/>
    <w:rsid w:val="00DB70F4"/>
    <w:rsid w:val="00DB748A"/>
    <w:rsid w:val="00DC050E"/>
    <w:rsid w:val="00DC1056"/>
    <w:rsid w:val="00DC1442"/>
    <w:rsid w:val="00DC21D8"/>
    <w:rsid w:val="00DC282A"/>
    <w:rsid w:val="00DC2DE8"/>
    <w:rsid w:val="00DC34DC"/>
    <w:rsid w:val="00DC3780"/>
    <w:rsid w:val="00DC3ADA"/>
    <w:rsid w:val="00DC3CC6"/>
    <w:rsid w:val="00DC3F55"/>
    <w:rsid w:val="00DC4782"/>
    <w:rsid w:val="00DC514A"/>
    <w:rsid w:val="00DC5D05"/>
    <w:rsid w:val="00DC67B1"/>
    <w:rsid w:val="00DC7FBC"/>
    <w:rsid w:val="00DD0019"/>
    <w:rsid w:val="00DD07C2"/>
    <w:rsid w:val="00DD132B"/>
    <w:rsid w:val="00DD1725"/>
    <w:rsid w:val="00DD2159"/>
    <w:rsid w:val="00DD218B"/>
    <w:rsid w:val="00DD2A18"/>
    <w:rsid w:val="00DD3044"/>
    <w:rsid w:val="00DD3985"/>
    <w:rsid w:val="00DD4DAD"/>
    <w:rsid w:val="00DD5783"/>
    <w:rsid w:val="00DD61E8"/>
    <w:rsid w:val="00DD62C0"/>
    <w:rsid w:val="00DD64DE"/>
    <w:rsid w:val="00DD66DE"/>
    <w:rsid w:val="00DD7859"/>
    <w:rsid w:val="00DD7B41"/>
    <w:rsid w:val="00DE0338"/>
    <w:rsid w:val="00DE0784"/>
    <w:rsid w:val="00DE0A1D"/>
    <w:rsid w:val="00DE15B2"/>
    <w:rsid w:val="00DE16BA"/>
    <w:rsid w:val="00DE1A9A"/>
    <w:rsid w:val="00DE33F3"/>
    <w:rsid w:val="00DE3C82"/>
    <w:rsid w:val="00DE3D2C"/>
    <w:rsid w:val="00DE4569"/>
    <w:rsid w:val="00DE5E82"/>
    <w:rsid w:val="00DE5FA6"/>
    <w:rsid w:val="00DE605D"/>
    <w:rsid w:val="00DE6792"/>
    <w:rsid w:val="00DE6AA1"/>
    <w:rsid w:val="00DE7EF7"/>
    <w:rsid w:val="00DF015B"/>
    <w:rsid w:val="00DF02EC"/>
    <w:rsid w:val="00DF10FC"/>
    <w:rsid w:val="00DF1185"/>
    <w:rsid w:val="00DF1299"/>
    <w:rsid w:val="00DF1A70"/>
    <w:rsid w:val="00DF1E5F"/>
    <w:rsid w:val="00DF23A8"/>
    <w:rsid w:val="00DF2E48"/>
    <w:rsid w:val="00DF2F27"/>
    <w:rsid w:val="00DF36B6"/>
    <w:rsid w:val="00DF4296"/>
    <w:rsid w:val="00DF4FEC"/>
    <w:rsid w:val="00DF5267"/>
    <w:rsid w:val="00DF53F0"/>
    <w:rsid w:val="00DF5F38"/>
    <w:rsid w:val="00DF6608"/>
    <w:rsid w:val="00DF6CCC"/>
    <w:rsid w:val="00DF6D0C"/>
    <w:rsid w:val="00DF6F64"/>
    <w:rsid w:val="00DF721E"/>
    <w:rsid w:val="00DF7549"/>
    <w:rsid w:val="00DF7B8A"/>
    <w:rsid w:val="00DF7C87"/>
    <w:rsid w:val="00E004C8"/>
    <w:rsid w:val="00E009B0"/>
    <w:rsid w:val="00E00A12"/>
    <w:rsid w:val="00E00B39"/>
    <w:rsid w:val="00E00C49"/>
    <w:rsid w:val="00E01C9C"/>
    <w:rsid w:val="00E0219D"/>
    <w:rsid w:val="00E04C0F"/>
    <w:rsid w:val="00E0570B"/>
    <w:rsid w:val="00E069C5"/>
    <w:rsid w:val="00E10913"/>
    <w:rsid w:val="00E10B87"/>
    <w:rsid w:val="00E121CE"/>
    <w:rsid w:val="00E12209"/>
    <w:rsid w:val="00E1478B"/>
    <w:rsid w:val="00E14868"/>
    <w:rsid w:val="00E14FAC"/>
    <w:rsid w:val="00E15007"/>
    <w:rsid w:val="00E16277"/>
    <w:rsid w:val="00E16EC7"/>
    <w:rsid w:val="00E17DCC"/>
    <w:rsid w:val="00E219CE"/>
    <w:rsid w:val="00E21D93"/>
    <w:rsid w:val="00E22D2A"/>
    <w:rsid w:val="00E24071"/>
    <w:rsid w:val="00E24DCA"/>
    <w:rsid w:val="00E24EBC"/>
    <w:rsid w:val="00E2522C"/>
    <w:rsid w:val="00E2552F"/>
    <w:rsid w:val="00E2599B"/>
    <w:rsid w:val="00E2710C"/>
    <w:rsid w:val="00E272BD"/>
    <w:rsid w:val="00E27428"/>
    <w:rsid w:val="00E305B4"/>
    <w:rsid w:val="00E31AFA"/>
    <w:rsid w:val="00E31CB7"/>
    <w:rsid w:val="00E324EE"/>
    <w:rsid w:val="00E3363F"/>
    <w:rsid w:val="00E34A77"/>
    <w:rsid w:val="00E34DB1"/>
    <w:rsid w:val="00E352B3"/>
    <w:rsid w:val="00E35931"/>
    <w:rsid w:val="00E359FF"/>
    <w:rsid w:val="00E3699A"/>
    <w:rsid w:val="00E36B82"/>
    <w:rsid w:val="00E402C5"/>
    <w:rsid w:val="00E402F4"/>
    <w:rsid w:val="00E405F1"/>
    <w:rsid w:val="00E417DB"/>
    <w:rsid w:val="00E43054"/>
    <w:rsid w:val="00E43655"/>
    <w:rsid w:val="00E44440"/>
    <w:rsid w:val="00E46013"/>
    <w:rsid w:val="00E464FB"/>
    <w:rsid w:val="00E4708F"/>
    <w:rsid w:val="00E47099"/>
    <w:rsid w:val="00E47284"/>
    <w:rsid w:val="00E477C3"/>
    <w:rsid w:val="00E47CB6"/>
    <w:rsid w:val="00E51E16"/>
    <w:rsid w:val="00E52DED"/>
    <w:rsid w:val="00E53730"/>
    <w:rsid w:val="00E5438D"/>
    <w:rsid w:val="00E54511"/>
    <w:rsid w:val="00E54E50"/>
    <w:rsid w:val="00E55288"/>
    <w:rsid w:val="00E556B0"/>
    <w:rsid w:val="00E57577"/>
    <w:rsid w:val="00E602B2"/>
    <w:rsid w:val="00E62043"/>
    <w:rsid w:val="00E626B9"/>
    <w:rsid w:val="00E627C9"/>
    <w:rsid w:val="00E630F3"/>
    <w:rsid w:val="00E6332F"/>
    <w:rsid w:val="00E637C9"/>
    <w:rsid w:val="00E637E3"/>
    <w:rsid w:val="00E6402D"/>
    <w:rsid w:val="00E6680A"/>
    <w:rsid w:val="00E66F0D"/>
    <w:rsid w:val="00E67C09"/>
    <w:rsid w:val="00E70615"/>
    <w:rsid w:val="00E7161E"/>
    <w:rsid w:val="00E7207B"/>
    <w:rsid w:val="00E7347A"/>
    <w:rsid w:val="00E73AA6"/>
    <w:rsid w:val="00E75A47"/>
    <w:rsid w:val="00E75BB6"/>
    <w:rsid w:val="00E75D8C"/>
    <w:rsid w:val="00E76A3F"/>
    <w:rsid w:val="00E777F2"/>
    <w:rsid w:val="00E802C9"/>
    <w:rsid w:val="00E80BFB"/>
    <w:rsid w:val="00E80EC2"/>
    <w:rsid w:val="00E80F0A"/>
    <w:rsid w:val="00E811AB"/>
    <w:rsid w:val="00E815D4"/>
    <w:rsid w:val="00E8291B"/>
    <w:rsid w:val="00E82E70"/>
    <w:rsid w:val="00E82F92"/>
    <w:rsid w:val="00E8395F"/>
    <w:rsid w:val="00E8410F"/>
    <w:rsid w:val="00E849D7"/>
    <w:rsid w:val="00E85E41"/>
    <w:rsid w:val="00E85EA1"/>
    <w:rsid w:val="00E8618C"/>
    <w:rsid w:val="00E86703"/>
    <w:rsid w:val="00E86C85"/>
    <w:rsid w:val="00E900DA"/>
    <w:rsid w:val="00E91044"/>
    <w:rsid w:val="00E910D3"/>
    <w:rsid w:val="00E92097"/>
    <w:rsid w:val="00E92154"/>
    <w:rsid w:val="00E923CF"/>
    <w:rsid w:val="00E93685"/>
    <w:rsid w:val="00E93B65"/>
    <w:rsid w:val="00E93C8C"/>
    <w:rsid w:val="00E95111"/>
    <w:rsid w:val="00E95FDF"/>
    <w:rsid w:val="00EA080B"/>
    <w:rsid w:val="00EA14C8"/>
    <w:rsid w:val="00EA2110"/>
    <w:rsid w:val="00EA283A"/>
    <w:rsid w:val="00EA2C90"/>
    <w:rsid w:val="00EA2E07"/>
    <w:rsid w:val="00EA383B"/>
    <w:rsid w:val="00EA48F3"/>
    <w:rsid w:val="00EA60BF"/>
    <w:rsid w:val="00EA65F2"/>
    <w:rsid w:val="00EA7365"/>
    <w:rsid w:val="00EA763F"/>
    <w:rsid w:val="00EA77E9"/>
    <w:rsid w:val="00EB0037"/>
    <w:rsid w:val="00EB05D0"/>
    <w:rsid w:val="00EB1151"/>
    <w:rsid w:val="00EB1D49"/>
    <w:rsid w:val="00EB23D9"/>
    <w:rsid w:val="00EB39A0"/>
    <w:rsid w:val="00EB430A"/>
    <w:rsid w:val="00EB559F"/>
    <w:rsid w:val="00EB566C"/>
    <w:rsid w:val="00EB5A18"/>
    <w:rsid w:val="00EB5F3D"/>
    <w:rsid w:val="00EB677D"/>
    <w:rsid w:val="00EB67A0"/>
    <w:rsid w:val="00EB6C97"/>
    <w:rsid w:val="00EB7E7E"/>
    <w:rsid w:val="00EC1CEB"/>
    <w:rsid w:val="00EC1DC0"/>
    <w:rsid w:val="00EC1DC2"/>
    <w:rsid w:val="00EC1E09"/>
    <w:rsid w:val="00EC210E"/>
    <w:rsid w:val="00EC21EC"/>
    <w:rsid w:val="00EC24B8"/>
    <w:rsid w:val="00EC268C"/>
    <w:rsid w:val="00EC3753"/>
    <w:rsid w:val="00EC4E71"/>
    <w:rsid w:val="00EC5F1C"/>
    <w:rsid w:val="00EC7470"/>
    <w:rsid w:val="00ED0365"/>
    <w:rsid w:val="00ED0865"/>
    <w:rsid w:val="00ED0C1C"/>
    <w:rsid w:val="00ED1C60"/>
    <w:rsid w:val="00ED2EB9"/>
    <w:rsid w:val="00ED3722"/>
    <w:rsid w:val="00ED3A31"/>
    <w:rsid w:val="00ED4469"/>
    <w:rsid w:val="00ED4C30"/>
    <w:rsid w:val="00ED5302"/>
    <w:rsid w:val="00ED5424"/>
    <w:rsid w:val="00ED5F23"/>
    <w:rsid w:val="00ED6DC0"/>
    <w:rsid w:val="00ED7A7A"/>
    <w:rsid w:val="00EE0327"/>
    <w:rsid w:val="00EE038C"/>
    <w:rsid w:val="00EE13C6"/>
    <w:rsid w:val="00EE28C5"/>
    <w:rsid w:val="00EE2F09"/>
    <w:rsid w:val="00EE3B97"/>
    <w:rsid w:val="00EE47C5"/>
    <w:rsid w:val="00EE4824"/>
    <w:rsid w:val="00EE490C"/>
    <w:rsid w:val="00EE4E57"/>
    <w:rsid w:val="00EE5738"/>
    <w:rsid w:val="00EE58BD"/>
    <w:rsid w:val="00EE5E59"/>
    <w:rsid w:val="00EE73D0"/>
    <w:rsid w:val="00EE7CB0"/>
    <w:rsid w:val="00EE7F8E"/>
    <w:rsid w:val="00EF0455"/>
    <w:rsid w:val="00EF08A8"/>
    <w:rsid w:val="00EF167B"/>
    <w:rsid w:val="00EF2496"/>
    <w:rsid w:val="00EF41A8"/>
    <w:rsid w:val="00EF44FB"/>
    <w:rsid w:val="00EF46F2"/>
    <w:rsid w:val="00EF5122"/>
    <w:rsid w:val="00EF5554"/>
    <w:rsid w:val="00EF5AD8"/>
    <w:rsid w:val="00EF6B90"/>
    <w:rsid w:val="00EF7807"/>
    <w:rsid w:val="00EF79F7"/>
    <w:rsid w:val="00EF7D80"/>
    <w:rsid w:val="00F005DE"/>
    <w:rsid w:val="00F006C0"/>
    <w:rsid w:val="00F0125F"/>
    <w:rsid w:val="00F019AA"/>
    <w:rsid w:val="00F0267E"/>
    <w:rsid w:val="00F02686"/>
    <w:rsid w:val="00F030C0"/>
    <w:rsid w:val="00F03291"/>
    <w:rsid w:val="00F03A85"/>
    <w:rsid w:val="00F0459B"/>
    <w:rsid w:val="00F04D6F"/>
    <w:rsid w:val="00F04E15"/>
    <w:rsid w:val="00F05DF3"/>
    <w:rsid w:val="00F06829"/>
    <w:rsid w:val="00F069EA"/>
    <w:rsid w:val="00F070E5"/>
    <w:rsid w:val="00F07DB8"/>
    <w:rsid w:val="00F07DDE"/>
    <w:rsid w:val="00F11675"/>
    <w:rsid w:val="00F123DA"/>
    <w:rsid w:val="00F12557"/>
    <w:rsid w:val="00F13599"/>
    <w:rsid w:val="00F13B28"/>
    <w:rsid w:val="00F156A0"/>
    <w:rsid w:val="00F15730"/>
    <w:rsid w:val="00F176A6"/>
    <w:rsid w:val="00F202C2"/>
    <w:rsid w:val="00F20D26"/>
    <w:rsid w:val="00F212F6"/>
    <w:rsid w:val="00F22756"/>
    <w:rsid w:val="00F23248"/>
    <w:rsid w:val="00F23890"/>
    <w:rsid w:val="00F24B3D"/>
    <w:rsid w:val="00F2504D"/>
    <w:rsid w:val="00F2637F"/>
    <w:rsid w:val="00F268F7"/>
    <w:rsid w:val="00F26A5F"/>
    <w:rsid w:val="00F30B83"/>
    <w:rsid w:val="00F30BDB"/>
    <w:rsid w:val="00F30CF8"/>
    <w:rsid w:val="00F30E78"/>
    <w:rsid w:val="00F31EDF"/>
    <w:rsid w:val="00F3228B"/>
    <w:rsid w:val="00F32CDE"/>
    <w:rsid w:val="00F32D4C"/>
    <w:rsid w:val="00F3327E"/>
    <w:rsid w:val="00F338C3"/>
    <w:rsid w:val="00F33A62"/>
    <w:rsid w:val="00F34B14"/>
    <w:rsid w:val="00F34F58"/>
    <w:rsid w:val="00F35DA7"/>
    <w:rsid w:val="00F36A6A"/>
    <w:rsid w:val="00F36D95"/>
    <w:rsid w:val="00F379E5"/>
    <w:rsid w:val="00F37A38"/>
    <w:rsid w:val="00F40101"/>
    <w:rsid w:val="00F404F7"/>
    <w:rsid w:val="00F40CCA"/>
    <w:rsid w:val="00F42D97"/>
    <w:rsid w:val="00F42FCF"/>
    <w:rsid w:val="00F436B2"/>
    <w:rsid w:val="00F43813"/>
    <w:rsid w:val="00F43FEE"/>
    <w:rsid w:val="00F4492F"/>
    <w:rsid w:val="00F4547B"/>
    <w:rsid w:val="00F45A72"/>
    <w:rsid w:val="00F46723"/>
    <w:rsid w:val="00F4706D"/>
    <w:rsid w:val="00F476E1"/>
    <w:rsid w:val="00F47D1D"/>
    <w:rsid w:val="00F47F29"/>
    <w:rsid w:val="00F50016"/>
    <w:rsid w:val="00F5118A"/>
    <w:rsid w:val="00F51A21"/>
    <w:rsid w:val="00F52614"/>
    <w:rsid w:val="00F5265B"/>
    <w:rsid w:val="00F5276E"/>
    <w:rsid w:val="00F52E9F"/>
    <w:rsid w:val="00F52F3C"/>
    <w:rsid w:val="00F53304"/>
    <w:rsid w:val="00F53B81"/>
    <w:rsid w:val="00F540FE"/>
    <w:rsid w:val="00F5459A"/>
    <w:rsid w:val="00F556FF"/>
    <w:rsid w:val="00F55D12"/>
    <w:rsid w:val="00F5687F"/>
    <w:rsid w:val="00F56D3F"/>
    <w:rsid w:val="00F575C7"/>
    <w:rsid w:val="00F57FD0"/>
    <w:rsid w:val="00F60305"/>
    <w:rsid w:val="00F61B12"/>
    <w:rsid w:val="00F61C70"/>
    <w:rsid w:val="00F63264"/>
    <w:rsid w:val="00F634E4"/>
    <w:rsid w:val="00F6379E"/>
    <w:rsid w:val="00F64047"/>
    <w:rsid w:val="00F64B6D"/>
    <w:rsid w:val="00F65171"/>
    <w:rsid w:val="00F6560D"/>
    <w:rsid w:val="00F67844"/>
    <w:rsid w:val="00F679D5"/>
    <w:rsid w:val="00F70799"/>
    <w:rsid w:val="00F70A8B"/>
    <w:rsid w:val="00F70B8D"/>
    <w:rsid w:val="00F71936"/>
    <w:rsid w:val="00F724FB"/>
    <w:rsid w:val="00F726B8"/>
    <w:rsid w:val="00F72A26"/>
    <w:rsid w:val="00F733C3"/>
    <w:rsid w:val="00F73E8D"/>
    <w:rsid w:val="00F746A1"/>
    <w:rsid w:val="00F74820"/>
    <w:rsid w:val="00F756DD"/>
    <w:rsid w:val="00F77F4E"/>
    <w:rsid w:val="00F80047"/>
    <w:rsid w:val="00F800C7"/>
    <w:rsid w:val="00F8104D"/>
    <w:rsid w:val="00F8153F"/>
    <w:rsid w:val="00F81587"/>
    <w:rsid w:val="00F8288F"/>
    <w:rsid w:val="00F8376E"/>
    <w:rsid w:val="00F83C52"/>
    <w:rsid w:val="00F84802"/>
    <w:rsid w:val="00F85B72"/>
    <w:rsid w:val="00F86540"/>
    <w:rsid w:val="00F865CE"/>
    <w:rsid w:val="00F8766F"/>
    <w:rsid w:val="00F90282"/>
    <w:rsid w:val="00F91082"/>
    <w:rsid w:val="00F9116D"/>
    <w:rsid w:val="00F91342"/>
    <w:rsid w:val="00F91A9A"/>
    <w:rsid w:val="00F92634"/>
    <w:rsid w:val="00F933F3"/>
    <w:rsid w:val="00F93ABB"/>
    <w:rsid w:val="00F94D79"/>
    <w:rsid w:val="00F9658C"/>
    <w:rsid w:val="00F96EEB"/>
    <w:rsid w:val="00F97A7F"/>
    <w:rsid w:val="00F97CD0"/>
    <w:rsid w:val="00FA0016"/>
    <w:rsid w:val="00FA0889"/>
    <w:rsid w:val="00FA16E7"/>
    <w:rsid w:val="00FA31C7"/>
    <w:rsid w:val="00FA472D"/>
    <w:rsid w:val="00FA681F"/>
    <w:rsid w:val="00FB0500"/>
    <w:rsid w:val="00FB05B8"/>
    <w:rsid w:val="00FB0CBF"/>
    <w:rsid w:val="00FB18F6"/>
    <w:rsid w:val="00FB1958"/>
    <w:rsid w:val="00FB2A52"/>
    <w:rsid w:val="00FB3999"/>
    <w:rsid w:val="00FB3F92"/>
    <w:rsid w:val="00FB52C7"/>
    <w:rsid w:val="00FB57DC"/>
    <w:rsid w:val="00FB6E19"/>
    <w:rsid w:val="00FB71F6"/>
    <w:rsid w:val="00FC07AF"/>
    <w:rsid w:val="00FC0AF8"/>
    <w:rsid w:val="00FC0B69"/>
    <w:rsid w:val="00FC1483"/>
    <w:rsid w:val="00FC1C47"/>
    <w:rsid w:val="00FC3102"/>
    <w:rsid w:val="00FC39ED"/>
    <w:rsid w:val="00FC4419"/>
    <w:rsid w:val="00FC47E2"/>
    <w:rsid w:val="00FC4AA5"/>
    <w:rsid w:val="00FC4B88"/>
    <w:rsid w:val="00FC4BB8"/>
    <w:rsid w:val="00FC5148"/>
    <w:rsid w:val="00FC5F09"/>
    <w:rsid w:val="00FC6524"/>
    <w:rsid w:val="00FC6B58"/>
    <w:rsid w:val="00FC75AC"/>
    <w:rsid w:val="00FC7984"/>
    <w:rsid w:val="00FD01BF"/>
    <w:rsid w:val="00FD0525"/>
    <w:rsid w:val="00FD0AB7"/>
    <w:rsid w:val="00FD1EA6"/>
    <w:rsid w:val="00FD297D"/>
    <w:rsid w:val="00FD2D13"/>
    <w:rsid w:val="00FD374D"/>
    <w:rsid w:val="00FD5342"/>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0A72"/>
    <w:rsid w:val="00FF1C9B"/>
    <w:rsid w:val="00FF1D49"/>
    <w:rsid w:val="00FF203B"/>
    <w:rsid w:val="00FF2216"/>
    <w:rsid w:val="00FF2562"/>
    <w:rsid w:val="00FF3703"/>
    <w:rsid w:val="00FF3A41"/>
    <w:rsid w:val="00FF3C9C"/>
    <w:rsid w:val="00FF3E5B"/>
    <w:rsid w:val="00FF4538"/>
    <w:rsid w:val="00FF57E4"/>
    <w:rsid w:val="00FF78E5"/>
    <w:rsid w:val="012C5FAF"/>
    <w:rsid w:val="01AF3D99"/>
    <w:rsid w:val="02221B29"/>
    <w:rsid w:val="02511F9D"/>
    <w:rsid w:val="029D4ECB"/>
    <w:rsid w:val="02A9526F"/>
    <w:rsid w:val="02C951F9"/>
    <w:rsid w:val="02CE19DA"/>
    <w:rsid w:val="03127926"/>
    <w:rsid w:val="03591C55"/>
    <w:rsid w:val="03A314B8"/>
    <w:rsid w:val="03D82B98"/>
    <w:rsid w:val="03DB0072"/>
    <w:rsid w:val="03F83E8B"/>
    <w:rsid w:val="04DB69A2"/>
    <w:rsid w:val="05182AFA"/>
    <w:rsid w:val="05C56868"/>
    <w:rsid w:val="060A3E55"/>
    <w:rsid w:val="06AC66F4"/>
    <w:rsid w:val="079D138E"/>
    <w:rsid w:val="07A539BD"/>
    <w:rsid w:val="07B72767"/>
    <w:rsid w:val="08077E72"/>
    <w:rsid w:val="08882DD0"/>
    <w:rsid w:val="08A16533"/>
    <w:rsid w:val="08D85DF6"/>
    <w:rsid w:val="09CC2AAC"/>
    <w:rsid w:val="0A652D3E"/>
    <w:rsid w:val="0A730510"/>
    <w:rsid w:val="0AF94B2F"/>
    <w:rsid w:val="0B326F2A"/>
    <w:rsid w:val="0B66017E"/>
    <w:rsid w:val="0B75621D"/>
    <w:rsid w:val="0B9572C8"/>
    <w:rsid w:val="0BED0EFB"/>
    <w:rsid w:val="0C1E2888"/>
    <w:rsid w:val="0C8723F5"/>
    <w:rsid w:val="0C92213C"/>
    <w:rsid w:val="0CB343F6"/>
    <w:rsid w:val="0CC2027E"/>
    <w:rsid w:val="0D003F3D"/>
    <w:rsid w:val="0D5D3094"/>
    <w:rsid w:val="0D63531C"/>
    <w:rsid w:val="0D84032B"/>
    <w:rsid w:val="0EF4423E"/>
    <w:rsid w:val="0F1A028E"/>
    <w:rsid w:val="0F2A74C4"/>
    <w:rsid w:val="0F7B4E6A"/>
    <w:rsid w:val="0F8A6A96"/>
    <w:rsid w:val="0F8B76DD"/>
    <w:rsid w:val="0FC4763E"/>
    <w:rsid w:val="103B2931"/>
    <w:rsid w:val="10A27F31"/>
    <w:rsid w:val="11304733"/>
    <w:rsid w:val="11306AD5"/>
    <w:rsid w:val="11927058"/>
    <w:rsid w:val="11C041A5"/>
    <w:rsid w:val="11C708A3"/>
    <w:rsid w:val="11EA400A"/>
    <w:rsid w:val="120E171E"/>
    <w:rsid w:val="120F5D75"/>
    <w:rsid w:val="129652A4"/>
    <w:rsid w:val="12B62DBD"/>
    <w:rsid w:val="136E7FB7"/>
    <w:rsid w:val="13801C3B"/>
    <w:rsid w:val="13AF4F03"/>
    <w:rsid w:val="143C0174"/>
    <w:rsid w:val="14736E66"/>
    <w:rsid w:val="147F458F"/>
    <w:rsid w:val="14FB3FE4"/>
    <w:rsid w:val="1534169A"/>
    <w:rsid w:val="15517E86"/>
    <w:rsid w:val="15C03E03"/>
    <w:rsid w:val="15DB133F"/>
    <w:rsid w:val="162A25EB"/>
    <w:rsid w:val="164F051B"/>
    <w:rsid w:val="165F088C"/>
    <w:rsid w:val="16735895"/>
    <w:rsid w:val="16CC0D53"/>
    <w:rsid w:val="16FD2A55"/>
    <w:rsid w:val="17067C1A"/>
    <w:rsid w:val="17366761"/>
    <w:rsid w:val="173C7D8C"/>
    <w:rsid w:val="177C01F0"/>
    <w:rsid w:val="179E3EFA"/>
    <w:rsid w:val="17CE6630"/>
    <w:rsid w:val="180A592B"/>
    <w:rsid w:val="1857752E"/>
    <w:rsid w:val="18D41847"/>
    <w:rsid w:val="1929207F"/>
    <w:rsid w:val="194834DE"/>
    <w:rsid w:val="19807C73"/>
    <w:rsid w:val="19A27A66"/>
    <w:rsid w:val="1A240E45"/>
    <w:rsid w:val="1A8647D3"/>
    <w:rsid w:val="1AFF0AFE"/>
    <w:rsid w:val="1B093873"/>
    <w:rsid w:val="1B47100F"/>
    <w:rsid w:val="1B4F19F8"/>
    <w:rsid w:val="1B6D5E5F"/>
    <w:rsid w:val="1B8B1C65"/>
    <w:rsid w:val="1C2022D6"/>
    <w:rsid w:val="1D3F3591"/>
    <w:rsid w:val="1D5A4243"/>
    <w:rsid w:val="1DD9661C"/>
    <w:rsid w:val="1DEB2570"/>
    <w:rsid w:val="1E066426"/>
    <w:rsid w:val="1EC666D7"/>
    <w:rsid w:val="1ECC44FA"/>
    <w:rsid w:val="1F063325"/>
    <w:rsid w:val="1F150598"/>
    <w:rsid w:val="1F3D64E2"/>
    <w:rsid w:val="1FB309B9"/>
    <w:rsid w:val="1FBC5DF5"/>
    <w:rsid w:val="1FC86C5A"/>
    <w:rsid w:val="1FF90588"/>
    <w:rsid w:val="20793A8A"/>
    <w:rsid w:val="207C0831"/>
    <w:rsid w:val="20C3623F"/>
    <w:rsid w:val="21781212"/>
    <w:rsid w:val="21A75BB7"/>
    <w:rsid w:val="21B12B4A"/>
    <w:rsid w:val="21B83F86"/>
    <w:rsid w:val="21BD41DB"/>
    <w:rsid w:val="221178A8"/>
    <w:rsid w:val="221213CF"/>
    <w:rsid w:val="22327A92"/>
    <w:rsid w:val="227D4DF4"/>
    <w:rsid w:val="228C7672"/>
    <w:rsid w:val="231D53A2"/>
    <w:rsid w:val="236D5383"/>
    <w:rsid w:val="23B7504C"/>
    <w:rsid w:val="23BA5744"/>
    <w:rsid w:val="23EB61A9"/>
    <w:rsid w:val="24484D0F"/>
    <w:rsid w:val="24571307"/>
    <w:rsid w:val="24B149DB"/>
    <w:rsid w:val="24EA5A89"/>
    <w:rsid w:val="24F53752"/>
    <w:rsid w:val="24FB1080"/>
    <w:rsid w:val="25110A2A"/>
    <w:rsid w:val="256C0944"/>
    <w:rsid w:val="25BA7C7E"/>
    <w:rsid w:val="25DE70EB"/>
    <w:rsid w:val="2602467A"/>
    <w:rsid w:val="26125040"/>
    <w:rsid w:val="26446DE3"/>
    <w:rsid w:val="26877DFE"/>
    <w:rsid w:val="269669E7"/>
    <w:rsid w:val="26A270C1"/>
    <w:rsid w:val="26D7699F"/>
    <w:rsid w:val="270409FF"/>
    <w:rsid w:val="27514182"/>
    <w:rsid w:val="27586C8C"/>
    <w:rsid w:val="27A7749C"/>
    <w:rsid w:val="284B4155"/>
    <w:rsid w:val="29B35110"/>
    <w:rsid w:val="29BF7B8B"/>
    <w:rsid w:val="29D75F7F"/>
    <w:rsid w:val="2A7932A2"/>
    <w:rsid w:val="2AB456E9"/>
    <w:rsid w:val="2ABA6379"/>
    <w:rsid w:val="2AE273B5"/>
    <w:rsid w:val="2B185AC8"/>
    <w:rsid w:val="2B774624"/>
    <w:rsid w:val="2C326B2E"/>
    <w:rsid w:val="2C4C78E5"/>
    <w:rsid w:val="2C7A72BE"/>
    <w:rsid w:val="2C9A7D75"/>
    <w:rsid w:val="2CC17412"/>
    <w:rsid w:val="2D1D5A3E"/>
    <w:rsid w:val="2D7C1E99"/>
    <w:rsid w:val="2DE57862"/>
    <w:rsid w:val="2E953665"/>
    <w:rsid w:val="2E9976CE"/>
    <w:rsid w:val="2EDA456E"/>
    <w:rsid w:val="2EF01DEE"/>
    <w:rsid w:val="2F401D3C"/>
    <w:rsid w:val="2F5B24E1"/>
    <w:rsid w:val="2FA95C88"/>
    <w:rsid w:val="30182A89"/>
    <w:rsid w:val="302A3A0A"/>
    <w:rsid w:val="3041370F"/>
    <w:rsid w:val="30B87FED"/>
    <w:rsid w:val="30E161D9"/>
    <w:rsid w:val="312B50A3"/>
    <w:rsid w:val="31486EE9"/>
    <w:rsid w:val="315B522B"/>
    <w:rsid w:val="31894FD2"/>
    <w:rsid w:val="318F1FBE"/>
    <w:rsid w:val="32453A27"/>
    <w:rsid w:val="3263064A"/>
    <w:rsid w:val="32770F75"/>
    <w:rsid w:val="32A43132"/>
    <w:rsid w:val="32AC0C06"/>
    <w:rsid w:val="33201DA5"/>
    <w:rsid w:val="33344EF5"/>
    <w:rsid w:val="3383610E"/>
    <w:rsid w:val="340F5638"/>
    <w:rsid w:val="3537750C"/>
    <w:rsid w:val="3537798C"/>
    <w:rsid w:val="35C13FC9"/>
    <w:rsid w:val="35F66EA4"/>
    <w:rsid w:val="36310181"/>
    <w:rsid w:val="36372B05"/>
    <w:rsid w:val="364257B6"/>
    <w:rsid w:val="36B73858"/>
    <w:rsid w:val="37290267"/>
    <w:rsid w:val="37EA5922"/>
    <w:rsid w:val="38276B93"/>
    <w:rsid w:val="382E58B8"/>
    <w:rsid w:val="384E5AB2"/>
    <w:rsid w:val="38797524"/>
    <w:rsid w:val="38AC3431"/>
    <w:rsid w:val="39087C97"/>
    <w:rsid w:val="392F2E16"/>
    <w:rsid w:val="39886A38"/>
    <w:rsid w:val="399A69DA"/>
    <w:rsid w:val="39E00529"/>
    <w:rsid w:val="3A0B64A7"/>
    <w:rsid w:val="3A574DDA"/>
    <w:rsid w:val="3A643DBF"/>
    <w:rsid w:val="3AD3075A"/>
    <w:rsid w:val="3AF74C02"/>
    <w:rsid w:val="3BF33702"/>
    <w:rsid w:val="3C0059A5"/>
    <w:rsid w:val="3C134E78"/>
    <w:rsid w:val="3C5C7C56"/>
    <w:rsid w:val="3D024FE4"/>
    <w:rsid w:val="3D3A25CA"/>
    <w:rsid w:val="3DCB38CE"/>
    <w:rsid w:val="3DE02603"/>
    <w:rsid w:val="3DE26608"/>
    <w:rsid w:val="3DF6345D"/>
    <w:rsid w:val="3E2B5515"/>
    <w:rsid w:val="3E445E69"/>
    <w:rsid w:val="3E4D4F28"/>
    <w:rsid w:val="3EA437F3"/>
    <w:rsid w:val="3ED92EC4"/>
    <w:rsid w:val="3EE13701"/>
    <w:rsid w:val="3EFC6DB2"/>
    <w:rsid w:val="3F1A4BB3"/>
    <w:rsid w:val="3F797AD9"/>
    <w:rsid w:val="3FF65CE6"/>
    <w:rsid w:val="40192BA6"/>
    <w:rsid w:val="406E5F5B"/>
    <w:rsid w:val="41614CC1"/>
    <w:rsid w:val="41766EA9"/>
    <w:rsid w:val="423367A1"/>
    <w:rsid w:val="42550A18"/>
    <w:rsid w:val="429B0BD7"/>
    <w:rsid w:val="429D496A"/>
    <w:rsid w:val="42F473A1"/>
    <w:rsid w:val="431324CB"/>
    <w:rsid w:val="433C73FD"/>
    <w:rsid w:val="437217EA"/>
    <w:rsid w:val="43974077"/>
    <w:rsid w:val="43AB7156"/>
    <w:rsid w:val="441E62C0"/>
    <w:rsid w:val="444C1F91"/>
    <w:rsid w:val="45094B59"/>
    <w:rsid w:val="450A4D4D"/>
    <w:rsid w:val="452F6EE8"/>
    <w:rsid w:val="45325D14"/>
    <w:rsid w:val="453D13BE"/>
    <w:rsid w:val="45413006"/>
    <w:rsid w:val="455707A9"/>
    <w:rsid w:val="45622D3C"/>
    <w:rsid w:val="45751EAF"/>
    <w:rsid w:val="457B3D2C"/>
    <w:rsid w:val="45811C7C"/>
    <w:rsid w:val="45906116"/>
    <w:rsid w:val="45931B8C"/>
    <w:rsid w:val="459C087E"/>
    <w:rsid w:val="45EF2552"/>
    <w:rsid w:val="46640BA8"/>
    <w:rsid w:val="468B3EFB"/>
    <w:rsid w:val="46E1680A"/>
    <w:rsid w:val="470A6193"/>
    <w:rsid w:val="47385210"/>
    <w:rsid w:val="47395927"/>
    <w:rsid w:val="475510F8"/>
    <w:rsid w:val="47C07070"/>
    <w:rsid w:val="47D54D38"/>
    <w:rsid w:val="47DC4F5C"/>
    <w:rsid w:val="48B40671"/>
    <w:rsid w:val="49205F7F"/>
    <w:rsid w:val="499B5738"/>
    <w:rsid w:val="499F244D"/>
    <w:rsid w:val="49A9693B"/>
    <w:rsid w:val="4A63530A"/>
    <w:rsid w:val="4A973F3F"/>
    <w:rsid w:val="4ACB4D84"/>
    <w:rsid w:val="4AF96BC7"/>
    <w:rsid w:val="4B0D0CEC"/>
    <w:rsid w:val="4B1916B1"/>
    <w:rsid w:val="4B24669A"/>
    <w:rsid w:val="4B862A85"/>
    <w:rsid w:val="4B8C33A1"/>
    <w:rsid w:val="4BC3391C"/>
    <w:rsid w:val="4C5F40FE"/>
    <w:rsid w:val="4CA878C4"/>
    <w:rsid w:val="4CEF36E2"/>
    <w:rsid w:val="4CEF4DC5"/>
    <w:rsid w:val="4D2D3ED6"/>
    <w:rsid w:val="4D73058E"/>
    <w:rsid w:val="4D7A7B6F"/>
    <w:rsid w:val="4E1A20D7"/>
    <w:rsid w:val="4E257655"/>
    <w:rsid w:val="4EB34830"/>
    <w:rsid w:val="4F372380"/>
    <w:rsid w:val="4F372FFB"/>
    <w:rsid w:val="4F474815"/>
    <w:rsid w:val="4F871DAE"/>
    <w:rsid w:val="50206D62"/>
    <w:rsid w:val="5025116D"/>
    <w:rsid w:val="505408CC"/>
    <w:rsid w:val="50550B27"/>
    <w:rsid w:val="50DE0F6D"/>
    <w:rsid w:val="51B84A51"/>
    <w:rsid w:val="52395ECD"/>
    <w:rsid w:val="52420380"/>
    <w:rsid w:val="52C10D75"/>
    <w:rsid w:val="52EC2C4F"/>
    <w:rsid w:val="53C27FF8"/>
    <w:rsid w:val="541746D3"/>
    <w:rsid w:val="548041E2"/>
    <w:rsid w:val="54806794"/>
    <w:rsid w:val="549E1A80"/>
    <w:rsid w:val="54C658F4"/>
    <w:rsid w:val="54C92704"/>
    <w:rsid w:val="550C4BD7"/>
    <w:rsid w:val="554C1D56"/>
    <w:rsid w:val="55572986"/>
    <w:rsid w:val="555D26AF"/>
    <w:rsid w:val="55656217"/>
    <w:rsid w:val="55806920"/>
    <w:rsid w:val="565340FA"/>
    <w:rsid w:val="56AD5F59"/>
    <w:rsid w:val="56C60774"/>
    <w:rsid w:val="56E3631B"/>
    <w:rsid w:val="57486711"/>
    <w:rsid w:val="57B12A52"/>
    <w:rsid w:val="580A39A0"/>
    <w:rsid w:val="58313FB6"/>
    <w:rsid w:val="5858427A"/>
    <w:rsid w:val="58D64A28"/>
    <w:rsid w:val="59425364"/>
    <w:rsid w:val="59444D7C"/>
    <w:rsid w:val="594F05A5"/>
    <w:rsid w:val="595128D6"/>
    <w:rsid w:val="5A2F2CC8"/>
    <w:rsid w:val="5A663955"/>
    <w:rsid w:val="5AA77AC9"/>
    <w:rsid w:val="5AE51395"/>
    <w:rsid w:val="5B1A676E"/>
    <w:rsid w:val="5B596DE8"/>
    <w:rsid w:val="5B8836FB"/>
    <w:rsid w:val="5BE6357C"/>
    <w:rsid w:val="5C10702D"/>
    <w:rsid w:val="5C152601"/>
    <w:rsid w:val="5C4C2264"/>
    <w:rsid w:val="5C591F03"/>
    <w:rsid w:val="5C8A1B2F"/>
    <w:rsid w:val="5C924741"/>
    <w:rsid w:val="5D864083"/>
    <w:rsid w:val="5DE50C25"/>
    <w:rsid w:val="5E2B162C"/>
    <w:rsid w:val="5E7F524D"/>
    <w:rsid w:val="5E8C073E"/>
    <w:rsid w:val="5EB14206"/>
    <w:rsid w:val="5F385194"/>
    <w:rsid w:val="5F3F0D2F"/>
    <w:rsid w:val="5F561B72"/>
    <w:rsid w:val="606007BB"/>
    <w:rsid w:val="60AC7F66"/>
    <w:rsid w:val="60DA3FB5"/>
    <w:rsid w:val="61BF10D9"/>
    <w:rsid w:val="625A5414"/>
    <w:rsid w:val="625C3C13"/>
    <w:rsid w:val="62AC22DC"/>
    <w:rsid w:val="62F86FD5"/>
    <w:rsid w:val="6303755C"/>
    <w:rsid w:val="6375365C"/>
    <w:rsid w:val="63A22BFD"/>
    <w:rsid w:val="649D1277"/>
    <w:rsid w:val="64E45EF7"/>
    <w:rsid w:val="65137C9C"/>
    <w:rsid w:val="65234D8A"/>
    <w:rsid w:val="659B319B"/>
    <w:rsid w:val="65A253EE"/>
    <w:rsid w:val="65C45688"/>
    <w:rsid w:val="6691014E"/>
    <w:rsid w:val="66C87CCE"/>
    <w:rsid w:val="66D26A77"/>
    <w:rsid w:val="6708598A"/>
    <w:rsid w:val="670B76C5"/>
    <w:rsid w:val="671C666D"/>
    <w:rsid w:val="67384EA6"/>
    <w:rsid w:val="677435B2"/>
    <w:rsid w:val="67E548C1"/>
    <w:rsid w:val="67EF75F1"/>
    <w:rsid w:val="683B434D"/>
    <w:rsid w:val="684F4F11"/>
    <w:rsid w:val="687A7D07"/>
    <w:rsid w:val="68E124EF"/>
    <w:rsid w:val="69124F16"/>
    <w:rsid w:val="69481BB6"/>
    <w:rsid w:val="69737C6F"/>
    <w:rsid w:val="69CD5C14"/>
    <w:rsid w:val="69CF0D33"/>
    <w:rsid w:val="6AB966A8"/>
    <w:rsid w:val="6B0845B4"/>
    <w:rsid w:val="6B1317C0"/>
    <w:rsid w:val="6B20695E"/>
    <w:rsid w:val="6B9946B3"/>
    <w:rsid w:val="6BE518DA"/>
    <w:rsid w:val="6C276F3A"/>
    <w:rsid w:val="6C7007C7"/>
    <w:rsid w:val="6C8D2840"/>
    <w:rsid w:val="6CE472D5"/>
    <w:rsid w:val="6CEC39FF"/>
    <w:rsid w:val="6D14399E"/>
    <w:rsid w:val="6DE76850"/>
    <w:rsid w:val="6E2D2E36"/>
    <w:rsid w:val="6E7F017C"/>
    <w:rsid w:val="6EC56CC7"/>
    <w:rsid w:val="6F143579"/>
    <w:rsid w:val="6FB20BD4"/>
    <w:rsid w:val="6FBA59BE"/>
    <w:rsid w:val="6FC71E08"/>
    <w:rsid w:val="70220040"/>
    <w:rsid w:val="70296B3E"/>
    <w:rsid w:val="70454174"/>
    <w:rsid w:val="70611204"/>
    <w:rsid w:val="70954546"/>
    <w:rsid w:val="709D579F"/>
    <w:rsid w:val="70BA6916"/>
    <w:rsid w:val="70E7097F"/>
    <w:rsid w:val="70FE7349"/>
    <w:rsid w:val="7165620F"/>
    <w:rsid w:val="717039F8"/>
    <w:rsid w:val="71E847F7"/>
    <w:rsid w:val="72E51112"/>
    <w:rsid w:val="734A1857"/>
    <w:rsid w:val="73C52D0D"/>
    <w:rsid w:val="7456013E"/>
    <w:rsid w:val="74843CE5"/>
    <w:rsid w:val="74A65081"/>
    <w:rsid w:val="74D13AD5"/>
    <w:rsid w:val="74EE65C9"/>
    <w:rsid w:val="74FA2C30"/>
    <w:rsid w:val="7517160E"/>
    <w:rsid w:val="754D5C4B"/>
    <w:rsid w:val="758C1F4C"/>
    <w:rsid w:val="759C224A"/>
    <w:rsid w:val="75B574B1"/>
    <w:rsid w:val="765E373E"/>
    <w:rsid w:val="76C240A7"/>
    <w:rsid w:val="76DA416A"/>
    <w:rsid w:val="77200E71"/>
    <w:rsid w:val="77252D09"/>
    <w:rsid w:val="773635C2"/>
    <w:rsid w:val="775246B7"/>
    <w:rsid w:val="77FA6220"/>
    <w:rsid w:val="781E69D1"/>
    <w:rsid w:val="78630FEE"/>
    <w:rsid w:val="7901747F"/>
    <w:rsid w:val="79107E1B"/>
    <w:rsid w:val="798D24A0"/>
    <w:rsid w:val="79C331B5"/>
    <w:rsid w:val="79FC42F4"/>
    <w:rsid w:val="7A194398"/>
    <w:rsid w:val="7A263B6B"/>
    <w:rsid w:val="7AF42D09"/>
    <w:rsid w:val="7AF46346"/>
    <w:rsid w:val="7B0F5EBF"/>
    <w:rsid w:val="7B130FB9"/>
    <w:rsid w:val="7B7862BD"/>
    <w:rsid w:val="7BBC41AB"/>
    <w:rsid w:val="7BD71E38"/>
    <w:rsid w:val="7BE51CB9"/>
    <w:rsid w:val="7BF64EDE"/>
    <w:rsid w:val="7C0F19A9"/>
    <w:rsid w:val="7C400C1E"/>
    <w:rsid w:val="7D092EA1"/>
    <w:rsid w:val="7D4B12F6"/>
    <w:rsid w:val="7DD11708"/>
    <w:rsid w:val="7DEE4A4F"/>
    <w:rsid w:val="7DF85511"/>
    <w:rsid w:val="7E3B0572"/>
    <w:rsid w:val="7E4C34C4"/>
    <w:rsid w:val="7EA1529F"/>
    <w:rsid w:val="7EAE6230"/>
    <w:rsid w:val="7EBD579E"/>
    <w:rsid w:val="7EC167BD"/>
    <w:rsid w:val="7F127A05"/>
    <w:rsid w:val="7F272D9E"/>
    <w:rsid w:val="7FCB5C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37"/>
    <w:qFormat/>
    <w:uiPriority w:val="9"/>
    <w:pPr>
      <w:keepNext/>
      <w:keepLines/>
      <w:spacing w:before="260" w:after="260" w:line="416" w:lineRule="auto"/>
      <w:outlineLvl w:val="1"/>
    </w:pPr>
    <w:rPr>
      <w:rFonts w:ascii="Cambria" w:hAnsi="Cambria"/>
      <w:b/>
      <w:bCs/>
      <w:sz w:val="32"/>
      <w:szCs w:val="32"/>
    </w:rPr>
  </w:style>
  <w:style w:type="paragraph" w:styleId="7">
    <w:name w:val="heading 3"/>
    <w:basedOn w:val="1"/>
    <w:next w:val="1"/>
    <w:link w:val="38"/>
    <w:qFormat/>
    <w:uiPriority w:val="99"/>
    <w:pPr>
      <w:keepNext/>
      <w:keepLines/>
      <w:spacing w:before="260" w:after="260" w:line="416" w:lineRule="auto"/>
      <w:outlineLvl w:val="2"/>
    </w:pPr>
    <w:rPr>
      <w:b/>
      <w:bCs/>
      <w:sz w:val="32"/>
      <w:szCs w:val="32"/>
    </w:rPr>
  </w:style>
  <w:style w:type="paragraph" w:styleId="8">
    <w:name w:val="heading 5"/>
    <w:basedOn w:val="1"/>
    <w:next w:val="9"/>
    <w:link w:val="39"/>
    <w:qFormat/>
    <w:uiPriority w:val="9"/>
    <w:pPr>
      <w:keepNext/>
      <w:keepLines/>
      <w:spacing w:before="280" w:after="290" w:line="376" w:lineRule="auto"/>
      <w:outlineLvl w:val="4"/>
    </w:pPr>
    <w:rPr>
      <w:b/>
      <w:bCs/>
      <w:sz w:val="28"/>
      <w:szCs w:val="28"/>
    </w:rPr>
  </w:style>
  <w:style w:type="paragraph" w:styleId="10">
    <w:name w:val="heading 8"/>
    <w:basedOn w:val="1"/>
    <w:next w:val="1"/>
    <w:link w:val="40"/>
    <w:qFormat/>
    <w:uiPriority w:val="9"/>
    <w:pPr>
      <w:keepNext/>
      <w:keepLines/>
      <w:spacing w:before="240" w:after="64" w:line="320" w:lineRule="auto"/>
      <w:outlineLvl w:val="7"/>
    </w:pPr>
    <w:rPr>
      <w:rFonts w:ascii="等线 Light" w:hAnsi="等线 Light" w:eastAsia="等线 Light"/>
      <w:sz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5"/>
    <w:unhideWhenUsed/>
    <w:qFormat/>
    <w:uiPriority w:val="0"/>
    <w:pPr>
      <w:spacing w:after="120"/>
    </w:pPr>
  </w:style>
  <w:style w:type="paragraph" w:styleId="3">
    <w:name w:val="Body Text First Indent 2"/>
    <w:basedOn w:val="4"/>
    <w:link w:val="49"/>
    <w:unhideWhenUsed/>
    <w:qFormat/>
    <w:uiPriority w:val="99"/>
    <w:pPr>
      <w:spacing w:after="120"/>
      <w:ind w:left="420" w:leftChars="200" w:firstLine="420" w:firstLineChars="200"/>
    </w:pPr>
    <w:rPr>
      <w:kern w:val="2"/>
      <w:sz w:val="21"/>
      <w:szCs w:val="24"/>
    </w:rPr>
  </w:style>
  <w:style w:type="paragraph" w:styleId="4">
    <w:name w:val="Body Text Indent"/>
    <w:basedOn w:val="1"/>
    <w:link w:val="43"/>
    <w:qFormat/>
    <w:uiPriority w:val="0"/>
    <w:pPr>
      <w:ind w:firstLine="830" w:firstLineChars="352"/>
    </w:pPr>
    <w:rPr>
      <w:rFonts w:ascii="仿宋_GB2312" w:eastAsia="仿宋_GB2312"/>
      <w:kern w:val="0"/>
      <w:sz w:val="32"/>
      <w:szCs w:val="20"/>
    </w:rPr>
  </w:style>
  <w:style w:type="paragraph" w:styleId="9">
    <w:name w:val="Normal Indent"/>
    <w:basedOn w:val="1"/>
    <w:next w:val="1"/>
    <w:qFormat/>
    <w:uiPriority w:val="0"/>
    <w:pPr>
      <w:ind w:firstLine="420"/>
    </w:pPr>
    <w:rPr>
      <w:szCs w:val="20"/>
    </w:rPr>
  </w:style>
  <w:style w:type="paragraph" w:styleId="11">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2">
    <w:name w:val="caption"/>
    <w:basedOn w:val="1"/>
    <w:next w:val="1"/>
    <w:qFormat/>
    <w:uiPriority w:val="35"/>
    <w:pPr>
      <w:widowControl/>
      <w:spacing w:line="360" w:lineRule="auto"/>
      <w:jc w:val="center"/>
    </w:pPr>
    <w:rPr>
      <w:rFonts w:ascii="宋体" w:hAnsi="宋体" w:eastAsia="黑体" w:cs="宋体"/>
      <w:kern w:val="0"/>
      <w:sz w:val="24"/>
    </w:rPr>
  </w:style>
  <w:style w:type="paragraph" w:styleId="13">
    <w:name w:val="List Bullet"/>
    <w:basedOn w:val="1"/>
    <w:qFormat/>
    <w:uiPriority w:val="0"/>
    <w:pPr>
      <w:tabs>
        <w:tab w:val="left" w:pos="360"/>
      </w:tabs>
      <w:ind w:left="360" w:hanging="360" w:hangingChars="200"/>
    </w:pPr>
  </w:style>
  <w:style w:type="paragraph" w:styleId="14">
    <w:name w:val="annotation text"/>
    <w:basedOn w:val="1"/>
    <w:link w:val="41"/>
    <w:qFormat/>
    <w:uiPriority w:val="0"/>
    <w:pPr>
      <w:jc w:val="left"/>
    </w:pPr>
  </w:style>
  <w:style w:type="paragraph" w:styleId="15">
    <w:name w:val="Body Text 3"/>
    <w:basedOn w:val="1"/>
    <w:link w:val="42"/>
    <w:unhideWhenUsed/>
    <w:qFormat/>
    <w:uiPriority w:val="99"/>
    <w:pPr>
      <w:spacing w:after="120"/>
    </w:pPr>
    <w:rPr>
      <w:sz w:val="16"/>
      <w:szCs w:val="16"/>
    </w:rPr>
  </w:style>
  <w:style w:type="paragraph" w:styleId="16">
    <w:name w:val="List 2"/>
    <w:basedOn w:val="1"/>
    <w:unhideWhenUsed/>
    <w:qFormat/>
    <w:uiPriority w:val="99"/>
    <w:pPr>
      <w:ind w:left="100" w:leftChars="200" w:hanging="200" w:hangingChars="200"/>
      <w:contextualSpacing/>
    </w:pPr>
  </w:style>
  <w:style w:type="paragraph" w:styleId="17">
    <w:name w:val="toc 3"/>
    <w:basedOn w:val="1"/>
    <w:next w:val="1"/>
    <w:semiHidden/>
    <w:unhideWhenUsed/>
    <w:qFormat/>
    <w:uiPriority w:val="39"/>
    <w:pPr>
      <w:ind w:left="840" w:leftChars="400"/>
    </w:pPr>
  </w:style>
  <w:style w:type="paragraph" w:styleId="18">
    <w:name w:val="Plain Text"/>
    <w:basedOn w:val="1"/>
    <w:link w:val="44"/>
    <w:qFormat/>
    <w:uiPriority w:val="0"/>
    <w:rPr>
      <w:rFonts w:ascii="宋体" w:hAnsi="Courier New"/>
      <w:kern w:val="0"/>
      <w:sz w:val="20"/>
      <w:szCs w:val="21"/>
    </w:rPr>
  </w:style>
  <w:style w:type="paragraph" w:styleId="19">
    <w:name w:val="Date"/>
    <w:basedOn w:val="1"/>
    <w:next w:val="1"/>
    <w:link w:val="45"/>
    <w:unhideWhenUsed/>
    <w:qFormat/>
    <w:uiPriority w:val="99"/>
    <w:pPr>
      <w:ind w:left="100" w:leftChars="2500"/>
    </w:pPr>
  </w:style>
  <w:style w:type="paragraph" w:styleId="20">
    <w:name w:val="Balloon Text"/>
    <w:basedOn w:val="1"/>
    <w:semiHidden/>
    <w:qFormat/>
    <w:uiPriority w:val="0"/>
    <w:rPr>
      <w:sz w:val="18"/>
      <w:szCs w:val="18"/>
    </w:rPr>
  </w:style>
  <w:style w:type="paragraph" w:styleId="21">
    <w:name w:val="footer"/>
    <w:basedOn w:val="1"/>
    <w:link w:val="46"/>
    <w:unhideWhenUsed/>
    <w:qFormat/>
    <w:uiPriority w:val="99"/>
    <w:pPr>
      <w:tabs>
        <w:tab w:val="center" w:pos="4153"/>
        <w:tab w:val="right" w:pos="8306"/>
      </w:tabs>
      <w:snapToGrid w:val="0"/>
      <w:jc w:val="left"/>
    </w:pPr>
    <w:rPr>
      <w:kern w:val="0"/>
      <w:sz w:val="18"/>
      <w:szCs w:val="18"/>
    </w:rPr>
  </w:style>
  <w:style w:type="paragraph" w:styleId="22">
    <w:name w:val="header"/>
    <w:basedOn w:val="1"/>
    <w:link w:val="4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3">
    <w:name w:val="toc 1"/>
    <w:basedOn w:val="1"/>
    <w:next w:val="1"/>
    <w:unhideWhenUsed/>
    <w:qFormat/>
    <w:uiPriority w:val="39"/>
  </w:style>
  <w:style w:type="paragraph" w:styleId="24">
    <w:name w:val="toc 2"/>
    <w:basedOn w:val="1"/>
    <w:next w:val="1"/>
    <w:unhideWhenUsed/>
    <w:qFormat/>
    <w:uiPriority w:val="39"/>
    <w:pPr>
      <w:tabs>
        <w:tab w:val="right" w:leader="dot" w:pos="8296"/>
      </w:tabs>
      <w:ind w:left="420" w:leftChars="200"/>
    </w:pPr>
  </w:style>
  <w:style w:type="paragraph" w:styleId="25">
    <w:name w:val="Normal (Web)"/>
    <w:basedOn w:val="1"/>
    <w:unhideWhenUsed/>
    <w:qFormat/>
    <w:uiPriority w:val="99"/>
    <w:rPr>
      <w:rFonts w:ascii="Calibri" w:hAnsi="Calibri"/>
      <w:kern w:val="0"/>
      <w:sz w:val="24"/>
    </w:rPr>
  </w:style>
  <w:style w:type="paragraph" w:styleId="26">
    <w:name w:val="annotation subject"/>
    <w:basedOn w:val="14"/>
    <w:next w:val="14"/>
    <w:link w:val="48"/>
    <w:qFormat/>
    <w:uiPriority w:val="99"/>
    <w:rPr>
      <w:b/>
      <w:bCs/>
    </w:rPr>
  </w:style>
  <w:style w:type="paragraph" w:styleId="27">
    <w:name w:val="Body Text First Indent"/>
    <w:basedOn w:val="2"/>
    <w:qFormat/>
    <w:uiPriority w:val="0"/>
    <w:pPr>
      <w:ind w:firstLine="420" w:firstLineChars="100"/>
    </w:pPr>
  </w:style>
  <w:style w:type="table" w:styleId="29">
    <w:name w:val="Table Grid"/>
    <w:basedOn w:val="2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1">
    <w:name w:val="Strong"/>
    <w:qFormat/>
    <w:uiPriority w:val="22"/>
    <w:rPr>
      <w:b/>
    </w:rPr>
  </w:style>
  <w:style w:type="character" w:styleId="32">
    <w:name w:val="endnote reference"/>
    <w:unhideWhenUsed/>
    <w:qFormat/>
    <w:uiPriority w:val="99"/>
    <w:rPr>
      <w:vertAlign w:val="superscript"/>
    </w:rPr>
  </w:style>
  <w:style w:type="character" w:styleId="33">
    <w:name w:val="Hyperlink"/>
    <w:unhideWhenUsed/>
    <w:qFormat/>
    <w:uiPriority w:val="99"/>
    <w:rPr>
      <w:color w:val="0000FF"/>
      <w:u w:val="single"/>
    </w:rPr>
  </w:style>
  <w:style w:type="character" w:styleId="34">
    <w:name w:val="annotation reference"/>
    <w:qFormat/>
    <w:uiPriority w:val="0"/>
    <w:rPr>
      <w:sz w:val="21"/>
      <w:szCs w:val="21"/>
    </w:rPr>
  </w:style>
  <w:style w:type="character" w:customStyle="1" w:styleId="35">
    <w:name w:val="正文文本 字符1"/>
    <w:link w:val="2"/>
    <w:qFormat/>
    <w:uiPriority w:val="0"/>
    <w:rPr>
      <w:rFonts w:ascii="Times New Roman" w:hAnsi="Times New Roman"/>
      <w:kern w:val="2"/>
      <w:sz w:val="21"/>
      <w:szCs w:val="24"/>
    </w:rPr>
  </w:style>
  <w:style w:type="character" w:customStyle="1" w:styleId="36">
    <w:name w:val="标题 1 字符"/>
    <w:link w:val="5"/>
    <w:qFormat/>
    <w:uiPriority w:val="9"/>
    <w:rPr>
      <w:b/>
      <w:bCs/>
      <w:kern w:val="44"/>
      <w:sz w:val="44"/>
      <w:szCs w:val="44"/>
    </w:rPr>
  </w:style>
  <w:style w:type="character" w:customStyle="1" w:styleId="37">
    <w:name w:val="标题 2 字符"/>
    <w:link w:val="6"/>
    <w:qFormat/>
    <w:uiPriority w:val="9"/>
    <w:rPr>
      <w:rFonts w:ascii="Cambria" w:hAnsi="Cambria" w:eastAsia="宋体" w:cs="Times New Roman"/>
      <w:b/>
      <w:bCs/>
      <w:kern w:val="2"/>
      <w:sz w:val="32"/>
      <w:szCs w:val="32"/>
    </w:rPr>
  </w:style>
  <w:style w:type="character" w:customStyle="1" w:styleId="38">
    <w:name w:val="标题 3 字符"/>
    <w:link w:val="7"/>
    <w:qFormat/>
    <w:uiPriority w:val="99"/>
    <w:rPr>
      <w:b/>
      <w:bCs/>
      <w:kern w:val="2"/>
      <w:sz w:val="32"/>
      <w:szCs w:val="32"/>
    </w:rPr>
  </w:style>
  <w:style w:type="character" w:customStyle="1" w:styleId="39">
    <w:name w:val="标题 5 字符"/>
    <w:link w:val="8"/>
    <w:semiHidden/>
    <w:qFormat/>
    <w:uiPriority w:val="9"/>
    <w:rPr>
      <w:rFonts w:ascii="Times New Roman" w:hAnsi="Times New Roman"/>
      <w:b/>
      <w:bCs/>
      <w:kern w:val="2"/>
      <w:sz w:val="28"/>
      <w:szCs w:val="28"/>
    </w:rPr>
  </w:style>
  <w:style w:type="character" w:customStyle="1" w:styleId="40">
    <w:name w:val="标题 8 字符"/>
    <w:link w:val="10"/>
    <w:semiHidden/>
    <w:qFormat/>
    <w:uiPriority w:val="9"/>
    <w:rPr>
      <w:rFonts w:ascii="等线 Light" w:hAnsi="等线 Light" w:eastAsia="等线 Light" w:cs="Times New Roman"/>
      <w:kern w:val="2"/>
      <w:sz w:val="24"/>
      <w:szCs w:val="24"/>
    </w:rPr>
  </w:style>
  <w:style w:type="character" w:customStyle="1" w:styleId="41">
    <w:name w:val="批注文字 字符2"/>
    <w:link w:val="14"/>
    <w:qFormat/>
    <w:uiPriority w:val="0"/>
    <w:rPr>
      <w:rFonts w:ascii="Times New Roman" w:hAnsi="Times New Roman"/>
      <w:kern w:val="2"/>
      <w:sz w:val="21"/>
      <w:szCs w:val="24"/>
    </w:rPr>
  </w:style>
  <w:style w:type="character" w:customStyle="1" w:styleId="42">
    <w:name w:val="正文文本 3 字符"/>
    <w:link w:val="15"/>
    <w:semiHidden/>
    <w:qFormat/>
    <w:uiPriority w:val="99"/>
    <w:rPr>
      <w:kern w:val="2"/>
      <w:sz w:val="16"/>
      <w:szCs w:val="16"/>
    </w:rPr>
  </w:style>
  <w:style w:type="character" w:customStyle="1" w:styleId="43">
    <w:name w:val="正文文本缩进 字符"/>
    <w:link w:val="4"/>
    <w:qFormat/>
    <w:uiPriority w:val="0"/>
    <w:rPr>
      <w:rFonts w:ascii="仿宋_GB2312" w:hAnsi="Times New Roman" w:eastAsia="仿宋_GB2312" w:cs="Times New Roman"/>
      <w:sz w:val="32"/>
      <w:szCs w:val="20"/>
    </w:rPr>
  </w:style>
  <w:style w:type="character" w:customStyle="1" w:styleId="44">
    <w:name w:val="纯文本 字符3"/>
    <w:link w:val="18"/>
    <w:qFormat/>
    <w:uiPriority w:val="0"/>
    <w:rPr>
      <w:rFonts w:ascii="宋体" w:hAnsi="Courier New" w:eastAsia="宋体" w:cs="Courier New"/>
      <w:szCs w:val="21"/>
    </w:rPr>
  </w:style>
  <w:style w:type="character" w:customStyle="1" w:styleId="45">
    <w:name w:val="日期 字符"/>
    <w:link w:val="19"/>
    <w:semiHidden/>
    <w:qFormat/>
    <w:uiPriority w:val="99"/>
    <w:rPr>
      <w:rFonts w:ascii="Times New Roman" w:hAnsi="Times New Roman"/>
      <w:kern w:val="2"/>
      <w:sz w:val="21"/>
      <w:szCs w:val="24"/>
    </w:rPr>
  </w:style>
  <w:style w:type="character" w:customStyle="1" w:styleId="46">
    <w:name w:val="页脚 字符"/>
    <w:link w:val="21"/>
    <w:qFormat/>
    <w:uiPriority w:val="99"/>
    <w:rPr>
      <w:sz w:val="18"/>
      <w:szCs w:val="18"/>
    </w:rPr>
  </w:style>
  <w:style w:type="character" w:customStyle="1" w:styleId="47">
    <w:name w:val="页眉 字符"/>
    <w:link w:val="22"/>
    <w:qFormat/>
    <w:uiPriority w:val="99"/>
    <w:rPr>
      <w:sz w:val="18"/>
      <w:szCs w:val="18"/>
    </w:rPr>
  </w:style>
  <w:style w:type="character" w:customStyle="1" w:styleId="48">
    <w:name w:val="批注主题 字符"/>
    <w:link w:val="26"/>
    <w:qFormat/>
    <w:uiPriority w:val="99"/>
    <w:rPr>
      <w:rFonts w:ascii="Times New Roman" w:hAnsi="Times New Roman"/>
      <w:b/>
      <w:bCs/>
      <w:kern w:val="2"/>
      <w:sz w:val="21"/>
      <w:szCs w:val="24"/>
    </w:rPr>
  </w:style>
  <w:style w:type="character" w:customStyle="1" w:styleId="49">
    <w:name w:val="正文首行缩进 2 字符"/>
    <w:link w:val="3"/>
    <w:qFormat/>
    <w:uiPriority w:val="99"/>
    <w:rPr>
      <w:rFonts w:ascii="仿宋_GB2312" w:hAnsi="Times New Roman" w:eastAsia="仿宋_GB2312" w:cs="Times New Roman"/>
      <w:kern w:val="2"/>
      <w:sz w:val="21"/>
      <w:szCs w:val="24"/>
    </w:rPr>
  </w:style>
  <w:style w:type="character" w:customStyle="1" w:styleId="50">
    <w:name w:val="apple-style-span"/>
    <w:qFormat/>
    <w:uiPriority w:val="0"/>
  </w:style>
  <w:style w:type="character" w:customStyle="1" w:styleId="51">
    <w:name w:val="font101"/>
    <w:qFormat/>
    <w:uiPriority w:val="0"/>
    <w:rPr>
      <w:rFonts w:hint="eastAsia" w:ascii="宋体" w:hAnsi="宋体" w:eastAsia="宋体"/>
      <w:color w:val="000000"/>
      <w:sz w:val="20"/>
      <w:szCs w:val="20"/>
      <w:u w:val="none"/>
      <w:vertAlign w:val="superscript"/>
    </w:rPr>
  </w:style>
  <w:style w:type="character" w:customStyle="1" w:styleId="52">
    <w:name w:val="标题 2 Char"/>
    <w:qFormat/>
    <w:uiPriority w:val="9"/>
    <w:rPr>
      <w:rFonts w:ascii="Cambria" w:hAnsi="Cambria" w:eastAsia="宋体" w:cs="Times New Roman"/>
      <w:b/>
      <w:bCs/>
      <w:kern w:val="2"/>
      <w:sz w:val="32"/>
      <w:szCs w:val="32"/>
    </w:rPr>
  </w:style>
  <w:style w:type="character" w:customStyle="1" w:styleId="53">
    <w:name w:val="纯文本 字符"/>
    <w:qFormat/>
    <w:uiPriority w:val="0"/>
    <w:rPr>
      <w:rFonts w:ascii="宋体" w:hAnsi="Courier New" w:eastAsia="宋体" w:cs="Courier New"/>
      <w:szCs w:val="21"/>
    </w:rPr>
  </w:style>
  <w:style w:type="character" w:customStyle="1" w:styleId="54">
    <w:name w:val="批注文字 字符1"/>
    <w:qFormat/>
    <w:uiPriority w:val="0"/>
    <w:rPr>
      <w:rFonts w:ascii="Times New Roman" w:hAnsi="Times New Roman"/>
      <w:kern w:val="2"/>
      <w:sz w:val="21"/>
      <w:szCs w:val="24"/>
    </w:rPr>
  </w:style>
  <w:style w:type="character" w:customStyle="1" w:styleId="55">
    <w:name w:val="批注文字 Char2"/>
    <w:qFormat/>
    <w:uiPriority w:val="0"/>
    <w:rPr>
      <w:rFonts w:ascii="Times New Roman" w:hAnsi="Times New Roman"/>
      <w:kern w:val="2"/>
      <w:sz w:val="21"/>
      <w:szCs w:val="24"/>
    </w:rPr>
  </w:style>
  <w:style w:type="character" w:customStyle="1" w:styleId="56">
    <w:name w:val="font132"/>
    <w:qFormat/>
    <w:uiPriority w:val="0"/>
    <w:rPr>
      <w:rFonts w:hint="eastAsia" w:ascii="宋体" w:hAnsi="宋体" w:eastAsia="宋体" w:cs="宋体"/>
      <w:color w:val="000000"/>
      <w:sz w:val="28"/>
      <w:szCs w:val="28"/>
      <w:u w:val="none"/>
    </w:rPr>
  </w:style>
  <w:style w:type="character" w:customStyle="1" w:styleId="57">
    <w:name w:val="font71"/>
    <w:qFormat/>
    <w:uiPriority w:val="0"/>
    <w:rPr>
      <w:rFonts w:hint="eastAsia" w:ascii="宋体" w:hAnsi="宋体" w:eastAsia="宋体"/>
      <w:color w:val="000000"/>
      <w:sz w:val="20"/>
      <w:szCs w:val="20"/>
      <w:u w:val="none"/>
    </w:rPr>
  </w:style>
  <w:style w:type="character" w:customStyle="1" w:styleId="58">
    <w:name w:val="纯文本 Char"/>
    <w:qFormat/>
    <w:uiPriority w:val="0"/>
    <w:rPr>
      <w:rFonts w:ascii="宋体" w:hAnsi="Courier New" w:eastAsia="宋体" w:cs="Courier New"/>
      <w:szCs w:val="21"/>
    </w:rPr>
  </w:style>
  <w:style w:type="character" w:customStyle="1" w:styleId="59">
    <w:name w:val="font01"/>
    <w:qFormat/>
    <w:uiPriority w:val="0"/>
    <w:rPr>
      <w:rFonts w:hint="eastAsia" w:ascii="宋体" w:hAnsi="宋体" w:eastAsia="宋体" w:cs="宋体"/>
      <w:color w:val="000000"/>
      <w:sz w:val="22"/>
      <w:szCs w:val="22"/>
      <w:u w:val="none"/>
    </w:rPr>
  </w:style>
  <w:style w:type="character" w:customStyle="1" w:styleId="60">
    <w:name w:val="标题 1 字符1"/>
    <w:qFormat/>
    <w:uiPriority w:val="0"/>
    <w:rPr>
      <w:b/>
      <w:bCs/>
      <w:kern w:val="44"/>
      <w:sz w:val="44"/>
      <w:szCs w:val="44"/>
    </w:rPr>
  </w:style>
  <w:style w:type="character" w:customStyle="1" w:styleId="61">
    <w:name w:val="正文文本 Char"/>
    <w:qFormat/>
    <w:uiPriority w:val="0"/>
    <w:rPr>
      <w:rFonts w:ascii="Times New Roman" w:hAnsi="Times New Roman"/>
      <w:kern w:val="2"/>
      <w:sz w:val="21"/>
      <w:szCs w:val="24"/>
    </w:rPr>
  </w:style>
  <w:style w:type="character" w:customStyle="1" w:styleId="62">
    <w:name w:val="正文文本 字符"/>
    <w:qFormat/>
    <w:uiPriority w:val="0"/>
    <w:rPr>
      <w:rFonts w:ascii="Times New Roman" w:hAnsi="Times New Roman"/>
      <w:kern w:val="2"/>
      <w:sz w:val="21"/>
      <w:szCs w:val="24"/>
    </w:rPr>
  </w:style>
  <w:style w:type="character" w:customStyle="1" w:styleId="63">
    <w:name w:val="正文2 Char Char"/>
    <w:link w:val="64"/>
    <w:qFormat/>
    <w:uiPriority w:val="0"/>
    <w:rPr>
      <w:kern w:val="2"/>
      <w:sz w:val="24"/>
    </w:rPr>
  </w:style>
  <w:style w:type="paragraph" w:customStyle="1" w:styleId="64">
    <w:name w:val="正文2"/>
    <w:basedOn w:val="1"/>
    <w:link w:val="63"/>
    <w:qFormat/>
    <w:uiPriority w:val="0"/>
    <w:pPr>
      <w:adjustRightInd w:val="0"/>
      <w:spacing w:before="156" w:line="360" w:lineRule="auto"/>
      <w:ind w:firstLine="510" w:firstLineChars="200"/>
    </w:pPr>
    <w:rPr>
      <w:sz w:val="24"/>
      <w:szCs w:val="20"/>
    </w:rPr>
  </w:style>
  <w:style w:type="character" w:customStyle="1" w:styleId="65">
    <w:name w:val="textcontents"/>
    <w:qFormat/>
    <w:uiPriority w:val="0"/>
  </w:style>
  <w:style w:type="character" w:customStyle="1" w:styleId="66">
    <w:name w:val="批注文字 字符"/>
    <w:qFormat/>
    <w:uiPriority w:val="0"/>
    <w:rPr>
      <w:rFonts w:ascii="Times New Roman" w:hAnsi="Times New Roman"/>
      <w:kern w:val="2"/>
      <w:sz w:val="21"/>
      <w:szCs w:val="24"/>
    </w:rPr>
  </w:style>
  <w:style w:type="character" w:customStyle="1" w:styleId="67">
    <w:name w:val="标题 8 Char"/>
    <w:qFormat/>
    <w:uiPriority w:val="0"/>
    <w:rPr>
      <w:rFonts w:ascii="Arial" w:hAnsi="Arial" w:eastAsia="黑体"/>
      <w:kern w:val="2"/>
      <w:sz w:val="24"/>
      <w:szCs w:val="24"/>
    </w:rPr>
  </w:style>
  <w:style w:type="character" w:customStyle="1" w:styleId="68">
    <w:name w:val="font131"/>
    <w:qFormat/>
    <w:uiPriority w:val="0"/>
    <w:rPr>
      <w:rFonts w:hint="eastAsia" w:ascii="宋体" w:hAnsi="宋体" w:eastAsia="宋体" w:cs="宋体"/>
      <w:color w:val="000000"/>
      <w:sz w:val="28"/>
      <w:szCs w:val="28"/>
      <w:u w:val="none"/>
    </w:rPr>
  </w:style>
  <w:style w:type="character" w:customStyle="1" w:styleId="69">
    <w:name w:val="批注文字 Char"/>
    <w:qFormat/>
    <w:uiPriority w:val="0"/>
    <w:rPr>
      <w:rFonts w:ascii="Times New Roman" w:hAnsi="Times New Roman"/>
      <w:kern w:val="2"/>
      <w:sz w:val="21"/>
      <w:szCs w:val="24"/>
    </w:rPr>
  </w:style>
  <w:style w:type="character" w:customStyle="1" w:styleId="70">
    <w:name w:val="纯文本 字符1"/>
    <w:qFormat/>
    <w:uiPriority w:val="0"/>
    <w:rPr>
      <w:rFonts w:ascii="宋体" w:hAnsi="Courier New"/>
    </w:rPr>
  </w:style>
  <w:style w:type="character" w:customStyle="1" w:styleId="71">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2">
    <w:name w:val="纯文本 字符2"/>
    <w:qFormat/>
    <w:uiPriority w:val="0"/>
    <w:rPr>
      <w:rFonts w:ascii="宋体" w:hAnsi="Courier New" w:eastAsia="宋体" w:cs="Courier New"/>
      <w:szCs w:val="21"/>
    </w:rPr>
  </w:style>
  <w:style w:type="character" w:customStyle="1" w:styleId="73">
    <w:name w:val="font121"/>
    <w:qFormat/>
    <w:uiPriority w:val="0"/>
    <w:rPr>
      <w:rFonts w:hint="eastAsia" w:ascii="宋体" w:hAnsi="宋体" w:eastAsia="宋体" w:cs="宋体"/>
      <w:color w:val="000000"/>
      <w:sz w:val="24"/>
      <w:szCs w:val="24"/>
      <w:u w:val="none"/>
    </w:rPr>
  </w:style>
  <w:style w:type="character" w:customStyle="1" w:styleId="74">
    <w:name w:val="font31"/>
    <w:qFormat/>
    <w:uiPriority w:val="0"/>
    <w:rPr>
      <w:rFonts w:hint="eastAsia" w:ascii="宋体" w:hAnsi="宋体" w:eastAsia="宋体"/>
      <w:color w:val="000000"/>
      <w:sz w:val="20"/>
      <w:szCs w:val="20"/>
      <w:u w:val="none"/>
    </w:rPr>
  </w:style>
  <w:style w:type="character" w:customStyle="1" w:styleId="75">
    <w:name w:val="font21"/>
    <w:qFormat/>
    <w:uiPriority w:val="0"/>
    <w:rPr>
      <w:rFonts w:hint="eastAsia" w:ascii="宋体" w:hAnsi="宋体" w:eastAsia="宋体"/>
      <w:color w:val="000000"/>
      <w:sz w:val="24"/>
      <w:szCs w:val="24"/>
      <w:u w:val="none"/>
    </w:rPr>
  </w:style>
  <w:style w:type="character" w:customStyle="1" w:styleId="76">
    <w:name w:val="font51"/>
    <w:qFormat/>
    <w:uiPriority w:val="0"/>
    <w:rPr>
      <w:rFonts w:hint="eastAsia" w:ascii="宋体" w:hAnsi="宋体" w:eastAsia="宋体"/>
      <w:color w:val="000000"/>
      <w:sz w:val="24"/>
      <w:szCs w:val="24"/>
      <w:u w:val="none"/>
    </w:rPr>
  </w:style>
  <w:style w:type="character" w:customStyle="1" w:styleId="77">
    <w:name w:val="font61"/>
    <w:qFormat/>
    <w:uiPriority w:val="0"/>
    <w:rPr>
      <w:rFonts w:hint="eastAsia" w:ascii="宋体" w:hAnsi="宋体" w:eastAsia="宋体" w:cs="宋体"/>
      <w:b/>
      <w:bCs/>
      <w:color w:val="000000"/>
      <w:sz w:val="24"/>
      <w:szCs w:val="24"/>
      <w:u w:val="none"/>
    </w:rPr>
  </w:style>
  <w:style w:type="character" w:customStyle="1" w:styleId="78">
    <w:name w:val="font41"/>
    <w:qFormat/>
    <w:uiPriority w:val="0"/>
    <w:rPr>
      <w:rFonts w:ascii="宋体" w:hAnsi="宋体" w:eastAsia="宋体" w:cs="宋体"/>
      <w:b/>
      <w:bCs/>
      <w:color w:val="000000"/>
      <w:sz w:val="20"/>
      <w:szCs w:val="20"/>
      <w:u w:val="none"/>
    </w:rPr>
  </w:style>
  <w:style w:type="character" w:customStyle="1" w:styleId="79">
    <w:name w:val="样式 宋体 三号"/>
    <w:qFormat/>
    <w:uiPriority w:val="0"/>
    <w:rPr>
      <w:rFonts w:hint="eastAsia" w:ascii="宋体" w:hAnsi="宋体" w:eastAsia="宋体" w:cs="Times New Roman"/>
      <w:sz w:val="30"/>
    </w:rPr>
  </w:style>
  <w:style w:type="paragraph" w:customStyle="1" w:styleId="80">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81">
    <w:name w:val="Table Paragraph"/>
    <w:basedOn w:val="1"/>
    <w:qFormat/>
    <w:uiPriority w:val="1"/>
    <w:pPr>
      <w:jc w:val="left"/>
    </w:pPr>
    <w:rPr>
      <w:rFonts w:ascii="Calibri" w:hAnsi="Calibri"/>
      <w:kern w:val="0"/>
      <w:sz w:val="22"/>
      <w:szCs w:val="22"/>
      <w:lang w:eastAsia="en-US"/>
    </w:rPr>
  </w:style>
  <w:style w:type="paragraph" w:styleId="82">
    <w:name w:val="List Paragraph"/>
    <w:basedOn w:val="1"/>
    <w:qFormat/>
    <w:uiPriority w:val="34"/>
    <w:pPr>
      <w:ind w:firstLine="420" w:firstLineChars="200"/>
    </w:pPr>
  </w:style>
  <w:style w:type="paragraph" w:customStyle="1" w:styleId="83">
    <w:name w:val="默认段落字体 Para Char Char Char Char Char Char Char Char Char1 Char Char Char Char"/>
    <w:basedOn w:val="1"/>
    <w:qFormat/>
    <w:uiPriority w:val="0"/>
    <w:rPr>
      <w:rFonts w:ascii="Tahoma" w:hAnsi="Tahoma"/>
      <w:sz w:val="24"/>
      <w:szCs w:val="20"/>
    </w:rPr>
  </w:style>
  <w:style w:type="paragraph" w:customStyle="1" w:styleId="84">
    <w:name w:val="表格文字115"/>
    <w:basedOn w:val="1"/>
    <w:qFormat/>
    <w:uiPriority w:val="0"/>
    <w:pPr>
      <w:jc w:val="left"/>
    </w:pPr>
    <w:rPr>
      <w:bCs/>
      <w:spacing w:val="10"/>
      <w:kern w:val="0"/>
      <w:sz w:val="24"/>
    </w:rPr>
  </w:style>
  <w:style w:type="paragraph" w:customStyle="1" w:styleId="85">
    <w:name w:val="p0"/>
    <w:basedOn w:val="1"/>
    <w:qFormat/>
    <w:uiPriority w:val="0"/>
    <w:pPr>
      <w:widowControl/>
    </w:pPr>
    <w:rPr>
      <w:kern w:val="0"/>
      <w:szCs w:val="21"/>
    </w:rPr>
  </w:style>
  <w:style w:type="paragraph" w:customStyle="1" w:styleId="86">
    <w:name w:val="表内文字"/>
    <w:basedOn w:val="1"/>
    <w:qFormat/>
    <w:uiPriority w:val="0"/>
    <w:pPr>
      <w:snapToGrid w:val="0"/>
      <w:spacing w:before="50" w:after="50"/>
      <w:jc w:val="center"/>
    </w:pPr>
    <w:rPr>
      <w:rFonts w:ascii="仿宋_GB2312" w:hAnsi="宋体" w:eastAsia="仿宋_GB2312"/>
      <w:b/>
      <w:color w:val="000000"/>
      <w:sz w:val="32"/>
      <w:szCs w:val="32"/>
    </w:rPr>
  </w:style>
  <w:style w:type="character" w:customStyle="1" w:styleId="87">
    <w:name w:val="rgroup"/>
    <w:basedOn w:val="3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76</Pages>
  <Words>18220</Words>
  <Characters>19459</Characters>
  <Lines>45</Lines>
  <Paragraphs>92</Paragraphs>
  <TotalTime>0</TotalTime>
  <ScaleCrop>false</ScaleCrop>
  <LinksUpToDate>false</LinksUpToDate>
  <CharactersWithSpaces>19762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2025-06-13T03:37:00Z</dcterms:created>
  <dc:creator>唐冰</dc:creator>
  <cp:lastModifiedBy> </cp:lastModifiedBy>
  <cp:lastPrinted>2023-04-14T08:25:00Z</cp:lastPrinted>
  <dcterms:modified xsi:type="dcterms:W3CDTF">2025-06-13T10:42:09Z</dcterms:modified>
  <dc:title>竞争性谈判文件规范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1E4C7C591FA942D9B094C5211DAEC63D</vt:lpwstr>
  </property>
  <property fmtid="{D5CDD505-2E9C-101B-9397-08002B2CF9AE}" pid="4" name="KSOTemplateDocerSaveRecord">
    <vt:lpwstr>eyJoZGlkIjoiNzU1OTBiY2VmNmMxMWY2OGVkMWMyYTU1NDAwZjdiZGUiLCJ1c2VySWQiOiI0NjM0OTk2MzcifQ==</vt:lpwstr>
  </property>
</Properties>
</file>