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C799">
      <w:pPr>
        <w:spacing w:line="360" w:lineRule="auto"/>
        <w:jc w:val="center"/>
        <w:rPr>
          <w:rFonts w:ascii="方正小标宋简体" w:hAnsi="宋体" w:eastAsia="方正小标宋简体"/>
          <w:color w:val="auto"/>
          <w:sz w:val="52"/>
          <w:szCs w:val="52"/>
          <w:highlight w:val="none"/>
        </w:rPr>
      </w:pPr>
    </w:p>
    <w:p w14:paraId="1847D881">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17499D40">
      <w:pPr>
        <w:spacing w:line="360" w:lineRule="auto"/>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 </w:t>
      </w:r>
    </w:p>
    <w:p w14:paraId="7E225F60">
      <w:pPr>
        <w:spacing w:line="360" w:lineRule="auto"/>
        <w:jc w:val="center"/>
        <w:rPr>
          <w:rFonts w:ascii="方正小标宋简体" w:hAnsi="方正小标宋简体" w:eastAsia="方正小标宋简体" w:cs="方正小标宋简体"/>
          <w:b/>
          <w:color w:val="auto"/>
          <w:sz w:val="44"/>
          <w:szCs w:val="44"/>
          <w:highlight w:val="none"/>
        </w:rPr>
      </w:pPr>
    </w:p>
    <w:p w14:paraId="07B1D423">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C23EDF3">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196C55B3">
      <w:pPr>
        <w:snapToGrid w:val="0"/>
        <w:spacing w:line="360" w:lineRule="auto"/>
        <w:rPr>
          <w:rFonts w:ascii="仿宋_GB2312" w:hAnsi="宋体" w:eastAsia="仿宋_GB2312"/>
          <w:color w:val="auto"/>
          <w:sz w:val="30"/>
          <w:szCs w:val="72"/>
          <w:highlight w:val="none"/>
        </w:rPr>
      </w:pPr>
    </w:p>
    <w:p w14:paraId="6C20865F">
      <w:pPr>
        <w:pStyle w:val="18"/>
        <w:snapToGrid w:val="0"/>
        <w:spacing w:line="360" w:lineRule="auto"/>
        <w:ind w:left="708" w:leftChars="337" w:firstLine="852" w:firstLineChars="283"/>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Cs/>
          <w:color w:val="auto"/>
          <w:sz w:val="30"/>
          <w:szCs w:val="30"/>
          <w:highlight w:val="none"/>
        </w:rPr>
        <w:t>：</w:t>
      </w:r>
      <w:r>
        <w:rPr>
          <w:rFonts w:hint="eastAsia" w:ascii="仿宋_GB2312" w:hAnsi="宋体" w:eastAsia="仿宋_GB2312"/>
          <w:b/>
          <w:bCs/>
          <w:color w:val="auto"/>
          <w:sz w:val="30"/>
          <w:szCs w:val="30"/>
          <w:highlight w:val="none"/>
        </w:rPr>
        <w:t>海城区廉州湾北岸对出海域非法养殖占海设施清理整治项目</w:t>
      </w:r>
    </w:p>
    <w:p w14:paraId="36CFDC41">
      <w:pPr>
        <w:snapToGrid w:val="0"/>
        <w:spacing w:line="360" w:lineRule="auto"/>
        <w:ind w:firstLine="1482" w:firstLineChars="518"/>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Cs/>
          <w:color w:val="auto"/>
          <w:w w:val="95"/>
          <w:sz w:val="30"/>
          <w:szCs w:val="30"/>
          <w:highlight w:val="none"/>
        </w:rPr>
        <w:t>：</w:t>
      </w:r>
      <w:r>
        <w:rPr>
          <w:rFonts w:hint="eastAsia" w:ascii="仿宋_GB2312" w:hAnsi="宋体" w:eastAsia="仿宋_GB2312"/>
          <w:b/>
          <w:bCs/>
          <w:color w:val="auto"/>
          <w:w w:val="95"/>
          <w:kern w:val="0"/>
          <w:sz w:val="30"/>
          <w:szCs w:val="30"/>
          <w:highlight w:val="none"/>
          <w:lang w:eastAsia="zh-CN"/>
        </w:rPr>
        <w:t>BHZC2025-C3-020023-YZLZ</w:t>
      </w:r>
    </w:p>
    <w:p w14:paraId="5F417943">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北海市海城区海洋局</w:t>
      </w:r>
    </w:p>
    <w:p w14:paraId="6DD5DC66">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云之龙</w:t>
      </w:r>
      <w:r>
        <w:rPr>
          <w:rFonts w:ascii="仿宋_GB2312" w:hAnsi="宋体" w:eastAsia="仿宋_GB2312"/>
          <w:b/>
          <w:bCs/>
          <w:color w:val="auto"/>
          <w:w w:val="95"/>
          <w:sz w:val="30"/>
          <w:szCs w:val="30"/>
          <w:highlight w:val="none"/>
        </w:rPr>
        <w:t>咨询集团有限公司</w:t>
      </w:r>
    </w:p>
    <w:p w14:paraId="407525D2">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6938D15D">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43C4C217">
      <w:pPr>
        <w:pStyle w:val="18"/>
        <w:snapToGrid w:val="0"/>
        <w:spacing w:line="360" w:lineRule="auto"/>
        <w:ind w:left="420" w:firstLine="841" w:firstLineChars="294"/>
        <w:rPr>
          <w:rFonts w:hAnsi="宋体" w:eastAsia="仿宋_GB2312" w:cs="宋体"/>
          <w:b/>
          <w:bCs/>
          <w:color w:val="auto"/>
          <w:sz w:val="32"/>
          <w:szCs w:val="32"/>
          <w:highlight w:val="none"/>
        </w:rPr>
      </w:pPr>
      <w:r>
        <w:rPr>
          <w:rFonts w:hint="eastAsia" w:ascii="仿宋_GB2312" w:hAnsi="宋体" w:eastAsia="仿宋_GB2312"/>
          <w:b/>
          <w:bCs/>
          <w:color w:val="auto"/>
          <w:w w:val="95"/>
          <w:sz w:val="30"/>
          <w:szCs w:val="30"/>
          <w:highlight w:val="none"/>
        </w:rPr>
        <w:t xml:space="preserve">               2025年6月19日</w:t>
      </w:r>
    </w:p>
    <w:p w14:paraId="6E56B602">
      <w:pPr>
        <w:spacing w:line="360" w:lineRule="auto"/>
        <w:jc w:val="center"/>
        <w:rPr>
          <w:rFonts w:ascii="宋体" w:hAnsi="宋体" w:cs="宋体"/>
          <w:b/>
          <w:bCs/>
          <w:color w:val="auto"/>
          <w:kern w:val="0"/>
          <w:sz w:val="32"/>
          <w:szCs w:val="32"/>
          <w:highlight w:val="none"/>
        </w:rPr>
      </w:pPr>
    </w:p>
    <w:p w14:paraId="0F9159C6">
      <w:pPr>
        <w:spacing w:line="360" w:lineRule="auto"/>
        <w:jc w:val="center"/>
        <w:rPr>
          <w:rFonts w:ascii="宋体" w:hAnsi="宋体" w:cs="宋体"/>
          <w:b/>
          <w:bCs/>
          <w:color w:val="auto"/>
          <w:kern w:val="0"/>
          <w:sz w:val="32"/>
          <w:szCs w:val="32"/>
          <w:highlight w:val="none"/>
        </w:rPr>
      </w:pPr>
    </w:p>
    <w:p w14:paraId="562DBBE6">
      <w:pPr>
        <w:spacing w:line="360" w:lineRule="auto"/>
        <w:jc w:val="center"/>
        <w:rPr>
          <w:rFonts w:ascii="宋体" w:hAnsi="宋体"/>
          <w:b/>
          <w:color w:val="auto"/>
          <w:sz w:val="44"/>
          <w:szCs w:val="44"/>
          <w:highlight w:val="none"/>
        </w:rPr>
      </w:pPr>
    </w:p>
    <w:p w14:paraId="338E3E86">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3015798">
      <w:pPr>
        <w:spacing w:line="400" w:lineRule="exact"/>
        <w:jc w:val="center"/>
        <w:rPr>
          <w:rFonts w:ascii="宋体" w:hAnsi="宋体"/>
          <w:b/>
          <w:color w:val="auto"/>
          <w:sz w:val="44"/>
          <w:szCs w:val="44"/>
          <w:highlight w:val="none"/>
        </w:rPr>
      </w:pPr>
    </w:p>
    <w:p w14:paraId="158A55E9">
      <w:pPr>
        <w:pStyle w:val="23"/>
        <w:tabs>
          <w:tab w:val="right" w:leader="dot" w:pos="8879"/>
        </w:tabs>
        <w:rPr>
          <w:rFonts w:ascii="宋体" w:hAnsi="宋体" w:cs="宋体"/>
          <w:b/>
          <w:bCs/>
          <w:color w:val="auto"/>
          <w:sz w:val="24"/>
          <w:szCs w:val="32"/>
          <w:highlight w:val="none"/>
        </w:rPr>
      </w:pPr>
      <w:r>
        <w:rPr>
          <w:rFonts w:ascii="宋体" w:hAnsi="宋体"/>
          <w:b/>
          <w:bCs/>
          <w:color w:val="auto"/>
          <w:sz w:val="24"/>
          <w:highlight w:val="none"/>
        </w:rPr>
        <w:fldChar w:fldCharType="begin"/>
      </w:r>
      <w:r>
        <w:rPr>
          <w:rFonts w:ascii="宋体" w:hAnsi="宋体"/>
          <w:b/>
          <w:bCs/>
          <w:color w:val="auto"/>
          <w:sz w:val="24"/>
          <w:highlight w:val="none"/>
        </w:rPr>
        <w:instrText xml:space="preserve"> </w:instrText>
      </w:r>
      <w:r>
        <w:rPr>
          <w:rFonts w:hint="eastAsia" w:ascii="宋体" w:hAnsi="宋体"/>
          <w:b/>
          <w:bCs/>
          <w:color w:val="auto"/>
          <w:sz w:val="24"/>
          <w:highlight w:val="none"/>
        </w:rPr>
        <w:instrText xml:space="preserve">TOC \o "1-3" \h \z \u</w:instrText>
      </w:r>
      <w:r>
        <w:rPr>
          <w:rFonts w:ascii="宋体" w:hAnsi="宋体"/>
          <w:b/>
          <w:bCs/>
          <w:color w:val="auto"/>
          <w:sz w:val="24"/>
          <w:highlight w:val="none"/>
        </w:rPr>
        <w:instrText xml:space="preserve"> </w:instrText>
      </w:r>
      <w:r>
        <w:rPr>
          <w:rFonts w:ascii="宋体" w:hAnsi="宋体"/>
          <w:b/>
          <w:bCs/>
          <w:color w:val="auto"/>
          <w:sz w:val="24"/>
          <w:highlight w:val="none"/>
        </w:rPr>
        <w:fldChar w:fldCharType="separate"/>
      </w:r>
      <w:r>
        <w:rPr>
          <w:color w:val="auto"/>
          <w:highlight w:val="none"/>
        </w:rPr>
        <w:fldChar w:fldCharType="begin"/>
      </w:r>
      <w:r>
        <w:rPr>
          <w:color w:val="auto"/>
          <w:highlight w:val="none"/>
        </w:rPr>
        <w:instrText xml:space="preserve"> HYPERLINK \l "_Toc21591" </w:instrText>
      </w:r>
      <w:r>
        <w:rPr>
          <w:color w:val="auto"/>
          <w:highlight w:val="none"/>
        </w:rPr>
        <w:fldChar w:fldCharType="separate"/>
      </w:r>
      <w:r>
        <w:rPr>
          <w:rFonts w:hint="eastAsia" w:ascii="宋体" w:hAnsi="宋体" w:cs="宋体"/>
          <w:b/>
          <w:bCs/>
          <w:color w:val="auto"/>
          <w:sz w:val="24"/>
          <w:szCs w:val="32"/>
          <w:highlight w:val="none"/>
        </w:rPr>
        <w:t>第一章 竞争性磋商公告</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_Toc21591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770E9080">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"_Toc29576" </w:instrText>
      </w:r>
      <w:r>
        <w:rPr>
          <w:color w:val="auto"/>
          <w:highlight w:val="none"/>
        </w:rPr>
        <w:fldChar w:fldCharType="separate"/>
      </w:r>
      <w:r>
        <w:rPr>
          <w:rFonts w:hint="eastAsia" w:ascii="宋体" w:hAnsi="宋体" w:cs="宋体"/>
          <w:b/>
          <w:bCs/>
          <w:color w:val="auto"/>
          <w:sz w:val="24"/>
          <w:szCs w:val="32"/>
          <w:highlight w:val="none"/>
        </w:rPr>
        <w:t>第二章 供应商须知</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_Toc29576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5</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04CA7BEF">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"_Toc20857" </w:instrText>
      </w:r>
      <w:r>
        <w:rPr>
          <w:color w:val="auto"/>
          <w:highlight w:val="none"/>
        </w:rPr>
        <w:fldChar w:fldCharType="separate"/>
      </w:r>
      <w:r>
        <w:rPr>
          <w:rFonts w:hint="eastAsia" w:ascii="宋体" w:hAnsi="宋体" w:cs="宋体"/>
          <w:b/>
          <w:bCs/>
          <w:color w:val="auto"/>
          <w:sz w:val="24"/>
          <w:szCs w:val="32"/>
          <w:highlight w:val="none"/>
        </w:rPr>
        <w:t>第三章 采购需求</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_Toc20857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26</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670135FF">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"_Toc4095" </w:instrText>
      </w:r>
      <w:r>
        <w:rPr>
          <w:color w:val="auto"/>
          <w:highlight w:val="none"/>
        </w:rPr>
        <w:fldChar w:fldCharType="separate"/>
      </w:r>
      <w:r>
        <w:rPr>
          <w:rFonts w:hint="eastAsia" w:ascii="宋体" w:hAnsi="宋体" w:cs="宋体"/>
          <w:b/>
          <w:bCs/>
          <w:color w:val="auto"/>
          <w:sz w:val="24"/>
          <w:szCs w:val="32"/>
          <w:highlight w:val="none"/>
        </w:rPr>
        <w:t>第四章 评审程序、评审方法和评审标准</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_Toc4095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34</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34815DFD">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"_Toc3198" </w:instrText>
      </w:r>
      <w:r>
        <w:rPr>
          <w:color w:val="auto"/>
          <w:highlight w:val="none"/>
        </w:rPr>
        <w:fldChar w:fldCharType="separate"/>
      </w:r>
      <w:r>
        <w:rPr>
          <w:rFonts w:hint="eastAsia" w:ascii="宋体" w:hAnsi="宋体" w:cs="宋体"/>
          <w:b/>
          <w:bCs/>
          <w:color w:val="auto"/>
          <w:sz w:val="24"/>
          <w:szCs w:val="32"/>
          <w:highlight w:val="none"/>
        </w:rPr>
        <w:t>第五章 响应文件格式</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_Toc3198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61FF9165">
      <w:pPr>
        <w:pStyle w:val="23"/>
        <w:tabs>
          <w:tab w:val="right" w:leader="dot" w:pos="8879"/>
        </w:tabs>
        <w:rPr>
          <w:b/>
          <w:bCs/>
          <w:color w:val="auto"/>
          <w:highlight w:val="none"/>
        </w:rPr>
      </w:pPr>
      <w:r>
        <w:rPr>
          <w:color w:val="auto"/>
          <w:highlight w:val="none"/>
        </w:rPr>
        <w:fldChar w:fldCharType="begin"/>
      </w:r>
      <w:r>
        <w:rPr>
          <w:color w:val="auto"/>
          <w:highlight w:val="none"/>
        </w:rPr>
        <w:instrText xml:space="preserve"> HYPERLINK \l "_Toc10542" </w:instrText>
      </w:r>
      <w:r>
        <w:rPr>
          <w:color w:val="auto"/>
          <w:highlight w:val="none"/>
        </w:rPr>
        <w:fldChar w:fldCharType="separate"/>
      </w:r>
      <w:r>
        <w:rPr>
          <w:rFonts w:hint="eastAsia" w:ascii="宋体" w:hAnsi="宋体" w:cs="宋体"/>
          <w:b/>
          <w:bCs/>
          <w:color w:val="auto"/>
          <w:sz w:val="24"/>
          <w:szCs w:val="32"/>
          <w:highlight w:val="none"/>
        </w:rPr>
        <w:t>第六章 合同文本</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_Toc10542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70</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2479AB68">
      <w:pPr>
        <w:pStyle w:val="24"/>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bCs/>
          <w:color w:val="auto"/>
          <w:highlight w:val="none"/>
        </w:rPr>
        <w:fldChar w:fldCharType="end"/>
      </w:r>
    </w:p>
    <w:p w14:paraId="6AB174D8">
      <w:pPr>
        <w:spacing w:line="400" w:lineRule="exact"/>
        <w:jc w:val="left"/>
        <w:rPr>
          <w:rFonts w:ascii="宋体" w:hAnsi="宋体"/>
          <w:b/>
          <w:color w:val="auto"/>
          <w:sz w:val="32"/>
          <w:szCs w:val="32"/>
          <w:highlight w:val="none"/>
        </w:rPr>
      </w:pPr>
    </w:p>
    <w:p w14:paraId="34DC67EC">
      <w:pPr>
        <w:spacing w:line="400" w:lineRule="exact"/>
        <w:jc w:val="center"/>
        <w:rPr>
          <w:rFonts w:ascii="宋体" w:hAnsi="宋体"/>
          <w:b/>
          <w:color w:val="auto"/>
          <w:sz w:val="32"/>
          <w:szCs w:val="32"/>
          <w:highlight w:val="none"/>
        </w:rPr>
      </w:pPr>
    </w:p>
    <w:p w14:paraId="068BA054">
      <w:pPr>
        <w:spacing w:line="400" w:lineRule="exact"/>
        <w:jc w:val="center"/>
        <w:rPr>
          <w:rFonts w:ascii="宋体" w:hAnsi="宋体"/>
          <w:b/>
          <w:color w:val="auto"/>
          <w:sz w:val="32"/>
          <w:szCs w:val="32"/>
          <w:highlight w:val="none"/>
        </w:rPr>
      </w:pPr>
    </w:p>
    <w:p w14:paraId="359276F4">
      <w:pPr>
        <w:spacing w:line="400" w:lineRule="exact"/>
        <w:jc w:val="center"/>
        <w:rPr>
          <w:rFonts w:ascii="宋体" w:hAnsi="宋体"/>
          <w:b/>
          <w:color w:val="auto"/>
          <w:sz w:val="32"/>
          <w:szCs w:val="32"/>
          <w:highlight w:val="none"/>
        </w:rPr>
      </w:pPr>
      <w:bookmarkStart w:id="180" w:name="_GoBack"/>
      <w:bookmarkEnd w:id="180"/>
    </w:p>
    <w:p w14:paraId="4EEA5092">
      <w:pPr>
        <w:spacing w:line="400" w:lineRule="exact"/>
        <w:jc w:val="center"/>
        <w:rPr>
          <w:rFonts w:ascii="宋体" w:hAnsi="宋体"/>
          <w:b/>
          <w:color w:val="auto"/>
          <w:sz w:val="32"/>
          <w:szCs w:val="32"/>
          <w:highlight w:val="none"/>
        </w:rPr>
      </w:pPr>
    </w:p>
    <w:p w14:paraId="0E21DA64">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43C3F0A4">
      <w:pPr>
        <w:pStyle w:val="5"/>
        <w:jc w:val="center"/>
        <w:rPr>
          <w:color w:val="auto"/>
          <w:highlight w:val="none"/>
        </w:rPr>
      </w:pPr>
      <w:bookmarkStart w:id="0" w:name="_Toc21591"/>
      <w:r>
        <w:rPr>
          <w:rFonts w:hint="eastAsia"/>
          <w:color w:val="auto"/>
          <w:highlight w:val="none"/>
        </w:rPr>
        <w:t>第一章 竞争性磋商公告</w:t>
      </w:r>
      <w:bookmarkEnd w:id="0"/>
    </w:p>
    <w:p w14:paraId="4EF393E7">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717DD3F7">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03399CC6">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海城区廉州湾北岸对出海域非法养殖占海设施清理整治项目</w:t>
      </w:r>
      <w:r>
        <w:rPr>
          <w:rFonts w:hint="eastAsia" w:ascii="宋体" w:hAnsi="宋体"/>
          <w:color w:val="auto"/>
          <w:szCs w:val="21"/>
          <w:highlight w:val="none"/>
        </w:rPr>
        <w:t>采购项目的潜在供应商应在广西政府采购云平台（https：//www.gcy.zfcg.gxzf.gov.cn/）获取（下载）竞争磋商文件，并于</w:t>
      </w:r>
      <w:r>
        <w:rPr>
          <w:rFonts w:hint="eastAsia" w:ascii="宋体" w:hAnsi="宋体"/>
          <w:color w:val="auto"/>
          <w:szCs w:val="21"/>
          <w:highlight w:val="none"/>
          <w:u w:val="single"/>
        </w:rPr>
        <w:t>2025年6月30日9时00分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4401D16">
      <w:pPr>
        <w:spacing w:line="360" w:lineRule="exact"/>
        <w:ind w:firstLine="354" w:firstLineChars="147"/>
        <w:rPr>
          <w:rFonts w:ascii="黑体" w:hAnsi="黑体" w:eastAsia="黑体"/>
          <w:b/>
          <w:color w:val="auto"/>
          <w:sz w:val="24"/>
          <w:highlight w:val="none"/>
        </w:rPr>
      </w:pPr>
      <w:bookmarkStart w:id="2" w:name="_Toc28359012"/>
      <w:bookmarkStart w:id="3" w:name="_Toc71365905"/>
      <w:bookmarkStart w:id="4" w:name="_Toc44229878"/>
      <w:bookmarkStart w:id="5" w:name="_Toc28359089"/>
      <w:bookmarkStart w:id="6" w:name="_Toc35393629"/>
      <w:bookmarkStart w:id="7" w:name="_Toc35393798"/>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3AA8C7EF">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BHZC2025-C3-020023-YZLZ</w:t>
      </w:r>
    </w:p>
    <w:p w14:paraId="780AFEBA">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项目名称：海城区廉州湾北岸对出海域非法养殖占海设施清理整治项目</w:t>
      </w:r>
    </w:p>
    <w:p w14:paraId="58DB1CC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68EBFE3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2700000.29</w:t>
      </w:r>
      <w:r>
        <w:rPr>
          <w:rFonts w:hint="eastAsia" w:ascii="宋体" w:hAnsi="宋体"/>
          <w:color w:val="auto"/>
          <w:szCs w:val="21"/>
          <w:highlight w:val="none"/>
        </w:rPr>
        <w:t>元</w:t>
      </w:r>
    </w:p>
    <w:p w14:paraId="4083A05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ascii="宋体" w:hAnsi="宋体"/>
          <w:color w:val="auto"/>
          <w:szCs w:val="21"/>
          <w:highlight w:val="none"/>
        </w:rPr>
        <w:t>/</w:t>
      </w:r>
    </w:p>
    <w:p w14:paraId="14AA7A0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采购需求：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60"/>
        <w:gridCol w:w="1295"/>
        <w:gridCol w:w="4625"/>
      </w:tblGrid>
      <w:tr w14:paraId="1940C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6B182B44">
            <w:pPr>
              <w:spacing w:line="360" w:lineRule="exact"/>
              <w:jc w:val="left"/>
              <w:rPr>
                <w:rFonts w:ascii="宋体" w:hAnsi="宋体"/>
                <w:color w:val="auto"/>
                <w:szCs w:val="21"/>
                <w:highlight w:val="none"/>
              </w:rPr>
            </w:pPr>
            <w:r>
              <w:rPr>
                <w:rFonts w:hint="eastAsia" w:ascii="宋体" w:hAnsi="宋体"/>
                <w:color w:val="auto"/>
                <w:szCs w:val="21"/>
                <w:highlight w:val="none"/>
              </w:rPr>
              <w:t>预算金额：人民币</w:t>
            </w:r>
            <w:r>
              <w:rPr>
                <w:rFonts w:hint="eastAsia" w:ascii="宋体" w:hAnsi="宋体"/>
                <w:color w:val="auto"/>
                <w:szCs w:val="21"/>
                <w:highlight w:val="none"/>
                <w:lang w:eastAsia="zh-CN"/>
              </w:rPr>
              <w:t>2700000.29</w:t>
            </w:r>
            <w:r>
              <w:rPr>
                <w:rFonts w:hint="eastAsia" w:ascii="宋体" w:hAnsi="宋体"/>
                <w:color w:val="auto"/>
                <w:szCs w:val="21"/>
                <w:highlight w:val="none"/>
              </w:rPr>
              <w:t>元</w:t>
            </w:r>
          </w:p>
        </w:tc>
      </w:tr>
      <w:tr w14:paraId="155BA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74C90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950F1E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295" w:type="dxa"/>
            <w:tcBorders>
              <w:top w:val="single" w:color="auto" w:sz="4" w:space="0"/>
              <w:left w:val="single" w:color="auto" w:sz="4" w:space="0"/>
              <w:bottom w:val="single" w:color="auto" w:sz="4" w:space="0"/>
              <w:right w:val="single" w:color="auto" w:sz="4" w:space="0"/>
            </w:tcBorders>
            <w:vAlign w:val="center"/>
          </w:tcPr>
          <w:p w14:paraId="215CF50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4625" w:type="dxa"/>
            <w:tcBorders>
              <w:top w:val="single" w:color="auto" w:sz="4" w:space="0"/>
              <w:left w:val="single" w:color="auto" w:sz="4" w:space="0"/>
              <w:bottom w:val="single" w:color="auto" w:sz="4" w:space="0"/>
              <w:right w:val="single" w:color="auto" w:sz="4" w:space="0"/>
            </w:tcBorders>
            <w:vAlign w:val="center"/>
          </w:tcPr>
          <w:p w14:paraId="0630B350">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1973F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80218C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037E9398">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海城区廉州湾北岸对出海域非法养殖占海设施清理整治项目</w:t>
            </w:r>
          </w:p>
        </w:tc>
        <w:tc>
          <w:tcPr>
            <w:tcW w:w="1295" w:type="dxa"/>
            <w:tcBorders>
              <w:top w:val="single" w:color="auto" w:sz="4" w:space="0"/>
              <w:left w:val="single" w:color="auto" w:sz="4" w:space="0"/>
              <w:bottom w:val="single" w:color="auto" w:sz="4" w:space="0"/>
              <w:right w:val="single" w:color="auto" w:sz="4" w:space="0"/>
            </w:tcBorders>
            <w:vAlign w:val="center"/>
          </w:tcPr>
          <w:p w14:paraId="29F0F255">
            <w:pPr>
              <w:snapToGrid w:val="0"/>
              <w:spacing w:line="36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w:t>
            </w:r>
          </w:p>
        </w:tc>
        <w:tc>
          <w:tcPr>
            <w:tcW w:w="4625" w:type="dxa"/>
            <w:tcBorders>
              <w:top w:val="single" w:color="auto" w:sz="4" w:space="0"/>
              <w:left w:val="single" w:color="auto" w:sz="4" w:space="0"/>
              <w:bottom w:val="single" w:color="auto" w:sz="4" w:space="0"/>
              <w:right w:val="single" w:color="auto" w:sz="4" w:space="0"/>
            </w:tcBorders>
            <w:vAlign w:val="center"/>
          </w:tcPr>
          <w:p w14:paraId="1B8D5EA1">
            <w:pPr>
              <w:snapToGrid w:val="0"/>
              <w:spacing w:line="360" w:lineRule="exact"/>
              <w:rPr>
                <w:rFonts w:ascii="宋体" w:hAnsi="宋体"/>
                <w:color w:val="auto"/>
                <w:szCs w:val="21"/>
                <w:highlight w:val="none"/>
              </w:rPr>
            </w:pPr>
            <w:r>
              <w:rPr>
                <w:rFonts w:hint="eastAsia" w:ascii="宋体" w:hAnsi="宋体"/>
                <w:color w:val="auto"/>
                <w:szCs w:val="21"/>
                <w:highlight w:val="none"/>
              </w:rPr>
              <w:t>包含水泥蚝桩拆除、蚝排及附着物拆除、废弃蚝堆拆除、渔箔拆除等；具体内容</w:t>
            </w:r>
            <w:r>
              <w:rPr>
                <w:rFonts w:ascii="宋体" w:hAnsi="宋体"/>
                <w:color w:val="auto"/>
                <w:szCs w:val="21"/>
                <w:highlight w:val="none"/>
              </w:rPr>
              <w:t>详见竞争性磋商文件</w:t>
            </w:r>
            <w:r>
              <w:rPr>
                <w:rFonts w:hint="eastAsia" w:ascii="宋体" w:hAnsi="宋体"/>
                <w:color w:val="auto"/>
                <w:szCs w:val="21"/>
                <w:highlight w:val="none"/>
              </w:rPr>
              <w:t>。</w:t>
            </w:r>
          </w:p>
        </w:tc>
      </w:tr>
    </w:tbl>
    <w:p w14:paraId="1218411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rPr>
        <w:t>自合同签订之日起</w:t>
      </w:r>
      <w:r>
        <w:rPr>
          <w:rFonts w:hint="eastAsia" w:ascii="宋体" w:hAnsi="宋体"/>
          <w:color w:val="auto"/>
          <w:szCs w:val="21"/>
          <w:highlight w:val="none"/>
          <w:lang w:eastAsia="zh-CN"/>
        </w:rPr>
        <w:t>3个月</w:t>
      </w:r>
      <w:r>
        <w:rPr>
          <w:rFonts w:hint="eastAsia" w:ascii="宋体" w:hAnsi="宋体"/>
          <w:color w:val="auto"/>
          <w:szCs w:val="21"/>
          <w:highlight w:val="none"/>
        </w:rPr>
        <w:t>内完成整治工作，并达到验收条件</w:t>
      </w:r>
      <w:r>
        <w:rPr>
          <w:rFonts w:hint="eastAsia" w:ascii="宋体" w:hAnsi="宋体"/>
          <w:color w:val="auto"/>
          <w:szCs w:val="21"/>
          <w:highlight w:val="none"/>
        </w:rPr>
        <w:t>。</w:t>
      </w:r>
    </w:p>
    <w:p w14:paraId="4785F2E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本项目否接受联合体。</w:t>
      </w:r>
    </w:p>
    <w:p w14:paraId="78C5A405">
      <w:pPr>
        <w:spacing w:line="360" w:lineRule="exact"/>
        <w:ind w:firstLine="354" w:firstLineChars="147"/>
        <w:rPr>
          <w:rFonts w:ascii="黑体" w:hAnsi="黑体" w:eastAsia="黑体"/>
          <w:b/>
          <w:color w:val="auto"/>
          <w:sz w:val="24"/>
          <w:highlight w:val="none"/>
        </w:rPr>
      </w:pPr>
      <w:bookmarkStart w:id="8" w:name="_Toc44229879"/>
      <w:bookmarkStart w:id="9" w:name="_Toc35393630"/>
      <w:bookmarkStart w:id="10" w:name="_Toc71365906"/>
      <w:bookmarkStart w:id="11" w:name="_Toc35393799"/>
      <w:bookmarkStart w:id="12" w:name="_Toc28359013"/>
      <w:bookmarkStart w:id="13" w:name="_Toc28359090"/>
      <w:r>
        <w:rPr>
          <w:rFonts w:hint="eastAsia" w:ascii="黑体" w:hAnsi="黑体" w:eastAsia="黑体"/>
          <w:b/>
          <w:color w:val="auto"/>
          <w:sz w:val="24"/>
          <w:highlight w:val="none"/>
        </w:rPr>
        <w:t>二、申请人的资格条件</w:t>
      </w:r>
      <w:bookmarkEnd w:id="8"/>
      <w:bookmarkEnd w:id="9"/>
      <w:bookmarkEnd w:id="10"/>
      <w:bookmarkEnd w:id="11"/>
      <w:bookmarkEnd w:id="12"/>
      <w:bookmarkEnd w:id="13"/>
      <w:r>
        <w:rPr>
          <w:rFonts w:hint="eastAsia" w:ascii="黑体" w:hAnsi="黑体" w:eastAsia="黑体"/>
          <w:color w:val="auto"/>
          <w:sz w:val="24"/>
          <w:highlight w:val="none"/>
        </w:rPr>
        <w:t>：</w:t>
      </w:r>
    </w:p>
    <w:p w14:paraId="513254EB">
      <w:pPr>
        <w:spacing w:line="360" w:lineRule="exact"/>
        <w:ind w:firstLine="420" w:firstLineChars="200"/>
        <w:rPr>
          <w:rFonts w:ascii="宋体" w:hAnsi="宋体"/>
          <w:color w:val="auto"/>
          <w:szCs w:val="21"/>
          <w:highlight w:val="none"/>
        </w:rPr>
      </w:pPr>
      <w:bookmarkStart w:id="14" w:name="_Toc44229880"/>
      <w:bookmarkStart w:id="15" w:name="_Toc35393800"/>
      <w:bookmarkStart w:id="16" w:name="_Toc28359014"/>
      <w:bookmarkStart w:id="17" w:name="_Toc35393631"/>
      <w:bookmarkStart w:id="18" w:name="_Toc28359091"/>
      <w:r>
        <w:rPr>
          <w:rFonts w:hint="eastAsia" w:ascii="宋体" w:hAnsi="宋体"/>
          <w:color w:val="auto"/>
          <w:szCs w:val="21"/>
          <w:highlight w:val="none"/>
        </w:rPr>
        <w:t>1.满足《中华人民共和国政府采购法》第二十二条规定；</w:t>
      </w:r>
    </w:p>
    <w:p w14:paraId="12F09404">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本项目为专门面向中小企业采购的项目,供应商应为中小微企业、监狱企业、残疾人福利性单位；</w:t>
      </w:r>
    </w:p>
    <w:p w14:paraId="326B0C5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无。</w:t>
      </w:r>
    </w:p>
    <w:p w14:paraId="4FC5F405">
      <w:pPr>
        <w:spacing w:line="360" w:lineRule="exact"/>
        <w:ind w:firstLine="354" w:firstLineChars="147"/>
        <w:rPr>
          <w:rFonts w:ascii="黑体" w:hAnsi="黑体" w:eastAsia="黑体"/>
          <w:b/>
          <w:color w:val="auto"/>
          <w:sz w:val="24"/>
          <w:highlight w:val="none"/>
        </w:rPr>
      </w:pPr>
      <w:bookmarkStart w:id="19" w:name="_Toc71365907"/>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782F5268">
      <w:pPr>
        <w:spacing w:line="360" w:lineRule="exact"/>
        <w:ind w:firstLine="420" w:firstLineChars="200"/>
        <w:rPr>
          <w:rFonts w:ascii="宋体" w:hAnsi="宋体" w:cs="宋体"/>
          <w:bCs/>
          <w:color w:val="auto"/>
          <w:kern w:val="0"/>
          <w:szCs w:val="21"/>
          <w:highlight w:val="none"/>
        </w:rPr>
      </w:pPr>
      <w:bookmarkStart w:id="20" w:name="_Toc28359015"/>
      <w:bookmarkStart w:id="21" w:name="_Toc28359092"/>
      <w:bookmarkStart w:id="22" w:name="_Toc35393632"/>
      <w:bookmarkStart w:id="23" w:name="_Toc44229881"/>
      <w:bookmarkStart w:id="24" w:name="_Toc3539380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2025年6月19日至</w:t>
      </w:r>
      <w:r>
        <w:rPr>
          <w:rFonts w:hint="eastAsia" w:ascii="宋体" w:hAnsi="宋体"/>
          <w:bCs/>
          <w:color w:val="auto"/>
          <w:szCs w:val="21"/>
          <w:highlight w:val="none"/>
          <w:u w:val="single"/>
        </w:rPr>
        <w:t>2025年6月26日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4A7963E1">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DF99192">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5A5257EB">
      <w:pPr>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2403AFF5">
      <w:pPr>
        <w:spacing w:line="360" w:lineRule="exact"/>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3C821ED3">
      <w:pPr>
        <w:spacing w:line="360" w:lineRule="exact"/>
        <w:ind w:firstLine="420" w:firstLineChars="200"/>
        <w:rPr>
          <w:rFonts w:ascii="宋体" w:hAnsi="宋体" w:cs="宋体"/>
          <w:color w:val="auto"/>
          <w:szCs w:val="21"/>
          <w:highlight w:val="none"/>
          <w:u w:val="single"/>
        </w:rPr>
      </w:pPr>
      <w:bookmarkStart w:id="26" w:name="_Toc44229882"/>
      <w:bookmarkStart w:id="27" w:name="_Toc35393633"/>
      <w:bookmarkStart w:id="28" w:name="_Toc35393802"/>
      <w:bookmarkStart w:id="29" w:name="_Toc28359093"/>
      <w:bookmarkStart w:id="30" w:name="_Toc28359016"/>
      <w:r>
        <w:rPr>
          <w:rFonts w:hint="eastAsia" w:ascii="宋体" w:hAnsi="宋体"/>
          <w:color w:val="auto"/>
          <w:szCs w:val="21"/>
          <w:highlight w:val="none"/>
        </w:rPr>
        <w:t>截止时间：</w:t>
      </w:r>
      <w:r>
        <w:rPr>
          <w:rFonts w:hint="eastAsia" w:ascii="宋体" w:hAnsi="宋体"/>
          <w:bCs/>
          <w:color w:val="auto"/>
          <w:szCs w:val="21"/>
          <w:highlight w:val="none"/>
          <w:u w:val="single"/>
        </w:rPr>
        <w:t>2025年6月30日9时00分</w:t>
      </w:r>
      <w:r>
        <w:rPr>
          <w:rFonts w:hint="eastAsia" w:ascii="宋体" w:hAnsi="宋体"/>
          <w:bCs/>
          <w:color w:val="auto"/>
          <w:szCs w:val="21"/>
          <w:highlight w:val="none"/>
        </w:rPr>
        <w:t>（北京时间）</w:t>
      </w:r>
    </w:p>
    <w:p w14:paraId="66E54FC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063372CC">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7EC7B13B">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2025年6月30日9时00分</w:t>
      </w:r>
      <w:r>
        <w:rPr>
          <w:rFonts w:hint="eastAsia" w:ascii="宋体" w:hAnsi="宋体"/>
          <w:bCs/>
          <w:color w:val="auto"/>
          <w:szCs w:val="21"/>
          <w:highlight w:val="none"/>
        </w:rPr>
        <w:t>（北京时间）</w:t>
      </w:r>
    </w:p>
    <w:p w14:paraId="4DE71C51">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3636413E">
      <w:pPr>
        <w:spacing w:line="360" w:lineRule="exact"/>
        <w:ind w:firstLine="354" w:firstLineChars="147"/>
        <w:rPr>
          <w:rFonts w:ascii="黑体" w:hAnsi="黑体" w:eastAsia="黑体"/>
          <w:b/>
          <w:color w:val="auto"/>
          <w:sz w:val="24"/>
          <w:highlight w:val="none"/>
        </w:rPr>
      </w:pPr>
      <w:bookmarkStart w:id="32" w:name="_Toc35393803"/>
      <w:bookmarkStart w:id="33" w:name="_Toc71365910"/>
      <w:bookmarkStart w:id="34" w:name="_Toc28359094"/>
      <w:bookmarkStart w:id="35" w:name="_Toc35393634"/>
      <w:bookmarkStart w:id="36" w:name="_Toc28359017"/>
      <w:bookmarkStart w:id="37" w:name="_Toc44229883"/>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5A71BDFD">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8928447">
      <w:pPr>
        <w:spacing w:line="360" w:lineRule="exact"/>
        <w:ind w:firstLine="354" w:firstLineChars="147"/>
        <w:rPr>
          <w:rFonts w:ascii="黑体" w:hAnsi="黑体" w:eastAsia="黑体"/>
          <w:b/>
          <w:color w:val="auto"/>
          <w:sz w:val="24"/>
          <w:highlight w:val="none"/>
        </w:rPr>
      </w:pPr>
      <w:bookmarkStart w:id="38" w:name="_Toc35393635"/>
      <w:bookmarkStart w:id="39" w:name="_Toc44229884"/>
      <w:bookmarkStart w:id="40" w:name="_Toc71365911"/>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07E96AD1">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20B3914B">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23D9BB05">
      <w:pPr>
        <w:spacing w:line="360" w:lineRule="exact"/>
        <w:ind w:firstLine="424" w:firstLineChars="202"/>
        <w:rPr>
          <w:rFonts w:ascii="宋体" w:hAnsi="宋体" w:cs="宋体"/>
          <w:color w:val="auto"/>
          <w:kern w:val="0"/>
          <w:szCs w:val="21"/>
          <w:highlight w:val="none"/>
        </w:rPr>
      </w:pPr>
      <w:bookmarkStart w:id="42" w:name="_Hlk37429674"/>
      <w:bookmarkStart w:id="43" w:name="_Toc44229885"/>
      <w:bookmarkStart w:id="44" w:name="_Toc28359018"/>
      <w:bookmarkStart w:id="45" w:name="_Toc35393636"/>
      <w:bookmarkStart w:id="46" w:name="_Toc28359095"/>
      <w:bookmarkStart w:id="47"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72E8814F">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5CB5B360">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41AF577F">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7EBC7302">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1E9505B2">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42"/>
    <w:p w14:paraId="56083BC7">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14EA3163">
      <w:pPr>
        <w:widowControl/>
        <w:wordWrap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7775729C">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6FBACE18">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6C815FA2">
      <w:pPr>
        <w:widowControl/>
        <w:spacing w:line="36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A3EBFDD">
      <w:pPr>
        <w:spacing w:line="36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14535E6D">
      <w:pPr>
        <w:adjustRightInd w:val="0"/>
        <w:snapToGrid w:val="0"/>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4.</w:t>
      </w:r>
      <w:r>
        <w:rPr>
          <w:rFonts w:hint="eastAsia" w:ascii="宋体" w:hAnsi="宋体" w:cs="宋体"/>
          <w:bCs/>
          <w:color w:val="auto"/>
          <w:kern w:val="0"/>
          <w:szCs w:val="21"/>
          <w:highlight w:val="none"/>
        </w:rPr>
        <w:t>磋商保证金：</w:t>
      </w:r>
      <w:r>
        <w:rPr>
          <w:rFonts w:hint="eastAsia" w:ascii="宋体" w:hAnsi="宋体" w:cs="宋体"/>
          <w:bCs/>
          <w:color w:val="auto"/>
          <w:kern w:val="0"/>
          <w:szCs w:val="21"/>
          <w:highlight w:val="none"/>
          <w:u w:val="single"/>
        </w:rPr>
        <w:t>人民币</w:t>
      </w:r>
      <w:r>
        <w:rPr>
          <w:rFonts w:hint="eastAsia" w:ascii="宋体" w:hAnsi="宋体" w:cs="宋体"/>
          <w:bCs/>
          <w:color w:val="auto"/>
          <w:kern w:val="0"/>
          <w:szCs w:val="21"/>
          <w:highlight w:val="none"/>
          <w:u w:val="single"/>
        </w:rPr>
        <w:t>贰万伍仟元整（¥25000.00）</w:t>
      </w:r>
      <w:r>
        <w:rPr>
          <w:rFonts w:hint="eastAsia" w:ascii="宋体" w:hAnsi="宋体" w:cs="宋体"/>
          <w:bCs/>
          <w:color w:val="auto"/>
          <w:kern w:val="0"/>
          <w:szCs w:val="21"/>
          <w:highlight w:val="none"/>
          <w:u w:val="single"/>
        </w:rPr>
        <w:t>。</w:t>
      </w:r>
    </w:p>
    <w:p w14:paraId="5D5A269B">
      <w:pPr>
        <w:spacing w:line="360" w:lineRule="exact"/>
        <w:ind w:firstLine="420" w:firstLineChars="200"/>
        <w:rPr>
          <w:rFonts w:ascii="宋体" w:hAnsi="宋体" w:cs="宋体"/>
          <w:b/>
          <w:color w:val="auto"/>
          <w:kern w:val="0"/>
          <w:szCs w:val="21"/>
          <w:highlight w:val="none"/>
        </w:rPr>
      </w:pPr>
      <w:r>
        <w:rPr>
          <w:rFonts w:hint="eastAsia" w:ascii="宋体" w:hAnsi="宋体" w:cs="宋体"/>
          <w:bCs/>
          <w:color w:val="auto"/>
          <w:kern w:val="0"/>
          <w:szCs w:val="21"/>
          <w:highlight w:val="none"/>
        </w:rPr>
        <w:t>磋商保证金的形式：银行转账、支票、汇票、本票或者银行、保险机构出具的保函</w:t>
      </w:r>
      <w:r>
        <w:rPr>
          <w:rFonts w:hint="eastAsia" w:ascii="宋体" w:hAnsi="宋体" w:cs="宋体"/>
          <w:color w:val="auto"/>
          <w:kern w:val="0"/>
          <w:szCs w:val="21"/>
          <w:highlight w:val="none"/>
        </w:rPr>
        <w:t>（包含电子保函）</w:t>
      </w:r>
      <w:r>
        <w:rPr>
          <w:rFonts w:hint="eastAsia" w:ascii="宋体" w:hAnsi="宋体" w:cs="宋体"/>
          <w:bCs/>
          <w:color w:val="auto"/>
          <w:kern w:val="0"/>
          <w:szCs w:val="21"/>
          <w:highlight w:val="none"/>
        </w:rPr>
        <w:t>，禁止采用现钞方式。采用银行转账方式的，在响应文件提交截止时间前交到云之龙咨询集团有限公司指定账户并且到账</w:t>
      </w:r>
      <w:r>
        <w:rPr>
          <w:rFonts w:hint="eastAsia" w:ascii="宋体" w:hAnsi="宋体" w:cs="宋体"/>
          <w:bCs/>
          <w:color w:val="auto"/>
          <w:kern w:val="0"/>
          <w:szCs w:val="21"/>
          <w:highlight w:val="none"/>
          <w:u w:val="single"/>
        </w:rPr>
        <w:t>（账户名称：云之龙咨询集团有限公司北海分公司，开户银行：中信银行南宁东葛支行，</w:t>
      </w:r>
      <w:r>
        <w:rPr>
          <w:rFonts w:hint="eastAsia" w:ascii="宋体" w:hAnsi="宋体" w:cs="宋体"/>
          <w:color w:val="auto"/>
          <w:kern w:val="0"/>
          <w:szCs w:val="21"/>
          <w:highlight w:val="none"/>
          <w:u w:val="single"/>
        </w:rPr>
        <w:t>银行账号：8113001013400074639</w:t>
      </w:r>
      <w:r>
        <w:rPr>
          <w:rFonts w:hint="eastAsia" w:ascii="宋体" w:hAnsi="宋体" w:cs="宋体"/>
          <w:bCs/>
          <w:color w:val="auto"/>
          <w:kern w:val="0"/>
          <w:szCs w:val="21"/>
          <w:highlight w:val="none"/>
          <w:u w:val="single"/>
        </w:rPr>
        <w:t>）</w:t>
      </w:r>
      <w:r>
        <w:rPr>
          <w:rFonts w:hint="eastAsia" w:ascii="宋体" w:hAnsi="宋体" w:cs="宋体"/>
          <w:bCs/>
          <w:color w:val="auto"/>
          <w:kern w:val="0"/>
          <w:szCs w:val="21"/>
          <w:highlight w:val="none"/>
        </w:rPr>
        <w:t>；采用支票、汇票、本票或者保函等方式的，在响应文件提交截止时间前，供应商应当递交单独密封的支票、汇票、本票或者保函原件</w:t>
      </w:r>
      <w:r>
        <w:rPr>
          <w:rFonts w:hint="eastAsia" w:ascii="宋体" w:hAnsi="宋体" w:cs="宋体"/>
          <w:b/>
          <w:color w:val="auto"/>
          <w:kern w:val="0"/>
          <w:szCs w:val="21"/>
          <w:highlight w:val="none"/>
        </w:rPr>
        <w:t>。否则视为无效磋商保证金。</w:t>
      </w:r>
    </w:p>
    <w:p w14:paraId="6687EC30">
      <w:pPr>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5.本项目采用远程异地评标。</w:t>
      </w:r>
    </w:p>
    <w:p w14:paraId="077CCC27">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59B0980F">
      <w:pPr>
        <w:spacing w:line="360" w:lineRule="exact"/>
        <w:ind w:firstLine="420" w:firstLineChars="200"/>
        <w:rPr>
          <w:rFonts w:ascii="宋体" w:hAnsi="宋体" w:cs="宋体"/>
          <w:color w:val="auto"/>
          <w:kern w:val="0"/>
          <w:szCs w:val="21"/>
          <w:highlight w:val="none"/>
        </w:rPr>
      </w:pPr>
      <w:bookmarkStart w:id="48" w:name="_Toc28359019"/>
      <w:bookmarkStart w:id="49" w:name="_Toc35393637"/>
      <w:bookmarkStart w:id="50" w:name="_Toc35393806"/>
      <w:bookmarkStart w:id="51" w:name="_Toc28359096"/>
      <w:r>
        <w:rPr>
          <w:rFonts w:hint="eastAsia" w:ascii="宋体" w:hAnsi="宋体" w:cs="宋体"/>
          <w:color w:val="auto"/>
          <w:kern w:val="0"/>
          <w:szCs w:val="21"/>
          <w:highlight w:val="none"/>
        </w:rPr>
        <w:t>1.采购人信息</w:t>
      </w:r>
      <w:bookmarkEnd w:id="48"/>
      <w:bookmarkEnd w:id="49"/>
      <w:bookmarkEnd w:id="50"/>
      <w:bookmarkEnd w:id="51"/>
    </w:p>
    <w:p w14:paraId="66C65183">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北海市海城区海洋局</w:t>
      </w:r>
    </w:p>
    <w:p w14:paraId="6131F52A">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北海市海城区海角路41号1栋  </w:t>
      </w:r>
    </w:p>
    <w:p w14:paraId="54973FA5">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szCs w:val="21"/>
          <w:highlight w:val="none"/>
          <w:u w:val="single"/>
        </w:rPr>
        <w:t xml:space="preserve">肖伟 0779-3068700   </w:t>
      </w:r>
    </w:p>
    <w:p w14:paraId="497192A7">
      <w:pPr>
        <w:spacing w:line="360" w:lineRule="exact"/>
        <w:ind w:firstLine="420" w:firstLineChars="200"/>
        <w:rPr>
          <w:rFonts w:ascii="宋体" w:hAnsi="宋体" w:cs="宋体"/>
          <w:color w:val="auto"/>
          <w:kern w:val="0"/>
          <w:szCs w:val="21"/>
          <w:highlight w:val="none"/>
        </w:rPr>
      </w:pPr>
      <w:bookmarkStart w:id="52" w:name="_Toc35393807"/>
      <w:bookmarkStart w:id="53" w:name="_Toc28359097"/>
      <w:bookmarkStart w:id="54" w:name="_Toc28359020"/>
      <w:bookmarkStart w:id="55" w:name="_Toc35393638"/>
      <w:r>
        <w:rPr>
          <w:rFonts w:hint="eastAsia" w:ascii="宋体" w:hAnsi="宋体" w:cs="宋体"/>
          <w:color w:val="auto"/>
          <w:kern w:val="0"/>
          <w:szCs w:val="21"/>
          <w:highlight w:val="none"/>
        </w:rPr>
        <w:t>2.采购代理机构信息</w:t>
      </w:r>
      <w:bookmarkEnd w:id="52"/>
      <w:bookmarkEnd w:id="53"/>
      <w:bookmarkEnd w:id="54"/>
      <w:bookmarkEnd w:id="55"/>
    </w:p>
    <w:p w14:paraId="2513F83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0A26573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广西北海市北部湾中路60号779财富中心15楼1505号</w:t>
      </w:r>
    </w:p>
    <w:p w14:paraId="7BED58EF">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0779-3227361/3227538</w:t>
      </w:r>
    </w:p>
    <w:p w14:paraId="5B79B53E">
      <w:pPr>
        <w:spacing w:line="360" w:lineRule="exact"/>
        <w:ind w:firstLine="420" w:firstLineChars="200"/>
        <w:rPr>
          <w:rFonts w:ascii="宋体" w:hAnsi="宋体" w:cs="宋体"/>
          <w:color w:val="auto"/>
          <w:kern w:val="0"/>
          <w:szCs w:val="21"/>
          <w:highlight w:val="none"/>
        </w:rPr>
      </w:pPr>
      <w:bookmarkStart w:id="56" w:name="_Toc35393639"/>
      <w:bookmarkStart w:id="57" w:name="_Toc28359021"/>
      <w:bookmarkStart w:id="58" w:name="_Toc28359098"/>
      <w:bookmarkStart w:id="59" w:name="_Toc3539380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6"/>
      <w:bookmarkEnd w:id="57"/>
      <w:bookmarkEnd w:id="58"/>
      <w:bookmarkEnd w:id="59"/>
    </w:p>
    <w:p w14:paraId="672B056E">
      <w:pPr>
        <w:pStyle w:val="18"/>
        <w:spacing w:line="360" w:lineRule="exact"/>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翁娜娜</w:t>
      </w:r>
    </w:p>
    <w:p w14:paraId="787C3B1A">
      <w:pPr>
        <w:spacing w:line="360" w:lineRule="exact"/>
        <w:ind w:firstLine="420" w:firstLineChars="200"/>
        <w:rPr>
          <w:color w:val="auto"/>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0779-3227361/3227538</w:t>
      </w:r>
      <w:bookmarkEnd w:id="1"/>
    </w:p>
    <w:p w14:paraId="50F45519">
      <w:pPr>
        <w:pStyle w:val="5"/>
        <w:jc w:val="center"/>
        <w:rPr>
          <w:color w:val="auto"/>
          <w:highlight w:val="none"/>
        </w:rPr>
      </w:pPr>
      <w:r>
        <w:rPr>
          <w:rFonts w:hint="eastAsia"/>
          <w:color w:val="auto"/>
          <w:highlight w:val="none"/>
        </w:rPr>
        <w:br w:type="page"/>
      </w:r>
      <w:bookmarkStart w:id="60" w:name="_Toc29576"/>
      <w:r>
        <w:rPr>
          <w:rFonts w:hint="eastAsia"/>
          <w:color w:val="auto"/>
          <w:highlight w:val="none"/>
        </w:rPr>
        <w:t>第二章 供应商须知</w:t>
      </w:r>
      <w:bookmarkEnd w:id="60"/>
    </w:p>
    <w:p w14:paraId="4871754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43ACEC6D">
      <w:pPr>
        <w:spacing w:line="400" w:lineRule="exact"/>
        <w:jc w:val="center"/>
        <w:rPr>
          <w:rFonts w:ascii="宋体" w:hAnsi="宋体"/>
          <w:b/>
          <w:color w:val="auto"/>
          <w:sz w:val="32"/>
          <w:szCs w:val="32"/>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592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tcPr>
          <w:p w14:paraId="5BF6DDF3">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8AD90A4">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7F78E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596F04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0A8D26B8">
            <w:pPr>
              <w:wordWrap w:val="0"/>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41320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CD3EA6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D377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399C24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3.供应商的资格要求（供应商须在响应文件中提供《北海市政府采购供应商信用承诺函》对以下内容进行承诺，格式附后）：</w:t>
            </w:r>
          </w:p>
          <w:p w14:paraId="1CBE04D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供应商</w:t>
            </w:r>
            <w:r>
              <w:rPr>
                <w:rFonts w:hint="eastAsia" w:ascii="宋体" w:hAnsi="宋体" w:cs="宋体"/>
                <w:color w:val="auto"/>
                <w:szCs w:val="21"/>
                <w:highlight w:val="none"/>
              </w:rPr>
              <w:t>具备有效的</w:t>
            </w:r>
            <w:r>
              <w:rPr>
                <w:rFonts w:ascii="宋体" w:hAnsi="宋体" w:cs="宋体"/>
                <w:color w:val="auto"/>
                <w:szCs w:val="21"/>
                <w:highlight w:val="none"/>
              </w:rPr>
              <w:t>营业执照或者事业单位法人证书或者执业许可证或者登记证书等</w:t>
            </w:r>
            <w:r>
              <w:rPr>
                <w:rFonts w:hint="eastAsia" w:ascii="宋体" w:hAnsi="宋体" w:cs="宋体"/>
                <w:color w:val="auto"/>
                <w:szCs w:val="21"/>
                <w:highlight w:val="none"/>
              </w:rPr>
              <w:t>；</w:t>
            </w:r>
          </w:p>
          <w:p w14:paraId="40CD768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供应商20</w:t>
            </w:r>
            <w:r>
              <w:rPr>
                <w:rFonts w:hint="eastAsia" w:ascii="宋体" w:hAnsi="宋体" w:cs="宋体"/>
                <w:color w:val="auto"/>
                <w:szCs w:val="21"/>
                <w:highlight w:val="none"/>
              </w:rPr>
              <w:t>24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连续三个月的</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，或</w:t>
            </w:r>
            <w:r>
              <w:rPr>
                <w:rFonts w:ascii="宋体" w:hAnsi="宋体" w:cs="宋体"/>
                <w:color w:val="auto"/>
                <w:szCs w:val="21"/>
                <w:highlight w:val="none"/>
              </w:rPr>
              <w:t>依法免税的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从成立之日起到响应文件提交截止时间止不足要求月数的，从成立之日起</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w:t>
            </w:r>
          </w:p>
          <w:p w14:paraId="2549675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供应商202</w:t>
            </w:r>
            <w:r>
              <w:rPr>
                <w:rFonts w:hint="eastAsia"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r>
              <w:rPr>
                <w:rFonts w:hint="eastAsia" w:ascii="宋体" w:hAnsi="宋体" w:cs="宋体"/>
                <w:color w:val="auto"/>
                <w:szCs w:val="21"/>
                <w:highlight w:val="none"/>
              </w:rPr>
              <w:t>，或</w:t>
            </w:r>
            <w:r>
              <w:rPr>
                <w:rFonts w:ascii="宋体" w:hAnsi="宋体" w:cs="宋体"/>
                <w:color w:val="auto"/>
                <w:szCs w:val="21"/>
                <w:highlight w:val="none"/>
              </w:rPr>
              <w:t>依法不需要缴纳社会保障资金的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w:t>
            </w:r>
            <w:r>
              <w:rPr>
                <w:rFonts w:hint="eastAsia" w:ascii="宋体" w:hAnsi="宋体" w:cs="宋体"/>
                <w:color w:val="auto"/>
                <w:szCs w:val="21"/>
                <w:highlight w:val="none"/>
              </w:rPr>
              <w:t>，</w:t>
            </w:r>
            <w:r>
              <w:rPr>
                <w:rFonts w:ascii="宋体" w:hAnsi="宋体" w:cs="宋体"/>
                <w:color w:val="auto"/>
                <w:szCs w:val="21"/>
                <w:highlight w:val="none"/>
              </w:rPr>
              <w:t>从成立之日起</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p>
          <w:p w14:paraId="0C0D90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（4）供应商财务状况报告（2024年年度财务报表或经审计的财务报告；供应商属于成立时间在规定年度之后的法人或其他组织，需具备成立之日起至响应文件提交截止时间前的月报表）。</w:t>
            </w:r>
          </w:p>
        </w:tc>
      </w:tr>
      <w:tr w14:paraId="68A6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BDF651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2436E2C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21FC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D37A41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3AA02ADB">
            <w:pPr>
              <w:wordWrap w:val="0"/>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2D98D51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5B34DD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6273B6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7A1E0CE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6DE1956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022DF6D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3862C5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40308F7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22AE2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FD1A55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8BFEC65">
            <w:pPr>
              <w:pStyle w:val="14"/>
              <w:wordWrap w:val="0"/>
              <w:spacing w:line="360" w:lineRule="auto"/>
              <w:rPr>
                <w:rFonts w:ascii="宋体" w:hAnsi="宋体"/>
                <w:color w:val="auto"/>
                <w:szCs w:val="21"/>
                <w:highlight w:val="none"/>
              </w:rPr>
            </w:pPr>
            <w:r>
              <w:rPr>
                <w:rFonts w:hint="eastAsia" w:ascii="宋体" w:hAnsi="宋体"/>
                <w:color w:val="auto"/>
                <w:szCs w:val="21"/>
                <w:highlight w:val="none"/>
              </w:rPr>
              <w:t>☑不允许分包</w:t>
            </w:r>
          </w:p>
          <w:p w14:paraId="45DC9B9C">
            <w:pPr>
              <w:pStyle w:val="14"/>
              <w:wordWrap w:val="0"/>
              <w:spacing w:line="360" w:lineRule="auto"/>
              <w:rPr>
                <w:rFonts w:ascii="宋体" w:hAnsi="宋体"/>
                <w:color w:val="auto"/>
                <w:szCs w:val="21"/>
                <w:highlight w:val="none"/>
              </w:rPr>
            </w:pPr>
            <w:r>
              <w:rPr>
                <w:rFonts w:hint="eastAsia" w:ascii="宋体" w:hAnsi="宋体"/>
                <w:color w:val="auto"/>
                <w:szCs w:val="21"/>
                <w:highlight w:val="none"/>
              </w:rPr>
              <w:t>□允许分包</w:t>
            </w:r>
          </w:p>
          <w:p w14:paraId="3B4A7D00">
            <w:pPr>
              <w:pStyle w:val="14"/>
              <w:wordWrap w:val="0"/>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33AA2DDC">
            <w:pPr>
              <w:pStyle w:val="14"/>
              <w:wordWrap w:val="0"/>
              <w:spacing w:line="360" w:lineRule="auto"/>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71C6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E40F14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6C75C906">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DADD1E7">
            <w:pPr>
              <w:pStyle w:val="14"/>
              <w:wordWrap w:val="0"/>
              <w:spacing w:line="360" w:lineRule="auto"/>
              <w:rPr>
                <w:rFonts w:ascii="宋体" w:hAnsi="宋体"/>
                <w:color w:val="auto"/>
                <w:szCs w:val="21"/>
                <w:highlight w:val="none"/>
              </w:rPr>
            </w:pPr>
            <w:r>
              <w:rPr>
                <w:rFonts w:hint="eastAsia" w:ascii="宋体" w:hAnsi="宋体" w:cs="宋体"/>
                <w:color w:val="auto"/>
                <w:szCs w:val="21"/>
                <w:highlight w:val="none"/>
              </w:rPr>
              <w:t>1.供应商应当在响应文件中以书面形式作出信用承诺（承诺函格式见附件）；</w:t>
            </w:r>
            <w:r>
              <w:rPr>
                <w:rFonts w:hint="eastAsia" w:ascii="宋体" w:hAnsi="宋体" w:cs="宋体"/>
                <w:b/>
                <w:bCs/>
                <w:color w:val="auto"/>
                <w:szCs w:val="21"/>
                <w:highlight w:val="none"/>
              </w:rPr>
              <w:t>（必须提供，否则响应文件按无效响应处理）</w:t>
            </w:r>
          </w:p>
          <w:p w14:paraId="105A8C5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C5F3F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2C2956">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3A987E">
            <w:pPr>
              <w:wordWrap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5.供应商在广西政府采购云平台下载采购文件</w:t>
            </w:r>
            <w:r>
              <w:rPr>
                <w:rFonts w:ascii="宋体" w:hAnsi="宋体" w:cs="宋体"/>
                <w:color w:val="auto"/>
                <w:szCs w:val="21"/>
                <w:highlight w:val="none"/>
              </w:rPr>
              <w:t>的</w:t>
            </w:r>
            <w:r>
              <w:rPr>
                <w:rFonts w:hint="eastAsia" w:ascii="宋体" w:hAnsi="宋体" w:cs="宋体"/>
                <w:color w:val="auto"/>
                <w:szCs w:val="21"/>
                <w:highlight w:val="none"/>
              </w:rPr>
              <w:t>证明文件；</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30F8E1DB">
            <w:pPr>
              <w:wordWrap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中小企业声明函或残疾人福利性单位声明函或供应商属于监狱企业的证明材料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56FD5E5B">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7.除磋商文件规定必须提供以外，供应商认为需要提供的其他证明材料；</w:t>
            </w:r>
          </w:p>
          <w:p w14:paraId="5119B40E">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p>
          <w:p w14:paraId="621D659C">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ascii="宋体" w:hAnsi="宋体"/>
                <w:b/>
                <w:color w:val="auto"/>
                <w:szCs w:val="21"/>
                <w:highlight w:val="none"/>
              </w:rPr>
              <w:t>电子签章</w:t>
            </w:r>
            <w:r>
              <w:rPr>
                <w:rFonts w:hint="eastAsia" w:ascii="宋体" w:hAnsi="宋体" w:cs="宋体"/>
                <w:b/>
                <w:color w:val="auto"/>
                <w:szCs w:val="21"/>
                <w:highlight w:val="none"/>
              </w:rPr>
              <w:t>，否则响应文件按无效处理。</w:t>
            </w:r>
          </w:p>
          <w:p w14:paraId="1CCFFA6D">
            <w:pPr>
              <w:pStyle w:val="14"/>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b/>
                <w:bCs/>
                <w:color w:val="auto"/>
                <w:szCs w:val="21"/>
                <w:highlight w:val="none"/>
              </w:rPr>
              <w:t>分公司参加竞标的，应当取得总公司授权，并在响应文件中提供相关证明材料，否则响应文件按无效响应处理。</w:t>
            </w:r>
          </w:p>
        </w:tc>
      </w:tr>
      <w:tr w14:paraId="45F24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46D7DF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2786858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6EBCB4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858138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42EFE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9AD67C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0C73B6BC">
            <w:pPr>
              <w:wordWrap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4E35F1A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83BB8E">
            <w:pPr>
              <w:wordWrap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BEF90D">
            <w:pPr>
              <w:wordWrap w:val="0"/>
              <w:spacing w:line="360"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67651F9E">
            <w:pPr>
              <w:wordWrap w:val="0"/>
              <w:spacing w:line="360" w:lineRule="auto"/>
              <w:rPr>
                <w:rFonts w:ascii="宋体" w:hAns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D7ADD92">
            <w:pPr>
              <w:wordWrap w:val="0"/>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92F67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0617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C2AB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8.项目实施方案（格式自拟）；（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2B02B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9.人员配置方案（包含但不限于项目实施人员一览表）</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E13695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10.作业质量和安全保障方案；（如有，请提供）</w:t>
            </w:r>
          </w:p>
          <w:p w14:paraId="19BD000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11.应急方案；（如有，请提供）</w:t>
            </w:r>
          </w:p>
          <w:p w14:paraId="02B7DD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12.对应采购需求的技术要求、商务要求提供的其他文件资料（格式自拟）；</w:t>
            </w:r>
          </w:p>
          <w:p w14:paraId="62BC04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13.供应商认为需要提供的其他有关资料。</w:t>
            </w:r>
          </w:p>
          <w:p w14:paraId="620A5F1E">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r>
              <w:rPr>
                <w:rFonts w:hint="eastAsia" w:ascii="宋体" w:hAnsi="宋体" w:cs="宋体"/>
                <w:b/>
                <w:color w:val="auto"/>
                <w:szCs w:val="21"/>
                <w:highlight w:val="none"/>
              </w:rPr>
              <w:t>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64B5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9C1B15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66BC6683">
            <w:pPr>
              <w:wordWrap w:val="0"/>
              <w:spacing w:line="360" w:lineRule="auto"/>
              <w:contextualSpacing/>
              <w:jc w:val="left"/>
              <w:rPr>
                <w:rFonts w:ascii="宋体" w:hAnsi="宋体"/>
                <w:b/>
                <w:color w:val="auto"/>
                <w:szCs w:val="21"/>
                <w:highlight w:val="none"/>
              </w:rPr>
            </w:pPr>
            <w:r>
              <w:rPr>
                <w:rFonts w:hint="eastAsia" w:ascii="宋体" w:hAnsi="宋体"/>
                <w:bCs/>
                <w:color w:val="auto"/>
                <w:szCs w:val="21"/>
                <w:highlight w:val="none"/>
              </w:rPr>
              <w:t>竞标报价必须含以下部分，包括但不限于整体服务价格及设备、人员成本、管理、利润、税金、保险、搬运、包装、运输、培训、验收、检测及其它所有成本、费用的总和。</w:t>
            </w:r>
          </w:p>
        </w:tc>
      </w:tr>
      <w:tr w14:paraId="4F4B7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4ED010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334DEB5F">
            <w:pPr>
              <w:pStyle w:val="11"/>
              <w:widowControl w:val="0"/>
              <w:tabs>
                <w:tab w:val="clear" w:pos="454"/>
              </w:tabs>
              <w:wordWrap w:val="0"/>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699E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D072DB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3770831E">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7262E8FE">
            <w:pPr>
              <w:wordWrap w:val="0"/>
              <w:snapToGrid w:val="0"/>
              <w:spacing w:line="360" w:lineRule="auto"/>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本项目收取磋商保证金，具体规定如下：</w:t>
            </w:r>
          </w:p>
          <w:p w14:paraId="579142F8">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bCs/>
                <w:color w:val="auto"/>
                <w:kern w:val="0"/>
                <w:szCs w:val="21"/>
                <w:highlight w:val="none"/>
                <w:u w:val="single"/>
              </w:rPr>
              <w:t>贰万伍仟元整（¥25000.00）</w:t>
            </w:r>
            <w:r>
              <w:rPr>
                <w:rFonts w:hint="eastAsia" w:ascii="宋体" w:hAnsi="宋体" w:cs="宋体"/>
                <w:color w:val="auto"/>
                <w:kern w:val="0"/>
                <w:szCs w:val="21"/>
                <w:highlight w:val="none"/>
              </w:rPr>
              <w:t>。</w:t>
            </w:r>
          </w:p>
          <w:p w14:paraId="7AC3171B">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磋商保证金的交纳方式：银行转账、支票、汇票、本票或者银行、保险机构出具的保函（包含电子保函），禁止采用现钞方式。采用银行转账方式的，在响应文件提交截止时间前交至</w:t>
            </w:r>
            <w:r>
              <w:rPr>
                <w:rFonts w:hint="eastAsia" w:ascii="宋体" w:hAnsi="宋体" w:cs="宋体"/>
                <w:color w:val="auto"/>
                <w:kern w:val="0"/>
                <w:szCs w:val="21"/>
                <w:highlight w:val="none"/>
                <w:u w:val="single"/>
              </w:rPr>
              <w:t>云之龙咨询集团有限公司指定账户并且到账（账户名称：云之龙咨询集团有限公司北海分公司，开户银行：中信银行南宁东葛支行，银行账号：8113001013400074639</w:t>
            </w:r>
            <w:r>
              <w:rPr>
                <w:rFonts w:hint="eastAsia" w:ascii="宋体" w:hAnsi="宋体" w:cs="宋体"/>
                <w:color w:val="auto"/>
                <w:kern w:val="0"/>
                <w:szCs w:val="21"/>
                <w:highlight w:val="none"/>
              </w:rPr>
              <w:t>）；采用支票、汇票、本票或者保函（包含电子保函）等方式的，在响应文件提交截止时间前，供应商必须提交单独密封的支票、汇票、本票或者保函原件。</w:t>
            </w:r>
            <w:r>
              <w:rPr>
                <w:rFonts w:hint="eastAsia" w:ascii="宋体" w:hAnsi="宋体" w:cs="宋体"/>
                <w:b/>
                <w:bCs/>
                <w:color w:val="auto"/>
                <w:kern w:val="0"/>
                <w:szCs w:val="21"/>
                <w:highlight w:val="none"/>
              </w:rPr>
              <w:t>否则视为无效磋商保证金。</w:t>
            </w:r>
          </w:p>
          <w:p w14:paraId="295A600B">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0B235BF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68AED23">
            <w:pPr>
              <w:wordWrap w:val="0"/>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ascii="宋体" w:hAnsi="宋体" w:cs="宋体"/>
                <w:color w:val="auto"/>
                <w:szCs w:val="21"/>
                <w:highlight w:val="none"/>
              </w:rPr>
              <w:t>现场提交地址或邮寄地址：</w:t>
            </w:r>
            <w:r>
              <w:rPr>
                <w:rFonts w:hint="eastAsia" w:ascii="宋体" w:hAnsi="宋体" w:cs="宋体"/>
                <w:color w:val="auto"/>
                <w:szCs w:val="21"/>
                <w:highlight w:val="none"/>
                <w:u w:val="single"/>
              </w:rPr>
              <w:t>广西北海市北部湾中路60号779财富中心15楼1505号云之龙咨询集团有限公司。</w:t>
            </w:r>
            <w:r>
              <w:rPr>
                <w:rFonts w:hint="eastAsia" w:ascii="宋体" w:hAnsi="宋体" w:cs="宋体"/>
                <w:b/>
                <w:bCs/>
                <w:color w:val="auto"/>
                <w:szCs w:val="21"/>
                <w:highlight w:val="none"/>
                <w:u w:val="single"/>
              </w:rPr>
              <w:t>本项目拒收到付邮件，通过邮寄方式送达的，请合理安排邮寄时间，因邮寄原因未能在规定时间内送达的后果由供应商自行承担，逾期送达按无效响应处理</w:t>
            </w:r>
            <w:r>
              <w:rPr>
                <w:rFonts w:hint="eastAsia" w:ascii="宋体" w:hAnsi="宋体" w:cs="宋体"/>
                <w:color w:val="auto"/>
                <w:szCs w:val="21"/>
                <w:highlight w:val="none"/>
              </w:rPr>
              <w:t>，收件人：</w:t>
            </w:r>
            <w:r>
              <w:rPr>
                <w:rFonts w:hint="eastAsia" w:ascii="宋体" w:hAnsi="宋体" w:cs="宋体"/>
                <w:color w:val="auto"/>
                <w:szCs w:val="21"/>
                <w:highlight w:val="none"/>
                <w:u w:val="single"/>
              </w:rPr>
              <w:t>翁娜娜</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0779-3227361</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7AB84794">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0A9F003D">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10D8E739">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6C2B3EFC">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521C3C1D">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203AF409">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10B0CC66">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6361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00BF77E">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16228228">
            <w:pPr>
              <w:wordWrap w:val="0"/>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44E7E2DE">
            <w:pPr>
              <w:wordWrap w:val="0"/>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本项目接受电子备份响应文件。</w:t>
            </w:r>
          </w:p>
          <w:p w14:paraId="0EF72A2E">
            <w:pPr>
              <w:wordWrap w:val="0"/>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备份响应文件</w:t>
            </w:r>
            <w:r>
              <w:rPr>
                <w:rFonts w:hint="eastAsia"/>
                <w:color w:val="auto"/>
                <w:highlight w:val="none"/>
              </w:rPr>
              <w:t>提交方式：供应商可以在响应截止时间前采用以下</w:t>
            </w:r>
            <w:r>
              <w:rPr>
                <w:color w:val="auto"/>
                <w:highlight w:val="none"/>
                <w:u w:val="single"/>
              </w:rPr>
              <w:t xml:space="preserve"> </w:t>
            </w:r>
            <w:r>
              <w:rPr>
                <w:rFonts w:hint="eastAsia"/>
                <w:color w:val="auto"/>
                <w:highlight w:val="none"/>
                <w:u w:val="single"/>
              </w:rPr>
              <w:t>（1）或（3）</w:t>
            </w:r>
            <w:r>
              <w:rPr>
                <w:color w:val="auto"/>
                <w:highlight w:val="none"/>
                <w:u w:val="single"/>
              </w:rPr>
              <w:t xml:space="preserve">  </w:t>
            </w:r>
            <w:r>
              <w:rPr>
                <w:rFonts w:hint="eastAsia"/>
                <w:color w:val="auto"/>
                <w:highlight w:val="none"/>
              </w:rPr>
              <w:t>种方式向采购代理机构提交电子备份响应文件：</w:t>
            </w:r>
          </w:p>
          <w:p w14:paraId="3B19DDC9">
            <w:pPr>
              <w:wordWrap w:val="0"/>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；提交截止时间</w:t>
            </w:r>
            <w:r>
              <w:rPr>
                <w:rFonts w:hint="eastAsia"/>
                <w:color w:val="auto"/>
                <w:highlight w:val="none"/>
                <w:u w:val="single"/>
              </w:rPr>
              <w:t>：响应文件提交截止时间前；</w:t>
            </w:r>
            <w:r>
              <w:rPr>
                <w:rFonts w:hint="eastAsia"/>
                <w:color w:val="auto"/>
                <w:highlight w:val="none"/>
              </w:rPr>
              <w:t>外包装上注明供应商名称、项目名称及项目编号（外包装不作密封要求）。</w:t>
            </w:r>
          </w:p>
          <w:p w14:paraId="6A5E2EE6">
            <w:pPr>
              <w:wordWrap w:val="0"/>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）电子邮件方式，接收电子备份响应文件的电子邮箱为：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rPr>
              <w:t>。</w:t>
            </w:r>
          </w:p>
          <w:p w14:paraId="3A3A2750">
            <w:pPr>
              <w:pStyle w:val="14"/>
              <w:wordWrap w:val="0"/>
              <w:spacing w:line="360" w:lineRule="auto"/>
              <w:jc w:val="both"/>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，截止接收时间：</w:t>
            </w:r>
            <w:r>
              <w:rPr>
                <w:rFonts w:hint="eastAsia"/>
                <w:color w:val="auto"/>
                <w:highlight w:val="none"/>
                <w:u w:val="single"/>
              </w:rPr>
              <w:t>响应文件提交截止时间前</w:t>
            </w:r>
            <w:r>
              <w:rPr>
                <w:rFonts w:hint="eastAsia"/>
                <w:color w:val="auto"/>
                <w:highlight w:val="none"/>
              </w:rPr>
              <w:t>，收件人：</w:t>
            </w:r>
            <w:r>
              <w:rPr>
                <w:rFonts w:hint="eastAsia"/>
                <w:color w:val="auto"/>
                <w:highlight w:val="none"/>
                <w:u w:val="single"/>
              </w:rPr>
              <w:t>翁娜娜</w:t>
            </w:r>
            <w:r>
              <w:rPr>
                <w:rFonts w:hint="eastAsia"/>
                <w:color w:val="auto"/>
                <w:highlight w:val="none"/>
              </w:rPr>
              <w:t>，联系方式：</w:t>
            </w:r>
            <w:r>
              <w:rPr>
                <w:rFonts w:ascii="宋体" w:hAnsi="宋体" w:cs="宋体"/>
                <w:color w:val="auto"/>
                <w:szCs w:val="21"/>
                <w:highlight w:val="none"/>
                <w:u w:val="single"/>
              </w:rPr>
              <w:t>0779-3227361</w:t>
            </w:r>
            <w:r>
              <w:rPr>
                <w:rFonts w:hint="eastAsia"/>
                <w:color w:val="auto"/>
                <w:highlight w:val="none"/>
              </w:rPr>
              <w:t>；外包装上注明供应商名称、项目名称及项目编号（外包装不作密封要求）。</w:t>
            </w:r>
          </w:p>
          <w:p w14:paraId="64030845">
            <w:pPr>
              <w:wordWrap w:val="0"/>
              <w:autoSpaceDE w:val="0"/>
              <w:autoSpaceDN w:val="0"/>
              <w:snapToGrid w:val="0"/>
              <w:spacing w:line="360" w:lineRule="auto"/>
              <w:textAlignment w:val="bottom"/>
              <w:rPr>
                <w:rFonts w:ascii="宋体" w:hAnsi="宋体" w:cs="宋体"/>
                <w:color w:val="auto"/>
                <w:szCs w:val="21"/>
                <w:highlight w:val="none"/>
              </w:rPr>
            </w:pPr>
            <w:r>
              <w:rPr>
                <w:rFonts w:hint="eastAsia"/>
                <w:color w:val="auto"/>
                <w:highlight w:val="none"/>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color w:val="auto"/>
                <w:highlight w:val="none"/>
              </w:rPr>
              <w:t>供应商的响应文件作无效处理</w:t>
            </w:r>
            <w:r>
              <w:rPr>
                <w:rFonts w:hint="eastAsia"/>
                <w:color w:val="auto"/>
                <w:highlight w:val="none"/>
              </w:rPr>
              <w:t>。</w:t>
            </w:r>
          </w:p>
        </w:tc>
      </w:tr>
      <w:tr w14:paraId="2580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052BEF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21745E59">
            <w:pPr>
              <w:wordWrap w:val="0"/>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8544FA8">
            <w:pPr>
              <w:wordWrap w:val="0"/>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16B1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090B4E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5A7A08D1">
            <w:pPr>
              <w:wordWrap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5583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5DF4EE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02E1E51C">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2F1F0EB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ascii="宋体" w:hAnsi="宋体"/>
                <w:color w:val="auto"/>
                <w:szCs w:val="21"/>
                <w:highlight w:val="none"/>
                <w:u w:val="single"/>
              </w:rPr>
              <w:t>30</w:t>
            </w:r>
            <w:r>
              <w:rPr>
                <w:rFonts w:hint="eastAsia" w:ascii="宋体" w:hAnsi="宋体"/>
                <w:color w:val="auto"/>
                <w:szCs w:val="21"/>
                <w:highlight w:val="none"/>
              </w:rPr>
              <w:t>分钟。</w:t>
            </w:r>
          </w:p>
        </w:tc>
      </w:tr>
      <w:tr w14:paraId="56C6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3A821CD">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24259FA6">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26A658A">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8D5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0CBD45E">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769EE573">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r>
              <w:rPr>
                <w:rFonts w:hint="eastAsia" w:ascii="宋体" w:hAnsi="宋体" w:cs="宋体"/>
                <w:color w:val="auto"/>
                <w:szCs w:val="21"/>
                <w:highlight w:val="none"/>
              </w:rPr>
              <w:t>。</w:t>
            </w:r>
          </w:p>
        </w:tc>
      </w:tr>
      <w:tr w14:paraId="004D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C2AA8BB">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4B97E034">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1C8115AA">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F28EE61">
            <w:pPr>
              <w:wordWrap w:val="0"/>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4A215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3E4391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256E89C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CA7C95F">
            <w:pPr>
              <w:pStyle w:val="18"/>
              <w:wordWrap w:val="0"/>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云之龙咨询集团有限公司北海分公司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0779-3227361/3227538</w:t>
            </w:r>
            <w:r>
              <w:rPr>
                <w:rFonts w:hint="eastAsia" w:hAnsi="宋体" w:cs="宋体"/>
                <w:color w:val="auto"/>
                <w:kern w:val="2"/>
                <w:sz w:val="21"/>
                <w:highlight w:val="none"/>
              </w:rPr>
              <w:t>，通讯地址：</w:t>
            </w:r>
            <w:r>
              <w:rPr>
                <w:rFonts w:hint="eastAsia" w:hAnsi="宋体" w:cs="宋体"/>
                <w:color w:val="auto"/>
                <w:kern w:val="2"/>
                <w:sz w:val="21"/>
                <w:highlight w:val="none"/>
                <w:u w:val="single"/>
              </w:rPr>
              <w:t>广西北海市北部湾中路60号779财富中心15楼1505号</w:t>
            </w:r>
          </w:p>
          <w:p w14:paraId="6BE4F895">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t>业务时间：上午8时00分到12时00分，下午</w:t>
            </w:r>
            <w:r>
              <w:rPr>
                <w:rFonts w:ascii="宋体" w:hAnsi="宋体" w:cs="宋体"/>
                <w:color w:val="auto"/>
                <w:szCs w:val="21"/>
                <w:highlight w:val="none"/>
              </w:rPr>
              <w:t>3</w:t>
            </w:r>
            <w:r>
              <w:rPr>
                <w:rFonts w:hint="eastAsia" w:ascii="宋体" w:hAnsi="宋体" w:cs="宋体"/>
                <w:color w:val="auto"/>
                <w:szCs w:val="21"/>
                <w:highlight w:val="none"/>
              </w:rPr>
              <w:t>时00分到</w:t>
            </w:r>
            <w:r>
              <w:rPr>
                <w:rFonts w:ascii="宋体" w:hAnsi="宋体" w:cs="宋体"/>
                <w:color w:val="auto"/>
                <w:szCs w:val="21"/>
                <w:highlight w:val="none"/>
              </w:rPr>
              <w:t>6</w:t>
            </w:r>
            <w:r>
              <w:rPr>
                <w:rFonts w:hint="eastAsia" w:ascii="宋体" w:hAnsi="宋体" w:cs="宋体"/>
                <w:color w:val="auto"/>
                <w:szCs w:val="21"/>
                <w:highlight w:val="none"/>
              </w:rPr>
              <w:t>时00分</w:t>
            </w:r>
          </w:p>
        </w:tc>
      </w:tr>
      <w:tr w14:paraId="516C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C6E8B6B">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37E77604">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45A751E4">
            <w:pPr>
              <w:pStyle w:val="18"/>
              <w:wordWrap w:val="0"/>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领取成交通知书后三个工作日内，一次性向采购代理机构支付。</w:t>
            </w:r>
          </w:p>
          <w:p w14:paraId="3EFD7AE2">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1D600EE3">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0927EBB1">
            <w:pPr>
              <w:pStyle w:val="18"/>
              <w:wordWrap w:val="0"/>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w:t>
            </w:r>
            <w:r>
              <w:rPr>
                <w:rFonts w:hint="eastAsia" w:hAnsi="宋体"/>
                <w:color w:val="auto"/>
                <w:highlight w:val="none"/>
              </w:rPr>
              <w:t>☑</w:t>
            </w:r>
            <w:r>
              <w:rPr>
                <w:rFonts w:hint="eastAsia" w:hAnsi="宋体" w:cs="宋体"/>
                <w:color w:val="auto"/>
                <w:sz w:val="21"/>
                <w:highlight w:val="none"/>
              </w:rPr>
              <w:t>成交金额</w:t>
            </w:r>
            <w:r>
              <w:rPr>
                <w:rFonts w:hint="eastAsia" w:hAnsi="宋体" w:cs="宋体"/>
                <w:color w:val="auto"/>
                <w:sz w:val="21"/>
                <w:highlight w:val="none"/>
              </w:rPr>
              <w:t>/□采购预算/□暂定成交金额/□其他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w:t>
            </w:r>
            <w:r>
              <w:rPr>
                <w:rFonts w:hint="eastAsia" w:hAnsi="宋体"/>
                <w:color w:val="auto"/>
                <w:highlight w:val="none"/>
              </w:rPr>
              <w:t>☑</w:t>
            </w:r>
            <w:r>
              <w:rPr>
                <w:rFonts w:hint="eastAsia" w:hAnsi="宋体" w:cs="宋体"/>
                <w:color w:val="auto"/>
                <w:sz w:val="21"/>
                <w:highlight w:val="none"/>
              </w:rPr>
              <w:t>服务类</w:t>
            </w:r>
            <w:r>
              <w:rPr>
                <w:rFonts w:hint="eastAsia" w:hAnsi="宋体" w:cs="宋体"/>
                <w:color w:val="auto"/>
                <w:sz w:val="21"/>
                <w:highlight w:val="none"/>
              </w:rPr>
              <w:t>/□工程类）采用差额定率累进法计算出收费基准价格，采购代理收费以（</w:t>
            </w:r>
            <w:r>
              <w:rPr>
                <w:rFonts w:hint="eastAsia" w:hAnsi="宋体"/>
                <w:color w:val="auto"/>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rPr>
              <w:t>/</w:t>
            </w:r>
            <w:r>
              <w:rPr>
                <w:rFonts w:hint="eastAsia" w:hAnsi="宋体" w:cs="宋体"/>
                <w:color w:val="auto"/>
                <w:sz w:val="21"/>
                <w:highlight w:val="none"/>
                <w:lang w:eastAsia="zh-CN"/>
              </w:rPr>
              <w:t>☑</w:t>
            </w:r>
            <w:r>
              <w:rPr>
                <w:rFonts w:hint="eastAsia" w:hAnsi="宋体" w:cs="宋体"/>
                <w:color w:val="auto"/>
                <w:sz w:val="21"/>
                <w:highlight w:val="none"/>
              </w:rPr>
              <w:t>收费基准价格下浮</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20</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）收取。最低收费伍仟元，不足伍仟元按伍仟元收取。</w:t>
            </w:r>
          </w:p>
          <w:p w14:paraId="5B8994E1">
            <w:pPr>
              <w:pStyle w:val="18"/>
              <w:wordWrap w:val="0"/>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482162B1">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3.采购代理费收取银行账户</w:t>
            </w:r>
          </w:p>
          <w:p w14:paraId="43D3E9CE">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账户名称：云之龙咨询集团有限公司北海分公司</w:t>
            </w:r>
          </w:p>
          <w:p w14:paraId="33BD64F2">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账号：8113001013600157976</w:t>
            </w:r>
          </w:p>
          <w:p w14:paraId="03D65AFB">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开户行：中信银行南宁东葛支行</w:t>
            </w:r>
          </w:p>
        </w:tc>
      </w:tr>
      <w:tr w14:paraId="5BCC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B909BA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55AFFEBA">
            <w:pPr>
              <w:pStyle w:val="18"/>
              <w:wordWrap w:val="0"/>
              <w:snapToGrid w:val="0"/>
              <w:spacing w:line="360" w:lineRule="auto"/>
              <w:rPr>
                <w:rFonts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362A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F2B8D1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04D1C524">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E84B89C">
            <w:pPr>
              <w:pStyle w:val="18"/>
              <w:wordWrap w:val="0"/>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4AB4443">
            <w:pPr>
              <w:pStyle w:val="18"/>
              <w:wordWrap w:val="0"/>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7966A776">
            <w:pPr>
              <w:pStyle w:val="18"/>
              <w:wordWrap w:val="0"/>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723353FF">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12D1CDAF">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5CC612F">
      <w:pPr>
        <w:spacing w:line="400" w:lineRule="exact"/>
        <w:jc w:val="center"/>
        <w:rPr>
          <w:rFonts w:ascii="宋体" w:hAnsi="宋体"/>
          <w:b/>
          <w:color w:val="auto"/>
          <w:sz w:val="32"/>
          <w:szCs w:val="32"/>
          <w:highlight w:val="none"/>
        </w:rPr>
      </w:pPr>
    </w:p>
    <w:p w14:paraId="5CB8FACD">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3F7A6330">
      <w:pPr>
        <w:spacing w:line="400" w:lineRule="exact"/>
        <w:rPr>
          <w:rFonts w:ascii="宋体" w:hAnsi="宋体"/>
          <w:color w:val="auto"/>
          <w:szCs w:val="21"/>
          <w:highlight w:val="none"/>
        </w:rPr>
      </w:pPr>
    </w:p>
    <w:p w14:paraId="553C04A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A8C2B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66FE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02FC58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3BA87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5E9DB8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796BE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D1AF28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1DD659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4343528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8C2B31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05CE78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772AD0A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40946440">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17D6B83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3656B4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04D121B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66082A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246C40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FDA5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6F0DCE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15842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1FCBA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2791D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1" w:name="_Hlk66782192"/>
      <w:r>
        <w:rPr>
          <w:rFonts w:hint="eastAsia" w:ascii="宋体" w:hAnsi="宋体"/>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61"/>
    </w:p>
    <w:p w14:paraId="20F7293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4F4F21B">
      <w:pPr>
        <w:pStyle w:val="8"/>
        <w:keepNext w:val="0"/>
        <w:keepLines w:val="0"/>
        <w:spacing w:before="0" w:after="0" w:line="360" w:lineRule="auto"/>
        <w:ind w:firstLine="420" w:firstLineChars="200"/>
        <w:rPr>
          <w:rFonts w:ascii="宋体" w:hAnsi="宋体"/>
          <w:b w:val="0"/>
          <w:color w:val="auto"/>
          <w:sz w:val="21"/>
          <w:szCs w:val="21"/>
          <w:highlight w:val="none"/>
        </w:rPr>
      </w:pPr>
      <w:bookmarkStart w:id="62" w:name="_Toc254970673"/>
      <w:bookmarkStart w:id="63" w:name="_Toc254970532"/>
      <w:r>
        <w:rPr>
          <w:rFonts w:hint="eastAsia" w:ascii="宋体" w:hAnsi="宋体"/>
          <w:b w:val="0"/>
          <w:color w:val="auto"/>
          <w:sz w:val="21"/>
          <w:szCs w:val="21"/>
          <w:highlight w:val="none"/>
        </w:rPr>
        <w:t>6.1本项目不允许转包。</w:t>
      </w:r>
    </w:p>
    <w:p w14:paraId="03F8C875">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A2EF163">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75EF6EB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2"/>
      <w:bookmarkEnd w:id="63"/>
    </w:p>
    <w:p w14:paraId="7D76E673">
      <w:pPr>
        <w:spacing w:line="360" w:lineRule="auto"/>
        <w:ind w:firstLine="420" w:firstLineChars="200"/>
        <w:rPr>
          <w:rFonts w:ascii="宋体" w:hAnsi="宋体" w:cs="宋体"/>
          <w:color w:val="auto"/>
          <w:szCs w:val="21"/>
          <w:highlight w:val="none"/>
        </w:rPr>
      </w:pPr>
      <w:bookmarkStart w:id="64" w:name="_8.1提供相同品牌产品且通过资格审查、符合性审查的不同投标人参加同一合"/>
      <w:bookmarkEnd w:id="64"/>
      <w:r>
        <w:rPr>
          <w:rFonts w:hint="eastAsia" w:ascii="宋体" w:hAnsi="宋体" w:cs="宋体"/>
          <w:color w:val="auto"/>
          <w:szCs w:val="21"/>
          <w:highlight w:val="none"/>
        </w:rPr>
        <w:t>7.</w:t>
      </w:r>
      <w:r>
        <w:rPr>
          <w:rFonts w:ascii="宋体" w:hAnsi="宋体" w:cs="宋体"/>
          <w:color w:val="auto"/>
          <w:szCs w:val="21"/>
          <w:highlight w:val="none"/>
        </w:rPr>
        <w:t>1</w:t>
      </w:r>
      <w:bookmarkStart w:id="6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5"/>
    <w:p w14:paraId="5573B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3F64C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AE1B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0C028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6ECA9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0377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AA457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DB69C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1A8B2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DBFF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25E88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528C4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80961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AF67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BA8E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AD36FFB">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C7BE0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2754F3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11109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59B99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D65AC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0A3CC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6E3DE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EE488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05CF50F">
      <w:pPr>
        <w:spacing w:line="360" w:lineRule="auto"/>
        <w:ind w:firstLine="420" w:firstLineChars="200"/>
        <w:rPr>
          <w:rFonts w:ascii="宋体" w:hAnsi="宋体" w:cs="宋体"/>
          <w:color w:val="auto"/>
          <w:szCs w:val="21"/>
          <w:highlight w:val="none"/>
        </w:rPr>
      </w:pPr>
    </w:p>
    <w:p w14:paraId="39322138">
      <w:pPr>
        <w:spacing w:line="360" w:lineRule="auto"/>
        <w:ind w:left="1" w:firstLine="417" w:firstLineChars="199"/>
        <w:jc w:val="center"/>
        <w:rPr>
          <w:rFonts w:ascii="宋体" w:hAnsi="宋体"/>
          <w:color w:val="auto"/>
          <w:highlight w:val="none"/>
        </w:rPr>
      </w:pPr>
      <w:bookmarkStart w:id="66" w:name="_Toc254970675"/>
      <w:bookmarkStart w:id="67" w:name="_Toc254970534"/>
    </w:p>
    <w:p w14:paraId="53313EA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6"/>
      <w:bookmarkEnd w:id="67"/>
    </w:p>
    <w:p w14:paraId="233C85CD">
      <w:pPr>
        <w:spacing w:line="360" w:lineRule="auto"/>
        <w:rPr>
          <w:rFonts w:ascii="宋体" w:hAnsi="宋体"/>
          <w:color w:val="auto"/>
          <w:szCs w:val="21"/>
          <w:highlight w:val="none"/>
        </w:rPr>
      </w:pPr>
    </w:p>
    <w:p w14:paraId="63E5BEB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7FD384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709C3C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34B849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1CE066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67D7E5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608BA9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68FD081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E2B46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D430DC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07538BB">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6C0E2DE1">
      <w:pPr>
        <w:spacing w:line="360" w:lineRule="auto"/>
        <w:rPr>
          <w:rFonts w:ascii="宋体" w:hAnsi="宋体"/>
          <w:color w:val="auto"/>
          <w:szCs w:val="21"/>
          <w:highlight w:val="none"/>
        </w:rPr>
      </w:pPr>
    </w:p>
    <w:p w14:paraId="770309AB">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4A96EBEB">
      <w:pPr>
        <w:spacing w:line="360" w:lineRule="auto"/>
        <w:rPr>
          <w:rFonts w:ascii="宋体" w:hAnsi="宋体"/>
          <w:color w:val="auto"/>
          <w:szCs w:val="21"/>
          <w:highlight w:val="none"/>
        </w:rPr>
      </w:pPr>
    </w:p>
    <w:p w14:paraId="1AE5678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DC128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供应商必须按照磋商文件的要求编制响应文件，并对其提交的响应文件的真实性、合法性承担法律责任。响应文件必须对磋商文件提出的要求和条件作出明确响应。</w:t>
      </w:r>
    </w:p>
    <w:p w14:paraId="263389F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24045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6ABEDD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5CD097B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495A1BCE">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0E988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3A1808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714480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01CEB3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供应商没有按照磋商文件要求提供全部资料，或者供应商没有对磋商文件在各方面作出实质性响应可能导致其响应无效，是供应商应当考虑的风险。</w:t>
      </w:r>
    </w:p>
    <w:p w14:paraId="2077BA2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C2D2DA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5C3E38F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A1B2906">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5F01C33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5.3.1</w:t>
      </w:r>
      <w:r>
        <w:rPr>
          <w:rFonts w:hint="eastAsia" w:ascii="宋体" w:hAnsi="宋体" w:cs="宋体"/>
          <w:b/>
          <w:bCs/>
          <w:color w:val="auto"/>
          <w:szCs w:val="21"/>
          <w:highlight w:val="none"/>
        </w:rPr>
        <w:t>供应商的竞标报价应符合以下要求，否则响应文件按无效响应处理：</w:t>
      </w:r>
    </w:p>
    <w:p w14:paraId="61AAEE5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758780BC">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A629E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464148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15.3.</w:t>
      </w:r>
      <w:r>
        <w:rPr>
          <w:rFonts w:ascii="宋体" w:hAnsi="宋体" w:cs="宋体"/>
          <w:b/>
          <w:bCs/>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竞标报价（包含首次报价、最后报价）超过所竞标分标规定的采购预算金额的，其响应文件将按无效处理。</w:t>
      </w:r>
      <w:bookmarkStart w:id="68" w:name="_Hlk42592874"/>
    </w:p>
    <w:bookmarkEnd w:id="68"/>
    <w:p w14:paraId="6E7599C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09A1D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378CA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竞标有效期应由供应商按“供应商须知前附表”规定的期限作出响应。承诺的竞标有效期低于采购文件规定期限的，供应商的响应文件作无效处理。</w:t>
      </w:r>
    </w:p>
    <w:p w14:paraId="6BEE3C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D8D70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621E6C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D9FE31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79D7F864">
      <w:pPr>
        <w:spacing w:line="360" w:lineRule="auto"/>
        <w:ind w:firstLine="420" w:firstLineChars="200"/>
        <w:rPr>
          <w:rFonts w:ascii="宋体" w:hAnsi="宋体" w:cs="宋体"/>
          <w:color w:val="auto"/>
          <w:szCs w:val="21"/>
          <w:highlight w:val="none"/>
        </w:rPr>
      </w:pPr>
      <w:bookmarkStart w:id="6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69"/>
      <w:r>
        <w:rPr>
          <w:rFonts w:hint="eastAsia" w:ascii="宋体" w:hAnsi="宋体" w:cs="宋体"/>
          <w:color w:val="auto"/>
          <w:szCs w:val="21"/>
          <w:highlight w:val="none"/>
        </w:rPr>
        <w:t xml:space="preserve"> </w:t>
      </w:r>
    </w:p>
    <w:p w14:paraId="6D610B1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3EF34773">
      <w:pPr>
        <w:spacing w:line="360" w:lineRule="auto"/>
        <w:ind w:left="420" w:leftChars="200"/>
        <w:rPr>
          <w:rFonts w:ascii="宋体" w:hAnsi="宋体" w:cs="宋体"/>
          <w:b/>
          <w:bCs/>
          <w:color w:val="auto"/>
          <w:szCs w:val="21"/>
          <w:highlight w:val="none"/>
        </w:rPr>
      </w:pPr>
      <w:r>
        <w:rPr>
          <w:rFonts w:hint="eastAsia" w:ascii="宋体" w:hAnsi="宋体" w:cs="宋体"/>
          <w:b/>
          <w:bCs/>
          <w:color w:val="auto"/>
          <w:szCs w:val="21"/>
          <w:highlight w:val="none"/>
        </w:rPr>
        <w:t xml:space="preserve">17.4供应商有下列情形之一的，磋商保证金将不予退还： </w:t>
      </w:r>
    </w:p>
    <w:p w14:paraId="1608D56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BEEB278">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3F41835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4F5810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077F03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447253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86B10B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E6CEC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03C431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89F40E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18.3响应文件须由供应商在规定位置签字、盖章（具体以供应商须知前附表或响应文件格式规定为准），否则按无效响应处理。</w:t>
      </w:r>
    </w:p>
    <w:p w14:paraId="308902C5">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133C07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0F9EB4D">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0EC4A09C">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2852424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76C54A99">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09CBC140">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w:t>
      </w:r>
      <w:r>
        <w:rPr>
          <w:rFonts w:hint="eastAsia" w:ascii="宋体" w:hAnsi="宋体"/>
          <w:color w:val="auto"/>
          <w:szCs w:val="21"/>
          <w:highlight w:val="none"/>
        </w:rPr>
        <w:t>广西政府采购云平台</w:t>
      </w:r>
      <w:r>
        <w:rPr>
          <w:rFonts w:hint="eastAsia" w:ascii="宋体" w:hAnsi="宋体"/>
          <w:b/>
          <w:color w:val="auto"/>
          <w:szCs w:val="21"/>
          <w:highlight w:val="none"/>
        </w:rPr>
        <w:t>将拒收。</w:t>
      </w:r>
    </w:p>
    <w:p w14:paraId="68C17CD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1DFB7C5">
      <w:pPr>
        <w:snapToGrid w:val="0"/>
        <w:spacing w:line="360" w:lineRule="auto"/>
        <w:ind w:firstLine="420"/>
        <w:jc w:val="left"/>
        <w:rPr>
          <w:rFonts w:ascii="宋体" w:hAnsi="宋体"/>
          <w:color w:val="auto"/>
          <w:szCs w:val="21"/>
          <w:highlight w:val="none"/>
        </w:rPr>
      </w:pPr>
      <w:bookmarkStart w:id="70" w:name="_Toc254970684"/>
      <w:bookmarkStart w:id="71"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0"/>
    <w:bookmarkEnd w:id="71"/>
    <w:p w14:paraId="5E99F514">
      <w:pPr>
        <w:pStyle w:val="64"/>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535BEB6A">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08631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BA747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3B7AF4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2"/>
    <w:p w14:paraId="771491FA">
      <w:pPr>
        <w:spacing w:line="360" w:lineRule="auto"/>
        <w:rPr>
          <w:rFonts w:ascii="宋体" w:hAnsi="宋体"/>
          <w:color w:val="auto"/>
          <w:szCs w:val="21"/>
          <w:highlight w:val="none"/>
        </w:rPr>
      </w:pPr>
    </w:p>
    <w:p w14:paraId="6B311363">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54C1A8A3">
      <w:pPr>
        <w:spacing w:line="360" w:lineRule="auto"/>
        <w:ind w:left="420" w:firstLine="420"/>
        <w:rPr>
          <w:rFonts w:ascii="宋体" w:hAnsi="宋体"/>
          <w:color w:val="auto"/>
          <w:szCs w:val="21"/>
          <w:highlight w:val="none"/>
        </w:rPr>
      </w:pPr>
    </w:p>
    <w:p w14:paraId="246F4FC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D555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评审专家共3人以上单数组成，具体人数见“供应商须知前附表”。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EC917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3A1D8E6">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基于广西政府采购云平台抽（选）取评审专家。</w:t>
      </w:r>
    </w:p>
    <w:p w14:paraId="230AE4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w:t>
      </w:r>
      <w:r>
        <w:rPr>
          <w:rFonts w:hint="eastAsia" w:hAnsi="宋体"/>
          <w:bCs/>
          <w:color w:val="auto"/>
          <w:szCs w:val="21"/>
          <w:highlight w:val="none"/>
        </w:rPr>
        <w:t>前期咨询论证的专家，不得参加该采购项目的评审活动。</w:t>
      </w:r>
    </w:p>
    <w:p w14:paraId="73F90A1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34058207">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525A26A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678A96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AB912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390CBE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38F6D7B4">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70BDDBDF">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EA8DECA">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6F77D10F">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29C18F2">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1975D65B">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58AD1DC0">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45B2D8A">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8EEB1F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82F333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CCABF0">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17ECB95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F8EAC9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4F81392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2B7BAFC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4313D1EB">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A68EFA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56BF886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CDFC47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F819B5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A305D3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C74413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32F6FD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86510A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83C5FC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F34682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88DA0B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7C5AD3C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37AA66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534F5B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66D3E5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47FD1BAB">
      <w:pPr>
        <w:pStyle w:val="9"/>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541B52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73226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1A0A285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12BB01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B3F02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B55D4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6B4DB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35882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65A56BD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627DC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2382F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08335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14AABD0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52204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352363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9A415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6C761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9F5ED94">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AA8500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6133A1E">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3AA96A5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5E1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106246F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549D2D1">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C296848">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7B9249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360D43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3B3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DFAC12B">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7D14A3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7317FCC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A4993B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39F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410FE7">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760C05E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464A775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31D0D59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86C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43390A9">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19415EB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7BDC4D1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4D86D37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32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3FE093D">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73B56A6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11C024B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134D9A5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026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523FE1">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6F699C5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41A07EE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531BCD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712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451CAC2">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00DC584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03399E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76A3DAE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7F5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9BF629">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7B3F829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4E8108A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47360B5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621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46DEB6A">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17ED2B1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09A9BD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465997C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961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E79284F">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390C511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2890AD7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515B5F3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E7E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5AE3E98">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68A4357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7EA3234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38DB5A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6413A1A9">
      <w:pPr>
        <w:spacing w:line="360" w:lineRule="auto"/>
        <w:ind w:firstLine="420" w:firstLineChars="200"/>
        <w:rPr>
          <w:rFonts w:ascii="宋体" w:hAnsi="宋体" w:cs="宋体"/>
          <w:color w:val="auto"/>
          <w:highlight w:val="none"/>
        </w:rPr>
      </w:pPr>
      <w:r>
        <w:rPr>
          <w:rFonts w:ascii="宋体" w:hAnsi="宋体" w:cs="宋体"/>
          <w:color w:val="auto"/>
          <w:highlight w:val="none"/>
        </w:rPr>
        <w:t>注</w:t>
      </w:r>
      <w:r>
        <w:rPr>
          <w:rFonts w:hint="eastAsia" w:ascii="宋体" w:hAnsi="宋体" w:cs="宋体"/>
          <w:color w:val="auto"/>
          <w:highlight w:val="none"/>
        </w:rPr>
        <w:t>：</w:t>
      </w:r>
    </w:p>
    <w:p w14:paraId="602DB9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553E76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58578B3D">
      <w:pPr>
        <w:spacing w:line="360" w:lineRule="auto"/>
        <w:ind w:firstLine="420" w:firstLineChars="200"/>
        <w:rPr>
          <w:rFonts w:ascii="宋体" w:hAnsi="宋体" w:cs="宋体"/>
          <w:color w:val="auto"/>
          <w:highlight w:val="none"/>
        </w:rPr>
      </w:pPr>
      <w:r>
        <w:rPr>
          <w:rFonts w:ascii="宋体" w:hAnsi="宋体" w:cs="宋体"/>
          <w:color w:val="auto"/>
          <w:highlight w:val="none"/>
        </w:rPr>
        <w:t>例如</w:t>
      </w:r>
      <w:r>
        <w:rPr>
          <w:rFonts w:hint="eastAsia" w:ascii="宋体" w:hAnsi="宋体" w:cs="宋体"/>
          <w:color w:val="auto"/>
          <w:highlight w:val="none"/>
        </w:rPr>
        <w:t>：</w:t>
      </w:r>
      <w:r>
        <w:rPr>
          <w:rFonts w:ascii="宋体" w:hAnsi="宋体" w:cs="宋体"/>
          <w:color w:val="auto"/>
          <w:highlight w:val="none"/>
        </w:rPr>
        <w:t>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r>
        <w:rPr>
          <w:rFonts w:hint="eastAsia" w:ascii="宋体" w:hAnsi="宋体" w:cs="宋体"/>
          <w:color w:val="auto"/>
          <w:highlight w:val="none"/>
        </w:rPr>
        <w:t>：</w:t>
      </w:r>
    </w:p>
    <w:p w14:paraId="318598F3">
      <w:pPr>
        <w:spacing w:line="360" w:lineRule="auto"/>
        <w:ind w:firstLine="420" w:firstLineChars="200"/>
        <w:rPr>
          <w:rFonts w:ascii="宋体" w:hAnsi="宋体" w:cs="宋体"/>
          <w:color w:val="auto"/>
          <w:highlight w:val="none"/>
        </w:rPr>
      </w:pPr>
      <w:r>
        <w:rPr>
          <w:rFonts w:ascii="宋体" w:hAnsi="宋体" w:cs="宋体"/>
          <w:color w:val="auto"/>
          <w:highlight w:val="none"/>
        </w:rPr>
        <w:t>100 万元×l.5 %＝1.5 万元</w:t>
      </w:r>
    </w:p>
    <w:p w14:paraId="6D496A6E">
      <w:pPr>
        <w:spacing w:line="360" w:lineRule="auto"/>
        <w:ind w:firstLine="420" w:firstLineChars="200"/>
        <w:rPr>
          <w:rFonts w:ascii="宋体" w:hAnsi="宋体" w:cs="宋体"/>
          <w:color w:val="auto"/>
          <w:highlight w:val="none"/>
        </w:rPr>
      </w:pPr>
      <w:r>
        <w:rPr>
          <w:rFonts w:ascii="宋体" w:hAnsi="宋体" w:cs="宋体"/>
          <w:color w:val="auto"/>
          <w:highlight w:val="none"/>
        </w:rPr>
        <w:t>（150－100 ）万元 ×0.8%＝0.4万元</w:t>
      </w:r>
    </w:p>
    <w:p w14:paraId="3484FB18">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highlight w:val="none"/>
        </w:rPr>
        <w:t>合计收费＝1.5＋0.4＝1.9 万元</w:t>
      </w:r>
    </w:p>
    <w:p w14:paraId="6CA188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0BF9E814">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0D48FE0B">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44469701">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31BE53E">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0365A3C">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0307A0E">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EC71EC9">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7F4EB9A">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29FF27FF">
      <w:pPr>
        <w:pStyle w:val="18"/>
        <w:snapToGrid w:val="0"/>
        <w:rPr>
          <w:rFonts w:ascii="黑体" w:hAnsi="黑体" w:eastAsia="黑体" w:cs="黑体"/>
          <w:bCs/>
          <w:color w:val="auto"/>
          <w:sz w:val="32"/>
          <w:szCs w:val="32"/>
          <w:highlight w:val="none"/>
        </w:rPr>
      </w:pPr>
      <w:r>
        <w:rPr>
          <w:rFonts w:hAnsi="宋体" w:cs="宋体"/>
          <w:color w:val="auto"/>
          <w:kern w:val="2"/>
          <w:sz w:val="21"/>
          <w:highlight w:val="none"/>
        </w:rPr>
        <w:br w:type="page"/>
      </w:r>
      <w:r>
        <w:rPr>
          <w:rFonts w:hint="eastAsia" w:ascii="黑体" w:hAnsi="黑体" w:eastAsia="黑体" w:cs="黑体"/>
          <w:bCs/>
          <w:color w:val="auto"/>
          <w:sz w:val="32"/>
          <w:szCs w:val="32"/>
          <w:highlight w:val="none"/>
        </w:rPr>
        <w:t>附件1：</w:t>
      </w:r>
    </w:p>
    <w:p w14:paraId="3CAE2C31">
      <w:pPr>
        <w:pStyle w:val="18"/>
        <w:snapToGrid w:val="0"/>
        <w:rPr>
          <w:rFonts w:hAnsi="宋体"/>
          <w:color w:val="auto"/>
          <w:highlight w:val="none"/>
        </w:rPr>
      </w:pPr>
      <w:r>
        <w:rPr>
          <w:rFonts w:hint="eastAsia" w:hAnsi="宋体"/>
          <w:color w:val="auto"/>
          <w:highlight w:val="none"/>
        </w:rPr>
        <w:t xml:space="preserve"> </w:t>
      </w:r>
    </w:p>
    <w:p w14:paraId="00E22361">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7E73EFF7">
      <w:pPr>
        <w:widowControl/>
        <w:shd w:val="clear" w:color="auto" w:fill="FFFFFF"/>
        <w:spacing w:line="480" w:lineRule="atLeast"/>
        <w:jc w:val="center"/>
        <w:rPr>
          <w:rFonts w:ascii="仿宋" w:hAnsi="仿宋" w:eastAsia="仿宋" w:cs="宋体"/>
          <w:color w:val="auto"/>
          <w:kern w:val="0"/>
          <w:sz w:val="32"/>
          <w:szCs w:val="32"/>
          <w:highlight w:val="none"/>
        </w:rPr>
      </w:pPr>
    </w:p>
    <w:p w14:paraId="40C9CB9F">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95E8AD1">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18955F91">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r>
              <w:rPr>
                <w:rFonts w:hint="eastAsia" w:ascii="Verdana" w:hAnsi="Verdana" w:cs="宋体"/>
                <w:color w:val="auto"/>
                <w:kern w:val="0"/>
                <w:szCs w:val="21"/>
                <w:highlight w:val="none"/>
              </w:rPr>
              <w:t>：</w:t>
            </w:r>
          </w:p>
        </w:tc>
        <w:tc>
          <w:tcPr>
            <w:tcW w:w="5193" w:type="dxa"/>
            <w:gridSpan w:val="6"/>
            <w:tcBorders>
              <w:top w:val="single" w:color="auto" w:sz="8" w:space="0"/>
              <w:left w:val="nil"/>
              <w:bottom w:val="single" w:color="auto" w:sz="8" w:space="0"/>
              <w:right w:val="single" w:color="auto" w:sz="8" w:space="0"/>
            </w:tcBorders>
            <w:vAlign w:val="center"/>
          </w:tcPr>
          <w:p w14:paraId="357FF81F">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w:t>
            </w:r>
            <w:r>
              <w:rPr>
                <w:rFonts w:ascii="Verdana" w:hAnsi="Verdana" w:cs="宋体"/>
                <w:color w:val="auto"/>
                <w:kern w:val="0"/>
                <w:szCs w:val="21"/>
                <w:highlight w:val="none"/>
              </w:rPr>
              <w:t xml:space="preserve">自行验收 </w:t>
            </w:r>
            <w:r>
              <w:rPr>
                <w:rFonts w:hint="eastAsia" w:ascii="Verdana" w:hAnsi="Verdana" w:cs="宋体"/>
                <w:color w:val="auto"/>
                <w:kern w:val="0"/>
                <w:szCs w:val="21"/>
                <w:highlight w:val="none"/>
              </w:rPr>
              <w:t>（</w:t>
            </w:r>
            <w:r>
              <w:rPr>
                <w:rFonts w:ascii="Verdana" w:hAnsi="Verdana" w:cs="宋体"/>
                <w:color w:val="auto"/>
                <w:kern w:val="0"/>
                <w:szCs w:val="21"/>
                <w:highlight w:val="none"/>
              </w:rPr>
              <w:t>委托验收</w:t>
            </w:r>
          </w:p>
        </w:tc>
      </w:tr>
      <w:tr w14:paraId="500BD09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B00275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1FF18C3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09D1DD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768F2868">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6D0E136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6EDFA38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04E90F7">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11C3896">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2B398DB">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EFBAC2D">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809110A">
            <w:pPr>
              <w:widowControl/>
              <w:spacing w:before="100" w:beforeAutospacing="1" w:after="100" w:afterAutospacing="1" w:line="240" w:lineRule="atLeast"/>
              <w:jc w:val="center"/>
              <w:rPr>
                <w:rFonts w:ascii="Verdana" w:hAnsi="Verdana" w:cs="宋体"/>
                <w:color w:val="auto"/>
                <w:kern w:val="0"/>
                <w:szCs w:val="21"/>
                <w:highlight w:val="none"/>
              </w:rPr>
            </w:pPr>
          </w:p>
        </w:tc>
      </w:tr>
      <w:tr w14:paraId="7E7B64B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491EF74">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D9BF49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303B26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FDF056F">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9E05722">
            <w:pPr>
              <w:widowControl/>
              <w:spacing w:before="100" w:beforeAutospacing="1" w:after="100" w:afterAutospacing="1" w:line="240" w:lineRule="atLeast"/>
              <w:jc w:val="center"/>
              <w:rPr>
                <w:rFonts w:ascii="Verdana" w:hAnsi="Verdana" w:cs="宋体"/>
                <w:color w:val="auto"/>
                <w:kern w:val="0"/>
                <w:szCs w:val="21"/>
                <w:highlight w:val="none"/>
              </w:rPr>
            </w:pPr>
          </w:p>
        </w:tc>
      </w:tr>
      <w:tr w14:paraId="3C8CFD5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ED4284F">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C1B388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B54D7C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0E7D33A">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89F264B">
            <w:pPr>
              <w:widowControl/>
              <w:spacing w:before="100" w:beforeAutospacing="1" w:after="100" w:afterAutospacing="1" w:line="240" w:lineRule="atLeast"/>
              <w:jc w:val="center"/>
              <w:rPr>
                <w:rFonts w:ascii="Verdana" w:hAnsi="Verdana" w:cs="宋体"/>
                <w:color w:val="auto"/>
                <w:kern w:val="0"/>
                <w:szCs w:val="21"/>
                <w:highlight w:val="none"/>
              </w:rPr>
            </w:pPr>
          </w:p>
        </w:tc>
      </w:tr>
      <w:tr w14:paraId="60D7C33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7E0A4C4">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501DADB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D9E66BB">
            <w:pPr>
              <w:widowControl/>
              <w:spacing w:before="100" w:beforeAutospacing="1" w:after="100" w:afterAutospacing="1" w:line="240" w:lineRule="atLeast"/>
              <w:jc w:val="center"/>
              <w:rPr>
                <w:rFonts w:ascii="Verdana" w:hAnsi="Verdana" w:cs="宋体"/>
                <w:color w:val="auto"/>
                <w:kern w:val="0"/>
                <w:szCs w:val="21"/>
                <w:highlight w:val="none"/>
              </w:rPr>
            </w:pPr>
          </w:p>
        </w:tc>
      </w:tr>
      <w:tr w14:paraId="6268797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5068E00F">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合计大写金额</w:t>
            </w:r>
            <w:r>
              <w:rPr>
                <w:rFonts w:hint="eastAsia" w:ascii="Verdana" w:hAnsi="Verdana" w:cs="宋体"/>
                <w:color w:val="auto"/>
                <w:kern w:val="0"/>
                <w:szCs w:val="21"/>
                <w:highlight w:val="none"/>
              </w:rPr>
              <w:t>：</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7C3F1C5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D079D4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082A3DC3">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7900A73">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BEDC8D9">
            <w:pPr>
              <w:widowControl/>
              <w:spacing w:before="100" w:beforeAutospacing="1" w:after="100" w:afterAutospacing="1" w:line="240" w:lineRule="atLeast"/>
              <w:jc w:val="center"/>
              <w:rPr>
                <w:rFonts w:ascii="Verdana" w:hAnsi="Verdana" w:cs="宋体"/>
                <w:color w:val="auto"/>
                <w:kern w:val="0"/>
                <w:szCs w:val="21"/>
                <w:highlight w:val="none"/>
              </w:rPr>
            </w:pPr>
          </w:p>
        </w:tc>
      </w:tr>
      <w:tr w14:paraId="498C276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2E80C9">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F0F5066">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Fonts w:hint="eastAsia" w:ascii="Verdana" w:hAnsi="Verdana" w:cs="宋体"/>
                <w:color w:val="auto"/>
                <w:kern w:val="0"/>
                <w:szCs w:val="21"/>
                <w:highlight w:val="none"/>
              </w:rPr>
              <w:t>）</w:t>
            </w:r>
          </w:p>
        </w:tc>
      </w:tr>
      <w:tr w14:paraId="03D0330E">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D180A7">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0414A6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r>
              <w:rPr>
                <w:rFonts w:hint="eastAsia" w:ascii="Verdana" w:hAnsi="Verdana" w:cs="宋体"/>
                <w:color w:val="auto"/>
                <w:kern w:val="0"/>
                <w:szCs w:val="21"/>
                <w:highlight w:val="none"/>
              </w:rPr>
              <w:t>：</w:t>
            </w:r>
          </w:p>
        </w:tc>
      </w:tr>
      <w:tr w14:paraId="6946ABF4">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5434732">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10F425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r>
              <w:rPr>
                <w:rFonts w:hint="eastAsia" w:ascii="Verdana" w:hAnsi="Verdana" w:cs="宋体"/>
                <w:color w:val="auto"/>
                <w:kern w:val="0"/>
                <w:szCs w:val="21"/>
                <w:highlight w:val="none"/>
              </w:rPr>
              <w:t>：</w:t>
            </w:r>
          </w:p>
          <w:p w14:paraId="217038F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r>
              <w:rPr>
                <w:rFonts w:hint="eastAsia" w:ascii="Verdana" w:hAnsi="Verdana" w:cs="宋体"/>
                <w:color w:val="auto"/>
                <w:kern w:val="0"/>
                <w:szCs w:val="21"/>
                <w:highlight w:val="none"/>
              </w:rPr>
              <w:t>：</w:t>
            </w:r>
          </w:p>
        </w:tc>
      </w:tr>
      <w:tr w14:paraId="4004F1C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3FA76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r>
              <w:rPr>
                <w:rFonts w:hint="eastAsia" w:ascii="Verdana" w:hAnsi="Verdana" w:cs="宋体"/>
                <w:color w:val="auto"/>
                <w:kern w:val="0"/>
                <w:szCs w:val="21"/>
                <w:highlight w:val="none"/>
              </w:rPr>
              <w:t>：</w:t>
            </w:r>
          </w:p>
        </w:tc>
      </w:tr>
      <w:tr w14:paraId="3513B55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BB57D3">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监督人员或其他相关人员签字</w:t>
            </w:r>
            <w:r>
              <w:rPr>
                <w:rFonts w:hint="eastAsia" w:ascii="Verdana" w:hAnsi="Verdana" w:cs="宋体"/>
                <w:color w:val="auto"/>
                <w:kern w:val="0"/>
                <w:szCs w:val="21"/>
                <w:highlight w:val="none"/>
              </w:rPr>
              <w:t>：</w:t>
            </w:r>
          </w:p>
          <w:p w14:paraId="662503E7">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或受邀机构的意见（盖章）</w:t>
            </w:r>
            <w:r>
              <w:rPr>
                <w:rFonts w:hint="eastAsia" w:ascii="Verdana" w:hAnsi="Verdana" w:cs="宋体"/>
                <w:color w:val="auto"/>
                <w:kern w:val="0"/>
                <w:szCs w:val="21"/>
                <w:highlight w:val="none"/>
              </w:rPr>
              <w:t>：</w:t>
            </w:r>
          </w:p>
        </w:tc>
      </w:tr>
      <w:tr w14:paraId="3121A0B8">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020D78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成交供应商负责人签字或盖章</w:t>
            </w:r>
            <w:r>
              <w:rPr>
                <w:rFonts w:hint="eastAsia" w:ascii="Verdana" w:hAnsi="Verdana" w:cs="宋体"/>
                <w:color w:val="auto"/>
                <w:kern w:val="0"/>
                <w:szCs w:val="21"/>
                <w:highlight w:val="none"/>
              </w:rPr>
              <w:t>：</w:t>
            </w:r>
          </w:p>
          <w:p w14:paraId="16F9E2E3">
            <w:pPr>
              <w:widowControl/>
              <w:spacing w:before="100" w:beforeAutospacing="1" w:after="100" w:afterAutospacing="1" w:line="320" w:lineRule="atLeast"/>
              <w:jc w:val="left"/>
              <w:rPr>
                <w:rFonts w:ascii="Verdana" w:hAnsi="Verdana" w:cs="宋体"/>
                <w:color w:val="auto"/>
                <w:kern w:val="0"/>
                <w:szCs w:val="21"/>
                <w:highlight w:val="none"/>
              </w:rPr>
            </w:pPr>
          </w:p>
          <w:p w14:paraId="0B81EDD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128D2C1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采购人或受托机构的意见（盖章）</w:t>
            </w:r>
            <w:r>
              <w:rPr>
                <w:rFonts w:hint="eastAsia" w:ascii="Verdana" w:hAnsi="Verdana" w:cs="宋体"/>
                <w:color w:val="auto"/>
                <w:kern w:val="0"/>
                <w:szCs w:val="21"/>
                <w:highlight w:val="none"/>
              </w:rPr>
              <w:t>：</w:t>
            </w:r>
          </w:p>
          <w:p w14:paraId="4CE22F6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1C4228B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721F8650">
      <w:pPr>
        <w:pStyle w:val="18"/>
        <w:spacing w:line="360" w:lineRule="auto"/>
        <w:textAlignment w:val="center"/>
        <w:rPr>
          <w:rFonts w:hAnsi="宋体"/>
          <w:b/>
          <w:color w:val="auto"/>
          <w:sz w:val="32"/>
          <w:szCs w:val="32"/>
          <w:highlight w:val="none"/>
        </w:rPr>
      </w:pPr>
      <w:r>
        <w:rPr>
          <w:color w:val="auto"/>
          <w:highlight w:val="none"/>
        </w:rPr>
        <w:br w:type="page"/>
      </w:r>
    </w:p>
    <w:p w14:paraId="3E70923D">
      <w:pPr>
        <w:pStyle w:val="5"/>
        <w:jc w:val="center"/>
        <w:rPr>
          <w:color w:val="auto"/>
          <w:highlight w:val="none"/>
        </w:rPr>
      </w:pPr>
      <w:bookmarkStart w:id="74" w:name="_Toc20857"/>
      <w:r>
        <w:rPr>
          <w:rFonts w:hint="eastAsia"/>
          <w:color w:val="auto"/>
          <w:highlight w:val="none"/>
        </w:rPr>
        <w:t>第三章 采购需求</w:t>
      </w:r>
      <w:bookmarkEnd w:id="74"/>
    </w:p>
    <w:p w14:paraId="7FA70CA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469CF1A7">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0DEF7A1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72BD02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（2）根据《财政部司法部关于政府采购支持监狱企业发展有关问题的通知》（财库〔2014〕68号）的规定，如供应商为监狱企业，视同小型、微型企业。</w:t>
      </w:r>
    </w:p>
    <w:p w14:paraId="26DDFF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（3）根据《关于促进残疾人就业政府采购政策的通知》（财库〔2017〕141号）的规定，如供应商为残疾人福利性单位，视同小型、微型企业。</w:t>
      </w:r>
    </w:p>
    <w:p w14:paraId="2DA29135">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50A959D2">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ascii="宋体" w:hAnsi="宋体"/>
          <w:color w:val="auto"/>
          <w:szCs w:val="21"/>
          <w:highlight w:val="none"/>
        </w:rPr>
        <w:t>，对磋商文件提出的要求和条件作出明确响应</w:t>
      </w:r>
      <w:r>
        <w:rPr>
          <w:rFonts w:hint="eastAsia" w:ascii="宋体" w:hAnsi="宋体"/>
          <w:b/>
          <w:bCs/>
          <w:color w:val="auto"/>
          <w:szCs w:val="21"/>
          <w:highlight w:val="none"/>
        </w:rPr>
        <w:t>，否则将作无效响应处理。</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0BE7B6A4">
      <w:pPr>
        <w:spacing w:line="360" w:lineRule="auto"/>
        <w:ind w:firstLine="424" w:firstLineChars="202"/>
        <w:jc w:val="left"/>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535673E4">
      <w:pPr>
        <w:spacing w:line="360" w:lineRule="auto"/>
        <w:ind w:firstLine="310" w:firstLineChars="147"/>
        <w:rPr>
          <w:rFonts w:ascii="宋体" w:hAnsi="宋体"/>
          <w:b/>
          <w:color w:val="auto"/>
          <w:sz w:val="24"/>
          <w:szCs w:val="21"/>
          <w:highlight w:val="none"/>
        </w:rPr>
      </w:pPr>
      <w:r>
        <w:rPr>
          <w:rFonts w:ascii="宋体" w:hAnsi="宋体"/>
          <w:b/>
          <w:color w:val="auto"/>
          <w:highlight w:val="none"/>
        </w:rPr>
        <w:t>5</w:t>
      </w:r>
      <w:r>
        <w:rPr>
          <w:rFonts w:hint="eastAsia" w:ascii="宋体" w:hAnsi="宋体"/>
          <w:b/>
          <w:color w:val="auto"/>
          <w:highlight w:val="none"/>
        </w:rPr>
        <w:t>.本项目</w:t>
      </w:r>
      <w:r>
        <w:rPr>
          <w:rFonts w:ascii="宋体" w:hAnsi="宋体"/>
          <w:b/>
          <w:color w:val="auto"/>
          <w:highlight w:val="none"/>
        </w:rPr>
        <w:t>所属行业</w:t>
      </w:r>
      <w:r>
        <w:rPr>
          <w:rFonts w:hint="eastAsia" w:ascii="宋体" w:hAnsi="宋体"/>
          <w:b/>
          <w:bCs/>
          <w:color w:val="auto"/>
          <w:highlight w:val="none"/>
        </w:rPr>
        <w:t>：其他未列明行业。</w:t>
      </w:r>
      <w:r>
        <w:rPr>
          <w:rFonts w:hint="eastAsia" w:ascii="宋体" w:hAnsi="宋体"/>
          <w:color w:val="auto"/>
          <w:highlight w:val="none"/>
        </w:rPr>
        <w:t>从业人员300人以下的为中小微型企业。其中，从业人员100人及以上的为中型企业；从业人员10人及以上的为小型企业；从业人员10人以下的为微型企业。</w:t>
      </w:r>
    </w:p>
    <w:tbl>
      <w:tblPr>
        <w:tblStyle w:val="2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033"/>
        <w:gridCol w:w="139"/>
        <w:gridCol w:w="660"/>
        <w:gridCol w:w="690"/>
        <w:gridCol w:w="5641"/>
      </w:tblGrid>
      <w:tr w14:paraId="5F235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6A8C227">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032D2139">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服务名称</w:t>
            </w:r>
          </w:p>
        </w:tc>
        <w:tc>
          <w:tcPr>
            <w:tcW w:w="660" w:type="dxa"/>
            <w:tcBorders>
              <w:top w:val="single" w:color="auto" w:sz="4" w:space="0"/>
              <w:left w:val="single" w:color="auto" w:sz="4" w:space="0"/>
              <w:bottom w:val="single" w:color="auto" w:sz="4" w:space="0"/>
              <w:right w:val="single" w:color="auto" w:sz="4" w:space="0"/>
            </w:tcBorders>
            <w:vAlign w:val="center"/>
          </w:tcPr>
          <w:p w14:paraId="75602D05">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05AC0432">
            <w:pPr>
              <w:tabs>
                <w:tab w:val="left" w:pos="180"/>
                <w:tab w:val="left" w:pos="1620"/>
              </w:tabs>
              <w:wordWrap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单位</w:t>
            </w:r>
          </w:p>
        </w:tc>
        <w:tc>
          <w:tcPr>
            <w:tcW w:w="5641" w:type="dxa"/>
            <w:tcBorders>
              <w:top w:val="single" w:color="auto" w:sz="4" w:space="0"/>
              <w:left w:val="single" w:color="auto" w:sz="4" w:space="0"/>
              <w:bottom w:val="single" w:color="auto" w:sz="4" w:space="0"/>
              <w:right w:val="single" w:color="auto" w:sz="4" w:space="0"/>
            </w:tcBorders>
            <w:vAlign w:val="center"/>
          </w:tcPr>
          <w:p w14:paraId="3329A172">
            <w:pPr>
              <w:tabs>
                <w:tab w:val="left" w:pos="180"/>
                <w:tab w:val="left" w:pos="1620"/>
              </w:tabs>
              <w:wordWrap w:val="0"/>
              <w:spacing w:line="400" w:lineRule="exact"/>
              <w:jc w:val="center"/>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技术要求</w:t>
            </w:r>
          </w:p>
        </w:tc>
      </w:tr>
      <w:tr w14:paraId="2C443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AC684C3">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5CE00C72">
            <w:pPr>
              <w:tabs>
                <w:tab w:val="left" w:pos="180"/>
                <w:tab w:val="left" w:pos="1620"/>
              </w:tabs>
              <w:wordWrap w:val="0"/>
              <w:spacing w:line="400" w:lineRule="exact"/>
              <w:jc w:val="center"/>
              <w:rPr>
                <w:rFonts w:ascii="宋体" w:hAnsi="宋体" w:cs="宋体"/>
                <w:b/>
                <w:bCs/>
                <w:color w:val="auto"/>
                <w:szCs w:val="21"/>
                <w:highlight w:val="none"/>
              </w:rPr>
            </w:pPr>
            <w:r>
              <w:rPr>
                <w:rFonts w:hint="eastAsia" w:ascii="宋体" w:hAnsi="宋体" w:cs="宋体"/>
                <w:color w:val="auto"/>
                <w:szCs w:val="21"/>
                <w:highlight w:val="none"/>
              </w:rPr>
              <w:t>海城区廉州湾北岸对出海域非法养殖占海设施清理整治项目</w:t>
            </w:r>
          </w:p>
        </w:tc>
        <w:tc>
          <w:tcPr>
            <w:tcW w:w="660" w:type="dxa"/>
            <w:tcBorders>
              <w:top w:val="single" w:color="auto" w:sz="4" w:space="0"/>
              <w:left w:val="single" w:color="auto" w:sz="4" w:space="0"/>
              <w:bottom w:val="single" w:color="auto" w:sz="4" w:space="0"/>
              <w:right w:val="single" w:color="auto" w:sz="4" w:space="0"/>
            </w:tcBorders>
            <w:vAlign w:val="center"/>
          </w:tcPr>
          <w:p w14:paraId="1A4A68ED">
            <w:pPr>
              <w:pStyle w:val="2"/>
              <w:wordWrap w:val="0"/>
              <w:spacing w:after="0"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33A81B13">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5641" w:type="dxa"/>
            <w:tcBorders>
              <w:top w:val="single" w:color="auto" w:sz="4" w:space="0"/>
              <w:left w:val="single" w:color="auto" w:sz="4" w:space="0"/>
              <w:bottom w:val="single" w:color="auto" w:sz="4" w:space="0"/>
              <w:right w:val="single" w:color="auto" w:sz="4" w:space="0"/>
            </w:tcBorders>
            <w:shd w:val="clear" w:color="auto" w:fill="auto"/>
            <w:vAlign w:val="center"/>
          </w:tcPr>
          <w:p w14:paraId="53236C9C">
            <w:pPr>
              <w:pStyle w:val="14"/>
              <w:numPr>
                <w:ilvl w:val="0"/>
                <w:numId w:val="1"/>
              </w:numPr>
              <w:wordWrap w:val="0"/>
              <w:spacing w:line="400" w:lineRule="exact"/>
              <w:jc w:val="both"/>
              <w:rPr>
                <w:rFonts w:ascii="宋体" w:hAnsi="宋体" w:cs="宋体"/>
                <w:color w:val="auto"/>
                <w:szCs w:val="21"/>
                <w:highlight w:val="none"/>
              </w:rPr>
            </w:pPr>
            <w:r>
              <w:rPr>
                <w:rFonts w:hint="eastAsia" w:ascii="宋体" w:hAnsi="宋体" w:cs="宋体"/>
                <w:b/>
                <w:color w:val="auto"/>
                <w:szCs w:val="21"/>
                <w:highlight w:val="none"/>
              </w:rPr>
              <w:t>项目概况：</w:t>
            </w:r>
          </w:p>
          <w:p w14:paraId="110A8C2B">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1.清理对象：北海市海城区北岸对出的廉州湾部分海域存在的非法养殖设施。</w:t>
            </w:r>
          </w:p>
          <w:p w14:paraId="5CB00BE3">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2.清理整治范围：北海市海城区北岸对出的廉州湾部分海域内，海域坐标详见附件1。</w:t>
            </w:r>
          </w:p>
          <w:p w14:paraId="68C4DB21">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清理内容为：对北海市海城区北岸对出的廉州湾部分海域存在的非法养殖设施提供清理服务，凡在上述区域内的蚝桩、蚝排及附着物、废弃蚝堆、渔箔等非法养殖设施，按照采购人提供的航拍、定位、测量图或范围进行清理。</w:t>
            </w:r>
          </w:p>
          <w:p w14:paraId="63176EC2">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4.清理方式：采用机械和人工相结合的方式进行。</w:t>
            </w:r>
          </w:p>
          <w:p w14:paraId="1500E64A">
            <w:pPr>
              <w:pStyle w:val="14"/>
              <w:wordWrap w:val="0"/>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二、服务内容及要求</w:t>
            </w:r>
          </w:p>
          <w:p w14:paraId="5E8F683E">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1.清理整治内容包括：</w:t>
            </w:r>
          </w:p>
          <w:p w14:paraId="3E9EF7AD">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水泥蚝桩拆除、蚝排及附着物拆除、废弃蚝堆拆除、渔箔拆除，具体服务项目、具体技术要求及单价最高限价等内容详见本项目附件2《项目服务清单》。</w:t>
            </w:r>
          </w:p>
          <w:p w14:paraId="739089ED">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2.清理后的蚝桩等不得随意丢弃、填埋，需符合环保等相关规定进行妥善处置。</w:t>
            </w:r>
          </w:p>
          <w:p w14:paraId="0B084063">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清理整治验收要求：单次清理行动结束后（即按照采购人提供的清理范围内非法养殖设施需清理完成后），在当日（次日）最低潮清理验收时，要求清理范围内无竖立的蚝柱；当日清理指定的蚝排，予以驱离（拆除）出清理海域，渔箔、废弃蚝堆等非法养殖设施予以拆除。</w:t>
            </w:r>
          </w:p>
          <w:p w14:paraId="569AD009">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成交人根据潮汐变化及现状，在合同签订后3个工作日内向采购人提供包含但不限于投入的机械设备和相关人员信息的方案计划，经采购人审核确认后，按成交人制定的方案计划执行。成交人必须严格按照采购人确定的计划执行清理工作，清理过程需全程至少以照片的形式记录，如有特殊情况，需要增加清理工作或不能按计划清理，必须提前1天以书面形式上报采购人。</w:t>
            </w:r>
          </w:p>
          <w:p w14:paraId="0C2BBA58">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5.在清理过程中，如果与群众发生了冲突，由供应商负责协调和解决，因冲突导致人员伤亡财产损失或者工期延误，由此产生的后果均由供应商负责。</w:t>
            </w:r>
          </w:p>
          <w:p w14:paraId="049889FB">
            <w:pPr>
              <w:pStyle w:val="14"/>
              <w:wordWrap w:val="0"/>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6.设备及人员要求：</w:t>
            </w:r>
          </w:p>
          <w:p w14:paraId="6AF204A6">
            <w:pPr>
              <w:pStyle w:val="14"/>
              <w:wordWrap w:val="0"/>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rPr>
              <w:t>供应商须指定1名项目负责人，拟提供的清理工作人员不少于10名，响应文件中提供项目实施人员一览表，否则按无效竞标处理。</w:t>
            </w:r>
          </w:p>
          <w:p w14:paraId="61A9436C">
            <w:pPr>
              <w:pStyle w:val="14"/>
              <w:wordWrap w:val="0"/>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（2）供应商能提供满足实施所需的相关机械和设备，如水上挖掘机、工作船、清运车等。（响应文件中提供相关承诺函，格式自拟，否则按无效竞标处理）</w:t>
            </w:r>
          </w:p>
          <w:p w14:paraId="358C6E76">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（3）采购人协助成交人办理机械、船舶进行水上作业的通行许可手续。</w:t>
            </w:r>
          </w:p>
          <w:p w14:paraId="677671BE">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（4）在清理过程必须全程至少以照片的形式记录，并进行留存档案，作为申请清理费用的资料一并提交给采购人。</w:t>
            </w:r>
          </w:p>
          <w:p w14:paraId="45F66DCD">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5）成交人负责实施项目人员的人身安全及财产安全，要求清理工作时，现场所有工作人员必须穿戴救生衣，船上配备急救用品，严格要求工作人员进行安全作业。成交人出现安全问题或因成交人原因致使第三方出现财产损失、人身安全问题，采购人概不负责。</w:t>
            </w:r>
          </w:p>
          <w:p w14:paraId="19DF1AE8">
            <w:pPr>
              <w:pStyle w:val="14"/>
              <w:wordWrap w:val="0"/>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三、质量控制要求</w:t>
            </w:r>
          </w:p>
          <w:p w14:paraId="1F17EA0F">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1.实施前质量控制要求</w:t>
            </w:r>
          </w:p>
          <w:p w14:paraId="737B08A1">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（1）核查人员配备、职责与分工的落实情况。</w:t>
            </w:r>
          </w:p>
          <w:p w14:paraId="5206F7C2">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（2）完成各级专职质量检查人员的配备。</w:t>
            </w:r>
          </w:p>
          <w:p w14:paraId="705B9D46">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（3）检查各项管理制度是否健全。</w:t>
            </w:r>
          </w:p>
          <w:p w14:paraId="05AD716E">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2.实施阶段中质量控制要求</w:t>
            </w:r>
          </w:p>
          <w:p w14:paraId="69E54B1F">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（1）对实施现场有目的的进行巡回检查，及时地发现和纠正实施中存在的问题。</w:t>
            </w:r>
          </w:p>
          <w:p w14:paraId="1C7FCD04">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（2）在服务区域进行自检、核查，发现不合格的立即进行整改，合格后再进行复查。</w:t>
            </w:r>
          </w:p>
          <w:p w14:paraId="6DE8C361">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3.质量问题和质量事故处理要求</w:t>
            </w:r>
          </w:p>
          <w:p w14:paraId="159C5188">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（1）实施中发现的质量事故应按有关规定上报处理；</w:t>
            </w:r>
          </w:p>
          <w:p w14:paraId="28F09A76">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（2）对质量问题和质量事故的处理结果进行复查。</w:t>
            </w:r>
          </w:p>
          <w:p w14:paraId="3162625B">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4.实施后质量控制要求</w:t>
            </w:r>
          </w:p>
          <w:p w14:paraId="26640D75">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当项目达到验收条件时，应向采购人提出申请，组织专业人员对项目的服务质量情况进行全面检查。</w:t>
            </w:r>
          </w:p>
          <w:p w14:paraId="67651785">
            <w:pPr>
              <w:pStyle w:val="14"/>
              <w:wordWrap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5.清理合格率达到100%，登记准确率达到100%；建立完整的作业记录档案；实施过程中发现问题应及时反馈并进行及时整改。</w:t>
            </w:r>
          </w:p>
        </w:tc>
      </w:tr>
      <w:tr w14:paraId="59D78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5007E48B">
            <w:pPr>
              <w:wordWrap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商务要求</w:t>
            </w:r>
          </w:p>
        </w:tc>
      </w:tr>
      <w:tr w14:paraId="577B9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3CD521B9">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（一）商务条款</w:t>
            </w:r>
          </w:p>
        </w:tc>
      </w:tr>
      <w:tr w14:paraId="54B7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3A7FEBF6">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合同履行期限和地点</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88C208C">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1.合同履行期限：</w:t>
            </w:r>
            <w:r>
              <w:rPr>
                <w:rFonts w:hint="eastAsia" w:ascii="宋体" w:hAnsi="宋体" w:cs="宋体"/>
                <w:color w:val="auto"/>
                <w:szCs w:val="21"/>
                <w:highlight w:val="none"/>
              </w:rPr>
              <w:t>自合同签订之日起</w:t>
            </w:r>
            <w:r>
              <w:rPr>
                <w:rFonts w:hint="eastAsia" w:ascii="宋体" w:hAnsi="宋体" w:cs="宋体"/>
                <w:color w:val="auto"/>
                <w:szCs w:val="21"/>
                <w:highlight w:val="none"/>
                <w:lang w:eastAsia="zh-CN"/>
              </w:rPr>
              <w:t>3个月</w:t>
            </w:r>
            <w:r>
              <w:rPr>
                <w:rFonts w:hint="eastAsia" w:ascii="宋体" w:hAnsi="宋体" w:cs="宋体"/>
                <w:color w:val="auto"/>
                <w:szCs w:val="21"/>
                <w:highlight w:val="none"/>
              </w:rPr>
              <w:t>内完成整治工作，并达到验收条件。</w:t>
            </w:r>
          </w:p>
          <w:p w14:paraId="12C96F15">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2.服务地点：北海市海城区北岸对出的廉州湾部分海域内，海域坐标详见附件1。</w:t>
            </w:r>
          </w:p>
        </w:tc>
      </w:tr>
      <w:tr w14:paraId="4B818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13154E9F">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合同签订时间</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375DBE4">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自成交通知书发出之日起25日内</w:t>
            </w:r>
          </w:p>
        </w:tc>
      </w:tr>
      <w:tr w14:paraId="5B52B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244D8BD">
            <w:pPr>
              <w:wordWrap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报价要求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663B9224">
            <w:pPr>
              <w:tabs>
                <w:tab w:val="left" w:pos="180"/>
                <w:tab w:val="left" w:pos="1620"/>
              </w:tabs>
              <w:wordWrap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1.本项目采购预算：</w:t>
            </w:r>
            <w:r>
              <w:rPr>
                <w:rFonts w:hint="eastAsia" w:ascii="宋体" w:hAnsi="宋体" w:cs="宋体"/>
                <w:bCs/>
                <w:color w:val="auto"/>
                <w:szCs w:val="21"/>
                <w:highlight w:val="none"/>
                <w:lang w:eastAsia="zh-CN"/>
              </w:rPr>
              <w:t>2700000.29</w:t>
            </w:r>
            <w:r>
              <w:rPr>
                <w:rFonts w:hint="eastAsia" w:ascii="宋体" w:hAnsi="宋体" w:cs="宋体"/>
                <w:bCs/>
                <w:color w:val="auto"/>
                <w:szCs w:val="21"/>
                <w:highlight w:val="none"/>
              </w:rPr>
              <w:t>元；单价最高限价详见附件1《项目服务清单》</w:t>
            </w:r>
            <w:r>
              <w:rPr>
                <w:rFonts w:hint="eastAsia" w:ascii="宋体" w:hAnsi="宋体" w:cs="宋体"/>
                <w:color w:val="auto"/>
                <w:szCs w:val="21"/>
                <w:highlight w:val="none"/>
              </w:rPr>
              <w:t>；</w:t>
            </w:r>
            <w:r>
              <w:rPr>
                <w:rFonts w:hint="eastAsia" w:ascii="宋体" w:hAnsi="宋体" w:cs="宋体"/>
                <w:b/>
                <w:color w:val="auto"/>
                <w:szCs w:val="21"/>
                <w:highlight w:val="none"/>
              </w:rPr>
              <w:t>供应商磋商报价超过采购预算或单价最高限价的，按无效响应处理。</w:t>
            </w:r>
          </w:p>
          <w:p w14:paraId="166253DC">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t>2.凡属于本项目清理整治范围内的，如结算总额已达到合同总金额的，清理数量超过采购文件所列数量的部分，采购人不再追加支付金额，供应商报价时应充分考虑各项风险。</w:t>
            </w:r>
            <w:r>
              <w:rPr>
                <w:rFonts w:hint="eastAsia" w:ascii="宋体" w:hAnsi="宋体" w:cs="宋体"/>
                <w:color w:val="auto"/>
                <w:szCs w:val="21"/>
                <w:highlight w:val="none"/>
              </w:rPr>
              <w:t>如采购人需要增加或调整清理范围的，费用由双方协商确定，可参照本项目相关标准执行，所需费用均在本项目中列支；如需追加服务费用须签订补充合同，且补充合同采购金额不得超过原合同采购金额的百分之十。</w:t>
            </w:r>
          </w:p>
          <w:p w14:paraId="5537DE29">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3.本项目磋商报价应包括但不限于整体服务价格及设备、人员成本、管理、利润、税金、保险、搬运、包装、运输、培训、验收、检测及其它所有成本、费用的总和。</w:t>
            </w:r>
          </w:p>
        </w:tc>
      </w:tr>
      <w:tr w14:paraId="101B1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E46FDCC">
            <w:pPr>
              <w:wordWrap w:val="0"/>
              <w:spacing w:line="400" w:lineRule="exact"/>
              <w:jc w:val="left"/>
              <w:rPr>
                <w:rFonts w:ascii="宋体" w:hAnsi="宋体" w:cs="宋体"/>
                <w:b/>
                <w:color w:val="auto"/>
                <w:szCs w:val="21"/>
                <w:highlight w:val="none"/>
              </w:rPr>
            </w:pPr>
            <w:bookmarkStart w:id="75" w:name="OLE_LINK6" w:colFirst="1" w:colLast="1"/>
            <w:r>
              <w:rPr>
                <w:rFonts w:hint="eastAsia" w:ascii="宋体" w:hAnsi="宋体" w:cs="宋体"/>
                <w:color w:val="auto"/>
                <w:szCs w:val="21"/>
                <w:highlight w:val="none"/>
              </w:rPr>
              <w:t>付款方式</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483376D">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1.结算时，工作量少于采购文件中的工作量时，按实际工作量*成交单价（元）结算；工作量多于采购文件中的工作量时，结算最高总额按合同总金额结算</w:t>
            </w:r>
            <w:r>
              <w:rPr>
                <w:rFonts w:hint="eastAsia" w:ascii="宋体" w:hAnsi="宋体" w:cs="宋体"/>
                <w:b/>
                <w:bCs/>
                <w:color w:val="auto"/>
                <w:szCs w:val="21"/>
                <w:highlight w:val="none"/>
              </w:rPr>
              <w:t>。</w:t>
            </w:r>
          </w:p>
          <w:p w14:paraId="48F232E7">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2.付款进度（每次付款时，成交人应向采购人开具相应金额的合法正式发票，否则采购人有权延长付款期限，并不承担延期付款的违约责任）：</w:t>
            </w:r>
          </w:p>
          <w:p w14:paraId="0E97ADC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①签订合同后十个工作日内，采购人向国库支付机构提出申请支付令、办理国库支付手续，国库支付机构在规定时间内（不计入采购人付款期限）将合同总金额的30%作为预付款支付给成交人；</w:t>
            </w:r>
          </w:p>
          <w:p w14:paraId="6BF14C7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②项目完工后，成交人向采购人提交结算材料，采购人根据实际工作量计算初步的结算金额，采购人向国库支付机构提出申请支付令、办理国库支付手续，国库支付机构在规定时间内（不计入采购人付款期限）将初步结算金额的80%支付给成交人；</w:t>
            </w:r>
          </w:p>
          <w:p w14:paraId="230EF6B4">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③项目验收合格后十个工作日内，采购人根据通过验收的实际工作量计算最终结算金额，采购人向国库支付机构提出申请支付令、办理国库支付手续，国库支付机构在规定时间内（不计入采购人付款期限）将合同剩余款项支付给成交人。</w:t>
            </w:r>
          </w:p>
        </w:tc>
      </w:tr>
      <w:bookmarkEnd w:id="75"/>
      <w:tr w14:paraId="18CBB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79FDE6FD">
            <w:pPr>
              <w:wordWrap w:val="0"/>
              <w:autoSpaceDE w:val="0"/>
              <w:autoSpaceDN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服务要求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1C936888">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1.按国家、自治区有关规定和响应文件中的承诺负责组织落实好实施队伍并按安全生产有关规定组织好实施工作。</w:t>
            </w:r>
          </w:p>
          <w:p w14:paraId="5E1DDD2E">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2.根据潮汐变化对清理范围内的清理内容开展经常性巡查，巡查发现后需及时沟通采购人共同参与清理。</w:t>
            </w:r>
          </w:p>
          <w:p w14:paraId="3ABB1B42">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3.按时支付项目人员工资并按有关规定落实有关保险事项，负责项目人员的人身安全。</w:t>
            </w:r>
          </w:p>
          <w:p w14:paraId="37117BE2">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4.供应商自行负责实施过程中所需的工具。</w:t>
            </w:r>
          </w:p>
          <w:p w14:paraId="34CA5CD4">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5.派驻专人负责对清理及实施全过程进行监管及向采购人进行实时汇报，监管应对清理过程拍摄相应照片等进行保存归档，并做好数量统计，接受采购人的检查。</w:t>
            </w:r>
          </w:p>
          <w:p w14:paraId="5257EEAE">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6.服从采购人的工作安排和监督管理。</w:t>
            </w:r>
          </w:p>
          <w:p w14:paraId="126C75DC">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7.按时报送清理数据给采购人。</w:t>
            </w:r>
          </w:p>
          <w:p w14:paraId="65F23AEF">
            <w:pPr>
              <w:wordWrap w:val="0"/>
              <w:autoSpaceDE w:val="0"/>
              <w:autoSpaceDN w:val="0"/>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8.合同履行期间，成交人应全力配合采购人相关工作，应及时与采购人就履约相关事项进行沟通，原则上成交人接到采购人处理问题通知后2小时内响应，24个小时内到达现场，24个小时内提出问题解决方案。服务期间现场服务次数由双方协商约定。</w:t>
            </w:r>
          </w:p>
        </w:tc>
      </w:tr>
      <w:tr w14:paraId="20AAE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B36F5BF">
            <w:pPr>
              <w:wordWrap w:val="0"/>
              <w:spacing w:line="400" w:lineRule="exact"/>
              <w:rPr>
                <w:rFonts w:ascii="宋体" w:hAnsi="宋体" w:cs="宋体"/>
                <w:b/>
                <w:color w:val="auto"/>
                <w:szCs w:val="21"/>
                <w:highlight w:val="none"/>
              </w:rPr>
            </w:pPr>
            <w:r>
              <w:rPr>
                <w:rFonts w:hint="eastAsia" w:ascii="宋体" w:hAnsi="宋体" w:cs="宋体"/>
                <w:bCs/>
                <w:color w:val="auto"/>
                <w:szCs w:val="21"/>
                <w:highlight w:val="none"/>
              </w:rPr>
              <w:t>验收</w:t>
            </w:r>
            <w:bookmarkStart w:id="76" w:name="OLE_LINK13"/>
            <w:r>
              <w:rPr>
                <w:rFonts w:hint="eastAsia" w:ascii="宋体" w:hAnsi="宋体" w:cs="宋体"/>
                <w:bCs/>
                <w:color w:val="auto"/>
                <w:szCs w:val="21"/>
                <w:highlight w:val="none"/>
              </w:rPr>
              <w:t>标准</w:t>
            </w:r>
            <w:bookmarkEnd w:id="76"/>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667E90ED">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成交人须配合采购人完成项目验收工作，验收过程中产生的一切费用均由成交人承担，包括但不限于验收过程中可能使用到的无人机等相关设备费、检验检测费用等</w:t>
            </w:r>
            <w:r>
              <w:rPr>
                <w:rFonts w:hint="eastAsia" w:ascii="宋体" w:hAnsi="宋体" w:cs="宋体"/>
                <w:color w:val="auto"/>
                <w:kern w:val="0"/>
                <w:szCs w:val="21"/>
                <w:highlight w:val="none"/>
              </w:rPr>
              <w:t>。</w:t>
            </w:r>
            <w:r>
              <w:rPr>
                <w:rFonts w:hint="eastAsia" w:ascii="宋体" w:hAnsi="宋体" w:cs="宋体"/>
                <w:color w:val="auto"/>
                <w:szCs w:val="21"/>
                <w:highlight w:val="none"/>
              </w:rPr>
              <w:t>报价时应考虑相关费用。</w:t>
            </w:r>
          </w:p>
          <w:p w14:paraId="208ACD8F">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项目整体清理完成后，采购人在收到成交人提供的验收申请书后10天内组织验收。成交人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07FCAB4A">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3.成交人根据清理计划进行清理，要求对验收成果进行验收时，须提前通知采购人进行现场验收，成交人对验收过程必须全程录制视频监控。</w:t>
            </w:r>
          </w:p>
          <w:p w14:paraId="0343DC2D">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4.验收标准应达到：单次清理行动结束后（即按照采购人提供的清理范围内非法养殖设施需清理完成后），在当日（次日）最低潮清理验收时，要求清理范围内无竖立的蚝柱；当日清理指定的蚝排，予以驱离（拆除）出清理海域，渔箔、废弃蚝堆等非法养殖设施予以拆除。</w:t>
            </w:r>
          </w:p>
          <w:p w14:paraId="5D6256DB">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5.采购项目有其他要求的按其要求。</w:t>
            </w:r>
          </w:p>
        </w:tc>
      </w:tr>
      <w:tr w14:paraId="33458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72D9DB6">
            <w:pPr>
              <w:wordWrap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执行标准、规范</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C083E2A">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采购标的需执行的国家标准、行业标准、地方标准或者其他标准、规范。</w:t>
            </w:r>
          </w:p>
        </w:tc>
      </w:tr>
      <w:tr w14:paraId="20666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E1BA54C">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包装和运输</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55A119C4">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满足项目实施要求。</w:t>
            </w:r>
          </w:p>
        </w:tc>
      </w:tr>
      <w:tr w14:paraId="0D134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138FC259">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保险</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D1F83E3">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满足项目实施要求。</w:t>
            </w:r>
          </w:p>
        </w:tc>
      </w:tr>
      <w:tr w14:paraId="11ADD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389A474B">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166D4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55180B10">
            <w:pPr>
              <w:wordWrap w:val="0"/>
              <w:spacing w:line="400" w:lineRule="exact"/>
              <w:rPr>
                <w:rFonts w:ascii="宋体" w:hAnsi="宋体" w:cs="宋体"/>
                <w:b/>
                <w:color w:val="auto"/>
                <w:szCs w:val="21"/>
                <w:highlight w:val="none"/>
              </w:rPr>
            </w:pPr>
            <w:r>
              <w:rPr>
                <w:rFonts w:hint="eastAsia" w:ascii="宋体" w:hAnsi="宋体" w:cs="宋体"/>
                <w:b/>
                <w:color w:val="auto"/>
                <w:szCs w:val="21"/>
                <w:highlight w:val="none"/>
              </w:rPr>
              <w:t>1.供应商的履约能力要求</w:t>
            </w:r>
          </w:p>
        </w:tc>
      </w:tr>
      <w:tr w14:paraId="42673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789ED79D">
            <w:pPr>
              <w:wordWrap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业绩要求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0C28B50">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w:t>
            </w:r>
            <w:r>
              <w:rPr>
                <w:rFonts w:hint="eastAsia" w:ascii="宋体" w:hAnsi="宋体" w:cs="宋体"/>
                <w:color w:val="auto"/>
                <w:szCs w:val="21"/>
                <w:highlight w:val="none"/>
                <w:u w:val="single"/>
              </w:rPr>
              <w:t>1</w:t>
            </w:r>
            <w:r>
              <w:rPr>
                <w:rFonts w:hint="eastAsia" w:ascii="宋体" w:hAnsi="宋体" w:cs="宋体"/>
                <w:color w:val="auto"/>
                <w:szCs w:val="21"/>
                <w:highlight w:val="none"/>
              </w:rPr>
              <w:t>日以来至响应文件递交截止日期止，供应商提供同类项目业绩，符合第四章“评审标准”的可予以加分。</w:t>
            </w:r>
          </w:p>
        </w:tc>
      </w:tr>
      <w:tr w14:paraId="4563F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0CC8451A">
            <w:pPr>
              <w:wordWrap w:val="0"/>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履约能力要求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7A0FA619">
            <w:pPr>
              <w:wordWrap w:val="0"/>
              <w:spacing w:line="400" w:lineRule="exact"/>
              <w:rPr>
                <w:rFonts w:ascii="宋体" w:hAnsi="宋体" w:cs="宋体"/>
                <w:b/>
                <w:color w:val="auto"/>
                <w:szCs w:val="21"/>
                <w:highlight w:val="none"/>
              </w:rPr>
            </w:pPr>
            <w:r>
              <w:rPr>
                <w:rFonts w:hint="eastAsia" w:ascii="宋体" w:hAnsi="宋体" w:cs="宋体"/>
                <w:color w:val="auto"/>
                <w:szCs w:val="21"/>
                <w:highlight w:val="none"/>
              </w:rPr>
              <w:t>符合第四章“评审标准”的可予以加分。</w:t>
            </w:r>
          </w:p>
        </w:tc>
      </w:tr>
      <w:tr w14:paraId="6A8E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27A11AD3">
            <w:pPr>
              <w:wordWrap w:val="0"/>
              <w:spacing w:line="400" w:lineRule="exact"/>
              <w:rPr>
                <w:rFonts w:ascii="宋体" w:hAnsi="宋体" w:cs="宋体"/>
                <w:color w:val="auto"/>
                <w:szCs w:val="21"/>
                <w:highlight w:val="none"/>
              </w:rPr>
            </w:pPr>
            <w:r>
              <w:rPr>
                <w:rFonts w:hint="eastAsia" w:ascii="宋体" w:hAnsi="宋体" w:cs="宋体"/>
                <w:b/>
                <w:color w:val="auto"/>
                <w:szCs w:val="21"/>
                <w:highlight w:val="none"/>
              </w:rPr>
              <w:t>2.其他要求</w:t>
            </w:r>
          </w:p>
        </w:tc>
      </w:tr>
      <w:tr w14:paraId="48EFC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04377E72">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1.供应商根据自身情况及第四章“评分内容”自行编制项目实施方案、作业质量和安全保障方案（如有）、应急方案（如有）、服务承诺、人员配置方案，及根据第四章“评分内容”提供相关</w:t>
            </w:r>
            <w:r>
              <w:rPr>
                <w:rFonts w:hint="eastAsia" w:ascii="宋体" w:hAnsi="宋体" w:cs="宋体"/>
                <w:bCs/>
                <w:color w:val="auto"/>
                <w:szCs w:val="21"/>
                <w:highlight w:val="none"/>
              </w:rPr>
              <w:t>业绩等证明材料，否则不予加分</w:t>
            </w:r>
            <w:r>
              <w:rPr>
                <w:rFonts w:hint="eastAsia" w:ascii="宋体" w:hAnsi="宋体" w:cs="宋体"/>
                <w:color w:val="auto"/>
                <w:szCs w:val="21"/>
                <w:highlight w:val="none"/>
              </w:rPr>
              <w:t>。</w:t>
            </w:r>
          </w:p>
          <w:p w14:paraId="5FFA9076">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▲2.供应商须确保响应文件中的人员信息真实、有效。成交供应商不得将项目非法分包或转包给任何单位和个人，否则采购人有权依法即刻终止合同，并要求成交供应商赔偿相应损失。</w:t>
            </w:r>
          </w:p>
          <w:p w14:paraId="2A84EFC9">
            <w:pPr>
              <w:tabs>
                <w:tab w:val="left" w:pos="180"/>
                <w:tab w:val="left" w:pos="1620"/>
              </w:tabs>
              <w:wordWrap w:val="0"/>
              <w:spacing w:line="400" w:lineRule="exact"/>
              <w:rPr>
                <w:rFonts w:ascii="宋体" w:hAnsi="宋体" w:cs="宋体"/>
                <w:bCs/>
                <w:color w:val="auto"/>
                <w:szCs w:val="21"/>
                <w:highlight w:val="none"/>
              </w:rPr>
            </w:pPr>
            <w:r>
              <w:rPr>
                <w:rFonts w:hint="eastAsia" w:ascii="宋体" w:hAnsi="宋体" w:cs="宋体"/>
                <w:color w:val="auto"/>
                <w:szCs w:val="21"/>
                <w:highlight w:val="none"/>
              </w:rPr>
              <w:t>▲3.未经采购人允许，不得使用或者以其它方式给任何第三方提供本项目的相关信息或数据。</w:t>
            </w:r>
          </w:p>
        </w:tc>
      </w:tr>
    </w:tbl>
    <w:p w14:paraId="30E2BA50">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05125D97">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2C9D2B1F">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drawing>
          <wp:inline distT="0" distB="0" distL="114300" distR="114300">
            <wp:extent cx="5633720" cy="4346575"/>
            <wp:effectExtent l="0" t="0" r="5080" b="15875"/>
            <wp:docPr id="5" name="图片 5" descr="95c17819d0a364cf4b16499674c3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5c17819d0a364cf4b16499674c330a"/>
                    <pic:cNvPicPr>
                      <a:picLocks noChangeAspect="1"/>
                    </pic:cNvPicPr>
                  </pic:nvPicPr>
                  <pic:blipFill>
                    <a:blip r:embed="rId11"/>
                    <a:stretch>
                      <a:fillRect/>
                    </a:stretch>
                  </pic:blipFill>
                  <pic:spPr>
                    <a:xfrm>
                      <a:off x="0" y="0"/>
                      <a:ext cx="5633720" cy="4346575"/>
                    </a:xfrm>
                    <a:prstGeom prst="rect">
                      <a:avLst/>
                    </a:prstGeom>
                  </pic:spPr>
                </pic:pic>
              </a:graphicData>
            </a:graphic>
          </wp:inline>
        </w:drawing>
      </w:r>
      <w:r>
        <w:rPr>
          <w:rFonts w:hint="eastAsia" w:ascii="黑体" w:hAnsi="黑体" w:eastAsia="黑体" w:cs="黑体"/>
          <w:color w:val="auto"/>
          <w:sz w:val="32"/>
          <w:szCs w:val="32"/>
          <w:highlight w:val="none"/>
        </w:rPr>
        <w:br w:type="page"/>
      </w:r>
    </w:p>
    <w:p w14:paraId="248BFFC2">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29DF717F">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项目服务清单</w:t>
      </w:r>
    </w:p>
    <w:tbl>
      <w:tblPr>
        <w:tblStyle w:val="28"/>
        <w:tblW w:w="9238" w:type="dxa"/>
        <w:jc w:val="center"/>
        <w:tblLayout w:type="fixed"/>
        <w:tblCellMar>
          <w:top w:w="0" w:type="dxa"/>
          <w:left w:w="108" w:type="dxa"/>
          <w:bottom w:w="0" w:type="dxa"/>
          <w:right w:w="108" w:type="dxa"/>
        </w:tblCellMar>
      </w:tblPr>
      <w:tblGrid>
        <w:gridCol w:w="683"/>
        <w:gridCol w:w="1265"/>
        <w:gridCol w:w="1290"/>
        <w:gridCol w:w="690"/>
        <w:gridCol w:w="1305"/>
        <w:gridCol w:w="4005"/>
      </w:tblGrid>
      <w:tr w14:paraId="3C42EE06">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auto" w:sz="4" w:space="0"/>
              <w:right w:val="single" w:color="000000" w:sz="4" w:space="0"/>
            </w:tcBorders>
            <w:vAlign w:val="center"/>
          </w:tcPr>
          <w:p w14:paraId="7C11DB91">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265" w:type="dxa"/>
            <w:tcBorders>
              <w:top w:val="single" w:color="000000" w:sz="4" w:space="0"/>
              <w:left w:val="single" w:color="000000" w:sz="4" w:space="0"/>
              <w:bottom w:val="single" w:color="auto" w:sz="4" w:space="0"/>
              <w:right w:val="single" w:color="000000" w:sz="4" w:space="0"/>
            </w:tcBorders>
            <w:vAlign w:val="center"/>
          </w:tcPr>
          <w:p w14:paraId="54213FFD">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服务名称</w:t>
            </w:r>
          </w:p>
        </w:tc>
        <w:tc>
          <w:tcPr>
            <w:tcW w:w="1290" w:type="dxa"/>
            <w:tcBorders>
              <w:top w:val="single" w:color="000000" w:sz="4" w:space="0"/>
              <w:left w:val="single" w:color="000000" w:sz="4" w:space="0"/>
              <w:bottom w:val="single" w:color="000000" w:sz="4" w:space="0"/>
              <w:right w:val="single" w:color="000000" w:sz="4" w:space="0"/>
            </w:tcBorders>
            <w:vAlign w:val="center"/>
          </w:tcPr>
          <w:p w14:paraId="1AA09F8F">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690" w:type="dxa"/>
            <w:tcBorders>
              <w:top w:val="single" w:color="000000" w:sz="4" w:space="0"/>
              <w:left w:val="single" w:color="000000" w:sz="4" w:space="0"/>
              <w:bottom w:val="single" w:color="000000" w:sz="4" w:space="0"/>
              <w:right w:val="single" w:color="000000" w:sz="4" w:space="0"/>
            </w:tcBorders>
            <w:vAlign w:val="center"/>
          </w:tcPr>
          <w:p w14:paraId="1F15F1D7">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1305" w:type="dxa"/>
            <w:tcBorders>
              <w:top w:val="single" w:color="000000" w:sz="4" w:space="0"/>
              <w:left w:val="single" w:color="000000" w:sz="4" w:space="0"/>
              <w:bottom w:val="single" w:color="auto" w:sz="4" w:space="0"/>
              <w:right w:val="single" w:color="000000" w:sz="4" w:space="0"/>
            </w:tcBorders>
            <w:vAlign w:val="center"/>
          </w:tcPr>
          <w:p w14:paraId="27EB841F">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单价最高限价（元）</w:t>
            </w:r>
          </w:p>
        </w:tc>
        <w:tc>
          <w:tcPr>
            <w:tcW w:w="4005" w:type="dxa"/>
            <w:tcBorders>
              <w:top w:val="single" w:color="000000" w:sz="4" w:space="0"/>
              <w:left w:val="single" w:color="000000" w:sz="4" w:space="0"/>
              <w:bottom w:val="single" w:color="auto" w:sz="4" w:space="0"/>
              <w:right w:val="single" w:color="000000" w:sz="4" w:space="0"/>
            </w:tcBorders>
            <w:vAlign w:val="center"/>
          </w:tcPr>
          <w:p w14:paraId="113869E3">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具体技术要求</w:t>
            </w:r>
          </w:p>
        </w:tc>
      </w:tr>
      <w:tr w14:paraId="5FB18603">
        <w:tblPrEx>
          <w:tblCellMar>
            <w:top w:w="0" w:type="dxa"/>
            <w:left w:w="108" w:type="dxa"/>
            <w:bottom w:w="0" w:type="dxa"/>
            <w:right w:w="10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EB23DBC">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65" w:type="dxa"/>
            <w:tcBorders>
              <w:top w:val="single" w:color="auto" w:sz="4" w:space="0"/>
              <w:left w:val="single" w:color="auto" w:sz="4" w:space="0"/>
              <w:bottom w:val="single" w:color="auto" w:sz="4" w:space="0"/>
              <w:right w:val="single" w:color="auto" w:sz="4" w:space="0"/>
            </w:tcBorders>
            <w:vAlign w:val="center"/>
          </w:tcPr>
          <w:p w14:paraId="3E5C3103">
            <w:pPr>
              <w:keepNext w:val="0"/>
              <w:keepLines w:val="0"/>
              <w:widowControl/>
              <w:suppressLineNumbers w:val="0"/>
              <w:jc w:val="center"/>
              <w:textAlignment w:val="center"/>
              <w:rPr>
                <w:rFonts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水泥蚝桩拆除</w:t>
            </w:r>
          </w:p>
        </w:tc>
        <w:tc>
          <w:tcPr>
            <w:tcW w:w="1290" w:type="dxa"/>
            <w:tcBorders>
              <w:top w:val="single" w:color="auto" w:sz="4" w:space="0"/>
              <w:left w:val="single" w:color="auto" w:sz="4" w:space="0"/>
              <w:bottom w:val="single" w:color="auto" w:sz="4" w:space="0"/>
              <w:right w:val="single" w:color="auto" w:sz="4" w:space="0"/>
            </w:tcBorders>
            <w:vAlign w:val="center"/>
          </w:tcPr>
          <w:p w14:paraId="16B242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1608764.00 </w:t>
            </w:r>
          </w:p>
        </w:tc>
        <w:tc>
          <w:tcPr>
            <w:tcW w:w="690" w:type="dxa"/>
            <w:tcBorders>
              <w:top w:val="single" w:color="auto" w:sz="4" w:space="0"/>
              <w:left w:val="single" w:color="auto" w:sz="4" w:space="0"/>
              <w:bottom w:val="single" w:color="auto" w:sz="4" w:space="0"/>
              <w:right w:val="single" w:color="auto" w:sz="4" w:space="0"/>
            </w:tcBorders>
            <w:vAlign w:val="center"/>
          </w:tcPr>
          <w:p w14:paraId="4FB256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1305" w:type="dxa"/>
            <w:tcBorders>
              <w:top w:val="single" w:color="auto" w:sz="4" w:space="0"/>
              <w:left w:val="single" w:color="auto" w:sz="4" w:space="0"/>
              <w:bottom w:val="single" w:color="auto" w:sz="4" w:space="0"/>
              <w:right w:val="single" w:color="auto" w:sz="4" w:space="0"/>
            </w:tcBorders>
            <w:vAlign w:val="center"/>
          </w:tcPr>
          <w:p w14:paraId="07AB7CAE">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0.978</w:t>
            </w:r>
          </w:p>
        </w:tc>
        <w:tc>
          <w:tcPr>
            <w:tcW w:w="4005" w:type="dxa"/>
            <w:tcBorders>
              <w:top w:val="single" w:color="auto" w:sz="4" w:space="0"/>
              <w:left w:val="single" w:color="auto" w:sz="4" w:space="0"/>
              <w:bottom w:val="single" w:color="auto" w:sz="4" w:space="0"/>
              <w:right w:val="single" w:color="auto" w:sz="4" w:space="0"/>
            </w:tcBorders>
            <w:vAlign w:val="center"/>
          </w:tcPr>
          <w:p w14:paraId="58DADF33">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2.拆除构件的规格尺寸：水泥蚝桩的粗细约8-10cm，高度约</w:t>
            </w:r>
            <w:r>
              <w:rPr>
                <w:rFonts w:hint="eastAsia" w:ascii="宋体" w:hAnsi="宋体" w:cs="宋体"/>
                <w:color w:val="auto"/>
                <w:kern w:val="0"/>
                <w:szCs w:val="21"/>
                <w:highlight w:val="none"/>
                <w:lang w:eastAsia="zh-CN"/>
              </w:rPr>
              <w:t>60cm</w:t>
            </w:r>
            <w:r>
              <w:rPr>
                <w:rFonts w:hint="eastAsia" w:ascii="宋体" w:hAnsi="宋体" w:cs="宋体"/>
                <w:color w:val="auto"/>
                <w:kern w:val="0"/>
                <w:szCs w:val="21"/>
                <w:highlight w:val="none"/>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hint="eastAsia" w:ascii="宋体" w:hAnsi="宋体" w:cs="宋体"/>
                <w:color w:val="auto"/>
                <w:kern w:val="0"/>
                <w:szCs w:val="21"/>
                <w:highlight w:val="none"/>
                <w:lang w:eastAsia="zh-CN"/>
              </w:rPr>
              <w:t>15公里</w:t>
            </w:r>
            <w:r>
              <w:rPr>
                <w:rFonts w:hint="eastAsia" w:ascii="宋体" w:hAnsi="宋体" w:cs="宋体"/>
                <w:color w:val="auto"/>
                <w:kern w:val="0"/>
                <w:szCs w:val="21"/>
                <w:highlight w:val="none"/>
              </w:rPr>
              <w:t>，实际距离由实施现场确定；服务内容含人工装卸、运输、卸至岸边码头、空回等。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hint="eastAsia" w:ascii="宋体" w:hAnsi="宋体" w:cs="宋体"/>
                <w:color w:val="auto"/>
                <w:kern w:val="0"/>
                <w:szCs w:val="21"/>
                <w:highlight w:val="none"/>
              </w:rPr>
              <w:t>25公里</w:t>
            </w:r>
            <w:r>
              <w:rPr>
                <w:rFonts w:hint="eastAsia" w:ascii="宋体" w:hAnsi="宋体" w:cs="宋体"/>
                <w:color w:val="auto"/>
                <w:kern w:val="0"/>
                <w:szCs w:val="21"/>
                <w:highlight w:val="none"/>
              </w:rPr>
              <w:t>，实际距离由实施现场确定；弃置至保护区范围以外的弃置点（弃置费已包含在磋商报价中，采购人不再另行支付），要求不得对环境造成污染。</w:t>
            </w:r>
          </w:p>
        </w:tc>
      </w:tr>
      <w:tr w14:paraId="3BB511EF">
        <w:tblPrEx>
          <w:tblCellMar>
            <w:top w:w="0" w:type="dxa"/>
            <w:left w:w="108" w:type="dxa"/>
            <w:bottom w:w="0" w:type="dxa"/>
            <w:right w:w="10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3DD0C3C">
            <w:pPr>
              <w:widowControl/>
              <w:wordWrap w:val="0"/>
              <w:spacing w:line="360" w:lineRule="exact"/>
              <w:jc w:val="center"/>
              <w:textAlignment w:val="center"/>
              <w:rPr>
                <w:color w:val="auto"/>
                <w:highlight w:val="none"/>
              </w:rPr>
            </w:pPr>
            <w:r>
              <w:rPr>
                <w:rFonts w:hint="eastAsia" w:ascii="宋体" w:hAnsi="宋体" w:cs="宋体"/>
                <w:color w:val="auto"/>
                <w:kern w:val="0"/>
                <w:szCs w:val="21"/>
                <w:highlight w:val="none"/>
                <w:lang w:bidi="ar"/>
              </w:rPr>
              <w:t>2</w:t>
            </w:r>
          </w:p>
        </w:tc>
        <w:tc>
          <w:tcPr>
            <w:tcW w:w="1265" w:type="dxa"/>
            <w:tcBorders>
              <w:top w:val="single" w:color="auto" w:sz="4" w:space="0"/>
              <w:left w:val="single" w:color="auto" w:sz="4" w:space="0"/>
              <w:bottom w:val="single" w:color="000000" w:sz="4" w:space="0"/>
              <w:right w:val="single" w:color="auto" w:sz="4" w:space="0"/>
            </w:tcBorders>
            <w:vAlign w:val="center"/>
          </w:tcPr>
          <w:p w14:paraId="16FC69E5">
            <w:pPr>
              <w:keepNext w:val="0"/>
              <w:keepLines w:val="0"/>
              <w:widowControl/>
              <w:suppressLineNumbers w:val="0"/>
              <w:jc w:val="center"/>
              <w:textAlignment w:val="center"/>
              <w:rPr>
                <w:rFonts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蚝排及附着物拆除</w:t>
            </w:r>
          </w:p>
        </w:tc>
        <w:tc>
          <w:tcPr>
            <w:tcW w:w="1290" w:type="dxa"/>
            <w:tcBorders>
              <w:top w:val="single" w:color="auto" w:sz="4" w:space="0"/>
              <w:left w:val="single" w:color="auto" w:sz="4" w:space="0"/>
              <w:bottom w:val="single" w:color="auto" w:sz="4" w:space="0"/>
              <w:right w:val="single" w:color="auto" w:sz="4" w:space="0"/>
            </w:tcBorders>
            <w:vAlign w:val="center"/>
          </w:tcPr>
          <w:p w14:paraId="02F0ACE4">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0.978</w:t>
            </w:r>
          </w:p>
        </w:tc>
        <w:tc>
          <w:tcPr>
            <w:tcW w:w="690" w:type="dxa"/>
            <w:tcBorders>
              <w:top w:val="single" w:color="auto" w:sz="4" w:space="0"/>
              <w:left w:val="single" w:color="auto" w:sz="4" w:space="0"/>
              <w:bottom w:val="single" w:color="auto" w:sz="4" w:space="0"/>
              <w:right w:val="single" w:color="auto" w:sz="4" w:space="0"/>
            </w:tcBorders>
            <w:vAlign w:val="center"/>
          </w:tcPr>
          <w:p w14:paraId="26F63822">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亩</w:t>
            </w:r>
          </w:p>
        </w:tc>
        <w:tc>
          <w:tcPr>
            <w:tcW w:w="1305" w:type="dxa"/>
            <w:tcBorders>
              <w:top w:val="single" w:color="auto" w:sz="4" w:space="0"/>
              <w:left w:val="single" w:color="auto" w:sz="4" w:space="0"/>
              <w:bottom w:val="single" w:color="auto" w:sz="4" w:space="0"/>
              <w:right w:val="single" w:color="auto" w:sz="4" w:space="0"/>
            </w:tcBorders>
            <w:vAlign w:val="center"/>
          </w:tcPr>
          <w:p w14:paraId="38F94AF5">
            <w:pPr>
              <w:keepNext w:val="0"/>
              <w:keepLines w:val="0"/>
              <w:widowControl/>
              <w:suppressLineNumbers w:val="0"/>
              <w:jc w:val="center"/>
              <w:textAlignment w:val="center"/>
              <w:rPr>
                <w:rFonts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 xml:space="preserve">1212.00 </w:t>
            </w:r>
          </w:p>
        </w:tc>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14:paraId="3DD4F218">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2.拆除构件的规格尺寸：水泥蚝桩的粗细约</w:t>
            </w:r>
            <w:r>
              <w:rPr>
                <w:rFonts w:hint="eastAsia" w:ascii="宋体" w:hAnsi="宋体" w:cs="宋体"/>
                <w:color w:val="auto"/>
                <w:kern w:val="0"/>
                <w:szCs w:val="21"/>
                <w:highlight w:val="none"/>
              </w:rPr>
              <w:t>8-10cm，高度约</w:t>
            </w:r>
            <w:r>
              <w:rPr>
                <w:rFonts w:hint="eastAsia" w:ascii="宋体" w:hAnsi="宋体" w:cs="宋体"/>
                <w:color w:val="auto"/>
                <w:kern w:val="0"/>
                <w:szCs w:val="21"/>
                <w:highlight w:val="none"/>
                <w:lang w:eastAsia="zh-CN"/>
              </w:rPr>
              <w:t>60cm</w:t>
            </w:r>
            <w:r>
              <w:rPr>
                <w:rFonts w:hint="eastAsia" w:ascii="宋体" w:hAnsi="宋体" w:cs="宋体"/>
                <w:color w:val="auto"/>
                <w:kern w:val="0"/>
                <w:szCs w:val="21"/>
                <w:highlight w:val="none"/>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hint="eastAsia" w:ascii="宋体" w:hAnsi="宋体" w:cs="宋体"/>
                <w:color w:val="auto"/>
                <w:kern w:val="0"/>
                <w:szCs w:val="21"/>
                <w:highlight w:val="none"/>
                <w:lang w:eastAsia="zh-CN"/>
              </w:rPr>
              <w:t>15公里</w:t>
            </w:r>
            <w:r>
              <w:rPr>
                <w:rFonts w:hint="eastAsia" w:ascii="宋体" w:hAnsi="宋体" w:cs="宋体"/>
                <w:color w:val="auto"/>
                <w:kern w:val="0"/>
                <w:szCs w:val="21"/>
                <w:highlight w:val="none"/>
              </w:rPr>
              <w:t>，实际距离由实施现场确定；服务内容含人工装卸、运输、卸至岸边码头、空回等。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hint="eastAsia" w:ascii="宋体" w:hAnsi="宋体" w:cs="宋体"/>
                <w:color w:val="auto"/>
                <w:kern w:val="0"/>
                <w:szCs w:val="21"/>
                <w:highlight w:val="none"/>
              </w:rPr>
              <w:t>25公里</w:t>
            </w:r>
            <w:r>
              <w:rPr>
                <w:rFonts w:hint="eastAsia" w:ascii="宋体" w:hAnsi="宋体" w:cs="宋体"/>
                <w:color w:val="auto"/>
                <w:kern w:val="0"/>
                <w:szCs w:val="21"/>
                <w:highlight w:val="none"/>
              </w:rPr>
              <w:t>，实际距离由实施现场确定；弃置至保护区范围以外的弃置点（弃置费已包含在磋商报价中，采购人不再另行支付），要求不得对环境造成污染。</w:t>
            </w:r>
          </w:p>
        </w:tc>
      </w:tr>
      <w:tr w14:paraId="6537AD59">
        <w:tblPrEx>
          <w:tblCellMar>
            <w:top w:w="0" w:type="dxa"/>
            <w:left w:w="108" w:type="dxa"/>
            <w:bottom w:w="0" w:type="dxa"/>
            <w:right w:w="108" w:type="dxa"/>
          </w:tblCellMar>
        </w:tblPrEx>
        <w:trPr>
          <w:trHeight w:val="23" w:hRule="atLeast"/>
          <w:jc w:val="center"/>
        </w:trPr>
        <w:tc>
          <w:tcPr>
            <w:tcW w:w="683" w:type="dxa"/>
            <w:tcBorders>
              <w:top w:val="single" w:color="auto" w:sz="4" w:space="0"/>
              <w:left w:val="single" w:color="000000" w:sz="4" w:space="0"/>
              <w:bottom w:val="single" w:color="000000" w:sz="4" w:space="0"/>
              <w:right w:val="single" w:color="000000" w:sz="4" w:space="0"/>
            </w:tcBorders>
            <w:vAlign w:val="center"/>
          </w:tcPr>
          <w:p w14:paraId="386EFCCE">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265" w:type="dxa"/>
            <w:tcBorders>
              <w:top w:val="single" w:color="000000" w:sz="4" w:space="0"/>
              <w:left w:val="single" w:color="000000" w:sz="4" w:space="0"/>
              <w:bottom w:val="single" w:color="000000" w:sz="4" w:space="0"/>
              <w:right w:val="single" w:color="000000" w:sz="4" w:space="0"/>
            </w:tcBorders>
            <w:vAlign w:val="center"/>
          </w:tcPr>
          <w:p w14:paraId="14E52AE7">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废弃蚝堆拆除</w:t>
            </w:r>
          </w:p>
        </w:tc>
        <w:tc>
          <w:tcPr>
            <w:tcW w:w="1290" w:type="dxa"/>
            <w:tcBorders>
              <w:top w:val="single" w:color="000000" w:sz="4" w:space="0"/>
              <w:left w:val="single" w:color="000000" w:sz="4" w:space="0"/>
              <w:bottom w:val="single" w:color="000000" w:sz="4" w:space="0"/>
              <w:right w:val="single" w:color="000000" w:sz="4" w:space="0"/>
            </w:tcBorders>
            <w:vAlign w:val="center"/>
          </w:tcPr>
          <w:p w14:paraId="36AB9F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58.15 </w:t>
            </w:r>
          </w:p>
        </w:tc>
        <w:tc>
          <w:tcPr>
            <w:tcW w:w="690" w:type="dxa"/>
            <w:tcBorders>
              <w:top w:val="single" w:color="000000" w:sz="4" w:space="0"/>
              <w:left w:val="single" w:color="000000" w:sz="4" w:space="0"/>
              <w:bottom w:val="single" w:color="000000" w:sz="4" w:space="0"/>
              <w:right w:val="single" w:color="000000" w:sz="4" w:space="0"/>
            </w:tcBorders>
            <w:vAlign w:val="center"/>
          </w:tcPr>
          <w:p w14:paraId="70FFE7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亩</w:t>
            </w:r>
          </w:p>
        </w:tc>
        <w:tc>
          <w:tcPr>
            <w:tcW w:w="1305" w:type="dxa"/>
            <w:tcBorders>
              <w:top w:val="single" w:color="auto" w:sz="4" w:space="0"/>
              <w:left w:val="single" w:color="000000" w:sz="4" w:space="0"/>
              <w:bottom w:val="single" w:color="000000" w:sz="4" w:space="0"/>
              <w:right w:val="single" w:color="000000" w:sz="4" w:space="0"/>
            </w:tcBorders>
            <w:vAlign w:val="center"/>
          </w:tcPr>
          <w:p w14:paraId="2459F53B">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19138.30 </w:t>
            </w:r>
          </w:p>
        </w:tc>
        <w:tc>
          <w:tcPr>
            <w:tcW w:w="4005" w:type="dxa"/>
            <w:tcBorders>
              <w:top w:val="single" w:color="auto" w:sz="4" w:space="0"/>
              <w:left w:val="single" w:color="000000" w:sz="4" w:space="0"/>
              <w:bottom w:val="single" w:color="000000" w:sz="4" w:space="0"/>
              <w:right w:val="single" w:color="000000" w:sz="4" w:space="0"/>
            </w:tcBorders>
            <w:vAlign w:val="center"/>
          </w:tcPr>
          <w:p w14:paraId="2A219401">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w:t>
            </w:r>
            <w:r>
              <w:rPr>
                <w:rFonts w:hint="eastAsia" w:ascii="宋体" w:hAnsi="宋体" w:cs="宋体"/>
                <w:color w:val="auto"/>
                <w:kern w:val="0"/>
                <w:szCs w:val="21"/>
                <w:highlight w:val="none"/>
              </w:rPr>
              <w:t>蚝堆的高度约1.5米</w:t>
            </w:r>
            <w:r>
              <w:rPr>
                <w:rFonts w:hint="eastAsia" w:ascii="宋体" w:hAnsi="宋体" w:cs="宋体"/>
                <w:color w:val="auto"/>
                <w:kern w:val="0"/>
                <w:szCs w:val="21"/>
                <w:highlight w:val="none"/>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hint="eastAsia" w:ascii="宋体" w:hAnsi="宋体" w:cs="宋体"/>
                <w:color w:val="auto"/>
                <w:kern w:val="0"/>
                <w:szCs w:val="21"/>
                <w:highlight w:val="none"/>
                <w:lang w:eastAsia="zh-CN"/>
              </w:rPr>
              <w:t>15公里</w:t>
            </w:r>
            <w:r>
              <w:rPr>
                <w:rFonts w:hint="eastAsia" w:ascii="宋体" w:hAnsi="宋体" w:cs="宋体"/>
                <w:color w:val="auto"/>
                <w:kern w:val="0"/>
                <w:szCs w:val="21"/>
                <w:highlight w:val="none"/>
              </w:rPr>
              <w:t>，实际距离由实施现场确定；含人工装卸、运输、卸至岸边码头、空回等。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w:t>
            </w:r>
            <w:r>
              <w:rPr>
                <w:rFonts w:hint="eastAsia" w:ascii="宋体" w:hAnsi="宋体" w:cs="宋体"/>
                <w:color w:val="auto"/>
                <w:kern w:val="0"/>
                <w:szCs w:val="21"/>
                <w:highlight w:val="none"/>
              </w:rPr>
              <w:t>距约25公里</w:t>
            </w:r>
            <w:r>
              <w:rPr>
                <w:rFonts w:hint="eastAsia" w:ascii="宋体" w:hAnsi="宋体" w:cs="宋体"/>
                <w:color w:val="auto"/>
                <w:kern w:val="0"/>
                <w:szCs w:val="21"/>
                <w:highlight w:val="none"/>
              </w:rPr>
              <w:t>，实际距离由实施现场确定；弃置至保护区范围以外的弃置点（弃置费已包含在磋商报价中，采购人不再另行支付），要求不得对环境造成污染</w:t>
            </w:r>
          </w:p>
        </w:tc>
      </w:tr>
      <w:tr w14:paraId="60AE9C53">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24021802">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265" w:type="dxa"/>
            <w:tcBorders>
              <w:top w:val="single" w:color="000000" w:sz="4" w:space="0"/>
              <w:left w:val="single" w:color="000000" w:sz="4" w:space="0"/>
              <w:bottom w:val="single" w:color="000000" w:sz="4" w:space="0"/>
              <w:right w:val="single" w:color="000000" w:sz="4" w:space="0"/>
            </w:tcBorders>
            <w:vAlign w:val="center"/>
          </w:tcPr>
          <w:p w14:paraId="7F5FD50C">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渔箔拆除</w:t>
            </w:r>
          </w:p>
        </w:tc>
        <w:tc>
          <w:tcPr>
            <w:tcW w:w="1290" w:type="dxa"/>
            <w:tcBorders>
              <w:top w:val="single" w:color="000000" w:sz="4" w:space="0"/>
              <w:left w:val="single" w:color="000000" w:sz="4" w:space="0"/>
              <w:bottom w:val="single" w:color="000000" w:sz="4" w:space="0"/>
              <w:right w:val="single" w:color="000000" w:sz="4" w:space="0"/>
            </w:tcBorders>
            <w:vAlign w:val="center"/>
          </w:tcPr>
          <w:p w14:paraId="1A7D22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2514.00 </w:t>
            </w:r>
          </w:p>
        </w:tc>
        <w:tc>
          <w:tcPr>
            <w:tcW w:w="690" w:type="dxa"/>
            <w:tcBorders>
              <w:top w:val="single" w:color="000000" w:sz="4" w:space="0"/>
              <w:left w:val="single" w:color="000000" w:sz="4" w:space="0"/>
              <w:bottom w:val="single" w:color="000000" w:sz="4" w:space="0"/>
              <w:right w:val="single" w:color="000000" w:sz="4" w:space="0"/>
            </w:tcBorders>
            <w:vAlign w:val="center"/>
          </w:tcPr>
          <w:p w14:paraId="4DABD1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1305" w:type="dxa"/>
            <w:tcBorders>
              <w:top w:val="single" w:color="000000" w:sz="4" w:space="0"/>
              <w:left w:val="single" w:color="000000" w:sz="4" w:space="0"/>
              <w:bottom w:val="single" w:color="000000" w:sz="4" w:space="0"/>
              <w:right w:val="single" w:color="000000" w:sz="4" w:space="0"/>
            </w:tcBorders>
            <w:vAlign w:val="center"/>
          </w:tcPr>
          <w:p w14:paraId="5397F28D">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4.10 </w:t>
            </w:r>
          </w:p>
        </w:tc>
        <w:tc>
          <w:tcPr>
            <w:tcW w:w="4005" w:type="dxa"/>
            <w:tcBorders>
              <w:top w:val="single" w:color="000000" w:sz="4" w:space="0"/>
              <w:left w:val="single" w:color="000000" w:sz="4" w:space="0"/>
              <w:bottom w:val="single" w:color="000000" w:sz="4" w:space="0"/>
              <w:right w:val="single" w:color="000000" w:sz="4" w:space="0"/>
            </w:tcBorders>
            <w:vAlign w:val="center"/>
          </w:tcPr>
          <w:p w14:paraId="0740EC1C">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w:t>
            </w:r>
            <w:r>
              <w:rPr>
                <w:rFonts w:hint="eastAsia" w:ascii="宋体" w:hAnsi="宋体" w:cs="宋体"/>
                <w:color w:val="auto"/>
                <w:kern w:val="0"/>
                <w:szCs w:val="21"/>
                <w:highlight w:val="none"/>
              </w:rPr>
              <w:t>木桩，粗细约6cm，高度约5米</w:t>
            </w:r>
            <w:r>
              <w:rPr>
                <w:rFonts w:hint="eastAsia" w:ascii="宋体" w:hAnsi="宋体" w:cs="宋体"/>
                <w:color w:val="auto"/>
                <w:kern w:val="0"/>
                <w:szCs w:val="21"/>
                <w:highlight w:val="none"/>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4.水上运输运距：拆除点至最近码头，距离约</w:t>
            </w:r>
            <w:r>
              <w:rPr>
                <w:rFonts w:hint="eastAsia" w:ascii="宋体" w:hAnsi="宋体" w:cs="宋体"/>
                <w:color w:val="auto"/>
                <w:kern w:val="0"/>
                <w:szCs w:val="21"/>
                <w:highlight w:val="none"/>
                <w:lang w:eastAsia="zh-CN"/>
              </w:rPr>
              <w:t>15公里</w:t>
            </w:r>
            <w:r>
              <w:rPr>
                <w:rFonts w:hint="eastAsia" w:ascii="宋体" w:hAnsi="宋体" w:cs="宋体"/>
                <w:color w:val="auto"/>
                <w:kern w:val="0"/>
                <w:szCs w:val="21"/>
                <w:highlight w:val="none"/>
              </w:rPr>
              <w:t>，实际距离由实施现场确定；含人工装卸、运输、卸至岸边码头、空回等。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5.陆地运输运距：运距约</w:t>
            </w:r>
            <w:r>
              <w:rPr>
                <w:rFonts w:hint="eastAsia" w:ascii="宋体" w:hAnsi="宋体" w:cs="宋体"/>
                <w:color w:val="auto"/>
                <w:kern w:val="0"/>
                <w:szCs w:val="21"/>
                <w:highlight w:val="none"/>
              </w:rPr>
              <w:t>25公</w:t>
            </w:r>
            <w:r>
              <w:rPr>
                <w:rFonts w:hint="eastAsia" w:ascii="宋体" w:hAnsi="宋体" w:cs="宋体"/>
                <w:color w:val="auto"/>
                <w:kern w:val="0"/>
                <w:szCs w:val="21"/>
                <w:highlight w:val="none"/>
              </w:rPr>
              <w:t>里，实际距离由实施现场确定；弃置至保护区范围以外的弃置点（弃置费已包含在磋商报价中，采购人不再另行支付），要求不得对环境造成污染。</w:t>
            </w:r>
          </w:p>
        </w:tc>
      </w:tr>
    </w:tbl>
    <w:p w14:paraId="25D5998C">
      <w:pPr>
        <w:pStyle w:val="5"/>
        <w:jc w:val="center"/>
        <w:rPr>
          <w:color w:val="auto"/>
          <w:highlight w:val="none"/>
        </w:rPr>
      </w:pPr>
      <w:r>
        <w:rPr>
          <w:rFonts w:hint="eastAsia" w:ascii="黑体" w:hAnsi="黑体" w:eastAsia="黑体" w:cs="黑体"/>
          <w:color w:val="auto"/>
          <w:sz w:val="32"/>
          <w:szCs w:val="32"/>
          <w:highlight w:val="none"/>
        </w:rPr>
        <w:br w:type="page"/>
      </w:r>
      <w:bookmarkStart w:id="77" w:name="_Toc4095"/>
      <w:r>
        <w:rPr>
          <w:rFonts w:hint="eastAsia"/>
          <w:color w:val="auto"/>
          <w:highlight w:val="none"/>
        </w:rPr>
        <w:t>第四章  评审程序、评审方法和评审标准</w:t>
      </w:r>
      <w:bookmarkEnd w:id="77"/>
    </w:p>
    <w:p w14:paraId="0E705FE3">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081B3AA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7A581BE">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36F19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183369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14:paraId="076306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D0F76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554199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509DAE8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4C3E76AB">
      <w:pPr>
        <w:spacing w:line="360" w:lineRule="auto"/>
        <w:ind w:firstLine="422" w:firstLineChars="20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.3供应商有下列情形之一的，资格审查不通过，其响应文件按无效响应处理：</w:t>
      </w:r>
    </w:p>
    <w:p w14:paraId="135B6C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355826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1D7BD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1C855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42EFEC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96022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810A94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23B09A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2.1由磋商小组对通过资格审查的合格供应商的响应文件的竞标报价、商务、技术等实质性要求进行符合性审查，以确定其是否满足磋商文件的实质性要求。</w:t>
      </w:r>
    </w:p>
    <w:p w14:paraId="6DEECF2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8D991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3C37728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329205">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2.4首次响应文件报价出现前后不一致的，按照下列规定修正： </w:t>
      </w:r>
    </w:p>
    <w:p w14:paraId="4D189AE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（1）响应文件中报价表内容与响应文件中相应内容不一致的，以报价表为准；</w:t>
      </w:r>
    </w:p>
    <w:p w14:paraId="43FAE4D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0B29AE9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（3）单价金额小数点或者百分比有明显错位的，以报价表的总价为准，并修改单价；</w:t>
      </w:r>
    </w:p>
    <w:p w14:paraId="591B062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7CC814A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同时出现两种以上不一致的，按照以上（1）-（4）规定的顺序逐条进行修正。修正后的报价经供应商确认后产生约束力，供应商不确认的，其响应文件按无效响应处理。</w:t>
      </w:r>
    </w:p>
    <w:p w14:paraId="22CE437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2.5商务技术报价评审</w:t>
      </w:r>
    </w:p>
    <w:p w14:paraId="5DFFB1A7">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在评审时，如发现下列情形之一的，将被视为响应文件无效处理：</w:t>
      </w:r>
    </w:p>
    <w:p w14:paraId="354F4A0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（1）商务技术评审</w:t>
      </w:r>
    </w:p>
    <w:p w14:paraId="3DD8D4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1）响应文件未按磋商文件要求签署、盖章；</w:t>
      </w:r>
    </w:p>
    <w:p w14:paraId="4261DA4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2）委托代理人未能出具有效身份证或者出具的身份证与授权委托书中的信息不符的； </w:t>
      </w:r>
    </w:p>
    <w:p w14:paraId="3F000C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3）提交的磋商保证金无效的或者未按照磋商文件的规定提交磋商保证金；</w:t>
      </w:r>
    </w:p>
    <w:p w14:paraId="7FE84B6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DA221B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5）商务、技术要求允许负偏离的条款数超过“供应商须知前附表”规定项数的；</w:t>
      </w:r>
    </w:p>
    <w:p w14:paraId="1FF414D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6）未对竞标有效期作出响应或者响应文件承诺的竞标有效期不满足磋商文件要求；</w:t>
      </w:r>
    </w:p>
    <w:p w14:paraId="71D142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7）响应文件的实质性内容未使用中文表述、使用计量单位不符合磋商文件要求；</w:t>
      </w:r>
    </w:p>
    <w:p w14:paraId="03F67E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8）响应文件中的文件资料因填写不齐全或者内容虚假或者出现其他情形而导致被磋商小组认定无效；</w:t>
      </w:r>
    </w:p>
    <w:p w14:paraId="224E5E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9）响应文件含有采购人不能接受的附加条件；</w:t>
      </w:r>
    </w:p>
    <w:p w14:paraId="338E89B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10）属于“供应商须知正文”第7.5条情形；</w:t>
      </w:r>
    </w:p>
    <w:p w14:paraId="7E46DFD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11）虚假竞标，或者出现其他情形而导致被磋商小组认定无效；</w:t>
      </w:r>
    </w:p>
    <w:p w14:paraId="00052BB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12）磋商文件未载明允许提供备选（替代）竞标方案或明确不允许提供备选（替代）竞标方案时，供应商提供了备选（替代）竞标方案的；</w:t>
      </w:r>
    </w:p>
    <w:p w14:paraId="616A0C5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13）响应文件标注的项目名称或者项目编号与磋商文件标注的项目名称或者项目编号不一致的；</w:t>
      </w:r>
    </w:p>
    <w:p w14:paraId="3C67C2F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14）竞争性磋商文件明确不允许分包，响应文件拟分包的；</w:t>
      </w:r>
    </w:p>
    <w:p w14:paraId="73B04EC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15）未响应磋商文件实质性要求；</w:t>
      </w:r>
    </w:p>
    <w:p w14:paraId="4DCA431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16）法律、法规和磋商文件规定的其他无效情形。</w:t>
      </w:r>
    </w:p>
    <w:p w14:paraId="637BADE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（2）报价评审</w:t>
      </w:r>
    </w:p>
    <w:p w14:paraId="1ACA6E4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响应文件未提供“供应商须知前附表” 报价文件中规定的“竞标报价表”；</w:t>
      </w:r>
    </w:p>
    <w:p w14:paraId="62F45B1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2）未采用人民币报价或者未按照磋商文件标明的币种报价；</w:t>
      </w:r>
    </w:p>
    <w:p w14:paraId="5357C3B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8FC4A6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4）竞标报价（包含首次报价、最后报价）超过所竞标分标规定的采购预算金额的；</w:t>
      </w:r>
    </w:p>
    <w:p w14:paraId="31C0169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5）修正后的报价，供应商不确认的；或者经供应商确认修正后的竞标报价（包含首次报价、最后报价）超过所竞标分标规定的采购预算金额的；</w:t>
      </w:r>
    </w:p>
    <w:p w14:paraId="31301E7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6）响应文件响应的标的数量及单位与竞争性磋商采购文件要求实质性不一致的。</w:t>
      </w:r>
    </w:p>
    <w:p w14:paraId="1E0C784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F6EB0C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2.7通过符合性审查的合格供应商不足3家的，不得进入磋商环节，采购人或者采购代理机构应当重新开展采购活动。</w:t>
      </w:r>
    </w:p>
    <w:p w14:paraId="3480A79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46AA6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118786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4CC74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7862BE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14F75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04EBF47">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380CB360">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A4A46A3">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E84B01B">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7364F4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02FCBE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515079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02D01A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049B1C0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4D8F54E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0EB9AF6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048BC10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07876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28730A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（2）经供应商确认修正后的竞标报价（包含首次报价、最后报价）超过所竞标分标规定的采购预算金额的；</w:t>
      </w:r>
    </w:p>
    <w:p w14:paraId="607593E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19B92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6FCB7B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6C50D08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35CBD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7D759B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2B98949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178A6F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34F2D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2F8ED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评审价为供应商的最后报价（如有修正，以确认修正后的最后报价为准）。</w:t>
      </w:r>
    </w:p>
    <w:p w14:paraId="02B48EF3">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3DCA9F0">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37035B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22CA13B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77"/>
        <w:gridCol w:w="6155"/>
        <w:gridCol w:w="851"/>
      </w:tblGrid>
      <w:tr w14:paraId="59A0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D63F41B">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7" w:type="dxa"/>
            <w:vAlign w:val="center"/>
          </w:tcPr>
          <w:p w14:paraId="3E987D5C">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155" w:type="dxa"/>
            <w:vAlign w:val="center"/>
          </w:tcPr>
          <w:p w14:paraId="7B0E0C2F">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14:paraId="64F65824">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1161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72F76093">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7" w:type="dxa"/>
            <w:vAlign w:val="center"/>
          </w:tcPr>
          <w:p w14:paraId="1740D8EC">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155" w:type="dxa"/>
          </w:tcPr>
          <w:p w14:paraId="2DCE9068">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（1）本项目为专门面向中小企业，磋商报价不再进行政府采购政策性扣除。</w:t>
            </w:r>
          </w:p>
          <w:p w14:paraId="6886A1DF">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（3）以进入比较与评审环节的最低的最后报价为基准价，基准价得分为10分。</w:t>
            </w:r>
          </w:p>
          <w:p w14:paraId="0FFCDBC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（4）价格分计算公式：</w:t>
            </w:r>
          </w:p>
          <w:p w14:paraId="72882D1E">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报价得分=（基准价/最后报价）×10分</w:t>
            </w:r>
          </w:p>
        </w:tc>
        <w:tc>
          <w:tcPr>
            <w:tcW w:w="851" w:type="dxa"/>
            <w:vAlign w:val="center"/>
          </w:tcPr>
          <w:p w14:paraId="6D37D134">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7DA0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6D533D4A">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77" w:type="dxa"/>
            <w:vAlign w:val="center"/>
          </w:tcPr>
          <w:p w14:paraId="2D633B37">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7006" w:type="dxa"/>
            <w:gridSpan w:val="2"/>
          </w:tcPr>
          <w:p w14:paraId="52E38638">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1113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07" w:type="dxa"/>
            <w:vAlign w:val="center"/>
          </w:tcPr>
          <w:p w14:paraId="237D22A2">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77" w:type="dxa"/>
            <w:vAlign w:val="center"/>
          </w:tcPr>
          <w:p w14:paraId="12A66C28">
            <w:pPr>
              <w:wordWrap w:val="0"/>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项目实施方案分</w:t>
            </w:r>
          </w:p>
        </w:tc>
        <w:tc>
          <w:tcPr>
            <w:tcW w:w="6155" w:type="dxa"/>
            <w:vAlign w:val="center"/>
          </w:tcPr>
          <w:p w14:paraId="15900311">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由磋商小组根据供应商提供的项目实施方案进行独立评审，</w:t>
            </w:r>
            <w:r>
              <w:rPr>
                <w:rFonts w:hint="eastAsia" w:hAnsi="宋体" w:cs="宋体"/>
                <w:b/>
                <w:bCs/>
                <w:color w:val="auto"/>
                <w:sz w:val="21"/>
                <w:highlight w:val="none"/>
              </w:rPr>
              <w:t>提供的方案内容未达到一档要求的不得分：</w:t>
            </w:r>
          </w:p>
          <w:p w14:paraId="50D2500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一档（5分）：供应商提供的项目实施方案对项目的整体要求理解不够准确，方案可操作性不强；</w:t>
            </w:r>
          </w:p>
          <w:p w14:paraId="2F5621B9">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二档（10分）：供应商提供的项目实施方案基本理解项目的整体要求，提供有作业流程和作业规范，基本合理，提供对项目的重点和难点理解基本准确，方案基本可行；</w:t>
            </w:r>
          </w:p>
          <w:p w14:paraId="16587A9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三档（15分）：供应商提供的项目实施方案对项目的整体要求理解正确，提供合理的作业流程和作业规范，有具体技术路线措施，对项目的重点和难点、工作内容理解准确，对项目政策背景的理解正确全面；提供蚝桩后期处理方案，处理方式符合环保要求，整体方案具有可行性。</w:t>
            </w:r>
          </w:p>
          <w:p w14:paraId="5B64D304">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四档（20分）：供应商提供的项目实施方案对项目的整体要求理解正确，作业流程科学合理，能详细说明作业流程细节并符合作业规范，方案操作性强，技术路线科学合理，对项目的重点和难点、工作内容理解和掌握完全准确，并提供明确的技术路线、技术分析和具体措施，对项目政策背景的理解正确全面；提供详细的蚝桩后期处理方案，处理方式符合环保要求，提供可行的再利用的方案，能确保资源的有效利用；整体方案可行性强，完全满足项目的实际需求。</w:t>
            </w:r>
          </w:p>
        </w:tc>
        <w:tc>
          <w:tcPr>
            <w:tcW w:w="851" w:type="dxa"/>
            <w:vAlign w:val="center"/>
          </w:tcPr>
          <w:p w14:paraId="46003591">
            <w:pPr>
              <w:wordWrap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20</w:t>
            </w:r>
            <w:r>
              <w:rPr>
                <w:rFonts w:hint="eastAsia" w:ascii="宋体" w:hAnsi="宋体" w:cs="宋体"/>
                <w:color w:val="auto"/>
                <w:kern w:val="0"/>
                <w:szCs w:val="21"/>
                <w:highlight w:val="none"/>
              </w:rPr>
              <w:t>分</w:t>
            </w:r>
          </w:p>
        </w:tc>
      </w:tr>
      <w:tr w14:paraId="222D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06620F6">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77" w:type="dxa"/>
            <w:vAlign w:val="center"/>
          </w:tcPr>
          <w:p w14:paraId="290B60E0">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作业质量和安全保障方案分</w:t>
            </w:r>
          </w:p>
        </w:tc>
        <w:tc>
          <w:tcPr>
            <w:tcW w:w="6155" w:type="dxa"/>
          </w:tcPr>
          <w:p w14:paraId="34902D3E">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由磋商小组根据供应商提供的服务质量控制措施进行独立评审，</w:t>
            </w:r>
            <w:r>
              <w:rPr>
                <w:rFonts w:hint="eastAsia" w:hAnsi="宋体" w:cs="宋体"/>
                <w:b/>
                <w:bCs/>
                <w:color w:val="auto"/>
                <w:sz w:val="21"/>
                <w:highlight w:val="none"/>
              </w:rPr>
              <w:t>未提供作业质量和安全保障方案或提供的方案内容未达到一档要求的不得分：</w:t>
            </w:r>
          </w:p>
          <w:p w14:paraId="1A24826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一档（5分）：提供有作业质量和安全保障方案，整体质控措施不够完善。</w:t>
            </w:r>
          </w:p>
          <w:p w14:paraId="05AAC1C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二档（10分）：提供的作业质量和安全保障方案内容基本贴合项目实际，提供有用船安全措施，上述内容基本可行。</w:t>
            </w:r>
          </w:p>
          <w:p w14:paraId="02D95A92">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三档（15分）：提供的作业质量和安全保障方案内容贴合项目实际，提供有作业质量控制、用船安全措施和作业安全措施，上述内容基本完整，整体质控措施可行。</w:t>
            </w:r>
          </w:p>
          <w:p w14:paraId="6774540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四档（20分）：作业质量和安全保障方案科学、完善，具有针对性的作业数据检查、作业质量控制以及反馈纠错措施；具有切实有效地用船安全措施和作业安全措施，能有效的保障项目的开展。</w:t>
            </w:r>
          </w:p>
        </w:tc>
        <w:tc>
          <w:tcPr>
            <w:tcW w:w="851" w:type="dxa"/>
            <w:vAlign w:val="center"/>
          </w:tcPr>
          <w:p w14:paraId="74C77059">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r>
      <w:tr w14:paraId="3C44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67098F9">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77" w:type="dxa"/>
            <w:vAlign w:val="center"/>
          </w:tcPr>
          <w:p w14:paraId="38A96751">
            <w:pPr>
              <w:wordWrap w:val="0"/>
              <w:adjustRightInd w:val="0"/>
              <w:spacing w:line="36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应急方案</w:t>
            </w:r>
          </w:p>
        </w:tc>
        <w:tc>
          <w:tcPr>
            <w:tcW w:w="6155" w:type="dxa"/>
            <w:vAlign w:val="center"/>
          </w:tcPr>
          <w:p w14:paraId="55ED669E">
            <w:pPr>
              <w:wordWrap w:val="0"/>
              <w:adjustRightInd w:val="0"/>
              <w:snapToGrid w:val="0"/>
              <w:spacing w:line="360" w:lineRule="exact"/>
              <w:rPr>
                <w:rFonts w:ascii="宋体" w:hAnsi="宋体" w:cs="宋体"/>
                <w:b/>
                <w:bCs/>
                <w:color w:val="auto"/>
                <w:szCs w:val="21"/>
                <w:highlight w:val="none"/>
              </w:rPr>
            </w:pPr>
            <w:r>
              <w:rPr>
                <w:rFonts w:hint="eastAsia" w:hAnsi="宋体" w:cs="宋体"/>
                <w:color w:val="auto"/>
                <w:highlight w:val="none"/>
              </w:rPr>
              <w:t>由磋商小组根据供应商提供的</w:t>
            </w:r>
            <w:r>
              <w:rPr>
                <w:rFonts w:hint="eastAsia" w:ascii="宋体" w:hAnsi="宋体" w:cs="宋体"/>
                <w:color w:val="auto"/>
                <w:szCs w:val="21"/>
                <w:highlight w:val="none"/>
              </w:rPr>
              <w:t>应急方案</w:t>
            </w:r>
            <w:r>
              <w:rPr>
                <w:rFonts w:hint="eastAsia" w:hAnsi="宋体" w:cs="宋体"/>
                <w:color w:val="auto"/>
                <w:highlight w:val="none"/>
              </w:rPr>
              <w:t>进行独立评审，</w:t>
            </w:r>
            <w:r>
              <w:rPr>
                <w:rFonts w:hint="eastAsia" w:ascii="宋体" w:hAnsi="宋体" w:cs="宋体"/>
                <w:color w:val="auto"/>
                <w:szCs w:val="21"/>
                <w:highlight w:val="none"/>
              </w:rPr>
              <w:t>应急方案里有对突发事件、工人意外事故、特殊天气（如台风、暴雨、暴风等）等的应急预案。</w:t>
            </w:r>
            <w:r>
              <w:rPr>
                <w:rFonts w:hint="eastAsia" w:ascii="宋体" w:hAnsi="宋体" w:cs="宋体"/>
                <w:b/>
                <w:bCs/>
                <w:color w:val="auto"/>
                <w:szCs w:val="21"/>
                <w:highlight w:val="none"/>
              </w:rPr>
              <w:t>未提供应急方案或方案内容未达到一档要求的不得分。</w:t>
            </w:r>
          </w:p>
          <w:p w14:paraId="0F868D39">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一档（6分）：提供的应急方案不够完整，与本项目实际情况偏离较大，不够切合实际；</w:t>
            </w:r>
          </w:p>
          <w:p w14:paraId="37E484AC">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二档（9分）：方案内容基本完整、部分具有可操作性；</w:t>
            </w:r>
          </w:p>
          <w:p w14:paraId="54C2807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三档（12分）：方案内容完整、有合理性和可操作性；</w:t>
            </w:r>
          </w:p>
          <w:p w14:paraId="44C74818">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四档（15分）：方案内容明确、详尽，有科学性、合理性及可操作性，根据各种突发事件，提供相应有效的应对处置流程措施，提供完善的</w:t>
            </w:r>
            <w:r>
              <w:rPr>
                <w:rFonts w:hint="eastAsia" w:ascii="宋体" w:hAnsi="宋体" w:cs="宋体"/>
                <w:bCs/>
                <w:color w:val="auto"/>
                <w:szCs w:val="21"/>
                <w:highlight w:val="none"/>
              </w:rPr>
              <w:t>遇险方案措施</w:t>
            </w:r>
            <w:r>
              <w:rPr>
                <w:rFonts w:hint="eastAsia" w:ascii="宋体" w:hAnsi="宋体" w:cs="宋体"/>
                <w:color w:val="auto"/>
                <w:szCs w:val="21"/>
                <w:highlight w:val="none"/>
              </w:rPr>
              <w:t>。</w:t>
            </w:r>
          </w:p>
        </w:tc>
        <w:tc>
          <w:tcPr>
            <w:tcW w:w="851" w:type="dxa"/>
            <w:vAlign w:val="center"/>
          </w:tcPr>
          <w:p w14:paraId="2C25AC05">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1AF1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C3DDAAD">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77" w:type="dxa"/>
            <w:vAlign w:val="center"/>
          </w:tcPr>
          <w:p w14:paraId="2BFAF7A4">
            <w:pPr>
              <w:widowControl/>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商务分</w:t>
            </w:r>
          </w:p>
        </w:tc>
        <w:tc>
          <w:tcPr>
            <w:tcW w:w="7006" w:type="dxa"/>
            <w:gridSpan w:val="2"/>
            <w:vAlign w:val="center"/>
          </w:tcPr>
          <w:p w14:paraId="55FB0B6B">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7453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F413433">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77" w:type="dxa"/>
            <w:vAlign w:val="center"/>
          </w:tcPr>
          <w:p w14:paraId="137C5F39">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服务承诺分</w:t>
            </w:r>
          </w:p>
        </w:tc>
        <w:tc>
          <w:tcPr>
            <w:tcW w:w="6155" w:type="dxa"/>
          </w:tcPr>
          <w:p w14:paraId="255DC741">
            <w:pPr>
              <w:pStyle w:val="18"/>
              <w:wordWrap w:val="0"/>
              <w:spacing w:line="360" w:lineRule="exact"/>
              <w:rPr>
                <w:rFonts w:hAnsi="宋体" w:cs="宋体"/>
                <w:b/>
                <w:bCs/>
                <w:color w:val="auto"/>
                <w:sz w:val="21"/>
                <w:highlight w:val="none"/>
              </w:rPr>
            </w:pPr>
            <w:r>
              <w:rPr>
                <w:rFonts w:hint="eastAsia" w:hAnsi="宋体" w:cs="宋体"/>
                <w:color w:val="auto"/>
                <w:kern w:val="2"/>
                <w:sz w:val="21"/>
                <w:highlight w:val="none"/>
              </w:rPr>
              <w:t>由磋商小组根据供应商提供的服务承诺进行独立评审，</w:t>
            </w:r>
            <w:r>
              <w:rPr>
                <w:rFonts w:hint="eastAsia" w:hAnsi="宋体" w:cs="宋体"/>
                <w:b/>
                <w:bCs/>
                <w:color w:val="auto"/>
                <w:sz w:val="21"/>
                <w:highlight w:val="none"/>
              </w:rPr>
              <w:t>提供的方案内容未达到一档要求的不得分：</w:t>
            </w:r>
          </w:p>
          <w:p w14:paraId="19B1CF46">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一档（5分）：服务承诺基本满足采购文件要求，响应程度满足项目要求。</w:t>
            </w:r>
          </w:p>
          <w:p w14:paraId="55696EEB">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二档（10分）：服务承诺满足采购文件要求，内容基本完整、可行，响应程度满足项目要求，承诺在服务期限内接到采购人通知后30分钟内响应，12小时内到达服务现场；提供的项目移交方案内容不够具体。</w:t>
            </w:r>
          </w:p>
          <w:p w14:paraId="48D119F1">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三档（15分）：服务承诺优于采购文件要求，内容完整、齐全、可行，响应程度高，承诺在服务期限内接到采购人通知后15分钟内响应，6小时内到达服务现场；提供有详细的项目移交方案（至少包括管理资料移交和工作移交等），且提供有成果文件移交的后续服务承诺，后续服务承诺内容具体，有利于采购人对项目的整体管控。</w:t>
            </w:r>
          </w:p>
        </w:tc>
        <w:tc>
          <w:tcPr>
            <w:tcW w:w="851" w:type="dxa"/>
            <w:vAlign w:val="center"/>
          </w:tcPr>
          <w:p w14:paraId="18DD13F6">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46D7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1ECE259">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377" w:type="dxa"/>
            <w:vAlign w:val="center"/>
          </w:tcPr>
          <w:p w14:paraId="37B43E2F">
            <w:pPr>
              <w:widowControl/>
              <w:wordWrap w:val="0"/>
              <w:spacing w:line="360" w:lineRule="exact"/>
              <w:jc w:val="center"/>
              <w:rPr>
                <w:rFonts w:ascii="宋体" w:hAnsi="宋体" w:cs="宋体"/>
                <w:color w:val="auto"/>
                <w:szCs w:val="21"/>
                <w:highlight w:val="none"/>
              </w:rPr>
            </w:pPr>
            <w:r>
              <w:rPr>
                <w:rFonts w:hint="eastAsia" w:ascii="宋体" w:hAnsi="宋体" w:cs="宋体"/>
                <w:bCs/>
                <w:color w:val="auto"/>
                <w:kern w:val="0"/>
                <w:szCs w:val="21"/>
                <w:highlight w:val="none"/>
              </w:rPr>
              <w:t>人员配置方案分</w:t>
            </w:r>
          </w:p>
        </w:tc>
        <w:tc>
          <w:tcPr>
            <w:tcW w:w="6155" w:type="dxa"/>
            <w:vAlign w:val="center"/>
          </w:tcPr>
          <w:p w14:paraId="18C2605A">
            <w:pPr>
              <w:pStyle w:val="18"/>
              <w:wordWrap w:val="0"/>
              <w:spacing w:line="360" w:lineRule="exact"/>
              <w:rPr>
                <w:rFonts w:hAnsi="宋体" w:cs="宋体"/>
                <w:b/>
                <w:bCs/>
                <w:color w:val="auto"/>
                <w:sz w:val="21"/>
                <w:highlight w:val="none"/>
              </w:rPr>
            </w:pPr>
            <w:r>
              <w:rPr>
                <w:rFonts w:hint="eastAsia" w:hAnsi="宋体" w:cs="宋体"/>
                <w:color w:val="auto"/>
                <w:kern w:val="2"/>
                <w:sz w:val="21"/>
                <w:highlight w:val="none"/>
              </w:rPr>
              <w:t>由磋商小组根据供应商提供的人员配置方案进行独立评审，</w:t>
            </w:r>
            <w:r>
              <w:rPr>
                <w:rFonts w:hint="eastAsia" w:hAnsi="宋体" w:cs="宋体"/>
                <w:b/>
                <w:bCs/>
                <w:color w:val="auto"/>
                <w:sz w:val="21"/>
                <w:highlight w:val="none"/>
              </w:rPr>
              <w:t>提供的方案内容未达到一档要求的不得分：</w:t>
            </w:r>
          </w:p>
          <w:p w14:paraId="73F716E9">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一档（6分）：供应商提供了人员配置方案，人员数量满足服务要求，对岗位、分工、人员工作进度计划的描述不够完整；</w:t>
            </w:r>
          </w:p>
          <w:p w14:paraId="6936EE04">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二档（9分）：供应商提供了可行的人员配置方案，人员数量满足服务要求，对岗位、分工、人员工作进度计划的描述基本完整；</w:t>
            </w:r>
          </w:p>
          <w:p w14:paraId="7B55F594">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三档（12分）：供应商提供了完善的人员配置方案，人员配备数量满足项目要求，人员岗位分工、工作内容清晰明确，人员工作进度计划合理和绩效考核。</w:t>
            </w:r>
          </w:p>
          <w:p w14:paraId="2BBB1EB6">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四档（15分）：供应商提供了完善的人员配置方案，人员配备数量优于项目要求，人员岗位、分工、工作内容清晰，对人员有明确的绩效考核和奖惩制度，人员工作计划安排合理；针对特殊岗位的作业人员提供相应培训，培训方案具有针对性、可行性。</w:t>
            </w:r>
          </w:p>
        </w:tc>
        <w:tc>
          <w:tcPr>
            <w:tcW w:w="851" w:type="dxa"/>
            <w:vAlign w:val="center"/>
          </w:tcPr>
          <w:p w14:paraId="4495EDFB">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3DA9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4CBBE39">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p>
        </w:tc>
        <w:tc>
          <w:tcPr>
            <w:tcW w:w="1377" w:type="dxa"/>
            <w:vAlign w:val="center"/>
          </w:tcPr>
          <w:p w14:paraId="274D8080">
            <w:pPr>
              <w:widowControl/>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项目业绩分</w:t>
            </w:r>
          </w:p>
        </w:tc>
        <w:tc>
          <w:tcPr>
            <w:tcW w:w="6155" w:type="dxa"/>
          </w:tcPr>
          <w:p w14:paraId="634788A3">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2022年1月1日以来至响应文件提交截止日期止，供应商同类项目的业绩，每提供一份证明材料得2.5分，满分5分。（响应文件中提供合同复印件并加盖供应商电子公章，否则不得分）</w:t>
            </w:r>
          </w:p>
        </w:tc>
        <w:tc>
          <w:tcPr>
            <w:tcW w:w="851" w:type="dxa"/>
            <w:vAlign w:val="center"/>
          </w:tcPr>
          <w:p w14:paraId="4A51C2C2">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6E78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90" w:type="dxa"/>
            <w:gridSpan w:val="4"/>
            <w:vAlign w:val="center"/>
          </w:tcPr>
          <w:p w14:paraId="29FD1E1D">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总得分为以上各项评审因素得分合计</w:t>
            </w:r>
          </w:p>
        </w:tc>
      </w:tr>
    </w:tbl>
    <w:p w14:paraId="32701D2D">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21C0983">
      <w:pPr>
        <w:spacing w:line="400" w:lineRule="exact"/>
        <w:ind w:firstLine="420" w:firstLineChars="200"/>
        <w:rPr>
          <w:rFonts w:ascii="宋体" w:hAnsi="宋体" w:cs="宋体"/>
          <w:color w:val="auto"/>
          <w:highlight w:val="none"/>
        </w:rPr>
      </w:pPr>
    </w:p>
    <w:p w14:paraId="58A5A8FA">
      <w:pPr>
        <w:spacing w:line="400" w:lineRule="exact"/>
        <w:ind w:firstLine="420" w:firstLineChars="200"/>
        <w:rPr>
          <w:rFonts w:ascii="宋体" w:hAnsi="宋体" w:cs="宋体"/>
          <w:color w:val="auto"/>
          <w:highlight w:val="none"/>
        </w:rPr>
      </w:pPr>
    </w:p>
    <w:p w14:paraId="6650561C">
      <w:pPr>
        <w:pStyle w:val="5"/>
        <w:jc w:val="center"/>
        <w:rPr>
          <w:color w:val="auto"/>
          <w:highlight w:val="none"/>
        </w:rPr>
      </w:pPr>
      <w:r>
        <w:rPr>
          <w:color w:val="auto"/>
          <w:highlight w:val="none"/>
        </w:rPr>
        <w:br w:type="page"/>
      </w:r>
    </w:p>
    <w:p w14:paraId="33046177">
      <w:pPr>
        <w:rPr>
          <w:color w:val="auto"/>
          <w:highlight w:val="none"/>
        </w:rPr>
      </w:pPr>
    </w:p>
    <w:p w14:paraId="4A1BDE48">
      <w:pPr>
        <w:rPr>
          <w:color w:val="auto"/>
          <w:highlight w:val="none"/>
        </w:rPr>
      </w:pPr>
    </w:p>
    <w:p w14:paraId="2A2B5802">
      <w:pPr>
        <w:rPr>
          <w:color w:val="auto"/>
          <w:highlight w:val="none"/>
        </w:rPr>
      </w:pPr>
    </w:p>
    <w:p w14:paraId="5BDC1520">
      <w:pPr>
        <w:rPr>
          <w:color w:val="auto"/>
          <w:highlight w:val="none"/>
        </w:rPr>
      </w:pPr>
    </w:p>
    <w:p w14:paraId="252342A5">
      <w:pPr>
        <w:rPr>
          <w:color w:val="auto"/>
          <w:highlight w:val="none"/>
        </w:rPr>
      </w:pPr>
    </w:p>
    <w:p w14:paraId="54C07B7F">
      <w:pPr>
        <w:rPr>
          <w:color w:val="auto"/>
          <w:highlight w:val="none"/>
        </w:rPr>
      </w:pPr>
    </w:p>
    <w:p w14:paraId="774EA2E1">
      <w:pPr>
        <w:rPr>
          <w:color w:val="auto"/>
          <w:highlight w:val="none"/>
        </w:rPr>
      </w:pPr>
    </w:p>
    <w:p w14:paraId="1ECB9996">
      <w:pPr>
        <w:rPr>
          <w:color w:val="auto"/>
          <w:highlight w:val="none"/>
        </w:rPr>
      </w:pPr>
    </w:p>
    <w:p w14:paraId="03CFCF1C">
      <w:pPr>
        <w:rPr>
          <w:color w:val="auto"/>
          <w:highlight w:val="none"/>
        </w:rPr>
      </w:pPr>
    </w:p>
    <w:p w14:paraId="564920D0">
      <w:pPr>
        <w:rPr>
          <w:color w:val="auto"/>
          <w:highlight w:val="none"/>
        </w:rPr>
      </w:pPr>
    </w:p>
    <w:p w14:paraId="4E7CBBE1">
      <w:pPr>
        <w:rPr>
          <w:color w:val="auto"/>
          <w:highlight w:val="none"/>
        </w:rPr>
      </w:pPr>
    </w:p>
    <w:p w14:paraId="22408B4B">
      <w:pPr>
        <w:rPr>
          <w:color w:val="auto"/>
          <w:highlight w:val="none"/>
        </w:rPr>
      </w:pPr>
    </w:p>
    <w:p w14:paraId="212C8CF2">
      <w:pPr>
        <w:rPr>
          <w:color w:val="auto"/>
          <w:highlight w:val="none"/>
        </w:rPr>
      </w:pPr>
    </w:p>
    <w:p w14:paraId="4527EB71">
      <w:pPr>
        <w:pStyle w:val="5"/>
        <w:jc w:val="center"/>
        <w:rPr>
          <w:color w:val="auto"/>
          <w:highlight w:val="none"/>
        </w:rPr>
      </w:pPr>
      <w:bookmarkStart w:id="78" w:name="_Toc3198"/>
      <w:r>
        <w:rPr>
          <w:rFonts w:hint="eastAsia"/>
          <w:color w:val="auto"/>
          <w:highlight w:val="none"/>
        </w:rPr>
        <w:t>第五章 响应文件格式</w:t>
      </w:r>
      <w:bookmarkEnd w:id="78"/>
    </w:p>
    <w:p w14:paraId="27802B7D">
      <w:pPr>
        <w:spacing w:line="240" w:lineRule="atLeast"/>
        <w:rPr>
          <w:rFonts w:ascii="宋体" w:hAnsi="宋体"/>
          <w:b/>
          <w:color w:val="auto"/>
          <w:sz w:val="32"/>
          <w:szCs w:val="32"/>
          <w:highlight w:val="none"/>
        </w:rPr>
      </w:pPr>
    </w:p>
    <w:p w14:paraId="7B11214A">
      <w:pPr>
        <w:spacing w:line="240" w:lineRule="atLeast"/>
        <w:rPr>
          <w:rFonts w:ascii="宋体" w:hAnsi="宋体"/>
          <w:b/>
          <w:color w:val="auto"/>
          <w:sz w:val="32"/>
          <w:szCs w:val="32"/>
          <w:highlight w:val="none"/>
        </w:rPr>
      </w:pPr>
    </w:p>
    <w:p w14:paraId="5B370DA4">
      <w:pPr>
        <w:spacing w:line="240" w:lineRule="atLeast"/>
        <w:rPr>
          <w:rFonts w:ascii="宋体" w:hAnsi="宋体"/>
          <w:b/>
          <w:color w:val="auto"/>
          <w:sz w:val="32"/>
          <w:szCs w:val="32"/>
          <w:highlight w:val="none"/>
        </w:rPr>
      </w:pPr>
    </w:p>
    <w:p w14:paraId="6A132CDC">
      <w:pPr>
        <w:spacing w:line="240" w:lineRule="atLeast"/>
        <w:rPr>
          <w:rFonts w:ascii="宋体" w:hAnsi="宋体"/>
          <w:b/>
          <w:color w:val="auto"/>
          <w:sz w:val="32"/>
          <w:szCs w:val="32"/>
          <w:highlight w:val="none"/>
        </w:rPr>
      </w:pPr>
    </w:p>
    <w:p w14:paraId="7CACDD6B">
      <w:pPr>
        <w:spacing w:line="240" w:lineRule="atLeast"/>
        <w:rPr>
          <w:rFonts w:ascii="宋体" w:hAnsi="宋体"/>
          <w:b/>
          <w:color w:val="auto"/>
          <w:sz w:val="32"/>
          <w:szCs w:val="32"/>
          <w:highlight w:val="none"/>
        </w:rPr>
      </w:pPr>
    </w:p>
    <w:p w14:paraId="0EB7487C">
      <w:pPr>
        <w:spacing w:line="240" w:lineRule="atLeast"/>
        <w:rPr>
          <w:rFonts w:ascii="宋体" w:hAnsi="宋体"/>
          <w:b/>
          <w:color w:val="auto"/>
          <w:sz w:val="32"/>
          <w:szCs w:val="32"/>
          <w:highlight w:val="none"/>
        </w:rPr>
      </w:pPr>
    </w:p>
    <w:p w14:paraId="28648534">
      <w:pPr>
        <w:spacing w:line="240" w:lineRule="atLeast"/>
        <w:rPr>
          <w:rFonts w:ascii="宋体" w:hAnsi="宋体"/>
          <w:b/>
          <w:color w:val="auto"/>
          <w:sz w:val="32"/>
          <w:szCs w:val="32"/>
          <w:highlight w:val="none"/>
        </w:rPr>
      </w:pPr>
    </w:p>
    <w:p w14:paraId="3356F2A9">
      <w:pPr>
        <w:spacing w:line="240" w:lineRule="atLeast"/>
        <w:rPr>
          <w:rFonts w:ascii="宋体" w:hAnsi="宋体"/>
          <w:b/>
          <w:color w:val="auto"/>
          <w:sz w:val="32"/>
          <w:szCs w:val="32"/>
          <w:highlight w:val="none"/>
        </w:rPr>
      </w:pPr>
    </w:p>
    <w:p w14:paraId="29A7FDE9">
      <w:pPr>
        <w:spacing w:line="240" w:lineRule="atLeast"/>
        <w:rPr>
          <w:rFonts w:ascii="宋体" w:hAnsi="宋体"/>
          <w:b/>
          <w:color w:val="auto"/>
          <w:sz w:val="32"/>
          <w:szCs w:val="32"/>
          <w:highlight w:val="none"/>
        </w:rPr>
      </w:pPr>
    </w:p>
    <w:p w14:paraId="2CC4962F">
      <w:pPr>
        <w:spacing w:line="240" w:lineRule="atLeast"/>
        <w:rPr>
          <w:rFonts w:ascii="宋体" w:hAnsi="宋体"/>
          <w:b/>
          <w:color w:val="auto"/>
          <w:sz w:val="32"/>
          <w:szCs w:val="32"/>
          <w:highlight w:val="none"/>
        </w:rPr>
      </w:pPr>
    </w:p>
    <w:p w14:paraId="0CC247F1">
      <w:pPr>
        <w:spacing w:line="240" w:lineRule="atLeast"/>
        <w:rPr>
          <w:rFonts w:ascii="宋体" w:hAnsi="宋体"/>
          <w:b/>
          <w:color w:val="auto"/>
          <w:sz w:val="32"/>
          <w:szCs w:val="32"/>
          <w:highlight w:val="none"/>
        </w:rPr>
      </w:pPr>
    </w:p>
    <w:p w14:paraId="144EAB3D">
      <w:pPr>
        <w:snapToGrid w:val="0"/>
        <w:spacing w:before="50" w:after="50"/>
        <w:outlineLvl w:val="1"/>
        <w:rPr>
          <w:rFonts w:ascii="宋体" w:hAnsi="宋体"/>
          <w:b/>
          <w:bCs/>
          <w:color w:val="auto"/>
          <w:sz w:val="24"/>
          <w:highlight w:val="none"/>
        </w:rPr>
      </w:pPr>
    </w:p>
    <w:p w14:paraId="290C0FF7">
      <w:pPr>
        <w:snapToGrid w:val="0"/>
        <w:spacing w:before="156" w:beforeLines="50" w:after="50"/>
        <w:jc w:val="center"/>
        <w:rPr>
          <w:rFonts w:ascii="仿宋_GB2312" w:hAnsi="仿宋_GB2312" w:eastAsia="仿宋_GB2312" w:cs="仿宋_GB2312"/>
          <w:bCs/>
          <w:color w:val="auto"/>
          <w:sz w:val="32"/>
          <w:szCs w:val="32"/>
          <w:highlight w:val="none"/>
        </w:rPr>
      </w:pPr>
    </w:p>
    <w:p w14:paraId="4ECD312D">
      <w:pPr>
        <w:rPr>
          <w:b/>
          <w:color w:val="auto"/>
          <w:sz w:val="32"/>
          <w:szCs w:val="32"/>
          <w:highlight w:val="none"/>
        </w:rPr>
      </w:pPr>
      <w:bookmarkStart w:id="79" w:name="_Toc35611516"/>
      <w:bookmarkStart w:id="80" w:name="_Toc31723070"/>
      <w:bookmarkStart w:id="81" w:name="_Toc71366186"/>
      <w:bookmarkStart w:id="82" w:name="_Toc31728084"/>
      <w:bookmarkStart w:id="83" w:name="_Toc44229899"/>
      <w:bookmarkStart w:id="84" w:name="_Toc35611438"/>
      <w:r>
        <w:rPr>
          <w:rFonts w:hint="eastAsia"/>
          <w:b/>
          <w:color w:val="auto"/>
          <w:sz w:val="32"/>
          <w:szCs w:val="32"/>
          <w:highlight w:val="none"/>
        </w:rPr>
        <w:br w:type="page"/>
      </w:r>
    </w:p>
    <w:p w14:paraId="30E458E6">
      <w:pPr>
        <w:rPr>
          <w:b/>
          <w:color w:val="auto"/>
          <w:sz w:val="32"/>
          <w:szCs w:val="32"/>
          <w:highlight w:val="none"/>
        </w:rPr>
      </w:pPr>
      <w:r>
        <w:rPr>
          <w:rFonts w:hint="eastAsia"/>
          <w:b/>
          <w:color w:val="auto"/>
          <w:sz w:val="32"/>
          <w:szCs w:val="32"/>
          <w:highlight w:val="none"/>
        </w:rPr>
        <w:t>一、资格证明文件格式</w:t>
      </w:r>
      <w:bookmarkEnd w:id="79"/>
      <w:bookmarkEnd w:id="80"/>
      <w:bookmarkEnd w:id="81"/>
      <w:bookmarkEnd w:id="82"/>
      <w:bookmarkEnd w:id="83"/>
      <w:bookmarkEnd w:id="84"/>
    </w:p>
    <w:p w14:paraId="43334952">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color w:val="auto"/>
          <w:sz w:val="32"/>
          <w:szCs w:val="32"/>
          <w:highlight w:val="none"/>
        </w:rPr>
        <w:t>：</w:t>
      </w:r>
      <w:r>
        <w:rPr>
          <w:rFonts w:hint="eastAsia" w:ascii="宋体" w:hAnsi="宋体"/>
          <w:b/>
          <w:color w:val="auto"/>
          <w:sz w:val="24"/>
          <w:highlight w:val="none"/>
        </w:rPr>
        <w:t xml:space="preserve"> </w:t>
      </w:r>
    </w:p>
    <w:p w14:paraId="2190997F">
      <w:pPr>
        <w:snapToGrid w:val="0"/>
        <w:spacing w:before="156" w:beforeLines="50" w:after="50"/>
        <w:jc w:val="center"/>
        <w:rPr>
          <w:rFonts w:ascii="宋体" w:hAnsi="宋体"/>
          <w:color w:val="auto"/>
          <w:sz w:val="44"/>
          <w:szCs w:val="44"/>
          <w:highlight w:val="none"/>
        </w:rPr>
      </w:pPr>
    </w:p>
    <w:p w14:paraId="435D5449">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6E77425E">
      <w:pPr>
        <w:snapToGrid w:val="0"/>
        <w:spacing w:before="156" w:beforeLines="50" w:after="50"/>
        <w:rPr>
          <w:rFonts w:ascii="宋体" w:hAnsi="宋体"/>
          <w:color w:val="auto"/>
          <w:sz w:val="24"/>
          <w:szCs w:val="20"/>
          <w:highlight w:val="none"/>
        </w:rPr>
      </w:pPr>
    </w:p>
    <w:p w14:paraId="703A05C9">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CFCD0C0">
      <w:pPr>
        <w:snapToGrid w:val="0"/>
        <w:spacing w:before="156" w:beforeLines="50" w:after="50"/>
        <w:rPr>
          <w:rFonts w:ascii="宋体" w:hAnsi="宋体"/>
          <w:bCs/>
          <w:color w:val="auto"/>
          <w:sz w:val="24"/>
          <w:szCs w:val="20"/>
          <w:highlight w:val="none"/>
        </w:rPr>
      </w:pPr>
    </w:p>
    <w:p w14:paraId="09E142C6">
      <w:pPr>
        <w:snapToGrid w:val="0"/>
        <w:spacing w:before="156" w:beforeLines="50" w:after="50"/>
        <w:rPr>
          <w:rFonts w:ascii="宋体" w:hAnsi="宋体"/>
          <w:bCs/>
          <w:color w:val="auto"/>
          <w:sz w:val="24"/>
          <w:szCs w:val="20"/>
          <w:highlight w:val="none"/>
        </w:rPr>
      </w:pPr>
    </w:p>
    <w:p w14:paraId="21CB647F">
      <w:pPr>
        <w:snapToGrid w:val="0"/>
        <w:spacing w:before="156" w:beforeLines="50" w:after="50"/>
        <w:rPr>
          <w:rFonts w:ascii="宋体" w:hAnsi="宋体"/>
          <w:bCs/>
          <w:color w:val="auto"/>
          <w:sz w:val="24"/>
          <w:szCs w:val="20"/>
          <w:highlight w:val="none"/>
        </w:rPr>
      </w:pPr>
    </w:p>
    <w:p w14:paraId="12DB2951">
      <w:pPr>
        <w:snapToGrid w:val="0"/>
        <w:spacing w:before="156" w:beforeLines="50" w:after="50"/>
        <w:rPr>
          <w:rFonts w:ascii="宋体" w:hAnsi="宋体"/>
          <w:bCs/>
          <w:color w:val="auto"/>
          <w:sz w:val="24"/>
          <w:szCs w:val="20"/>
          <w:highlight w:val="none"/>
        </w:rPr>
      </w:pPr>
    </w:p>
    <w:p w14:paraId="7CCCBF58">
      <w:pPr>
        <w:snapToGrid w:val="0"/>
        <w:spacing w:before="156" w:beforeLines="50" w:after="50"/>
        <w:rPr>
          <w:rFonts w:ascii="宋体" w:hAnsi="宋体"/>
          <w:bCs/>
          <w:color w:val="auto"/>
          <w:sz w:val="24"/>
          <w:szCs w:val="20"/>
          <w:highlight w:val="none"/>
        </w:rPr>
      </w:pPr>
    </w:p>
    <w:p w14:paraId="55D598A4">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E4DA736">
      <w:pPr>
        <w:snapToGrid w:val="0"/>
        <w:spacing w:before="156" w:beforeLines="50" w:after="50"/>
        <w:ind w:firstLine="720" w:firstLineChars="225"/>
        <w:rPr>
          <w:rFonts w:ascii="宋体" w:hAnsi="宋体" w:cs="仿宋_GB2312"/>
          <w:bCs/>
          <w:color w:val="auto"/>
          <w:sz w:val="32"/>
          <w:szCs w:val="32"/>
          <w:highlight w:val="none"/>
        </w:rPr>
      </w:pPr>
    </w:p>
    <w:p w14:paraId="0414C871">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C5A5A6A">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14B534D">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1C76CB0">
      <w:pPr>
        <w:snapToGrid w:val="0"/>
        <w:spacing w:before="156" w:beforeLines="50" w:after="50"/>
        <w:ind w:firstLine="720" w:firstLineChars="225"/>
        <w:rPr>
          <w:rFonts w:ascii="宋体" w:hAnsi="宋体" w:cs="仿宋_GB2312"/>
          <w:bCs/>
          <w:color w:val="auto"/>
          <w:sz w:val="32"/>
          <w:szCs w:val="32"/>
          <w:highlight w:val="none"/>
        </w:rPr>
      </w:pPr>
    </w:p>
    <w:p w14:paraId="3AA19339">
      <w:pPr>
        <w:pStyle w:val="9"/>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399D223">
      <w:pPr>
        <w:snapToGrid w:val="0"/>
        <w:spacing w:before="156" w:beforeLines="50" w:after="50"/>
        <w:ind w:firstLine="640" w:firstLineChars="200"/>
        <w:rPr>
          <w:rFonts w:ascii="宋体" w:hAnsi="宋体" w:cs="仿宋_GB2312"/>
          <w:bCs/>
          <w:color w:val="auto"/>
          <w:sz w:val="32"/>
          <w:szCs w:val="32"/>
          <w:highlight w:val="none"/>
        </w:rPr>
      </w:pPr>
    </w:p>
    <w:p w14:paraId="1F1F8027">
      <w:pPr>
        <w:pStyle w:val="9"/>
        <w:snapToGrid w:val="0"/>
        <w:spacing w:before="50" w:after="50"/>
        <w:ind w:firstLine="720" w:firstLineChars="225"/>
        <w:rPr>
          <w:rFonts w:ascii="宋体" w:hAnsi="宋体" w:cs="仿宋_GB2312"/>
          <w:bCs/>
          <w:color w:val="auto"/>
          <w:sz w:val="32"/>
          <w:szCs w:val="32"/>
          <w:highlight w:val="none"/>
        </w:rPr>
      </w:pPr>
    </w:p>
    <w:p w14:paraId="1684202D">
      <w:pPr>
        <w:pStyle w:val="9"/>
        <w:snapToGrid w:val="0"/>
        <w:spacing w:before="50" w:after="50"/>
        <w:ind w:firstLine="720" w:firstLineChars="225"/>
        <w:rPr>
          <w:rFonts w:ascii="宋体" w:hAnsi="宋体" w:cs="仿宋_GB2312"/>
          <w:bCs/>
          <w:color w:val="auto"/>
          <w:sz w:val="32"/>
          <w:szCs w:val="32"/>
          <w:highlight w:val="none"/>
        </w:rPr>
      </w:pPr>
    </w:p>
    <w:p w14:paraId="65D3272D">
      <w:pPr>
        <w:pStyle w:val="9"/>
        <w:snapToGrid w:val="0"/>
        <w:spacing w:before="50" w:after="50"/>
        <w:ind w:firstLine="1280" w:firstLineChars="400"/>
        <w:rPr>
          <w:rFonts w:ascii="宋体" w:hAnsi="宋体" w:cs="仿宋_GB2312"/>
          <w:bCs/>
          <w:color w:val="auto"/>
          <w:sz w:val="32"/>
          <w:szCs w:val="32"/>
          <w:highlight w:val="none"/>
        </w:rPr>
      </w:pPr>
    </w:p>
    <w:p w14:paraId="7092D877">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C873561">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A17B6A8">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AC744DD">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49A9B99C">
      <w:pPr>
        <w:spacing w:line="300" w:lineRule="auto"/>
        <w:rPr>
          <w:rFonts w:ascii="宋体" w:hAnsi="宋体"/>
          <w:color w:val="auto"/>
          <w:szCs w:val="21"/>
          <w:highlight w:val="none"/>
        </w:rPr>
      </w:pPr>
    </w:p>
    <w:p w14:paraId="0F428219">
      <w:pPr>
        <w:spacing w:line="380" w:lineRule="exact"/>
        <w:ind w:left="360"/>
        <w:rPr>
          <w:rFonts w:ascii="宋体" w:hAnsi="宋体"/>
          <w:color w:val="auto"/>
          <w:szCs w:val="21"/>
          <w:highlight w:val="none"/>
        </w:rPr>
      </w:pPr>
    </w:p>
    <w:p w14:paraId="0585A631">
      <w:pPr>
        <w:spacing w:line="380" w:lineRule="exact"/>
        <w:ind w:left="360"/>
        <w:rPr>
          <w:rFonts w:ascii="宋体" w:hAnsi="宋体"/>
          <w:color w:val="auto"/>
          <w:szCs w:val="21"/>
          <w:highlight w:val="none"/>
        </w:rPr>
      </w:pPr>
      <w:r>
        <w:rPr>
          <w:rFonts w:hint="eastAsia" w:ascii="宋体" w:hAnsi="宋体"/>
          <w:color w:val="auto"/>
          <w:szCs w:val="21"/>
          <w:highlight w:val="none"/>
        </w:rPr>
        <w:br w:type="page"/>
      </w:r>
    </w:p>
    <w:p w14:paraId="7345669C">
      <w:pPr>
        <w:spacing w:line="380" w:lineRule="exact"/>
        <w:ind w:left="360"/>
        <w:rPr>
          <w:rFonts w:ascii="宋体" w:hAnsi="宋体"/>
          <w:b/>
          <w:bCs/>
          <w:color w:val="auto"/>
          <w:sz w:val="24"/>
          <w:highlight w:val="none"/>
        </w:rPr>
      </w:pPr>
      <w:r>
        <w:rPr>
          <w:rFonts w:hint="eastAsia" w:ascii="宋体" w:hAnsi="宋体"/>
          <w:b/>
          <w:bCs/>
          <w:color w:val="auto"/>
          <w:szCs w:val="21"/>
          <w:highlight w:val="none"/>
        </w:rPr>
        <w:t xml:space="preserve"> 3.</w:t>
      </w:r>
      <w:r>
        <w:rPr>
          <w:rFonts w:hint="eastAsia" w:ascii="宋体" w:hAnsi="宋体"/>
          <w:b/>
          <w:bCs/>
          <w:color w:val="auto"/>
          <w:sz w:val="24"/>
          <w:highlight w:val="none"/>
        </w:rPr>
        <w:t>北海市政府采购供应商信用承诺函（格式）</w:t>
      </w:r>
    </w:p>
    <w:p w14:paraId="487E7372">
      <w:pPr>
        <w:spacing w:line="380" w:lineRule="exact"/>
        <w:ind w:left="142"/>
        <w:rPr>
          <w:rFonts w:ascii="宋体" w:hAnsi="宋体"/>
          <w:b/>
          <w:bCs/>
          <w:color w:val="auto"/>
          <w:sz w:val="24"/>
          <w:highlight w:val="none"/>
        </w:rPr>
      </w:pPr>
    </w:p>
    <w:p w14:paraId="361FB129">
      <w:pPr>
        <w:spacing w:line="380" w:lineRule="exact"/>
        <w:jc w:val="center"/>
        <w:rPr>
          <w:b/>
          <w:bCs/>
          <w:color w:val="auto"/>
          <w:kern w:val="0"/>
          <w:sz w:val="32"/>
          <w:szCs w:val="32"/>
          <w:highlight w:val="none"/>
        </w:rPr>
      </w:pPr>
      <w:r>
        <w:rPr>
          <w:rFonts w:hint="eastAsia"/>
          <w:b/>
          <w:bCs/>
          <w:color w:val="auto"/>
          <w:kern w:val="0"/>
          <w:sz w:val="32"/>
          <w:szCs w:val="32"/>
          <w:highlight w:val="none"/>
        </w:rPr>
        <w:t>北海市政府采购供应商信用承诺函</w:t>
      </w:r>
    </w:p>
    <w:p w14:paraId="78DC3613">
      <w:pPr>
        <w:spacing w:line="380" w:lineRule="exact"/>
        <w:jc w:val="center"/>
        <w:rPr>
          <w:b/>
          <w:bCs/>
          <w:color w:val="auto"/>
          <w:kern w:val="0"/>
          <w:sz w:val="32"/>
          <w:szCs w:val="32"/>
          <w:highlight w:val="none"/>
        </w:rPr>
      </w:pPr>
    </w:p>
    <w:p w14:paraId="33138258">
      <w:pPr>
        <w:wordWrap w:val="0"/>
        <w:spacing w:line="360" w:lineRule="auto"/>
        <w:rPr>
          <w:color w:val="auto"/>
          <w:kern w:val="0"/>
          <w:sz w:val="24"/>
          <w:highlight w:val="none"/>
        </w:rPr>
      </w:pPr>
      <w:r>
        <w:rPr>
          <w:rFonts w:hint="eastAsia"/>
          <w:color w:val="auto"/>
          <w:kern w:val="0"/>
          <w:sz w:val="24"/>
          <w:highlight w:val="none"/>
        </w:rPr>
        <w:t>致（采购人或采购代理机构）：</w:t>
      </w:r>
    </w:p>
    <w:p w14:paraId="0E7C452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5075EB8B">
      <w:pPr>
        <w:pStyle w:val="27"/>
        <w:ind w:firstLine="210"/>
        <w:rPr>
          <w:color w:val="auto"/>
          <w:highlight w:val="none"/>
        </w:rPr>
      </w:pPr>
    </w:p>
    <w:p w14:paraId="56DA0F6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068EEA4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33BF185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51573F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630E5A3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38A8C70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3DE739F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6AA7B94E">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3F7CD9D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若我单位承诺不实，自愿承担提供虚假材料谋取中标、成交的法律责任。</w:t>
      </w:r>
    </w:p>
    <w:p w14:paraId="33BE44FB">
      <w:pPr>
        <w:snapToGrid w:val="0"/>
        <w:spacing w:line="360" w:lineRule="auto"/>
        <w:jc w:val="left"/>
        <w:rPr>
          <w:rFonts w:ascii="宋体" w:hAnsi="宋体"/>
          <w:color w:val="auto"/>
          <w:sz w:val="24"/>
          <w:highlight w:val="none"/>
        </w:rPr>
      </w:pPr>
    </w:p>
    <w:p w14:paraId="25692149">
      <w:pPr>
        <w:snapToGrid w:val="0"/>
        <w:spacing w:line="360" w:lineRule="auto"/>
        <w:ind w:left="-2" w:leftChars="-1" w:right="-817" w:rightChars="-389"/>
        <w:rPr>
          <w:rFonts w:ascii="宋体" w:hAnsi="宋体" w:cs="宋体"/>
          <w:color w:val="auto"/>
          <w:kern w:val="0"/>
          <w:sz w:val="24"/>
          <w:highlight w:val="none"/>
        </w:rPr>
      </w:pPr>
      <w:r>
        <w:rPr>
          <w:rFonts w:hint="eastAsia" w:ascii="宋体" w:hAnsi="宋体"/>
          <w:color w:val="auto"/>
          <w:sz w:val="24"/>
          <w:highlight w:val="none"/>
        </w:rPr>
        <w:t xml:space="preserve">                        </w:t>
      </w:r>
      <w:r>
        <w:rPr>
          <w:rFonts w:hint="eastAsia" w:ascii="宋体" w:hAnsi="宋体" w:cs="宋体"/>
          <w:color w:val="auto"/>
          <w:kern w:val="0"/>
          <w:sz w:val="24"/>
          <w:highlight w:val="none"/>
        </w:rPr>
        <w:t xml:space="preserve">   法定代表人或者委托代理人（签字或者电子签名）： </w:t>
      </w:r>
    </w:p>
    <w:p w14:paraId="4D2EA7AA">
      <w:pPr>
        <w:snapToGrid w:val="0"/>
        <w:spacing w:line="360" w:lineRule="auto"/>
        <w:ind w:left="-3" w:leftChars="-15" w:right="-817" w:rightChars="-389" w:hanging="28" w:hangingChars="12"/>
        <w:rPr>
          <w:rFonts w:ascii="宋体" w:hAnsi="宋体" w:cs="宋体"/>
          <w:color w:val="auto"/>
          <w:kern w:val="0"/>
          <w:sz w:val="24"/>
          <w:highlight w:val="none"/>
        </w:rPr>
      </w:pPr>
      <w:r>
        <w:rPr>
          <w:rFonts w:hint="eastAsia" w:ascii="宋体" w:hAnsi="宋体" w:cs="宋体"/>
          <w:color w:val="auto"/>
          <w:kern w:val="0"/>
          <w:sz w:val="24"/>
          <w:highlight w:val="none"/>
        </w:rPr>
        <w:t xml:space="preserve">                                    供应商名称（电子签章）：</w:t>
      </w:r>
    </w:p>
    <w:p w14:paraId="11E2FCCD">
      <w:pPr>
        <w:wordWrap w:val="0"/>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日 期： 年 月 日</w:t>
      </w:r>
    </w:p>
    <w:p w14:paraId="4C09085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注：1.供应商须在响应文件中按此模板提供承诺函，未提供视为未实质性响应招标（采购）文件要求，按无效磋商处理。</w:t>
      </w:r>
    </w:p>
    <w:p w14:paraId="11927AA1">
      <w:pPr>
        <w:spacing w:line="320" w:lineRule="exact"/>
        <w:jc w:val="left"/>
        <w:rPr>
          <w:rFonts w:ascii="宋体" w:hAnsi="宋体"/>
          <w:color w:val="auto"/>
          <w:szCs w:val="21"/>
          <w:highlight w:val="none"/>
        </w:rPr>
      </w:pPr>
      <w:r>
        <w:rPr>
          <w:rFonts w:hint="eastAsia" w:ascii="宋体" w:hAnsi="宋体" w:cs="宋体"/>
          <w:color w:val="auto"/>
          <w:kern w:val="0"/>
          <w:sz w:val="24"/>
          <w:highlight w:val="none"/>
        </w:rPr>
        <w:t>2.供应商的法定代表人（其他组织的为负责人）或者委托代理人的签名或盖章应真实、有效，如委托代理人签名或盖章的，应提供“法定代表人授权委托书”。</w:t>
      </w:r>
    </w:p>
    <w:p w14:paraId="3B7737B9">
      <w:pPr>
        <w:spacing w:line="300" w:lineRule="auto"/>
        <w:rPr>
          <w:rFonts w:ascii="宋体" w:hAnsi="宋体"/>
          <w:color w:val="auto"/>
          <w:szCs w:val="21"/>
          <w:highlight w:val="none"/>
        </w:rPr>
      </w:pPr>
    </w:p>
    <w:p w14:paraId="67A187C0">
      <w:pPr>
        <w:spacing w:line="300" w:lineRule="auto"/>
        <w:rPr>
          <w:rFonts w:ascii="宋体" w:hAnsi="宋体"/>
          <w:color w:val="auto"/>
          <w:szCs w:val="21"/>
          <w:highlight w:val="none"/>
        </w:rPr>
      </w:pPr>
    </w:p>
    <w:p w14:paraId="3AE1BEE5">
      <w:pPr>
        <w:spacing w:line="300" w:lineRule="auto"/>
        <w:rPr>
          <w:rFonts w:ascii="宋体" w:hAnsi="宋体"/>
          <w:color w:val="auto"/>
          <w:szCs w:val="21"/>
          <w:highlight w:val="none"/>
        </w:rPr>
      </w:pPr>
    </w:p>
    <w:p w14:paraId="0165317C">
      <w:pPr>
        <w:spacing w:line="300" w:lineRule="auto"/>
        <w:rPr>
          <w:rFonts w:ascii="宋体" w:hAnsi="宋体"/>
          <w:color w:val="auto"/>
          <w:szCs w:val="21"/>
          <w:highlight w:val="none"/>
        </w:rPr>
      </w:pPr>
    </w:p>
    <w:p w14:paraId="222810CE">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color w:val="auto"/>
          <w:szCs w:val="21"/>
          <w:highlight w:val="none"/>
        </w:rPr>
        <w:t>4</w:t>
      </w:r>
      <w:r>
        <w:rPr>
          <w:rFonts w:hint="eastAsia" w:ascii="宋体" w:hAnsi="宋体"/>
          <w:b/>
          <w:color w:val="auto"/>
          <w:sz w:val="24"/>
          <w:highlight w:val="none"/>
        </w:rPr>
        <w:t>.</w:t>
      </w:r>
      <w:r>
        <w:rPr>
          <w:rFonts w:hint="eastAsia" w:ascii="宋体" w:hAnsi="宋体"/>
          <w:b/>
          <w:color w:val="auto"/>
          <w:sz w:val="28"/>
          <w:szCs w:val="28"/>
          <w:highlight w:val="none"/>
        </w:rPr>
        <w:t>供应商直接控股股东信息表</w:t>
      </w:r>
    </w:p>
    <w:p w14:paraId="76196F7F">
      <w:pPr>
        <w:snapToGrid w:val="0"/>
        <w:spacing w:before="50" w:after="156" w:afterLines="50"/>
        <w:jc w:val="center"/>
        <w:rPr>
          <w:rFonts w:ascii="宋体" w:hAnsi="宋体"/>
          <w:b/>
          <w:color w:val="auto"/>
          <w:sz w:val="28"/>
          <w:szCs w:val="28"/>
          <w:highlight w:val="none"/>
        </w:rPr>
      </w:pPr>
    </w:p>
    <w:p w14:paraId="48D75D79">
      <w:pPr>
        <w:snapToGrid w:val="0"/>
        <w:spacing w:before="50" w:after="156"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634729A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29D6A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1BB90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951F0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AD403D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A4471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EBC828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684C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F173BB">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F19CCF">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197CC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5A8E1">
            <w:pPr>
              <w:spacing w:line="360" w:lineRule="auto"/>
              <w:jc w:val="center"/>
              <w:rPr>
                <w:rFonts w:ascii="宋体" w:hAnsi="宋体" w:cs="宋体"/>
                <w:color w:val="auto"/>
                <w:kern w:val="0"/>
                <w:sz w:val="24"/>
                <w:highlight w:val="none"/>
              </w:rPr>
            </w:pPr>
          </w:p>
        </w:tc>
      </w:tr>
      <w:tr w14:paraId="2DF5F7F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E73C4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FFFFC1">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35D09">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51EE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E53E9">
            <w:pPr>
              <w:spacing w:line="360" w:lineRule="auto"/>
              <w:jc w:val="center"/>
              <w:rPr>
                <w:rFonts w:ascii="宋体" w:hAnsi="宋体" w:cs="宋体"/>
                <w:color w:val="auto"/>
                <w:kern w:val="0"/>
                <w:sz w:val="24"/>
                <w:highlight w:val="none"/>
              </w:rPr>
            </w:pPr>
          </w:p>
        </w:tc>
      </w:tr>
      <w:tr w14:paraId="6A2121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37D01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3810FA">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006E2">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4F18E">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F3AC2D">
            <w:pPr>
              <w:spacing w:line="360" w:lineRule="auto"/>
              <w:jc w:val="center"/>
              <w:rPr>
                <w:rFonts w:ascii="宋体" w:hAnsi="宋体" w:cs="宋体"/>
                <w:color w:val="auto"/>
                <w:kern w:val="0"/>
                <w:sz w:val="24"/>
                <w:highlight w:val="none"/>
              </w:rPr>
            </w:pPr>
          </w:p>
        </w:tc>
      </w:tr>
      <w:tr w14:paraId="536ADBA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0190B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1A65A6">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BA539D">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26A4B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A1C42">
            <w:pPr>
              <w:spacing w:line="360" w:lineRule="auto"/>
              <w:jc w:val="center"/>
              <w:rPr>
                <w:rFonts w:ascii="宋体" w:hAnsi="宋体" w:cs="宋体"/>
                <w:color w:val="auto"/>
                <w:kern w:val="0"/>
                <w:sz w:val="24"/>
                <w:highlight w:val="none"/>
              </w:rPr>
            </w:pPr>
          </w:p>
        </w:tc>
      </w:tr>
    </w:tbl>
    <w:p w14:paraId="4579810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15841A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DADE5D">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4914897">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249A822D">
      <w:pPr>
        <w:snapToGrid w:val="0"/>
        <w:spacing w:line="360" w:lineRule="auto"/>
        <w:jc w:val="left"/>
        <w:rPr>
          <w:rFonts w:ascii="宋体" w:hAnsi="宋体"/>
          <w:color w:val="auto"/>
          <w:sz w:val="24"/>
          <w:highlight w:val="none"/>
        </w:rPr>
      </w:pPr>
    </w:p>
    <w:p w14:paraId="5680D076">
      <w:pPr>
        <w:snapToGrid w:val="0"/>
        <w:spacing w:line="360" w:lineRule="auto"/>
        <w:jc w:val="left"/>
        <w:rPr>
          <w:rFonts w:ascii="宋体" w:hAnsi="宋体"/>
          <w:color w:val="auto"/>
          <w:sz w:val="24"/>
          <w:highlight w:val="none"/>
        </w:rPr>
      </w:pPr>
    </w:p>
    <w:p w14:paraId="26CA3016">
      <w:pPr>
        <w:snapToGrid w:val="0"/>
        <w:spacing w:line="360" w:lineRule="auto"/>
        <w:jc w:val="left"/>
        <w:rPr>
          <w:rFonts w:ascii="宋体" w:hAnsi="宋体"/>
          <w:color w:val="auto"/>
          <w:sz w:val="24"/>
          <w:highlight w:val="none"/>
        </w:rPr>
      </w:pPr>
    </w:p>
    <w:p w14:paraId="35A38114">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5C9BA1DF">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599DDE66">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1869C899">
      <w:pPr>
        <w:snapToGrid w:val="0"/>
        <w:jc w:val="center"/>
        <w:rPr>
          <w:rFonts w:ascii="宋体" w:hAnsi="宋体"/>
          <w:b/>
          <w:color w:val="auto"/>
          <w:sz w:val="28"/>
          <w:szCs w:val="28"/>
          <w:highlight w:val="none"/>
        </w:rPr>
      </w:pPr>
    </w:p>
    <w:p w14:paraId="2D414B62">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5.</w:t>
      </w:r>
      <w:r>
        <w:rPr>
          <w:color w:val="auto"/>
          <w:highlight w:val="none"/>
        </w:rPr>
        <w:t xml:space="preserve"> </w:t>
      </w:r>
      <w:r>
        <w:rPr>
          <w:rFonts w:hint="eastAsia" w:ascii="宋体" w:hAnsi="宋体"/>
          <w:b/>
          <w:color w:val="auto"/>
          <w:sz w:val="28"/>
          <w:szCs w:val="28"/>
          <w:highlight w:val="none"/>
        </w:rPr>
        <w:t>供应商直接管理关系信息表</w:t>
      </w:r>
    </w:p>
    <w:p w14:paraId="3CF5B21D">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2DD9F7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BECF4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22172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E0116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07B5F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65478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3CBD4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3532A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E58B9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29B012">
            <w:pPr>
              <w:spacing w:line="360" w:lineRule="auto"/>
              <w:jc w:val="center"/>
              <w:rPr>
                <w:rFonts w:ascii="宋体" w:hAnsi="宋体" w:cs="宋体"/>
                <w:color w:val="auto"/>
                <w:kern w:val="0"/>
                <w:sz w:val="24"/>
                <w:highlight w:val="none"/>
              </w:rPr>
            </w:pPr>
          </w:p>
        </w:tc>
      </w:tr>
      <w:tr w14:paraId="1530CED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A1CD8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55B99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BE772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EE0489">
            <w:pPr>
              <w:spacing w:line="360" w:lineRule="auto"/>
              <w:jc w:val="center"/>
              <w:rPr>
                <w:rFonts w:ascii="宋体" w:hAnsi="宋体" w:cs="宋体"/>
                <w:color w:val="auto"/>
                <w:kern w:val="0"/>
                <w:sz w:val="24"/>
                <w:highlight w:val="none"/>
              </w:rPr>
            </w:pPr>
          </w:p>
        </w:tc>
      </w:tr>
      <w:tr w14:paraId="3084C0D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7CDEF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83363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C3156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18BFD9">
            <w:pPr>
              <w:spacing w:line="360" w:lineRule="auto"/>
              <w:jc w:val="center"/>
              <w:rPr>
                <w:rFonts w:ascii="宋体" w:hAnsi="宋体" w:cs="宋体"/>
                <w:color w:val="auto"/>
                <w:kern w:val="0"/>
                <w:sz w:val="24"/>
                <w:highlight w:val="none"/>
              </w:rPr>
            </w:pPr>
          </w:p>
        </w:tc>
      </w:tr>
      <w:tr w14:paraId="558D850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7169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5A0C2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FF1E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3F1ECE">
            <w:pPr>
              <w:spacing w:line="360" w:lineRule="auto"/>
              <w:jc w:val="center"/>
              <w:rPr>
                <w:rFonts w:ascii="宋体" w:hAnsi="宋体" w:cs="宋体"/>
                <w:color w:val="auto"/>
                <w:kern w:val="0"/>
                <w:sz w:val="24"/>
                <w:highlight w:val="none"/>
              </w:rPr>
            </w:pPr>
          </w:p>
        </w:tc>
      </w:tr>
    </w:tbl>
    <w:p w14:paraId="313610C0">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22D651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28C57A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D0ABCB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1FF79C2B">
      <w:pPr>
        <w:snapToGrid w:val="0"/>
        <w:spacing w:line="360" w:lineRule="auto"/>
        <w:jc w:val="left"/>
        <w:rPr>
          <w:rFonts w:ascii="宋体" w:hAnsi="宋体"/>
          <w:color w:val="auto"/>
          <w:sz w:val="24"/>
          <w:highlight w:val="none"/>
        </w:rPr>
      </w:pPr>
    </w:p>
    <w:p w14:paraId="792EDAAF">
      <w:pPr>
        <w:snapToGrid w:val="0"/>
        <w:spacing w:line="360" w:lineRule="auto"/>
        <w:jc w:val="left"/>
        <w:rPr>
          <w:rFonts w:ascii="宋体" w:hAnsi="宋体"/>
          <w:color w:val="auto"/>
          <w:sz w:val="24"/>
          <w:highlight w:val="none"/>
        </w:rPr>
      </w:pPr>
    </w:p>
    <w:p w14:paraId="15886D34">
      <w:pPr>
        <w:snapToGrid w:val="0"/>
        <w:spacing w:line="360" w:lineRule="auto"/>
        <w:jc w:val="left"/>
        <w:rPr>
          <w:rFonts w:ascii="宋体" w:hAnsi="宋体"/>
          <w:color w:val="auto"/>
          <w:sz w:val="24"/>
          <w:highlight w:val="none"/>
        </w:rPr>
      </w:pPr>
    </w:p>
    <w:p w14:paraId="2DD220A9">
      <w:pPr>
        <w:snapToGrid w:val="0"/>
        <w:spacing w:line="360" w:lineRule="auto"/>
        <w:jc w:val="left"/>
        <w:rPr>
          <w:color w:val="auto"/>
          <w:sz w:val="24"/>
          <w:highlight w:val="none"/>
        </w:rPr>
      </w:pPr>
    </w:p>
    <w:p w14:paraId="713BB2C8">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1A469620">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20F9F9A8">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30EB6611">
      <w:pPr>
        <w:snapToGrid w:val="0"/>
        <w:spacing w:before="156" w:beforeLines="50" w:after="50"/>
        <w:jc w:val="left"/>
        <w:rPr>
          <w:rFonts w:ascii="宋体" w:hAnsi="宋体"/>
          <w:color w:val="auto"/>
          <w:sz w:val="24"/>
          <w:highlight w:val="none"/>
        </w:rPr>
      </w:pPr>
    </w:p>
    <w:p w14:paraId="51B77151">
      <w:pPr>
        <w:spacing w:line="320" w:lineRule="exac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6.竞标声明</w:t>
      </w:r>
    </w:p>
    <w:p w14:paraId="058313C9">
      <w:pPr>
        <w:spacing w:line="320" w:lineRule="exact"/>
        <w:jc w:val="center"/>
        <w:rPr>
          <w:rFonts w:ascii="宋体" w:hAnsi="宋体"/>
          <w:b/>
          <w:color w:val="auto"/>
          <w:sz w:val="32"/>
          <w:szCs w:val="32"/>
          <w:highlight w:val="none"/>
        </w:rPr>
      </w:pPr>
    </w:p>
    <w:p w14:paraId="109AB3F4">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19F65862">
      <w:pPr>
        <w:spacing w:line="320" w:lineRule="exact"/>
        <w:jc w:val="center"/>
        <w:rPr>
          <w:rFonts w:ascii="宋体" w:hAnsi="宋体"/>
          <w:color w:val="auto"/>
          <w:sz w:val="24"/>
          <w:szCs w:val="20"/>
          <w:highlight w:val="none"/>
        </w:rPr>
      </w:pPr>
    </w:p>
    <w:p w14:paraId="1AA958A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DBBE413">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29971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2959C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0A4AA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81E03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4275787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F9B17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6BDB419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57027A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4AAE1D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4B9AC5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157D4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D7376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19A47D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6C3D99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27FCD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BFB783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93F080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224DE8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B7981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6C44B6">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794B3F7">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EC8C6E6">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378339ED">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05200CE">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4F5B228">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00C081C6">
      <w:pPr>
        <w:spacing w:line="360" w:lineRule="auto"/>
        <w:contextualSpacing/>
        <w:jc w:val="left"/>
        <w:rPr>
          <w:rFonts w:ascii="宋体" w:hAnsi="宋体" w:cs="宋体"/>
          <w:color w:val="auto"/>
          <w:szCs w:val="21"/>
          <w:highlight w:val="none"/>
        </w:rPr>
      </w:pPr>
    </w:p>
    <w:p w14:paraId="743F4937">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3AE8BD57">
      <w:pPr>
        <w:spacing w:line="360" w:lineRule="auto"/>
        <w:ind w:firstLine="4320" w:firstLineChars="1800"/>
        <w:contextualSpacing/>
        <w:rPr>
          <w:rFonts w:ascii="宋体" w:hAnsi="宋体" w:cs="宋体"/>
          <w:color w:val="auto"/>
          <w:szCs w:val="21"/>
          <w:highlight w:val="none"/>
          <w:u w:val="single"/>
        </w:rPr>
      </w:pPr>
      <w:r>
        <w:rPr>
          <w:rFonts w:hint="eastAsia" w:ascii="宋体" w:hAnsi="宋体"/>
          <w:color w:val="auto"/>
          <w:sz w:val="24"/>
          <w:highlight w:val="none"/>
        </w:rPr>
        <w:t>供应商名称（电子签章）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0DB48973">
      <w:pPr>
        <w:pStyle w:val="16"/>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sz w:val="24"/>
          <w:highlight w:val="none"/>
        </w:rPr>
        <w:t xml:space="preserve"> 年    月    日</w:t>
      </w:r>
    </w:p>
    <w:p w14:paraId="6209C842">
      <w:pPr>
        <w:pStyle w:val="9"/>
        <w:overflowPunct w:val="0"/>
        <w:spacing w:line="520" w:lineRule="exact"/>
        <w:ind w:firstLine="0"/>
        <w:jc w:val="center"/>
        <w:rPr>
          <w:rFonts w:ascii="微软雅黑" w:hAnsi="微软雅黑" w:eastAsia="微软雅黑" w:cs="微软雅黑"/>
          <w:color w:val="auto"/>
          <w:sz w:val="44"/>
          <w:szCs w:val="44"/>
          <w:highlight w:val="none"/>
        </w:rPr>
      </w:pPr>
      <w:r>
        <w:rPr>
          <w:rFonts w:hint="eastAsia"/>
          <w:color w:val="auto"/>
          <w:sz w:val="24"/>
          <w:highlight w:val="none"/>
        </w:rPr>
        <w:br w:type="page"/>
      </w:r>
      <w:r>
        <w:rPr>
          <w:rFonts w:hint="eastAsia" w:ascii="微软雅黑" w:hAnsi="微软雅黑" w:eastAsia="微软雅黑" w:cs="微软雅黑"/>
          <w:color w:val="auto"/>
          <w:sz w:val="44"/>
          <w:szCs w:val="44"/>
          <w:highlight w:val="none"/>
        </w:rPr>
        <w:t>联合体竞标协议书</w:t>
      </w:r>
    </w:p>
    <w:p w14:paraId="2C5470C2">
      <w:pPr>
        <w:pStyle w:val="9"/>
        <w:overflowPunct w:val="0"/>
        <w:spacing w:line="360" w:lineRule="auto"/>
        <w:ind w:firstLine="0"/>
        <w:rPr>
          <w:rFonts w:ascii="宋体" w:hAnsi="宋体"/>
          <w:color w:val="auto"/>
          <w:sz w:val="24"/>
          <w:szCs w:val="24"/>
          <w:highlight w:val="none"/>
        </w:rPr>
      </w:pPr>
    </w:p>
    <w:p w14:paraId="3E7681B7">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635B2F02">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3C273E49">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88D5933">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1A3DBD5">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36356035">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38B8A566">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1EAE1339">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17242B08">
      <w:pPr>
        <w:pStyle w:val="9"/>
        <w:overflowPunct w:val="0"/>
        <w:spacing w:line="360" w:lineRule="auto"/>
        <w:ind w:firstLineChars="175"/>
        <w:contextualSpacing/>
        <w:rPr>
          <w:rFonts w:ascii="宋体" w:hAnsi="宋体" w:cs="仿宋_GB2312"/>
          <w:color w:val="auto"/>
          <w:sz w:val="24"/>
          <w:szCs w:val="24"/>
          <w:highlight w:val="none"/>
        </w:rPr>
      </w:pPr>
    </w:p>
    <w:p w14:paraId="619383A8">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732EB53F">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1EC1D55">
      <w:pPr>
        <w:pStyle w:val="9"/>
        <w:overflowPunct w:val="0"/>
        <w:spacing w:line="360" w:lineRule="auto"/>
        <w:ind w:firstLine="0"/>
        <w:contextualSpacing/>
        <w:rPr>
          <w:rFonts w:ascii="宋体" w:hAnsi="宋体" w:cs="仿宋_GB2312"/>
          <w:color w:val="auto"/>
          <w:sz w:val="24"/>
          <w:szCs w:val="24"/>
          <w:highlight w:val="none"/>
        </w:rPr>
      </w:pPr>
    </w:p>
    <w:p w14:paraId="3A2E3200">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194107F6">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EDB39A9">
      <w:pPr>
        <w:pStyle w:val="9"/>
        <w:overflowPunct w:val="0"/>
        <w:spacing w:line="360" w:lineRule="auto"/>
        <w:ind w:firstLine="0"/>
        <w:contextualSpacing/>
        <w:rPr>
          <w:rFonts w:ascii="宋体" w:hAnsi="宋体" w:cs="仿宋_GB2312"/>
          <w:color w:val="auto"/>
          <w:sz w:val="24"/>
          <w:szCs w:val="24"/>
          <w:highlight w:val="none"/>
        </w:rPr>
      </w:pPr>
    </w:p>
    <w:p w14:paraId="6B400BAB">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130C81F4">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1E23798">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3E7BA6C6">
      <w:pPr>
        <w:spacing w:line="360" w:lineRule="auto"/>
        <w:ind w:right="480" w:firstLine="240" w:firstLineChars="1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28B9CAA1">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7A9F4E03">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4C80CCE3">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04410DCA">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EBAB262">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6B5A35B0">
      <w:pPr>
        <w:snapToGrid w:val="0"/>
        <w:spacing w:before="156" w:beforeLines="50" w:after="50"/>
        <w:rPr>
          <w:rFonts w:ascii="宋体" w:hAnsi="宋体"/>
          <w:color w:val="auto"/>
          <w:sz w:val="24"/>
          <w:szCs w:val="20"/>
          <w:highlight w:val="none"/>
        </w:rPr>
      </w:pPr>
    </w:p>
    <w:p w14:paraId="7ECA83D7">
      <w:pPr>
        <w:snapToGrid w:val="0"/>
        <w:spacing w:before="156" w:beforeLines="50" w:after="50"/>
        <w:rPr>
          <w:rFonts w:ascii="宋体" w:hAnsi="宋体"/>
          <w:color w:val="auto"/>
          <w:sz w:val="24"/>
          <w:szCs w:val="20"/>
          <w:highlight w:val="none"/>
        </w:rPr>
      </w:pPr>
    </w:p>
    <w:p w14:paraId="3A30C65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C34EAF6">
      <w:pPr>
        <w:snapToGrid w:val="0"/>
        <w:spacing w:before="156" w:beforeLines="50" w:after="50"/>
        <w:rPr>
          <w:rFonts w:ascii="宋体" w:hAnsi="宋体"/>
          <w:bCs/>
          <w:color w:val="auto"/>
          <w:sz w:val="24"/>
          <w:szCs w:val="20"/>
          <w:highlight w:val="none"/>
        </w:rPr>
      </w:pPr>
    </w:p>
    <w:p w14:paraId="1526E1E5">
      <w:pPr>
        <w:snapToGrid w:val="0"/>
        <w:spacing w:before="156" w:beforeLines="50" w:after="50"/>
        <w:rPr>
          <w:rFonts w:ascii="宋体" w:hAnsi="宋体"/>
          <w:bCs/>
          <w:color w:val="auto"/>
          <w:sz w:val="24"/>
          <w:szCs w:val="20"/>
          <w:highlight w:val="none"/>
        </w:rPr>
      </w:pPr>
    </w:p>
    <w:p w14:paraId="0FB4D1DB">
      <w:pPr>
        <w:snapToGrid w:val="0"/>
        <w:spacing w:before="156" w:beforeLines="50" w:after="50"/>
        <w:rPr>
          <w:rFonts w:ascii="宋体" w:hAnsi="宋体"/>
          <w:bCs/>
          <w:color w:val="auto"/>
          <w:sz w:val="24"/>
          <w:szCs w:val="20"/>
          <w:highlight w:val="none"/>
        </w:rPr>
      </w:pPr>
    </w:p>
    <w:p w14:paraId="26E372DC">
      <w:pPr>
        <w:snapToGrid w:val="0"/>
        <w:spacing w:before="156" w:beforeLines="50" w:after="50"/>
        <w:rPr>
          <w:rFonts w:ascii="宋体" w:hAnsi="宋体"/>
          <w:bCs/>
          <w:color w:val="auto"/>
          <w:sz w:val="24"/>
          <w:szCs w:val="20"/>
          <w:highlight w:val="none"/>
        </w:rPr>
      </w:pPr>
    </w:p>
    <w:p w14:paraId="7EBA3384">
      <w:pPr>
        <w:snapToGrid w:val="0"/>
        <w:spacing w:before="156" w:beforeLines="50" w:after="50"/>
        <w:rPr>
          <w:rFonts w:ascii="宋体" w:hAnsi="宋体"/>
          <w:bCs/>
          <w:color w:val="auto"/>
          <w:sz w:val="24"/>
          <w:szCs w:val="20"/>
          <w:highlight w:val="none"/>
        </w:rPr>
      </w:pPr>
    </w:p>
    <w:p w14:paraId="485747BD">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767F001">
      <w:pPr>
        <w:snapToGrid w:val="0"/>
        <w:spacing w:before="156" w:beforeLines="50" w:after="50"/>
        <w:ind w:firstLine="720" w:firstLineChars="225"/>
        <w:rPr>
          <w:rFonts w:ascii="宋体" w:hAnsi="宋体" w:cs="仿宋_GB2312"/>
          <w:bCs/>
          <w:color w:val="auto"/>
          <w:sz w:val="32"/>
          <w:szCs w:val="32"/>
          <w:highlight w:val="none"/>
        </w:rPr>
      </w:pPr>
    </w:p>
    <w:p w14:paraId="496F481B">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D2E034F">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941BCD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9F5BD4C">
      <w:pPr>
        <w:snapToGrid w:val="0"/>
        <w:spacing w:before="156" w:beforeLines="50" w:after="50"/>
        <w:ind w:firstLine="720" w:firstLineChars="225"/>
        <w:rPr>
          <w:rFonts w:ascii="宋体" w:hAnsi="宋体" w:cs="仿宋_GB2312"/>
          <w:bCs/>
          <w:color w:val="auto"/>
          <w:sz w:val="32"/>
          <w:szCs w:val="32"/>
          <w:highlight w:val="none"/>
        </w:rPr>
      </w:pPr>
    </w:p>
    <w:p w14:paraId="136BF3F0">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F7A042C">
      <w:pPr>
        <w:pStyle w:val="9"/>
        <w:snapToGrid w:val="0"/>
        <w:spacing w:before="50" w:after="50"/>
        <w:ind w:firstLine="640" w:firstLineChars="200"/>
        <w:rPr>
          <w:rFonts w:ascii="宋体" w:hAnsi="宋体" w:cs="仿宋_GB2312"/>
          <w:bCs/>
          <w:color w:val="auto"/>
          <w:sz w:val="32"/>
          <w:szCs w:val="32"/>
          <w:highlight w:val="none"/>
        </w:rPr>
      </w:pPr>
    </w:p>
    <w:p w14:paraId="76FED87C">
      <w:pPr>
        <w:pStyle w:val="9"/>
        <w:snapToGrid w:val="0"/>
        <w:spacing w:before="50" w:after="50"/>
        <w:ind w:firstLine="720" w:firstLineChars="225"/>
        <w:rPr>
          <w:rFonts w:ascii="宋体" w:hAnsi="宋体" w:cs="仿宋_GB2312"/>
          <w:bCs/>
          <w:color w:val="auto"/>
          <w:sz w:val="32"/>
          <w:szCs w:val="32"/>
          <w:highlight w:val="none"/>
        </w:rPr>
      </w:pPr>
    </w:p>
    <w:p w14:paraId="29C3F859">
      <w:pPr>
        <w:pStyle w:val="9"/>
        <w:snapToGrid w:val="0"/>
        <w:spacing w:before="50" w:after="50"/>
        <w:ind w:firstLine="0"/>
        <w:rPr>
          <w:rFonts w:ascii="宋体" w:hAnsi="宋体" w:cs="仿宋_GB2312"/>
          <w:bCs/>
          <w:color w:val="auto"/>
          <w:sz w:val="32"/>
          <w:szCs w:val="32"/>
          <w:highlight w:val="none"/>
        </w:rPr>
      </w:pPr>
    </w:p>
    <w:p w14:paraId="5E1B2601">
      <w:pPr>
        <w:pStyle w:val="9"/>
        <w:snapToGrid w:val="0"/>
        <w:spacing w:before="50" w:after="50"/>
        <w:ind w:firstLine="1280" w:firstLineChars="400"/>
        <w:rPr>
          <w:rFonts w:ascii="宋体" w:hAnsi="宋体" w:cs="仿宋_GB2312"/>
          <w:bCs/>
          <w:color w:val="auto"/>
          <w:sz w:val="32"/>
          <w:szCs w:val="32"/>
          <w:highlight w:val="none"/>
        </w:rPr>
      </w:pPr>
    </w:p>
    <w:p w14:paraId="528DCCA1">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4F01548">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96D2800">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5BA44E5B">
      <w:pPr>
        <w:spacing w:line="440" w:lineRule="exact"/>
        <w:jc w:val="center"/>
        <w:rPr>
          <w:rFonts w:ascii="方正小标宋简体" w:hAnsi="方正小标宋简体" w:eastAsia="方正小标宋简体" w:cs="方正小标宋简体"/>
          <w:bCs/>
          <w:color w:val="auto"/>
          <w:sz w:val="32"/>
          <w:szCs w:val="32"/>
          <w:highlight w:val="none"/>
        </w:rPr>
      </w:pPr>
    </w:p>
    <w:p w14:paraId="495EE867">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14:paraId="59068E1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B86A81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7EAF44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单位：元</w:t>
      </w:r>
    </w:p>
    <w:tbl>
      <w:tblPr>
        <w:tblStyle w:val="2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7"/>
        <w:gridCol w:w="1551"/>
        <w:gridCol w:w="1088"/>
        <w:gridCol w:w="1444"/>
        <w:gridCol w:w="1800"/>
        <w:gridCol w:w="669"/>
      </w:tblGrid>
      <w:tr w14:paraId="76D6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BAA7972">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957" w:type="dxa"/>
            <w:tcBorders>
              <w:top w:val="single" w:color="auto" w:sz="4" w:space="0"/>
              <w:left w:val="single" w:color="auto" w:sz="4" w:space="0"/>
              <w:bottom w:val="single" w:color="auto" w:sz="4" w:space="0"/>
              <w:right w:val="single" w:color="auto" w:sz="4" w:space="0"/>
            </w:tcBorders>
            <w:vAlign w:val="center"/>
          </w:tcPr>
          <w:p w14:paraId="5601FDF4">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服务名称</w:t>
            </w:r>
          </w:p>
        </w:tc>
        <w:tc>
          <w:tcPr>
            <w:tcW w:w="1551" w:type="dxa"/>
            <w:tcBorders>
              <w:top w:val="single" w:color="auto" w:sz="4" w:space="0"/>
              <w:left w:val="single" w:color="auto" w:sz="4" w:space="0"/>
              <w:bottom w:val="single" w:color="auto" w:sz="4" w:space="0"/>
              <w:right w:val="single" w:color="auto" w:sz="4" w:space="0"/>
            </w:tcBorders>
            <w:vAlign w:val="center"/>
          </w:tcPr>
          <w:p w14:paraId="25785714">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1088" w:type="dxa"/>
            <w:tcBorders>
              <w:top w:val="single" w:color="auto" w:sz="4" w:space="0"/>
              <w:left w:val="single" w:color="auto" w:sz="4" w:space="0"/>
              <w:bottom w:val="single" w:color="auto" w:sz="4" w:space="0"/>
              <w:right w:val="single" w:color="auto" w:sz="4" w:space="0"/>
            </w:tcBorders>
            <w:vAlign w:val="center"/>
          </w:tcPr>
          <w:p w14:paraId="14B16127">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单位</w:t>
            </w:r>
          </w:p>
        </w:tc>
        <w:tc>
          <w:tcPr>
            <w:tcW w:w="1444" w:type="dxa"/>
            <w:tcBorders>
              <w:top w:val="single" w:color="auto" w:sz="4" w:space="0"/>
              <w:left w:val="single" w:color="auto" w:sz="4" w:space="0"/>
              <w:bottom w:val="single" w:color="auto" w:sz="4" w:space="0"/>
              <w:right w:val="single" w:color="auto" w:sz="4" w:space="0"/>
            </w:tcBorders>
            <w:vAlign w:val="center"/>
          </w:tcPr>
          <w:p w14:paraId="73E8C232">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单价（元）</w:t>
            </w:r>
          </w:p>
        </w:tc>
        <w:tc>
          <w:tcPr>
            <w:tcW w:w="1800" w:type="dxa"/>
            <w:tcBorders>
              <w:top w:val="single" w:color="auto" w:sz="4" w:space="0"/>
              <w:left w:val="single" w:color="auto" w:sz="4" w:space="0"/>
              <w:bottom w:val="single" w:color="auto" w:sz="4" w:space="0"/>
              <w:right w:val="single" w:color="auto" w:sz="4" w:space="0"/>
            </w:tcBorders>
            <w:vAlign w:val="center"/>
          </w:tcPr>
          <w:p w14:paraId="436EFEBC">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单价合计（元）</w:t>
            </w:r>
          </w:p>
        </w:tc>
        <w:tc>
          <w:tcPr>
            <w:tcW w:w="669" w:type="dxa"/>
            <w:tcBorders>
              <w:top w:val="single" w:color="auto" w:sz="4" w:space="0"/>
              <w:left w:val="single" w:color="auto" w:sz="4" w:space="0"/>
              <w:bottom w:val="single" w:color="auto" w:sz="4" w:space="0"/>
              <w:right w:val="single" w:color="auto" w:sz="4" w:space="0"/>
            </w:tcBorders>
            <w:vAlign w:val="center"/>
          </w:tcPr>
          <w:p w14:paraId="142F54D5">
            <w:pPr>
              <w:widowControl/>
              <w:wordWrap w:val="0"/>
              <w:spacing w:line="360" w:lineRule="exact"/>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备注</w:t>
            </w:r>
          </w:p>
        </w:tc>
      </w:tr>
      <w:tr w14:paraId="231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F3226AD">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957" w:type="dxa"/>
            <w:tcBorders>
              <w:top w:val="single" w:color="auto" w:sz="4" w:space="0"/>
              <w:left w:val="single" w:color="auto" w:sz="4" w:space="0"/>
              <w:bottom w:val="single" w:color="auto" w:sz="4" w:space="0"/>
              <w:right w:val="single" w:color="auto" w:sz="4" w:space="0"/>
            </w:tcBorders>
            <w:vAlign w:val="center"/>
          </w:tcPr>
          <w:p w14:paraId="120267E2">
            <w:pPr>
              <w:widowControl/>
              <w:wordWrap w:val="0"/>
              <w:spacing w:line="3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水泥蚝桩拆除</w:t>
            </w:r>
          </w:p>
        </w:tc>
        <w:tc>
          <w:tcPr>
            <w:tcW w:w="1551" w:type="dxa"/>
            <w:tcBorders>
              <w:top w:val="single" w:color="auto" w:sz="4" w:space="0"/>
              <w:left w:val="single" w:color="auto" w:sz="4" w:space="0"/>
              <w:bottom w:val="single" w:color="auto" w:sz="4" w:space="0"/>
              <w:right w:val="single" w:color="auto" w:sz="4" w:space="0"/>
            </w:tcBorders>
            <w:vAlign w:val="center"/>
          </w:tcPr>
          <w:p w14:paraId="015802F3">
            <w:pPr>
              <w:widowControl/>
              <w:wordWrap w:val="0"/>
              <w:spacing w:line="360" w:lineRule="exact"/>
              <w:jc w:val="center"/>
              <w:textAlignment w:val="center"/>
              <w:rPr>
                <w:rFonts w:ascii="宋体" w:hAnsi="宋体" w:cs="宋体"/>
                <w:color w:val="auto"/>
                <w:kern w:val="0"/>
                <w:sz w:val="24"/>
                <w:highlight w:val="none"/>
                <w:lang w:bidi="ar"/>
              </w:rPr>
            </w:pPr>
          </w:p>
        </w:tc>
        <w:tc>
          <w:tcPr>
            <w:tcW w:w="1088" w:type="dxa"/>
            <w:tcBorders>
              <w:top w:val="single" w:color="auto" w:sz="4" w:space="0"/>
              <w:left w:val="single" w:color="auto" w:sz="4" w:space="0"/>
              <w:bottom w:val="single" w:color="auto" w:sz="4" w:space="0"/>
              <w:right w:val="single" w:color="auto" w:sz="4" w:space="0"/>
            </w:tcBorders>
            <w:vAlign w:val="center"/>
          </w:tcPr>
          <w:p w14:paraId="2875E072">
            <w:pPr>
              <w:widowControl/>
              <w:wordWrap w:val="0"/>
              <w:spacing w:line="360" w:lineRule="exact"/>
              <w:jc w:val="center"/>
              <w:textAlignment w:val="center"/>
              <w:rPr>
                <w:rFonts w:ascii="宋体" w:hAnsi="宋体" w:cs="宋体"/>
                <w:color w:val="auto"/>
                <w:kern w:val="0"/>
                <w:sz w:val="24"/>
                <w:highlight w:val="none"/>
                <w:lang w:bidi="ar"/>
              </w:rPr>
            </w:pPr>
          </w:p>
        </w:tc>
        <w:tc>
          <w:tcPr>
            <w:tcW w:w="1444" w:type="dxa"/>
            <w:tcBorders>
              <w:top w:val="single" w:color="auto" w:sz="4" w:space="0"/>
              <w:left w:val="single" w:color="auto" w:sz="4" w:space="0"/>
              <w:bottom w:val="single" w:color="auto" w:sz="4" w:space="0"/>
              <w:right w:val="single" w:color="auto" w:sz="4" w:space="0"/>
            </w:tcBorders>
            <w:vAlign w:val="center"/>
          </w:tcPr>
          <w:p w14:paraId="4D3049C9">
            <w:pPr>
              <w:widowControl/>
              <w:wordWrap w:val="0"/>
              <w:spacing w:line="360" w:lineRule="exact"/>
              <w:jc w:val="center"/>
              <w:textAlignment w:val="center"/>
              <w:rPr>
                <w:rFonts w:ascii="宋体" w:hAnsi="宋体" w:cs="宋体"/>
                <w:color w:val="auto"/>
                <w:kern w:val="0"/>
                <w:sz w:val="24"/>
                <w:highlight w:val="none"/>
                <w:lang w:bidi="ar"/>
              </w:rPr>
            </w:pPr>
          </w:p>
        </w:tc>
        <w:tc>
          <w:tcPr>
            <w:tcW w:w="1800" w:type="dxa"/>
            <w:tcBorders>
              <w:top w:val="single" w:color="auto" w:sz="4" w:space="0"/>
              <w:left w:val="single" w:color="auto" w:sz="4" w:space="0"/>
              <w:bottom w:val="single" w:color="auto" w:sz="4" w:space="0"/>
              <w:right w:val="single" w:color="auto" w:sz="4" w:space="0"/>
            </w:tcBorders>
            <w:vAlign w:val="center"/>
          </w:tcPr>
          <w:p w14:paraId="508B773A">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1169CE14">
            <w:pPr>
              <w:wordWrap w:val="0"/>
              <w:spacing w:line="360" w:lineRule="exact"/>
              <w:jc w:val="center"/>
              <w:rPr>
                <w:rFonts w:ascii="宋体" w:hAnsi="宋体" w:cs="宋体"/>
                <w:color w:val="auto"/>
                <w:sz w:val="24"/>
                <w:highlight w:val="none"/>
              </w:rPr>
            </w:pPr>
          </w:p>
        </w:tc>
      </w:tr>
      <w:tr w14:paraId="5FD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8186CD1">
            <w:pPr>
              <w:widowControl/>
              <w:wordWrap w:val="0"/>
              <w:spacing w:line="3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957" w:type="dxa"/>
            <w:tcBorders>
              <w:top w:val="single" w:color="auto" w:sz="4" w:space="0"/>
              <w:left w:val="single" w:color="auto" w:sz="4" w:space="0"/>
              <w:bottom w:val="single" w:color="auto" w:sz="4" w:space="0"/>
              <w:right w:val="single" w:color="auto" w:sz="4" w:space="0"/>
            </w:tcBorders>
            <w:vAlign w:val="center"/>
          </w:tcPr>
          <w:p w14:paraId="164DF3D2">
            <w:pPr>
              <w:widowControl/>
              <w:wordWrap w:val="0"/>
              <w:spacing w:line="3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蚝排及附着物拆除</w:t>
            </w:r>
          </w:p>
        </w:tc>
        <w:tc>
          <w:tcPr>
            <w:tcW w:w="1551" w:type="dxa"/>
            <w:tcBorders>
              <w:top w:val="single" w:color="auto" w:sz="4" w:space="0"/>
              <w:left w:val="single" w:color="auto" w:sz="4" w:space="0"/>
              <w:bottom w:val="single" w:color="auto" w:sz="4" w:space="0"/>
              <w:right w:val="single" w:color="auto" w:sz="4" w:space="0"/>
            </w:tcBorders>
            <w:vAlign w:val="center"/>
          </w:tcPr>
          <w:p w14:paraId="5914CD81">
            <w:pPr>
              <w:widowControl/>
              <w:wordWrap w:val="0"/>
              <w:spacing w:line="360" w:lineRule="exact"/>
              <w:jc w:val="center"/>
              <w:textAlignment w:val="center"/>
              <w:rPr>
                <w:rFonts w:ascii="宋体" w:hAnsi="宋体" w:cs="宋体"/>
                <w:color w:val="auto"/>
                <w:kern w:val="0"/>
                <w:sz w:val="24"/>
                <w:highlight w:val="none"/>
                <w:lang w:bidi="ar"/>
              </w:rPr>
            </w:pPr>
          </w:p>
        </w:tc>
        <w:tc>
          <w:tcPr>
            <w:tcW w:w="1088" w:type="dxa"/>
            <w:tcBorders>
              <w:top w:val="single" w:color="auto" w:sz="4" w:space="0"/>
              <w:left w:val="single" w:color="auto" w:sz="4" w:space="0"/>
              <w:bottom w:val="single" w:color="auto" w:sz="4" w:space="0"/>
              <w:right w:val="single" w:color="auto" w:sz="4" w:space="0"/>
            </w:tcBorders>
            <w:vAlign w:val="center"/>
          </w:tcPr>
          <w:p w14:paraId="1E20FAE4">
            <w:pPr>
              <w:widowControl/>
              <w:wordWrap w:val="0"/>
              <w:spacing w:line="360" w:lineRule="exact"/>
              <w:jc w:val="center"/>
              <w:textAlignment w:val="center"/>
              <w:rPr>
                <w:rFonts w:ascii="宋体" w:hAnsi="宋体" w:cs="宋体"/>
                <w:color w:val="auto"/>
                <w:kern w:val="0"/>
                <w:sz w:val="24"/>
                <w:highlight w:val="none"/>
                <w:lang w:bidi="ar"/>
              </w:rPr>
            </w:pPr>
          </w:p>
        </w:tc>
        <w:tc>
          <w:tcPr>
            <w:tcW w:w="1444" w:type="dxa"/>
            <w:tcBorders>
              <w:top w:val="single" w:color="auto" w:sz="4" w:space="0"/>
              <w:left w:val="single" w:color="auto" w:sz="4" w:space="0"/>
              <w:bottom w:val="single" w:color="auto" w:sz="4" w:space="0"/>
              <w:right w:val="single" w:color="auto" w:sz="4" w:space="0"/>
            </w:tcBorders>
            <w:vAlign w:val="center"/>
          </w:tcPr>
          <w:p w14:paraId="2B567BEB">
            <w:pPr>
              <w:widowControl/>
              <w:wordWrap w:val="0"/>
              <w:spacing w:line="360" w:lineRule="exact"/>
              <w:jc w:val="center"/>
              <w:textAlignment w:val="center"/>
              <w:rPr>
                <w:rFonts w:ascii="宋体" w:hAnsi="宋体" w:cs="宋体"/>
                <w:color w:val="auto"/>
                <w:kern w:val="0"/>
                <w:sz w:val="24"/>
                <w:highlight w:val="none"/>
                <w:lang w:bidi="ar"/>
              </w:rPr>
            </w:pPr>
          </w:p>
        </w:tc>
        <w:tc>
          <w:tcPr>
            <w:tcW w:w="1800" w:type="dxa"/>
            <w:tcBorders>
              <w:top w:val="single" w:color="auto" w:sz="4" w:space="0"/>
              <w:left w:val="single" w:color="auto" w:sz="4" w:space="0"/>
              <w:bottom w:val="single" w:color="auto" w:sz="4" w:space="0"/>
              <w:right w:val="single" w:color="auto" w:sz="4" w:space="0"/>
            </w:tcBorders>
            <w:vAlign w:val="center"/>
          </w:tcPr>
          <w:p w14:paraId="32B94EB6">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51C626F8">
            <w:pPr>
              <w:wordWrap w:val="0"/>
              <w:spacing w:line="360" w:lineRule="exact"/>
              <w:jc w:val="center"/>
              <w:rPr>
                <w:rFonts w:ascii="宋体" w:hAnsi="宋体" w:cs="宋体"/>
                <w:color w:val="auto"/>
                <w:sz w:val="24"/>
                <w:highlight w:val="none"/>
              </w:rPr>
            </w:pPr>
          </w:p>
        </w:tc>
      </w:tr>
      <w:tr w14:paraId="119F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2D00BE6">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957" w:type="dxa"/>
            <w:tcBorders>
              <w:top w:val="single" w:color="auto" w:sz="4" w:space="0"/>
              <w:left w:val="single" w:color="auto" w:sz="4" w:space="0"/>
              <w:bottom w:val="single" w:color="auto" w:sz="4" w:space="0"/>
              <w:right w:val="single" w:color="auto" w:sz="4" w:space="0"/>
            </w:tcBorders>
            <w:vAlign w:val="center"/>
          </w:tcPr>
          <w:p w14:paraId="42654741">
            <w:pPr>
              <w:widowControl/>
              <w:wordWrap w:val="0"/>
              <w:spacing w:line="3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废弃蚝堆拆除</w:t>
            </w:r>
          </w:p>
        </w:tc>
        <w:tc>
          <w:tcPr>
            <w:tcW w:w="1551" w:type="dxa"/>
            <w:tcBorders>
              <w:top w:val="single" w:color="auto" w:sz="4" w:space="0"/>
              <w:left w:val="single" w:color="auto" w:sz="4" w:space="0"/>
              <w:bottom w:val="single" w:color="auto" w:sz="4" w:space="0"/>
              <w:right w:val="single" w:color="auto" w:sz="4" w:space="0"/>
            </w:tcBorders>
            <w:vAlign w:val="center"/>
          </w:tcPr>
          <w:p w14:paraId="426B5424">
            <w:pPr>
              <w:widowControl/>
              <w:wordWrap w:val="0"/>
              <w:spacing w:line="360" w:lineRule="exact"/>
              <w:jc w:val="center"/>
              <w:textAlignment w:val="center"/>
              <w:rPr>
                <w:rFonts w:ascii="宋体" w:hAnsi="宋体" w:cs="宋体"/>
                <w:color w:val="auto"/>
                <w:kern w:val="0"/>
                <w:sz w:val="24"/>
                <w:highlight w:val="none"/>
                <w:lang w:bidi="ar"/>
              </w:rPr>
            </w:pPr>
          </w:p>
        </w:tc>
        <w:tc>
          <w:tcPr>
            <w:tcW w:w="1088" w:type="dxa"/>
            <w:tcBorders>
              <w:top w:val="single" w:color="auto" w:sz="4" w:space="0"/>
              <w:left w:val="single" w:color="auto" w:sz="4" w:space="0"/>
              <w:bottom w:val="single" w:color="auto" w:sz="4" w:space="0"/>
              <w:right w:val="single" w:color="auto" w:sz="4" w:space="0"/>
            </w:tcBorders>
            <w:vAlign w:val="center"/>
          </w:tcPr>
          <w:p w14:paraId="2A87C684">
            <w:pPr>
              <w:widowControl/>
              <w:wordWrap w:val="0"/>
              <w:spacing w:line="360" w:lineRule="exact"/>
              <w:jc w:val="center"/>
              <w:textAlignment w:val="center"/>
              <w:rPr>
                <w:rFonts w:ascii="宋体" w:hAnsi="宋体" w:cs="宋体"/>
                <w:color w:val="auto"/>
                <w:kern w:val="0"/>
                <w:sz w:val="24"/>
                <w:highlight w:val="none"/>
                <w:lang w:bidi="ar"/>
              </w:rPr>
            </w:pPr>
          </w:p>
        </w:tc>
        <w:tc>
          <w:tcPr>
            <w:tcW w:w="1444" w:type="dxa"/>
            <w:tcBorders>
              <w:top w:val="single" w:color="auto" w:sz="4" w:space="0"/>
              <w:left w:val="single" w:color="auto" w:sz="4" w:space="0"/>
              <w:bottom w:val="single" w:color="auto" w:sz="4" w:space="0"/>
              <w:right w:val="single" w:color="auto" w:sz="4" w:space="0"/>
            </w:tcBorders>
            <w:vAlign w:val="center"/>
          </w:tcPr>
          <w:p w14:paraId="35D77CD6">
            <w:pPr>
              <w:widowControl/>
              <w:wordWrap w:val="0"/>
              <w:spacing w:line="360" w:lineRule="exact"/>
              <w:jc w:val="center"/>
              <w:textAlignment w:val="center"/>
              <w:rPr>
                <w:rFonts w:ascii="宋体" w:hAnsi="宋体" w:cs="宋体"/>
                <w:color w:val="auto"/>
                <w:kern w:val="0"/>
                <w:sz w:val="24"/>
                <w:highlight w:val="none"/>
                <w:lang w:bidi="ar"/>
              </w:rPr>
            </w:pPr>
          </w:p>
        </w:tc>
        <w:tc>
          <w:tcPr>
            <w:tcW w:w="1800" w:type="dxa"/>
            <w:tcBorders>
              <w:top w:val="single" w:color="auto" w:sz="4" w:space="0"/>
              <w:left w:val="single" w:color="auto" w:sz="4" w:space="0"/>
              <w:bottom w:val="single" w:color="auto" w:sz="4" w:space="0"/>
              <w:right w:val="single" w:color="auto" w:sz="4" w:space="0"/>
            </w:tcBorders>
            <w:vAlign w:val="center"/>
          </w:tcPr>
          <w:p w14:paraId="26DCF124">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051BABED">
            <w:pPr>
              <w:wordWrap w:val="0"/>
              <w:spacing w:line="360" w:lineRule="exact"/>
              <w:jc w:val="center"/>
              <w:rPr>
                <w:rFonts w:ascii="宋体" w:hAnsi="宋体" w:cs="宋体"/>
                <w:color w:val="auto"/>
                <w:sz w:val="24"/>
                <w:highlight w:val="none"/>
              </w:rPr>
            </w:pPr>
          </w:p>
        </w:tc>
      </w:tr>
      <w:tr w14:paraId="647F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A168813">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957" w:type="dxa"/>
            <w:tcBorders>
              <w:top w:val="single" w:color="auto" w:sz="4" w:space="0"/>
              <w:left w:val="single" w:color="auto" w:sz="4" w:space="0"/>
              <w:bottom w:val="single" w:color="auto" w:sz="4" w:space="0"/>
              <w:right w:val="single" w:color="auto" w:sz="4" w:space="0"/>
            </w:tcBorders>
            <w:vAlign w:val="center"/>
          </w:tcPr>
          <w:p w14:paraId="3D6F089C">
            <w:pPr>
              <w:widowControl/>
              <w:wordWrap w:val="0"/>
              <w:spacing w:line="36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渔箔拆除</w:t>
            </w:r>
          </w:p>
        </w:tc>
        <w:tc>
          <w:tcPr>
            <w:tcW w:w="1551" w:type="dxa"/>
            <w:tcBorders>
              <w:top w:val="single" w:color="auto" w:sz="4" w:space="0"/>
              <w:left w:val="single" w:color="auto" w:sz="4" w:space="0"/>
              <w:bottom w:val="single" w:color="auto" w:sz="4" w:space="0"/>
              <w:right w:val="single" w:color="auto" w:sz="4" w:space="0"/>
            </w:tcBorders>
            <w:vAlign w:val="center"/>
          </w:tcPr>
          <w:p w14:paraId="67AA1BFD">
            <w:pPr>
              <w:widowControl/>
              <w:wordWrap w:val="0"/>
              <w:spacing w:line="360" w:lineRule="exact"/>
              <w:jc w:val="center"/>
              <w:textAlignment w:val="center"/>
              <w:rPr>
                <w:rFonts w:ascii="宋体" w:hAnsi="宋体" w:cs="宋体"/>
                <w:color w:val="auto"/>
                <w:kern w:val="0"/>
                <w:sz w:val="24"/>
                <w:highlight w:val="none"/>
                <w:lang w:bidi="ar"/>
              </w:rPr>
            </w:pPr>
          </w:p>
        </w:tc>
        <w:tc>
          <w:tcPr>
            <w:tcW w:w="1088" w:type="dxa"/>
            <w:tcBorders>
              <w:top w:val="single" w:color="auto" w:sz="4" w:space="0"/>
              <w:left w:val="single" w:color="auto" w:sz="4" w:space="0"/>
              <w:bottom w:val="single" w:color="auto" w:sz="4" w:space="0"/>
              <w:right w:val="single" w:color="auto" w:sz="4" w:space="0"/>
            </w:tcBorders>
            <w:vAlign w:val="center"/>
          </w:tcPr>
          <w:p w14:paraId="0400B884">
            <w:pPr>
              <w:widowControl/>
              <w:wordWrap w:val="0"/>
              <w:spacing w:line="360" w:lineRule="exact"/>
              <w:jc w:val="center"/>
              <w:textAlignment w:val="center"/>
              <w:rPr>
                <w:rFonts w:ascii="宋体" w:hAnsi="宋体" w:cs="宋体"/>
                <w:color w:val="auto"/>
                <w:kern w:val="0"/>
                <w:sz w:val="24"/>
                <w:highlight w:val="none"/>
                <w:lang w:bidi="ar"/>
              </w:rPr>
            </w:pPr>
          </w:p>
        </w:tc>
        <w:tc>
          <w:tcPr>
            <w:tcW w:w="1444" w:type="dxa"/>
            <w:tcBorders>
              <w:top w:val="single" w:color="auto" w:sz="4" w:space="0"/>
              <w:left w:val="single" w:color="auto" w:sz="4" w:space="0"/>
              <w:bottom w:val="single" w:color="auto" w:sz="4" w:space="0"/>
              <w:right w:val="single" w:color="auto" w:sz="4" w:space="0"/>
            </w:tcBorders>
            <w:vAlign w:val="center"/>
          </w:tcPr>
          <w:p w14:paraId="2AB3603E">
            <w:pPr>
              <w:widowControl/>
              <w:wordWrap w:val="0"/>
              <w:spacing w:line="360" w:lineRule="exact"/>
              <w:jc w:val="center"/>
              <w:textAlignment w:val="center"/>
              <w:rPr>
                <w:rFonts w:ascii="宋体" w:hAnsi="宋体" w:cs="宋体"/>
                <w:color w:val="auto"/>
                <w:kern w:val="0"/>
                <w:sz w:val="24"/>
                <w:highlight w:val="none"/>
                <w:lang w:bidi="ar"/>
              </w:rPr>
            </w:pPr>
          </w:p>
        </w:tc>
        <w:tc>
          <w:tcPr>
            <w:tcW w:w="1800" w:type="dxa"/>
            <w:tcBorders>
              <w:top w:val="single" w:color="auto" w:sz="4" w:space="0"/>
              <w:left w:val="single" w:color="auto" w:sz="4" w:space="0"/>
              <w:bottom w:val="single" w:color="auto" w:sz="4" w:space="0"/>
              <w:right w:val="single" w:color="auto" w:sz="4" w:space="0"/>
            </w:tcBorders>
            <w:vAlign w:val="center"/>
          </w:tcPr>
          <w:p w14:paraId="3E7FFE85">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4F53FF8B">
            <w:pPr>
              <w:wordWrap w:val="0"/>
              <w:spacing w:line="360" w:lineRule="exact"/>
              <w:jc w:val="center"/>
              <w:rPr>
                <w:rFonts w:ascii="宋体" w:hAnsi="宋体" w:cs="宋体"/>
                <w:color w:val="auto"/>
                <w:sz w:val="24"/>
                <w:highlight w:val="none"/>
              </w:rPr>
            </w:pPr>
          </w:p>
        </w:tc>
      </w:tr>
      <w:tr w14:paraId="7DD8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5330451F">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磋商总报价（人民币）：</w:t>
            </w:r>
            <w:r>
              <w:rPr>
                <w:rFonts w:hint="eastAsia" w:ascii="宋体" w:hAnsi="宋体" w:cs="宋体"/>
                <w:b/>
                <w:bCs/>
                <w:color w:val="auto"/>
                <w:sz w:val="24"/>
                <w:highlight w:val="none"/>
                <w:u w:val="single"/>
              </w:rPr>
              <w:t xml:space="preserve">（大写）                 （小写）             </w:t>
            </w:r>
          </w:p>
        </w:tc>
      </w:tr>
      <w:tr w14:paraId="4211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769EB851">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合同履行期限：</w:t>
            </w:r>
          </w:p>
        </w:tc>
      </w:tr>
    </w:tbl>
    <w:p w14:paraId="42C79116">
      <w:pPr>
        <w:spacing w:line="400" w:lineRule="exact"/>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7D15CF9B">
      <w:pPr>
        <w:spacing w:line="400" w:lineRule="exact"/>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48CA6C9D">
      <w:pPr>
        <w:spacing w:line="400" w:lineRule="exact"/>
        <w:ind w:firstLine="420" w:firstLineChars="200"/>
        <w:contextualSpacing/>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18B58DE4">
      <w:pPr>
        <w:spacing w:line="400" w:lineRule="exact"/>
        <w:ind w:firstLine="422" w:firstLineChars="200"/>
        <w:contextualSpacing/>
        <w:rPr>
          <w:rFonts w:ascii="宋体" w:hAnsi="宋体" w:cs="仿宋_GB2312"/>
          <w:b/>
          <w:color w:val="auto"/>
          <w:spacing w:val="-6"/>
          <w:szCs w:val="21"/>
          <w:highlight w:val="none"/>
        </w:rPr>
      </w:pPr>
      <w:r>
        <w:rPr>
          <w:rFonts w:hint="eastAsia" w:ascii="宋体" w:hAnsi="宋体" w:cs="仿宋_GB2312"/>
          <w:b/>
          <w:color w:val="auto"/>
          <w:szCs w:val="21"/>
          <w:highlight w:val="none"/>
        </w:rPr>
        <w:t>3.供应商应仔细核对单价与数量的合计值，</w:t>
      </w:r>
      <w:r>
        <w:rPr>
          <w:rFonts w:hint="eastAsia" w:ascii="宋体" w:hAnsi="宋体" w:cs="仿宋_GB2312"/>
          <w:b/>
          <w:color w:val="auto"/>
          <w:szCs w:val="21"/>
          <w:highlight w:val="none"/>
        </w:rPr>
        <w:t>磋商报价超过采购预算或单价限价的，按无效磋商处理。</w:t>
      </w:r>
    </w:p>
    <w:p w14:paraId="155B5E9E">
      <w:pPr>
        <w:spacing w:line="360" w:lineRule="auto"/>
        <w:ind w:right="-817" w:rightChars="-389" w:firstLine="2640" w:firstLineChars="1100"/>
        <w:contextualSpacing/>
        <w:rPr>
          <w:rFonts w:ascii="宋体" w:hAnsi="宋体" w:cs="仿宋_GB2312"/>
          <w:color w:val="auto"/>
          <w:sz w:val="24"/>
          <w:highlight w:val="none"/>
        </w:rPr>
      </w:pPr>
    </w:p>
    <w:p w14:paraId="6D49A36B">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0F3FC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D0E6B2B">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7D321B19">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06467D0E">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59383603">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5C7CE635">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E986648">
      <w:pPr>
        <w:snapToGrid w:val="0"/>
        <w:spacing w:before="156" w:beforeLines="50" w:after="50"/>
        <w:rPr>
          <w:rFonts w:ascii="宋体" w:hAnsi="宋体"/>
          <w:color w:val="auto"/>
          <w:sz w:val="24"/>
          <w:szCs w:val="20"/>
          <w:highlight w:val="none"/>
        </w:rPr>
      </w:pPr>
    </w:p>
    <w:p w14:paraId="7798A8A0">
      <w:pPr>
        <w:snapToGrid w:val="0"/>
        <w:spacing w:before="156" w:beforeLines="50" w:after="50"/>
        <w:rPr>
          <w:rFonts w:ascii="宋体" w:hAnsi="宋体"/>
          <w:color w:val="auto"/>
          <w:sz w:val="24"/>
          <w:szCs w:val="20"/>
          <w:highlight w:val="none"/>
        </w:rPr>
      </w:pPr>
    </w:p>
    <w:p w14:paraId="368A057A">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00DCD4">
      <w:pPr>
        <w:snapToGrid w:val="0"/>
        <w:spacing w:before="156" w:beforeLines="50" w:after="50"/>
        <w:rPr>
          <w:rFonts w:ascii="宋体" w:hAnsi="宋体"/>
          <w:bCs/>
          <w:color w:val="auto"/>
          <w:sz w:val="24"/>
          <w:szCs w:val="20"/>
          <w:highlight w:val="none"/>
        </w:rPr>
      </w:pPr>
    </w:p>
    <w:p w14:paraId="0424A41C">
      <w:pPr>
        <w:snapToGrid w:val="0"/>
        <w:spacing w:before="156" w:beforeLines="50" w:after="50"/>
        <w:rPr>
          <w:rFonts w:ascii="宋体" w:hAnsi="宋体"/>
          <w:bCs/>
          <w:color w:val="auto"/>
          <w:sz w:val="24"/>
          <w:szCs w:val="20"/>
          <w:highlight w:val="none"/>
        </w:rPr>
      </w:pPr>
    </w:p>
    <w:p w14:paraId="0CB879A7">
      <w:pPr>
        <w:snapToGrid w:val="0"/>
        <w:spacing w:before="156" w:beforeLines="50" w:after="50"/>
        <w:rPr>
          <w:rFonts w:ascii="宋体" w:hAnsi="宋体"/>
          <w:bCs/>
          <w:color w:val="auto"/>
          <w:sz w:val="24"/>
          <w:szCs w:val="20"/>
          <w:highlight w:val="none"/>
        </w:rPr>
      </w:pPr>
    </w:p>
    <w:p w14:paraId="1C1FA6FB">
      <w:pPr>
        <w:snapToGrid w:val="0"/>
        <w:spacing w:before="156" w:beforeLines="50" w:after="50"/>
        <w:rPr>
          <w:rFonts w:ascii="宋体" w:hAnsi="宋体"/>
          <w:bCs/>
          <w:color w:val="auto"/>
          <w:sz w:val="24"/>
          <w:szCs w:val="20"/>
          <w:highlight w:val="none"/>
        </w:rPr>
      </w:pPr>
    </w:p>
    <w:p w14:paraId="05559E37">
      <w:pPr>
        <w:snapToGrid w:val="0"/>
        <w:spacing w:before="156" w:beforeLines="50" w:after="50"/>
        <w:rPr>
          <w:rFonts w:ascii="宋体" w:hAnsi="宋体"/>
          <w:bCs/>
          <w:color w:val="auto"/>
          <w:sz w:val="24"/>
          <w:szCs w:val="20"/>
          <w:highlight w:val="none"/>
        </w:rPr>
      </w:pPr>
    </w:p>
    <w:p w14:paraId="40A34BD8">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3A16938">
      <w:pPr>
        <w:snapToGrid w:val="0"/>
        <w:spacing w:before="156" w:beforeLines="50" w:after="50"/>
        <w:ind w:firstLine="720" w:firstLineChars="225"/>
        <w:rPr>
          <w:rFonts w:ascii="宋体" w:hAnsi="宋体" w:cs="仿宋_GB2312"/>
          <w:bCs/>
          <w:color w:val="auto"/>
          <w:sz w:val="32"/>
          <w:szCs w:val="32"/>
          <w:highlight w:val="none"/>
        </w:rPr>
      </w:pPr>
    </w:p>
    <w:p w14:paraId="724E7BAE">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7EBC975">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B9C621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96C35B1">
      <w:pPr>
        <w:snapToGrid w:val="0"/>
        <w:spacing w:before="156" w:beforeLines="50" w:after="50"/>
        <w:ind w:firstLine="720" w:firstLineChars="225"/>
        <w:rPr>
          <w:rFonts w:ascii="宋体" w:hAnsi="宋体" w:cs="仿宋_GB2312"/>
          <w:bCs/>
          <w:color w:val="auto"/>
          <w:sz w:val="32"/>
          <w:szCs w:val="32"/>
          <w:highlight w:val="none"/>
        </w:rPr>
      </w:pPr>
    </w:p>
    <w:p w14:paraId="4754B49F">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7A21234">
      <w:pPr>
        <w:pStyle w:val="9"/>
        <w:snapToGrid w:val="0"/>
        <w:spacing w:before="50" w:after="50"/>
        <w:ind w:firstLine="640" w:firstLineChars="200"/>
        <w:rPr>
          <w:rFonts w:ascii="宋体" w:hAnsi="宋体" w:cs="仿宋_GB2312"/>
          <w:bCs/>
          <w:color w:val="auto"/>
          <w:sz w:val="32"/>
          <w:szCs w:val="32"/>
          <w:highlight w:val="none"/>
        </w:rPr>
      </w:pPr>
    </w:p>
    <w:p w14:paraId="3FA11195">
      <w:pPr>
        <w:pStyle w:val="9"/>
        <w:snapToGrid w:val="0"/>
        <w:spacing w:before="50" w:after="50"/>
        <w:ind w:firstLine="720" w:firstLineChars="225"/>
        <w:rPr>
          <w:rFonts w:ascii="宋体" w:hAnsi="宋体" w:cs="仿宋_GB2312"/>
          <w:bCs/>
          <w:color w:val="auto"/>
          <w:sz w:val="32"/>
          <w:szCs w:val="32"/>
          <w:highlight w:val="none"/>
        </w:rPr>
      </w:pPr>
    </w:p>
    <w:p w14:paraId="212C5FEA">
      <w:pPr>
        <w:pStyle w:val="9"/>
        <w:snapToGrid w:val="0"/>
        <w:spacing w:before="50" w:after="50"/>
        <w:ind w:firstLine="0"/>
        <w:rPr>
          <w:rFonts w:ascii="宋体" w:hAnsi="宋体" w:cs="仿宋_GB2312"/>
          <w:bCs/>
          <w:color w:val="auto"/>
          <w:sz w:val="32"/>
          <w:szCs w:val="32"/>
          <w:highlight w:val="none"/>
        </w:rPr>
      </w:pPr>
    </w:p>
    <w:p w14:paraId="3E68653B">
      <w:pPr>
        <w:pStyle w:val="9"/>
        <w:snapToGrid w:val="0"/>
        <w:spacing w:before="50" w:after="50"/>
        <w:ind w:firstLine="1280" w:firstLineChars="400"/>
        <w:rPr>
          <w:rFonts w:ascii="宋体" w:hAnsi="宋体" w:cs="仿宋_GB2312"/>
          <w:bCs/>
          <w:color w:val="auto"/>
          <w:sz w:val="32"/>
          <w:szCs w:val="32"/>
          <w:highlight w:val="none"/>
        </w:rPr>
      </w:pPr>
    </w:p>
    <w:p w14:paraId="46005E6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7316FD4">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E9BE185">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D278C6D">
      <w:pPr>
        <w:spacing w:line="400" w:lineRule="exact"/>
        <w:rPr>
          <w:rFonts w:ascii="仿宋_GB2312" w:hAnsi="仿宋_GB2312" w:eastAsia="仿宋_GB2312" w:cs="仿宋_GB2312"/>
          <w:color w:val="auto"/>
          <w:sz w:val="32"/>
          <w:szCs w:val="32"/>
          <w:highlight w:val="none"/>
        </w:rPr>
      </w:pPr>
    </w:p>
    <w:p w14:paraId="1142F4A9">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50B0C0AC">
      <w:pPr>
        <w:spacing w:line="360" w:lineRule="auto"/>
        <w:ind w:firstLine="640" w:firstLineChars="200"/>
        <w:contextualSpacing/>
        <w:rPr>
          <w:rFonts w:ascii="仿宋_GB2312" w:hAnsi="仿宋_GB2312" w:eastAsia="仿宋_GB2312" w:cs="仿宋_GB2312"/>
          <w:color w:val="auto"/>
          <w:sz w:val="32"/>
          <w:szCs w:val="32"/>
          <w:highlight w:val="none"/>
        </w:rPr>
      </w:pPr>
    </w:p>
    <w:p w14:paraId="27DC790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r>
        <w:rPr>
          <w:rFonts w:hint="eastAsia" w:ascii="宋体" w:hAnsi="宋体" w:cs="仿宋_GB2312"/>
          <w:bCs/>
          <w:color w:val="auto"/>
          <w:sz w:val="24"/>
          <w:highlight w:val="none"/>
        </w:rPr>
        <w:t>：</w:t>
      </w:r>
    </w:p>
    <w:p w14:paraId="501CB72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78AAF4F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184582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5D35F76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A6014B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307671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5E0B3A5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r>
        <w:rPr>
          <w:rFonts w:hint="eastAsia" w:ascii="宋体" w:hAnsi="宋体" w:cs="仿宋_GB2312"/>
          <w:bCs/>
          <w:color w:val="auto"/>
          <w:sz w:val="24"/>
          <w:highlight w:val="none"/>
        </w:rPr>
        <w:t>：</w:t>
      </w:r>
    </w:p>
    <w:p w14:paraId="6FC9288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32429C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D64227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358C1C2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B200E9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7DD2A5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AAF651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5C5F075">
      <w:pPr>
        <w:spacing w:line="360" w:lineRule="auto"/>
        <w:ind w:firstLine="480" w:firstLineChars="200"/>
        <w:contextualSpacing/>
        <w:rPr>
          <w:rFonts w:ascii="宋体" w:hAnsi="宋体" w:cs="仿宋_GB2312"/>
          <w:color w:val="auto"/>
          <w:sz w:val="24"/>
          <w:highlight w:val="none"/>
        </w:rPr>
      </w:pPr>
    </w:p>
    <w:p w14:paraId="05A68EE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61C4D196">
      <w:pPr>
        <w:spacing w:line="360" w:lineRule="auto"/>
        <w:contextualSpacing/>
        <w:rPr>
          <w:rFonts w:ascii="宋体" w:hAnsi="宋体" w:cs="仿宋_GB2312"/>
          <w:color w:val="auto"/>
          <w:sz w:val="24"/>
          <w:highlight w:val="none"/>
        </w:rPr>
      </w:pPr>
    </w:p>
    <w:p w14:paraId="56A964FF">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3B946DFE">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84C7D91">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397A0AC7">
      <w:pPr>
        <w:spacing w:line="360" w:lineRule="auto"/>
        <w:ind w:left="540"/>
        <w:contextualSpacing/>
        <w:rPr>
          <w:rFonts w:ascii="仿宋_GB2312" w:hAnsi="仿宋_GB2312" w:eastAsia="仿宋_GB2312" w:cs="仿宋_GB2312"/>
          <w:color w:val="auto"/>
          <w:sz w:val="32"/>
          <w:szCs w:val="32"/>
          <w:highlight w:val="none"/>
        </w:rPr>
      </w:pPr>
    </w:p>
    <w:p w14:paraId="19FC4BB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EF2442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2F2DC31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9A14BDB">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BE7BA8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3EB4F5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55094D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7F6A4E05">
      <w:pPr>
        <w:spacing w:line="360" w:lineRule="auto"/>
        <w:ind w:left="540"/>
        <w:contextualSpacing/>
        <w:rPr>
          <w:rFonts w:ascii="宋体" w:hAnsi="宋体" w:cs="仿宋_GB2312"/>
          <w:color w:val="auto"/>
          <w:sz w:val="24"/>
          <w:highlight w:val="none"/>
        </w:rPr>
      </w:pPr>
    </w:p>
    <w:p w14:paraId="2C40212F">
      <w:pPr>
        <w:spacing w:line="360" w:lineRule="auto"/>
        <w:ind w:left="540"/>
        <w:contextualSpacing/>
        <w:rPr>
          <w:rFonts w:ascii="宋体" w:hAnsi="宋体" w:cs="仿宋_GB2312"/>
          <w:color w:val="auto"/>
          <w:sz w:val="24"/>
          <w:highlight w:val="none"/>
        </w:rPr>
      </w:pPr>
    </w:p>
    <w:p w14:paraId="3345DC38">
      <w:pPr>
        <w:spacing w:line="360" w:lineRule="auto"/>
        <w:ind w:left="540"/>
        <w:contextualSpacing/>
        <w:rPr>
          <w:rFonts w:ascii="宋体" w:hAnsi="宋体" w:cs="仿宋_GB2312"/>
          <w:color w:val="auto"/>
          <w:sz w:val="24"/>
          <w:highlight w:val="none"/>
        </w:rPr>
      </w:pPr>
    </w:p>
    <w:p w14:paraId="1A1E298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22B3FEA">
      <w:pPr>
        <w:spacing w:line="360" w:lineRule="auto"/>
        <w:ind w:left="540"/>
        <w:contextualSpacing/>
        <w:rPr>
          <w:rFonts w:ascii="宋体" w:hAnsi="宋体" w:cs="仿宋_GB2312"/>
          <w:color w:val="auto"/>
          <w:sz w:val="24"/>
          <w:highlight w:val="none"/>
        </w:rPr>
      </w:pPr>
    </w:p>
    <w:p w14:paraId="203FA5C3">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44C6F4B1">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FA615C0">
      <w:pPr>
        <w:spacing w:line="360" w:lineRule="auto"/>
        <w:contextualSpacing/>
        <w:jc w:val="center"/>
        <w:rPr>
          <w:rFonts w:ascii="宋体" w:hAnsi="宋体" w:cs="仿宋_GB2312"/>
          <w:b/>
          <w:color w:val="auto"/>
          <w:sz w:val="24"/>
          <w:highlight w:val="none"/>
        </w:rPr>
      </w:pPr>
    </w:p>
    <w:p w14:paraId="419D2C5C">
      <w:pPr>
        <w:spacing w:line="360" w:lineRule="auto"/>
        <w:contextualSpacing/>
        <w:jc w:val="left"/>
        <w:rPr>
          <w:rFonts w:ascii="宋体" w:hAnsi="宋体" w:cs="仿宋_GB2312"/>
          <w:color w:val="auto"/>
          <w:sz w:val="24"/>
          <w:highlight w:val="none"/>
        </w:rPr>
      </w:pPr>
    </w:p>
    <w:p w14:paraId="45BB957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48610FF4">
      <w:pPr>
        <w:adjustRightInd w:val="0"/>
        <w:snapToGrid w:val="0"/>
        <w:spacing w:line="300" w:lineRule="auto"/>
        <w:jc w:val="left"/>
        <w:rPr>
          <w:rFonts w:ascii="宋体" w:hAnsi="宋体"/>
          <w:b/>
          <w:color w:val="auto"/>
          <w:szCs w:val="21"/>
          <w:highlight w:val="none"/>
        </w:rPr>
      </w:pPr>
    </w:p>
    <w:p w14:paraId="4EADDFCD">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7F6FA558">
      <w:pPr>
        <w:spacing w:line="520" w:lineRule="exact"/>
        <w:jc w:val="center"/>
        <w:rPr>
          <w:rFonts w:ascii="方正小标宋简体" w:hAnsi="方正小标宋简体" w:eastAsia="方正小标宋简体" w:cs="方正小标宋简体"/>
          <w:color w:val="auto"/>
          <w:sz w:val="44"/>
          <w:szCs w:val="44"/>
          <w:highlight w:val="none"/>
        </w:rPr>
      </w:pPr>
      <w:bookmarkStart w:id="85" w:name="_Hlk65853643"/>
      <w:r>
        <w:rPr>
          <w:rFonts w:hint="eastAsia" w:ascii="方正小标宋简体" w:hAnsi="方正小标宋简体" w:eastAsia="方正小标宋简体" w:cs="方正小标宋简体"/>
          <w:color w:val="auto"/>
          <w:sz w:val="44"/>
          <w:szCs w:val="44"/>
          <w:highlight w:val="none"/>
        </w:rPr>
        <w:t>授权委托书</w:t>
      </w:r>
    </w:p>
    <w:p w14:paraId="7927140E">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6B395D49">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2BCB1A2">
      <w:pPr>
        <w:spacing w:line="520" w:lineRule="exact"/>
        <w:rPr>
          <w:rFonts w:ascii="仿宋_GB2312" w:hAnsi="仿宋_GB2312" w:eastAsia="仿宋_GB2312" w:cs="仿宋_GB2312"/>
          <w:color w:val="auto"/>
          <w:sz w:val="32"/>
          <w:szCs w:val="32"/>
          <w:highlight w:val="none"/>
        </w:rPr>
      </w:pPr>
    </w:p>
    <w:p w14:paraId="6BF74DEB">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97527C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E84F85A">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E3891D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B3F32A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2880DC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884AF6E">
      <w:pPr>
        <w:spacing w:line="360" w:lineRule="auto"/>
        <w:rPr>
          <w:rFonts w:ascii="宋体" w:hAnsi="宋体" w:cs="仿宋_GB2312"/>
          <w:color w:val="auto"/>
          <w:sz w:val="24"/>
          <w:highlight w:val="none"/>
        </w:rPr>
      </w:pPr>
    </w:p>
    <w:p w14:paraId="754AF4A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5797FDB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CED098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2C946FA5">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558BC58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6E2511BF">
      <w:pPr>
        <w:spacing w:line="360" w:lineRule="auto"/>
        <w:rPr>
          <w:rFonts w:ascii="宋体" w:hAnsi="宋体" w:cs="仿宋_GB2312"/>
          <w:color w:val="auto"/>
          <w:sz w:val="24"/>
          <w:highlight w:val="none"/>
        </w:rPr>
      </w:pPr>
    </w:p>
    <w:p w14:paraId="1F26C074">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2CB1E38E">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6" w:name="_Hlk65853109"/>
      <w:bookmarkStart w:id="87" w:name="_Hlk65853542"/>
      <w:r>
        <w:rPr>
          <w:rFonts w:hint="eastAsia" w:ascii="宋体" w:hAnsi="宋体" w:cs="仿宋_GB2312"/>
          <w:color w:val="auto"/>
          <w:sz w:val="24"/>
          <w:highlight w:val="none"/>
        </w:rPr>
        <w:t>法人、其他组织竞标时“我方”是指“我单位”，自然人竞标时“我方”是指“本人”。</w:t>
      </w:r>
      <w:bookmarkEnd w:id="86"/>
    </w:p>
    <w:bookmarkEnd w:id="87"/>
    <w:p w14:paraId="3F738804">
      <w:pPr>
        <w:spacing w:line="360" w:lineRule="auto"/>
        <w:ind w:firstLine="420" w:firstLineChars="200"/>
        <w:jc w:val="left"/>
        <w:rPr>
          <w:rFonts w:ascii="仿宋_GB2312" w:hAnsi="仿宋_GB2312" w:eastAsia="仿宋_GB2312" w:cs="仿宋_GB2312"/>
          <w:color w:val="auto"/>
          <w:szCs w:val="21"/>
          <w:highlight w:val="none"/>
        </w:rPr>
      </w:pPr>
    </w:p>
    <w:p w14:paraId="4E35DB97">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3361D68">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4E12C153">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408F5CE1">
      <w:pPr>
        <w:spacing w:line="500" w:lineRule="exact"/>
        <w:jc w:val="center"/>
        <w:rPr>
          <w:rFonts w:ascii="方正小标宋简体" w:hAnsi="方正小标宋简体" w:eastAsia="方正小标宋简体" w:cs="方正小标宋简体"/>
          <w:color w:val="auto"/>
          <w:sz w:val="44"/>
          <w:szCs w:val="44"/>
          <w:highlight w:val="none"/>
        </w:rPr>
      </w:pPr>
    </w:p>
    <w:p w14:paraId="56EAF868">
      <w:pPr>
        <w:spacing w:line="500" w:lineRule="exact"/>
        <w:jc w:val="center"/>
        <w:rPr>
          <w:rFonts w:ascii="仿宋_GB2312" w:hAnsi="仿宋_GB2312" w:eastAsia="仿宋_GB2312" w:cs="仿宋_GB2312"/>
          <w:color w:val="auto"/>
          <w:sz w:val="32"/>
          <w:szCs w:val="32"/>
          <w:highlight w:val="none"/>
        </w:rPr>
      </w:pPr>
    </w:p>
    <w:p w14:paraId="0F48915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6DFD5F9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2C4A318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559D42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22C3E5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0660AAF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458A5B0E">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67D405D2">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4BF02C0B">
      <w:pPr>
        <w:spacing w:line="360" w:lineRule="auto"/>
        <w:contextualSpacing/>
        <w:rPr>
          <w:rFonts w:ascii="宋体" w:hAnsi="宋体" w:cs="仿宋_GB2312"/>
          <w:color w:val="auto"/>
          <w:sz w:val="24"/>
          <w:highlight w:val="none"/>
        </w:rPr>
      </w:pPr>
    </w:p>
    <w:p w14:paraId="57D68B45">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5CA9B7C5">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5FBFB5F">
      <w:pPr>
        <w:spacing w:line="360" w:lineRule="auto"/>
        <w:contextualSpacing/>
        <w:rPr>
          <w:rFonts w:ascii="宋体" w:hAnsi="宋体" w:cs="仿宋_GB2312"/>
          <w:color w:val="auto"/>
          <w:sz w:val="24"/>
          <w:highlight w:val="none"/>
        </w:rPr>
      </w:pPr>
    </w:p>
    <w:p w14:paraId="5EE7608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D6FD092">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85"/>
    <w:p w14:paraId="75A15896">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49D073E5">
      <w:pPr>
        <w:spacing w:line="50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（注：按采购需求具体条款修改）</w:t>
      </w:r>
    </w:p>
    <w:p w14:paraId="5CFAE657">
      <w:pPr>
        <w:spacing w:line="360" w:lineRule="auto"/>
        <w:contextualSpacing/>
        <w:jc w:val="left"/>
        <w:rPr>
          <w:rFonts w:ascii="宋体" w:hAnsi="宋体"/>
          <w:color w:val="auto"/>
          <w:sz w:val="24"/>
          <w:highlight w:val="none"/>
        </w:rPr>
      </w:pPr>
    </w:p>
    <w:p w14:paraId="206382C1">
      <w:pPr>
        <w:pStyle w:val="18"/>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249BF637">
      <w:pPr>
        <w:spacing w:line="360" w:lineRule="auto"/>
        <w:contextualSpacing/>
        <w:jc w:val="left"/>
        <w:rPr>
          <w:rFonts w:ascii="宋体" w:hAnsi="宋体" w:cs="仿宋_GB2312"/>
          <w:color w:val="auto"/>
          <w:sz w:val="24"/>
          <w:highlight w:val="none"/>
          <w:u w:val="single"/>
        </w:rPr>
      </w:pPr>
    </w:p>
    <w:tbl>
      <w:tblPr>
        <w:tblStyle w:val="28"/>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9AED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0E41562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B91E1A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68B210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427E131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6AD67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44CC86C7">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55B48E5">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A0879C5">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23448B8">
            <w:pPr>
              <w:spacing w:line="360" w:lineRule="auto"/>
              <w:contextualSpacing/>
              <w:jc w:val="center"/>
              <w:rPr>
                <w:rFonts w:ascii="宋体" w:hAnsi="宋体" w:cs="仿宋_GB2312"/>
                <w:color w:val="auto"/>
                <w:sz w:val="24"/>
                <w:highlight w:val="none"/>
              </w:rPr>
            </w:pPr>
          </w:p>
        </w:tc>
      </w:tr>
      <w:tr w14:paraId="6432F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41EB1396">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25B421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202B1EA">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C701DC6">
            <w:pPr>
              <w:spacing w:line="360" w:lineRule="auto"/>
              <w:ind w:left="43"/>
              <w:contextualSpacing/>
              <w:jc w:val="center"/>
              <w:rPr>
                <w:rFonts w:ascii="宋体" w:hAnsi="宋体" w:cs="仿宋_GB2312"/>
                <w:color w:val="auto"/>
                <w:sz w:val="24"/>
                <w:highlight w:val="none"/>
              </w:rPr>
            </w:pPr>
          </w:p>
        </w:tc>
      </w:tr>
      <w:tr w14:paraId="4FB09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135AA94E">
            <w:pPr>
              <w:spacing w:line="360" w:lineRule="auto"/>
              <w:contextualSpacing/>
              <w:jc w:val="center"/>
              <w:rPr>
                <w:rFonts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81DD447">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B657172">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DBE1176">
            <w:pPr>
              <w:spacing w:line="360" w:lineRule="auto"/>
              <w:contextualSpacing/>
              <w:jc w:val="center"/>
              <w:rPr>
                <w:rFonts w:ascii="宋体" w:hAnsi="宋体" w:cs="仿宋_GB2312"/>
                <w:color w:val="auto"/>
                <w:sz w:val="24"/>
                <w:highlight w:val="none"/>
              </w:rPr>
            </w:pPr>
          </w:p>
        </w:tc>
      </w:tr>
    </w:tbl>
    <w:p w14:paraId="4491A7F7">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22E59A41">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5D5B7C30">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9B82FB5">
      <w:pPr>
        <w:spacing w:line="360" w:lineRule="auto"/>
        <w:ind w:right="-817" w:rightChars="-389"/>
        <w:contextualSpacing/>
        <w:rPr>
          <w:rFonts w:ascii="宋体" w:hAnsi="宋体" w:cs="仿宋_GB2312"/>
          <w:color w:val="auto"/>
          <w:sz w:val="24"/>
          <w:highlight w:val="none"/>
        </w:rPr>
      </w:pPr>
    </w:p>
    <w:p w14:paraId="4A0AE64E">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F3216F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5FA84A16">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562F22F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95CD93C">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A06B08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5DAF342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570F22C">
      <w:pPr>
        <w:adjustRightInd w:val="0"/>
        <w:snapToGrid w:val="0"/>
        <w:spacing w:line="520" w:lineRule="exact"/>
        <w:rPr>
          <w:rFonts w:ascii="宋体" w:hAnsi="宋体"/>
          <w:color w:val="auto"/>
          <w:szCs w:val="21"/>
          <w:highlight w:val="none"/>
          <w:u w:val="single"/>
        </w:rPr>
      </w:pPr>
    </w:p>
    <w:p w14:paraId="79073D53">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25C893F6">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1AE1131F">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47A73C1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75B82DAA">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1CD3A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5BCDCA0">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88" w:name="_Toc383699906"/>
            <w:bookmarkStart w:id="89" w:name="_Toc173066401"/>
            <w:bookmarkStart w:id="90" w:name="_Toc173211900"/>
            <w:bookmarkStart w:id="91" w:name="_Toc254970729"/>
            <w:bookmarkStart w:id="92" w:name="_Toc373333689"/>
            <w:bookmarkStart w:id="93" w:name="_Toc301781611"/>
            <w:bookmarkStart w:id="94" w:name="_Toc254970588"/>
            <w:bookmarkStart w:id="95" w:name="_Toc295404981"/>
            <w:bookmarkStart w:id="96" w:name="_Toc297193185"/>
            <w:r>
              <w:rPr>
                <w:rFonts w:hint="eastAsia" w:ascii="宋体" w:hAnsi="宋体" w:eastAsia="宋体" w:cs="仿宋_GB2312"/>
                <w:color w:val="auto"/>
                <w:kern w:val="2"/>
                <w:sz w:val="24"/>
                <w:szCs w:val="24"/>
                <w:highlight w:val="none"/>
              </w:rPr>
              <w:t>序号</w:t>
            </w:r>
            <w:bookmarkEnd w:id="88"/>
            <w:bookmarkEnd w:id="89"/>
            <w:bookmarkEnd w:id="90"/>
            <w:bookmarkEnd w:id="91"/>
            <w:bookmarkEnd w:id="92"/>
            <w:bookmarkEnd w:id="93"/>
            <w:bookmarkEnd w:id="94"/>
            <w:bookmarkEnd w:id="95"/>
            <w:bookmarkEnd w:id="96"/>
          </w:p>
        </w:tc>
        <w:tc>
          <w:tcPr>
            <w:tcW w:w="915" w:type="dxa"/>
            <w:tcBorders>
              <w:right w:val="single" w:color="auto" w:sz="4" w:space="0"/>
            </w:tcBorders>
            <w:vAlign w:val="center"/>
          </w:tcPr>
          <w:p w14:paraId="2968C85C">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33DB29EB">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79E3F48F">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97" w:name="_Toc373333691"/>
            <w:bookmarkStart w:id="98" w:name="_Toc173211902"/>
            <w:bookmarkStart w:id="99" w:name="_Toc173066403"/>
            <w:bookmarkStart w:id="100" w:name="_Toc301781613"/>
            <w:bookmarkStart w:id="101" w:name="_Toc254970731"/>
            <w:bookmarkStart w:id="102" w:name="_Toc254970590"/>
            <w:bookmarkStart w:id="103" w:name="_Toc383699908"/>
            <w:bookmarkStart w:id="104" w:name="_Toc295404983"/>
            <w:bookmarkStart w:id="105" w:name="_Toc297193187"/>
            <w:r>
              <w:rPr>
                <w:rFonts w:hint="eastAsia" w:ascii="宋体" w:hAnsi="宋体" w:eastAsia="宋体" w:cs="仿宋_GB2312"/>
                <w:color w:val="auto"/>
                <w:kern w:val="2"/>
                <w:sz w:val="24"/>
                <w:szCs w:val="24"/>
                <w:highlight w:val="none"/>
              </w:rPr>
              <w:t>竞标响应</w:t>
            </w:r>
            <w:bookmarkEnd w:id="97"/>
            <w:bookmarkEnd w:id="98"/>
            <w:bookmarkEnd w:id="99"/>
            <w:bookmarkEnd w:id="100"/>
            <w:bookmarkEnd w:id="101"/>
            <w:bookmarkEnd w:id="102"/>
            <w:bookmarkEnd w:id="103"/>
            <w:bookmarkEnd w:id="104"/>
            <w:bookmarkEnd w:id="105"/>
          </w:p>
        </w:tc>
        <w:tc>
          <w:tcPr>
            <w:tcW w:w="1492" w:type="dxa"/>
            <w:vAlign w:val="center"/>
          </w:tcPr>
          <w:p w14:paraId="392A0A23">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06" w:name="_Toc373333692"/>
            <w:bookmarkStart w:id="107" w:name="_Toc254970732"/>
            <w:bookmarkStart w:id="108" w:name="_Toc173211903"/>
            <w:bookmarkStart w:id="109" w:name="_Toc297193188"/>
            <w:bookmarkStart w:id="110" w:name="_Toc301781614"/>
            <w:bookmarkStart w:id="111" w:name="_Toc295404984"/>
            <w:bookmarkStart w:id="112" w:name="_Toc383699909"/>
            <w:bookmarkStart w:id="113" w:name="_Toc173066404"/>
            <w:bookmarkStart w:id="114" w:name="_Toc254970591"/>
            <w:r>
              <w:rPr>
                <w:rFonts w:hint="eastAsia" w:ascii="宋体" w:hAnsi="宋体" w:eastAsia="宋体" w:cs="仿宋_GB2312"/>
                <w:color w:val="auto"/>
                <w:kern w:val="2"/>
                <w:sz w:val="24"/>
                <w:szCs w:val="24"/>
                <w:highlight w:val="none"/>
              </w:rPr>
              <w:t>偏离</w:t>
            </w:r>
            <w:bookmarkEnd w:id="106"/>
            <w:bookmarkEnd w:id="107"/>
            <w:bookmarkEnd w:id="108"/>
            <w:bookmarkEnd w:id="109"/>
            <w:bookmarkEnd w:id="110"/>
            <w:bookmarkEnd w:id="111"/>
            <w:bookmarkEnd w:id="112"/>
            <w:bookmarkEnd w:id="113"/>
            <w:bookmarkEnd w:id="114"/>
            <w:bookmarkStart w:id="115" w:name="_Toc295404985"/>
            <w:bookmarkStart w:id="116" w:name="_Toc383699910"/>
            <w:bookmarkStart w:id="117" w:name="_Toc254970592"/>
            <w:bookmarkStart w:id="118" w:name="_Toc173211904"/>
            <w:bookmarkStart w:id="119" w:name="_Toc373333693"/>
            <w:bookmarkStart w:id="120" w:name="_Toc173066405"/>
            <w:bookmarkStart w:id="121" w:name="_Toc301781615"/>
            <w:bookmarkStart w:id="122" w:name="_Toc254970733"/>
            <w:bookmarkStart w:id="123" w:name="_Toc297193189"/>
            <w:r>
              <w:rPr>
                <w:rFonts w:hint="eastAsia" w:ascii="宋体" w:hAnsi="宋体" w:eastAsia="宋体" w:cs="仿宋_GB2312"/>
                <w:color w:val="auto"/>
                <w:kern w:val="2"/>
                <w:sz w:val="24"/>
                <w:szCs w:val="24"/>
                <w:highlight w:val="none"/>
              </w:rPr>
              <w:t>说明</w:t>
            </w:r>
            <w:bookmarkEnd w:id="115"/>
            <w:bookmarkEnd w:id="116"/>
            <w:bookmarkEnd w:id="117"/>
            <w:bookmarkEnd w:id="118"/>
            <w:bookmarkEnd w:id="119"/>
            <w:bookmarkEnd w:id="120"/>
            <w:bookmarkEnd w:id="121"/>
            <w:bookmarkEnd w:id="122"/>
            <w:bookmarkEnd w:id="123"/>
          </w:p>
        </w:tc>
      </w:tr>
      <w:tr w14:paraId="7C3CB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DEE5631">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24" w:name="_Toc301781616"/>
            <w:bookmarkStart w:id="125" w:name="_Toc295404986"/>
            <w:bookmarkStart w:id="126" w:name="_Toc173066406"/>
            <w:bookmarkStart w:id="127" w:name="_Toc254970593"/>
            <w:bookmarkStart w:id="128" w:name="_Toc254970734"/>
            <w:bookmarkStart w:id="129" w:name="_Toc373333694"/>
            <w:bookmarkStart w:id="130" w:name="_Toc173211905"/>
            <w:bookmarkStart w:id="131" w:name="_Toc383699911"/>
            <w:bookmarkStart w:id="132" w:name="_Toc297193190"/>
            <w:r>
              <w:rPr>
                <w:rFonts w:hint="eastAsia" w:ascii="宋体" w:hAnsi="宋体" w:eastAsia="宋体" w:cs="仿宋_GB2312"/>
                <w:color w:val="auto"/>
                <w:kern w:val="2"/>
                <w:sz w:val="24"/>
                <w:szCs w:val="24"/>
                <w:highlight w:val="none"/>
              </w:rPr>
              <w:t>1</w:t>
            </w:r>
            <w:bookmarkEnd w:id="124"/>
            <w:bookmarkEnd w:id="125"/>
            <w:bookmarkEnd w:id="126"/>
            <w:bookmarkEnd w:id="127"/>
            <w:bookmarkEnd w:id="128"/>
            <w:bookmarkEnd w:id="129"/>
            <w:bookmarkEnd w:id="130"/>
            <w:bookmarkEnd w:id="131"/>
            <w:bookmarkEnd w:id="132"/>
          </w:p>
        </w:tc>
        <w:tc>
          <w:tcPr>
            <w:tcW w:w="915" w:type="dxa"/>
            <w:tcBorders>
              <w:right w:val="single" w:color="auto" w:sz="4" w:space="0"/>
            </w:tcBorders>
            <w:vAlign w:val="center"/>
          </w:tcPr>
          <w:p w14:paraId="3B6D88A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420CD21">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296A4FF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6E8B976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FB2DE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12CE21A">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33" w:name="_Toc173211906"/>
            <w:bookmarkStart w:id="134" w:name="_Toc373333695"/>
            <w:bookmarkStart w:id="135" w:name="_Toc173066407"/>
            <w:bookmarkStart w:id="136" w:name="_Toc297193191"/>
            <w:bookmarkStart w:id="137" w:name="_Toc254970735"/>
            <w:bookmarkStart w:id="138" w:name="_Toc295404987"/>
            <w:bookmarkStart w:id="139" w:name="_Toc254970594"/>
            <w:bookmarkStart w:id="140" w:name="_Toc301781617"/>
            <w:bookmarkStart w:id="141" w:name="_Toc383699912"/>
            <w:r>
              <w:rPr>
                <w:rFonts w:hint="eastAsia" w:ascii="宋体" w:hAnsi="宋体" w:eastAsia="宋体" w:cs="仿宋_GB2312"/>
                <w:color w:val="auto"/>
                <w:kern w:val="2"/>
                <w:sz w:val="24"/>
                <w:szCs w:val="24"/>
                <w:highlight w:val="none"/>
              </w:rPr>
              <w:t>2</w:t>
            </w:r>
            <w:bookmarkEnd w:id="133"/>
            <w:bookmarkEnd w:id="134"/>
            <w:bookmarkEnd w:id="135"/>
            <w:bookmarkEnd w:id="136"/>
            <w:bookmarkEnd w:id="137"/>
            <w:bookmarkEnd w:id="138"/>
            <w:bookmarkEnd w:id="139"/>
            <w:bookmarkEnd w:id="140"/>
            <w:bookmarkEnd w:id="141"/>
          </w:p>
        </w:tc>
        <w:tc>
          <w:tcPr>
            <w:tcW w:w="915" w:type="dxa"/>
            <w:tcBorders>
              <w:right w:val="single" w:color="auto" w:sz="4" w:space="0"/>
            </w:tcBorders>
            <w:vAlign w:val="center"/>
          </w:tcPr>
          <w:p w14:paraId="71EAE59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5B7601F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5936E26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2998A30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0579D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C1236A5">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42" w:name="_Toc383699913"/>
            <w:bookmarkStart w:id="143" w:name="_Toc297193192"/>
            <w:bookmarkStart w:id="144" w:name="_Toc373333696"/>
            <w:bookmarkStart w:id="145" w:name="_Toc254970736"/>
            <w:bookmarkStart w:id="146" w:name="_Toc173211907"/>
            <w:bookmarkStart w:id="147" w:name="_Toc295404988"/>
            <w:bookmarkStart w:id="148" w:name="_Toc173066408"/>
            <w:bookmarkStart w:id="149" w:name="_Toc301781618"/>
            <w:bookmarkStart w:id="150" w:name="_Toc254970595"/>
            <w:r>
              <w:rPr>
                <w:rFonts w:hint="eastAsia" w:ascii="宋体" w:hAnsi="宋体" w:eastAsia="宋体" w:cs="仿宋_GB2312"/>
                <w:color w:val="auto"/>
                <w:kern w:val="2"/>
                <w:sz w:val="24"/>
                <w:szCs w:val="24"/>
                <w:highlight w:val="none"/>
              </w:rPr>
              <w:t>3</w:t>
            </w:r>
            <w:bookmarkEnd w:id="142"/>
            <w:bookmarkEnd w:id="143"/>
            <w:bookmarkEnd w:id="144"/>
            <w:bookmarkEnd w:id="145"/>
            <w:bookmarkEnd w:id="146"/>
            <w:bookmarkEnd w:id="147"/>
            <w:bookmarkEnd w:id="148"/>
            <w:bookmarkEnd w:id="149"/>
            <w:bookmarkEnd w:id="150"/>
          </w:p>
        </w:tc>
        <w:tc>
          <w:tcPr>
            <w:tcW w:w="915" w:type="dxa"/>
            <w:tcBorders>
              <w:right w:val="single" w:color="auto" w:sz="4" w:space="0"/>
            </w:tcBorders>
            <w:vAlign w:val="center"/>
          </w:tcPr>
          <w:p w14:paraId="11C7587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2798D4A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2D239A5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49E5870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9B2C1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E039E41">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51" w:name="_Toc295404989"/>
            <w:bookmarkStart w:id="152" w:name="_Toc173066409"/>
            <w:bookmarkStart w:id="153" w:name="_Toc373333697"/>
            <w:bookmarkStart w:id="154" w:name="_Toc297193193"/>
            <w:bookmarkStart w:id="155" w:name="_Toc173211908"/>
            <w:bookmarkStart w:id="156" w:name="_Toc383699914"/>
            <w:bookmarkStart w:id="157" w:name="_Toc301781619"/>
            <w:bookmarkStart w:id="158" w:name="_Toc254970596"/>
            <w:bookmarkStart w:id="159" w:name="_Toc254970737"/>
            <w:r>
              <w:rPr>
                <w:rFonts w:hint="eastAsia" w:ascii="宋体" w:hAnsi="宋体" w:eastAsia="宋体" w:cs="仿宋_GB2312"/>
                <w:color w:val="auto"/>
                <w:kern w:val="2"/>
                <w:sz w:val="24"/>
                <w:szCs w:val="24"/>
                <w:highlight w:val="none"/>
              </w:rPr>
              <w:t>4</w:t>
            </w:r>
            <w:bookmarkEnd w:id="151"/>
            <w:bookmarkEnd w:id="152"/>
            <w:bookmarkEnd w:id="153"/>
            <w:bookmarkEnd w:id="154"/>
            <w:bookmarkEnd w:id="155"/>
            <w:bookmarkEnd w:id="156"/>
            <w:bookmarkEnd w:id="157"/>
            <w:bookmarkEnd w:id="158"/>
            <w:bookmarkEnd w:id="159"/>
          </w:p>
        </w:tc>
        <w:tc>
          <w:tcPr>
            <w:tcW w:w="915" w:type="dxa"/>
            <w:tcBorders>
              <w:right w:val="single" w:color="auto" w:sz="4" w:space="0"/>
            </w:tcBorders>
            <w:vAlign w:val="center"/>
          </w:tcPr>
          <w:p w14:paraId="5BDAF76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7A51474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1B28AFD0">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02ED6E72">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C8D78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9B69DFB">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60" w:name="_Toc254970738"/>
            <w:bookmarkStart w:id="161" w:name="_Toc383699915"/>
            <w:bookmarkStart w:id="162" w:name="_Toc297193194"/>
            <w:bookmarkStart w:id="163" w:name="_Toc173211909"/>
            <w:bookmarkStart w:id="164" w:name="_Toc295404990"/>
            <w:bookmarkStart w:id="165" w:name="_Toc373333698"/>
            <w:bookmarkStart w:id="166" w:name="_Toc254970597"/>
            <w:bookmarkStart w:id="167" w:name="_Toc173066410"/>
            <w:bookmarkStart w:id="168" w:name="_Toc301781620"/>
            <w:r>
              <w:rPr>
                <w:rFonts w:hint="eastAsia" w:ascii="宋体" w:hAnsi="宋体" w:eastAsia="宋体" w:cs="仿宋_GB2312"/>
                <w:color w:val="auto"/>
                <w:kern w:val="2"/>
                <w:sz w:val="24"/>
                <w:szCs w:val="24"/>
                <w:highlight w:val="none"/>
              </w:rPr>
              <w:t>5</w:t>
            </w:r>
            <w:bookmarkEnd w:id="160"/>
            <w:bookmarkEnd w:id="161"/>
            <w:bookmarkEnd w:id="162"/>
            <w:bookmarkEnd w:id="163"/>
            <w:bookmarkEnd w:id="164"/>
            <w:bookmarkEnd w:id="165"/>
            <w:bookmarkEnd w:id="166"/>
            <w:bookmarkEnd w:id="167"/>
            <w:bookmarkEnd w:id="168"/>
          </w:p>
        </w:tc>
        <w:tc>
          <w:tcPr>
            <w:tcW w:w="915" w:type="dxa"/>
            <w:tcBorders>
              <w:right w:val="single" w:color="auto" w:sz="4" w:space="0"/>
            </w:tcBorders>
            <w:vAlign w:val="center"/>
          </w:tcPr>
          <w:p w14:paraId="3DD75311">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89A857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2AFE5130">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97D720E">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7E2A26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A4912C5">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69" w:name="_Toc254970602"/>
            <w:bookmarkStart w:id="170" w:name="_Toc254970743"/>
            <w:bookmarkStart w:id="171" w:name="_Toc295404991"/>
            <w:bookmarkStart w:id="172" w:name="_Toc173066415"/>
            <w:bookmarkStart w:id="173" w:name="_Toc297193195"/>
            <w:bookmarkStart w:id="174" w:name="_Toc383699916"/>
            <w:bookmarkStart w:id="175" w:name="_Toc173211914"/>
            <w:bookmarkStart w:id="176" w:name="_Toc373333699"/>
            <w:bookmarkStart w:id="177" w:name="_Toc301781621"/>
            <w:r>
              <w:rPr>
                <w:rFonts w:hint="eastAsia" w:ascii="宋体" w:hAnsi="宋体" w:eastAsia="宋体" w:cs="仿宋_GB2312"/>
                <w:color w:val="auto"/>
                <w:kern w:val="2"/>
                <w:sz w:val="24"/>
                <w:szCs w:val="24"/>
                <w:highlight w:val="none"/>
              </w:rPr>
              <w:t>…</w:t>
            </w:r>
            <w:bookmarkEnd w:id="169"/>
            <w:bookmarkEnd w:id="170"/>
            <w:bookmarkEnd w:id="171"/>
            <w:bookmarkEnd w:id="172"/>
            <w:bookmarkEnd w:id="173"/>
            <w:bookmarkEnd w:id="174"/>
            <w:bookmarkEnd w:id="175"/>
            <w:bookmarkEnd w:id="176"/>
            <w:bookmarkEnd w:id="177"/>
          </w:p>
        </w:tc>
        <w:tc>
          <w:tcPr>
            <w:tcW w:w="915" w:type="dxa"/>
            <w:tcBorders>
              <w:right w:val="single" w:color="auto" w:sz="4" w:space="0"/>
            </w:tcBorders>
            <w:vAlign w:val="center"/>
          </w:tcPr>
          <w:p w14:paraId="2061EC0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7A8A7ED">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C3F11B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2A9701B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32149003">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9E598E2">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采购需求”中的所有技术要求逐条作出明确响应，并作出偏离说明。</w:t>
      </w:r>
    </w:p>
    <w:p w14:paraId="5826EF1D">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68B023A5">
      <w:pPr>
        <w:spacing w:line="360" w:lineRule="auto"/>
        <w:ind w:right="-817" w:rightChars="-389"/>
        <w:contextualSpacing/>
        <w:rPr>
          <w:rFonts w:ascii="宋体" w:hAnsi="宋体" w:cs="仿宋_GB2312"/>
          <w:color w:val="auto"/>
          <w:sz w:val="24"/>
          <w:highlight w:val="none"/>
        </w:rPr>
      </w:pPr>
    </w:p>
    <w:p w14:paraId="4854514D">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5BFC113">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85EE866">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3C063326">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54E50515">
      <w:pPr>
        <w:snapToGrid w:val="0"/>
        <w:spacing w:before="156" w:beforeLines="50" w:after="50"/>
        <w:ind w:left="142"/>
        <w:jc w:val="left"/>
        <w:rPr>
          <w:rFonts w:ascii="宋体" w:hAnsi="宋体"/>
          <w:b/>
          <w:color w:val="auto"/>
          <w:sz w:val="24"/>
          <w:highlight w:val="none"/>
        </w:rPr>
      </w:pPr>
    </w:p>
    <w:p w14:paraId="7100CD05">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6C62337">
      <w:pPr>
        <w:pStyle w:val="18"/>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CF4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41CC1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0940A49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0FF815B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3B650E6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2EE65CDC">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56853CC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5079D53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B57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FE0B5C5">
            <w:pPr>
              <w:spacing w:line="360" w:lineRule="auto"/>
              <w:contextualSpacing/>
              <w:jc w:val="center"/>
              <w:rPr>
                <w:rFonts w:ascii="宋体" w:hAnsi="宋体"/>
                <w:color w:val="auto"/>
                <w:sz w:val="24"/>
                <w:szCs w:val="20"/>
                <w:highlight w:val="none"/>
              </w:rPr>
            </w:pPr>
          </w:p>
        </w:tc>
        <w:tc>
          <w:tcPr>
            <w:tcW w:w="709" w:type="dxa"/>
            <w:vAlign w:val="center"/>
          </w:tcPr>
          <w:p w14:paraId="6AAA402C">
            <w:pPr>
              <w:spacing w:line="360" w:lineRule="auto"/>
              <w:contextualSpacing/>
              <w:jc w:val="center"/>
              <w:rPr>
                <w:rFonts w:ascii="宋体" w:hAnsi="宋体"/>
                <w:color w:val="auto"/>
                <w:sz w:val="24"/>
                <w:szCs w:val="20"/>
                <w:highlight w:val="none"/>
              </w:rPr>
            </w:pPr>
          </w:p>
        </w:tc>
        <w:tc>
          <w:tcPr>
            <w:tcW w:w="1701" w:type="dxa"/>
            <w:vAlign w:val="center"/>
          </w:tcPr>
          <w:p w14:paraId="206CD0B2">
            <w:pPr>
              <w:spacing w:line="360" w:lineRule="auto"/>
              <w:contextualSpacing/>
              <w:jc w:val="center"/>
              <w:rPr>
                <w:rFonts w:ascii="宋体" w:hAnsi="宋体"/>
                <w:color w:val="auto"/>
                <w:sz w:val="24"/>
                <w:szCs w:val="20"/>
                <w:highlight w:val="none"/>
              </w:rPr>
            </w:pPr>
          </w:p>
        </w:tc>
        <w:tc>
          <w:tcPr>
            <w:tcW w:w="1420" w:type="dxa"/>
            <w:vAlign w:val="center"/>
          </w:tcPr>
          <w:p w14:paraId="098F080C">
            <w:pPr>
              <w:spacing w:line="360" w:lineRule="auto"/>
              <w:contextualSpacing/>
              <w:jc w:val="center"/>
              <w:rPr>
                <w:rFonts w:ascii="宋体" w:hAnsi="宋体"/>
                <w:color w:val="auto"/>
                <w:sz w:val="24"/>
                <w:szCs w:val="20"/>
                <w:highlight w:val="none"/>
              </w:rPr>
            </w:pPr>
          </w:p>
        </w:tc>
        <w:tc>
          <w:tcPr>
            <w:tcW w:w="1698" w:type="dxa"/>
            <w:vAlign w:val="center"/>
          </w:tcPr>
          <w:p w14:paraId="4F345D7F">
            <w:pPr>
              <w:spacing w:line="360" w:lineRule="auto"/>
              <w:contextualSpacing/>
              <w:jc w:val="center"/>
              <w:rPr>
                <w:rFonts w:ascii="宋体" w:hAnsi="宋体"/>
                <w:color w:val="auto"/>
                <w:sz w:val="24"/>
                <w:szCs w:val="20"/>
                <w:highlight w:val="none"/>
              </w:rPr>
            </w:pPr>
          </w:p>
        </w:tc>
        <w:tc>
          <w:tcPr>
            <w:tcW w:w="1843" w:type="dxa"/>
            <w:vAlign w:val="center"/>
          </w:tcPr>
          <w:p w14:paraId="26F3A043">
            <w:pPr>
              <w:spacing w:line="360" w:lineRule="auto"/>
              <w:contextualSpacing/>
              <w:jc w:val="center"/>
              <w:rPr>
                <w:rFonts w:ascii="宋体" w:hAnsi="宋体"/>
                <w:color w:val="auto"/>
                <w:sz w:val="24"/>
                <w:szCs w:val="20"/>
                <w:highlight w:val="none"/>
              </w:rPr>
            </w:pPr>
          </w:p>
        </w:tc>
      </w:tr>
      <w:tr w14:paraId="315E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9136CD">
            <w:pPr>
              <w:spacing w:line="360" w:lineRule="auto"/>
              <w:contextualSpacing/>
              <w:jc w:val="center"/>
              <w:rPr>
                <w:rFonts w:ascii="宋体" w:hAnsi="宋体"/>
                <w:color w:val="auto"/>
                <w:sz w:val="24"/>
                <w:szCs w:val="20"/>
                <w:highlight w:val="none"/>
              </w:rPr>
            </w:pPr>
          </w:p>
        </w:tc>
        <w:tc>
          <w:tcPr>
            <w:tcW w:w="709" w:type="dxa"/>
            <w:vAlign w:val="center"/>
          </w:tcPr>
          <w:p w14:paraId="42F015A3">
            <w:pPr>
              <w:spacing w:line="360" w:lineRule="auto"/>
              <w:contextualSpacing/>
              <w:jc w:val="center"/>
              <w:rPr>
                <w:rFonts w:ascii="宋体" w:hAnsi="宋体"/>
                <w:color w:val="auto"/>
                <w:sz w:val="24"/>
                <w:szCs w:val="20"/>
                <w:highlight w:val="none"/>
              </w:rPr>
            </w:pPr>
          </w:p>
        </w:tc>
        <w:tc>
          <w:tcPr>
            <w:tcW w:w="1701" w:type="dxa"/>
            <w:vAlign w:val="center"/>
          </w:tcPr>
          <w:p w14:paraId="0F7AECC7">
            <w:pPr>
              <w:spacing w:line="360" w:lineRule="auto"/>
              <w:contextualSpacing/>
              <w:jc w:val="center"/>
              <w:rPr>
                <w:rFonts w:ascii="宋体" w:hAnsi="宋体"/>
                <w:color w:val="auto"/>
                <w:sz w:val="24"/>
                <w:szCs w:val="20"/>
                <w:highlight w:val="none"/>
              </w:rPr>
            </w:pPr>
          </w:p>
        </w:tc>
        <w:tc>
          <w:tcPr>
            <w:tcW w:w="1420" w:type="dxa"/>
            <w:vAlign w:val="center"/>
          </w:tcPr>
          <w:p w14:paraId="79DA4A9B">
            <w:pPr>
              <w:spacing w:line="360" w:lineRule="auto"/>
              <w:contextualSpacing/>
              <w:jc w:val="center"/>
              <w:rPr>
                <w:rFonts w:ascii="宋体" w:hAnsi="宋体"/>
                <w:color w:val="auto"/>
                <w:sz w:val="24"/>
                <w:szCs w:val="20"/>
                <w:highlight w:val="none"/>
              </w:rPr>
            </w:pPr>
          </w:p>
        </w:tc>
        <w:tc>
          <w:tcPr>
            <w:tcW w:w="1698" w:type="dxa"/>
            <w:vAlign w:val="center"/>
          </w:tcPr>
          <w:p w14:paraId="466D24FA">
            <w:pPr>
              <w:spacing w:line="360" w:lineRule="auto"/>
              <w:contextualSpacing/>
              <w:jc w:val="center"/>
              <w:rPr>
                <w:rFonts w:ascii="宋体" w:hAnsi="宋体"/>
                <w:color w:val="auto"/>
                <w:sz w:val="24"/>
                <w:szCs w:val="20"/>
                <w:highlight w:val="none"/>
              </w:rPr>
            </w:pPr>
          </w:p>
        </w:tc>
        <w:tc>
          <w:tcPr>
            <w:tcW w:w="1843" w:type="dxa"/>
            <w:vAlign w:val="center"/>
          </w:tcPr>
          <w:p w14:paraId="643070A5">
            <w:pPr>
              <w:spacing w:line="360" w:lineRule="auto"/>
              <w:contextualSpacing/>
              <w:jc w:val="center"/>
              <w:rPr>
                <w:rFonts w:ascii="宋体" w:hAnsi="宋体"/>
                <w:color w:val="auto"/>
                <w:sz w:val="24"/>
                <w:szCs w:val="20"/>
                <w:highlight w:val="none"/>
              </w:rPr>
            </w:pPr>
          </w:p>
        </w:tc>
      </w:tr>
      <w:tr w14:paraId="7539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3D8913">
            <w:pPr>
              <w:spacing w:line="360" w:lineRule="auto"/>
              <w:contextualSpacing/>
              <w:jc w:val="center"/>
              <w:rPr>
                <w:rFonts w:ascii="宋体" w:hAnsi="宋体"/>
                <w:color w:val="auto"/>
                <w:sz w:val="24"/>
                <w:szCs w:val="20"/>
                <w:highlight w:val="none"/>
              </w:rPr>
            </w:pPr>
          </w:p>
        </w:tc>
        <w:tc>
          <w:tcPr>
            <w:tcW w:w="709" w:type="dxa"/>
            <w:vAlign w:val="center"/>
          </w:tcPr>
          <w:p w14:paraId="0CC05B59">
            <w:pPr>
              <w:spacing w:line="360" w:lineRule="auto"/>
              <w:contextualSpacing/>
              <w:jc w:val="center"/>
              <w:rPr>
                <w:rFonts w:ascii="宋体" w:hAnsi="宋体"/>
                <w:color w:val="auto"/>
                <w:sz w:val="24"/>
                <w:szCs w:val="20"/>
                <w:highlight w:val="none"/>
              </w:rPr>
            </w:pPr>
          </w:p>
        </w:tc>
        <w:tc>
          <w:tcPr>
            <w:tcW w:w="1701" w:type="dxa"/>
            <w:vAlign w:val="center"/>
          </w:tcPr>
          <w:p w14:paraId="4A7D16B6">
            <w:pPr>
              <w:spacing w:line="360" w:lineRule="auto"/>
              <w:contextualSpacing/>
              <w:jc w:val="center"/>
              <w:rPr>
                <w:rFonts w:ascii="宋体" w:hAnsi="宋体"/>
                <w:color w:val="auto"/>
                <w:sz w:val="24"/>
                <w:szCs w:val="20"/>
                <w:highlight w:val="none"/>
              </w:rPr>
            </w:pPr>
          </w:p>
        </w:tc>
        <w:tc>
          <w:tcPr>
            <w:tcW w:w="1420" w:type="dxa"/>
            <w:vAlign w:val="center"/>
          </w:tcPr>
          <w:p w14:paraId="3BDD127E">
            <w:pPr>
              <w:spacing w:line="360" w:lineRule="auto"/>
              <w:contextualSpacing/>
              <w:jc w:val="center"/>
              <w:rPr>
                <w:rFonts w:ascii="宋体" w:hAnsi="宋体"/>
                <w:color w:val="auto"/>
                <w:sz w:val="24"/>
                <w:szCs w:val="20"/>
                <w:highlight w:val="none"/>
              </w:rPr>
            </w:pPr>
          </w:p>
        </w:tc>
        <w:tc>
          <w:tcPr>
            <w:tcW w:w="1698" w:type="dxa"/>
            <w:vAlign w:val="center"/>
          </w:tcPr>
          <w:p w14:paraId="2B1B4577">
            <w:pPr>
              <w:spacing w:line="360" w:lineRule="auto"/>
              <w:contextualSpacing/>
              <w:jc w:val="center"/>
              <w:rPr>
                <w:rFonts w:ascii="宋体" w:hAnsi="宋体"/>
                <w:color w:val="auto"/>
                <w:sz w:val="24"/>
                <w:szCs w:val="20"/>
                <w:highlight w:val="none"/>
              </w:rPr>
            </w:pPr>
          </w:p>
        </w:tc>
        <w:tc>
          <w:tcPr>
            <w:tcW w:w="1843" w:type="dxa"/>
            <w:vAlign w:val="center"/>
          </w:tcPr>
          <w:p w14:paraId="5044A9F7">
            <w:pPr>
              <w:spacing w:line="360" w:lineRule="auto"/>
              <w:contextualSpacing/>
              <w:jc w:val="center"/>
              <w:rPr>
                <w:rFonts w:ascii="宋体" w:hAnsi="宋体"/>
                <w:color w:val="auto"/>
                <w:sz w:val="24"/>
                <w:szCs w:val="20"/>
                <w:highlight w:val="none"/>
              </w:rPr>
            </w:pPr>
          </w:p>
        </w:tc>
      </w:tr>
    </w:tbl>
    <w:p w14:paraId="31E69F43">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7778A04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69A9ED47">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3700B833">
      <w:pPr>
        <w:spacing w:line="360" w:lineRule="auto"/>
        <w:contextualSpacing/>
        <w:rPr>
          <w:rFonts w:ascii="宋体" w:hAnsi="宋体"/>
          <w:color w:val="auto"/>
          <w:sz w:val="24"/>
          <w:highlight w:val="none"/>
        </w:rPr>
      </w:pPr>
    </w:p>
    <w:p w14:paraId="31A75C96">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7C97BB15">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cs="仿宋_GB2312"/>
          <w:color w:val="auto"/>
          <w:sz w:val="24"/>
          <w:highlight w:val="none"/>
        </w:rPr>
        <w:t>名称</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63F1179A">
      <w:pPr>
        <w:snapToGrid w:val="0"/>
        <w:spacing w:before="50" w:after="156" w:afterLines="50"/>
        <w:jc w:val="left"/>
        <w:rPr>
          <w:rFonts w:ascii="宋体" w:hAnsi="宋体"/>
          <w:color w:val="auto"/>
          <w:sz w:val="24"/>
          <w:szCs w:val="20"/>
          <w:highlight w:val="none"/>
        </w:rPr>
      </w:pPr>
    </w:p>
    <w:p w14:paraId="33235C44">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6E977710">
      <w:pPr>
        <w:snapToGrid w:val="0"/>
        <w:spacing w:before="156"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43BFA343">
      <w:pPr>
        <w:snapToGrid w:val="0"/>
        <w:spacing w:before="156" w:beforeLines="50" w:after="50"/>
        <w:jc w:val="left"/>
        <w:rPr>
          <w:rFonts w:ascii="方正小标宋简体" w:hAnsi="方正小标宋简体" w:eastAsia="方正小标宋简体" w:cs="方正小标宋简体"/>
          <w:bCs/>
          <w:color w:val="auto"/>
          <w:szCs w:val="21"/>
          <w:highlight w:val="none"/>
        </w:rPr>
      </w:pPr>
    </w:p>
    <w:p w14:paraId="29E72452">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2369359B">
      <w:pPr>
        <w:snapToGrid w:val="0"/>
        <w:spacing w:before="156" w:beforeLines="50" w:after="50"/>
        <w:jc w:val="center"/>
        <w:rPr>
          <w:rFonts w:ascii="宋体" w:hAnsi="宋体"/>
          <w:b/>
          <w:color w:val="auto"/>
          <w:sz w:val="24"/>
          <w:highlight w:val="none"/>
        </w:rPr>
      </w:pPr>
    </w:p>
    <w:p w14:paraId="163A50A8">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5634EC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4757A44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0845C92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7843A29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55C102C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8952FD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E591BE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7B8F593B">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55F2C1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F2C1BC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A330AA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32B418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D7D30E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6CAFB59">
      <w:pPr>
        <w:spacing w:line="440" w:lineRule="exact"/>
        <w:rPr>
          <w:rFonts w:ascii="宋体" w:hAnsi="宋体"/>
          <w:color w:val="auto"/>
          <w:sz w:val="24"/>
          <w:highlight w:val="none"/>
        </w:rPr>
      </w:pPr>
    </w:p>
    <w:p w14:paraId="0419337E">
      <w:pPr>
        <w:spacing w:line="440" w:lineRule="exact"/>
        <w:rPr>
          <w:rFonts w:ascii="宋体" w:hAnsi="宋体"/>
          <w:color w:val="auto"/>
          <w:sz w:val="24"/>
          <w:highlight w:val="none"/>
        </w:rPr>
      </w:pPr>
    </w:p>
    <w:p w14:paraId="55D9180D">
      <w:pPr>
        <w:spacing w:line="440" w:lineRule="exact"/>
        <w:rPr>
          <w:rFonts w:ascii="宋体" w:hAnsi="宋体"/>
          <w:color w:val="auto"/>
          <w:sz w:val="24"/>
          <w:highlight w:val="none"/>
        </w:rPr>
      </w:pPr>
    </w:p>
    <w:p w14:paraId="047C9C2B">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3B7FD13F">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318B3D7F">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45C30249">
      <w:pPr>
        <w:jc w:val="center"/>
        <w:rPr>
          <w:rFonts w:ascii="方正小标宋简体" w:hAnsi="方正小标宋简体" w:eastAsia="方正小标宋简体" w:cs="方正小标宋简体"/>
          <w:color w:val="auto"/>
          <w:sz w:val="44"/>
          <w:szCs w:val="44"/>
          <w:highlight w:val="none"/>
        </w:rPr>
      </w:pPr>
      <w:bookmarkStart w:id="178" w:name="_Toc71365926"/>
      <w:r>
        <w:rPr>
          <w:rFonts w:hint="eastAsia" w:ascii="方正小标宋简体" w:hAnsi="方正小标宋简体" w:eastAsia="方正小标宋简体" w:cs="方正小标宋简体"/>
          <w:color w:val="auto"/>
          <w:sz w:val="44"/>
          <w:szCs w:val="44"/>
          <w:highlight w:val="none"/>
        </w:rPr>
        <w:t>中小企业声明函（服务）</w:t>
      </w:r>
      <w:bookmarkEnd w:id="178"/>
    </w:p>
    <w:p w14:paraId="653B797E">
      <w:pPr>
        <w:spacing w:before="2" w:line="500" w:lineRule="exact"/>
        <w:ind w:firstLine="708" w:firstLineChars="294"/>
        <w:rPr>
          <w:rFonts w:ascii="宋体" w:hAnsi="宋体" w:cs="宋体"/>
          <w:b/>
          <w:bCs/>
          <w:color w:val="auto"/>
          <w:sz w:val="24"/>
          <w:highlight w:val="none"/>
        </w:rPr>
      </w:pPr>
    </w:p>
    <w:p w14:paraId="35B0C1D9">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59096AF6">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95943FF">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092654D">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1B4528BF">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738DED5">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6BC97B1A">
      <w:pPr>
        <w:pStyle w:val="2"/>
        <w:spacing w:before="56" w:line="500" w:lineRule="exact"/>
        <w:ind w:right="1808" w:firstLine="705" w:firstLineChars="294"/>
        <w:rPr>
          <w:rFonts w:ascii="宋体" w:hAnsi="宋体"/>
          <w:color w:val="auto"/>
          <w:sz w:val="24"/>
          <w:highlight w:val="none"/>
        </w:rPr>
      </w:pPr>
    </w:p>
    <w:p w14:paraId="2B84799A">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rPr>
        <w:t>：</w:t>
      </w:r>
      <w:r>
        <w:rPr>
          <w:rFonts w:ascii="宋体" w:hAnsi="宋体"/>
          <w:color w:val="auto"/>
          <w:sz w:val="24"/>
          <w:highlight w:val="none"/>
        </w:rPr>
        <w:t xml:space="preserve"> </w:t>
      </w:r>
    </w:p>
    <w:p w14:paraId="1439C4D1">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r>
        <w:rPr>
          <w:rFonts w:hint="eastAsia" w:ascii="宋体" w:hAnsi="宋体"/>
          <w:color w:val="auto"/>
          <w:sz w:val="24"/>
          <w:highlight w:val="none"/>
        </w:rPr>
        <w:t>：</w:t>
      </w:r>
    </w:p>
    <w:p w14:paraId="07403E6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6A78D6D">
      <w:pPr>
        <w:spacing w:line="520" w:lineRule="exact"/>
        <w:jc w:val="center"/>
        <w:rPr>
          <w:rFonts w:ascii="宋体" w:hAnsi="宋体"/>
          <w:color w:val="auto"/>
          <w:sz w:val="24"/>
          <w:highlight w:val="none"/>
        </w:rPr>
      </w:pPr>
      <w:r>
        <w:rPr>
          <w:rFonts w:ascii="宋体" w:hAnsi="宋体"/>
          <w:color w:val="auto"/>
          <w:sz w:val="24"/>
          <w:highlight w:val="none"/>
        </w:rPr>
        <w:br w:type="page"/>
      </w:r>
    </w:p>
    <w:p w14:paraId="24E9606C">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2824D033">
      <w:pPr>
        <w:spacing w:line="360" w:lineRule="auto"/>
        <w:contextualSpacing/>
        <w:rPr>
          <w:rFonts w:ascii="仿宋_GB2312" w:hAnsi="仿宋_GB2312" w:eastAsia="仿宋_GB2312" w:cs="仿宋_GB2312"/>
          <w:color w:val="auto"/>
          <w:sz w:val="32"/>
          <w:szCs w:val="32"/>
          <w:highlight w:val="none"/>
        </w:rPr>
      </w:pPr>
    </w:p>
    <w:p w14:paraId="2753FA8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BBE401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CAD9DA7">
      <w:pPr>
        <w:spacing w:line="360" w:lineRule="auto"/>
        <w:contextualSpacing/>
        <w:rPr>
          <w:rFonts w:ascii="宋体" w:hAnsi="宋体" w:cs="仿宋_GB2312"/>
          <w:color w:val="auto"/>
          <w:sz w:val="24"/>
          <w:highlight w:val="none"/>
        </w:rPr>
      </w:pPr>
    </w:p>
    <w:p w14:paraId="1B85EDB5">
      <w:pPr>
        <w:spacing w:line="360" w:lineRule="auto"/>
        <w:contextualSpacing/>
        <w:rPr>
          <w:rFonts w:ascii="宋体" w:hAnsi="宋体" w:cs="仿宋_GB2312"/>
          <w:color w:val="auto"/>
          <w:sz w:val="24"/>
          <w:highlight w:val="none"/>
        </w:rPr>
      </w:pPr>
    </w:p>
    <w:p w14:paraId="7BFCEAA7">
      <w:pPr>
        <w:spacing w:line="360" w:lineRule="auto"/>
        <w:contextualSpacing/>
        <w:rPr>
          <w:rFonts w:ascii="宋体" w:hAnsi="宋体" w:cs="仿宋_GB2312"/>
          <w:color w:val="auto"/>
          <w:sz w:val="24"/>
          <w:highlight w:val="none"/>
        </w:rPr>
      </w:pPr>
    </w:p>
    <w:p w14:paraId="30C307D3">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450FE692">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0E0D3C5E">
      <w:pPr>
        <w:spacing w:line="360" w:lineRule="auto"/>
        <w:contextualSpacing/>
        <w:rPr>
          <w:rFonts w:ascii="宋体" w:hAnsi="宋体" w:cs="仿宋_GB2312"/>
          <w:color w:val="auto"/>
          <w:sz w:val="24"/>
          <w:highlight w:val="none"/>
        </w:rPr>
      </w:pPr>
    </w:p>
    <w:p w14:paraId="2CD1A702">
      <w:pPr>
        <w:spacing w:line="360" w:lineRule="auto"/>
        <w:contextualSpacing/>
        <w:rPr>
          <w:rFonts w:ascii="宋体" w:hAnsi="宋体" w:cs="仿宋_GB2312"/>
          <w:color w:val="auto"/>
          <w:sz w:val="24"/>
          <w:highlight w:val="none"/>
        </w:rPr>
      </w:pPr>
    </w:p>
    <w:p w14:paraId="0200CECC">
      <w:pPr>
        <w:spacing w:line="360" w:lineRule="auto"/>
        <w:contextualSpacing/>
        <w:rPr>
          <w:rFonts w:ascii="宋体" w:hAnsi="宋体" w:cs="仿宋_GB2312"/>
          <w:color w:val="auto"/>
          <w:sz w:val="24"/>
          <w:highlight w:val="none"/>
        </w:rPr>
      </w:pPr>
    </w:p>
    <w:p w14:paraId="740A1E2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4332D6C5">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10661B03">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826F498">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r>
        <w:rPr>
          <w:rFonts w:hint="eastAsia" w:hAnsi="宋体"/>
          <w:bCs/>
          <w:color w:val="auto"/>
          <w:sz w:val="24"/>
          <w:szCs w:val="24"/>
          <w:highlight w:val="none"/>
        </w:rPr>
        <w:t>：</w:t>
      </w:r>
    </w:p>
    <w:p w14:paraId="49822F07">
      <w:pPr>
        <w:pStyle w:val="18"/>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530825">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6C3CCB">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1653147">
      <w:pPr>
        <w:pStyle w:val="18"/>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2206277">
      <w:pPr>
        <w:pStyle w:val="18"/>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F6E1166">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C9E494E">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r>
        <w:rPr>
          <w:rFonts w:hint="eastAsia" w:hAnsi="宋体"/>
          <w:bCs/>
          <w:color w:val="auto"/>
          <w:sz w:val="24"/>
          <w:szCs w:val="24"/>
          <w:highlight w:val="none"/>
        </w:rPr>
        <w:t>：</w:t>
      </w:r>
    </w:p>
    <w:p w14:paraId="4F6EF83F">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F366A97">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5A41DAA">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412D182">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70FC3E64">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17F27E30">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4CDFB4A7">
      <w:pPr>
        <w:pStyle w:val="18"/>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3D2253DE">
      <w:pPr>
        <w:pStyle w:val="18"/>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68F84662">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7B11C88">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00A05BB6">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22EB017A">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2CA46D2E">
      <w:pPr>
        <w:pStyle w:val="18"/>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3AFD441B">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12A9F75">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B340CFD">
      <w:pPr>
        <w:pStyle w:val="18"/>
        <w:spacing w:line="360" w:lineRule="auto"/>
        <w:ind w:left="25" w:leftChars="12" w:firstLine="352" w:firstLineChars="147"/>
        <w:contextualSpacing/>
        <w:rPr>
          <w:rFonts w:hAnsi="宋体"/>
          <w:color w:val="auto"/>
          <w:sz w:val="24"/>
          <w:szCs w:val="24"/>
          <w:highlight w:val="none"/>
        </w:rPr>
      </w:pPr>
    </w:p>
    <w:p w14:paraId="16E33CAD">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269B6894">
      <w:pPr>
        <w:pStyle w:val="18"/>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3307C44B">
      <w:pPr>
        <w:pStyle w:val="18"/>
        <w:spacing w:line="360" w:lineRule="auto"/>
        <w:contextualSpacing/>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4C023282">
      <w:pPr>
        <w:pStyle w:val="18"/>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B588716">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E431302">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E3D2086">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1A1584A1">
      <w:pPr>
        <w:pStyle w:val="18"/>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68DE70F">
      <w:pPr>
        <w:pStyle w:val="18"/>
        <w:snapToGrid w:val="0"/>
        <w:rPr>
          <w:b/>
          <w:color w:val="auto"/>
          <w:sz w:val="24"/>
          <w:szCs w:val="24"/>
          <w:highlight w:val="none"/>
        </w:rPr>
      </w:pPr>
    </w:p>
    <w:p w14:paraId="4CE60ABB">
      <w:pPr>
        <w:rPr>
          <w:color w:val="auto"/>
          <w:sz w:val="32"/>
          <w:szCs w:val="40"/>
          <w:highlight w:val="none"/>
        </w:rPr>
      </w:pPr>
    </w:p>
    <w:p w14:paraId="3036916F">
      <w:pPr>
        <w:rPr>
          <w:color w:val="auto"/>
          <w:sz w:val="32"/>
          <w:szCs w:val="40"/>
          <w:highlight w:val="none"/>
        </w:rPr>
      </w:pPr>
    </w:p>
    <w:p w14:paraId="38761F93">
      <w:pPr>
        <w:rPr>
          <w:color w:val="auto"/>
          <w:sz w:val="32"/>
          <w:szCs w:val="40"/>
          <w:highlight w:val="none"/>
        </w:rPr>
      </w:pPr>
    </w:p>
    <w:p w14:paraId="26A6127C">
      <w:pPr>
        <w:rPr>
          <w:color w:val="auto"/>
          <w:sz w:val="32"/>
          <w:szCs w:val="40"/>
          <w:highlight w:val="none"/>
        </w:rPr>
      </w:pPr>
    </w:p>
    <w:p w14:paraId="4C1FEED8">
      <w:pPr>
        <w:rPr>
          <w:color w:val="auto"/>
          <w:sz w:val="32"/>
          <w:szCs w:val="40"/>
          <w:highlight w:val="none"/>
        </w:rPr>
      </w:pPr>
    </w:p>
    <w:p w14:paraId="001ABF78">
      <w:pPr>
        <w:rPr>
          <w:color w:val="auto"/>
          <w:sz w:val="32"/>
          <w:szCs w:val="40"/>
          <w:highlight w:val="none"/>
        </w:rPr>
      </w:pPr>
    </w:p>
    <w:p w14:paraId="1D3020C2">
      <w:pPr>
        <w:rPr>
          <w:color w:val="auto"/>
          <w:sz w:val="32"/>
          <w:szCs w:val="40"/>
          <w:highlight w:val="none"/>
        </w:rPr>
      </w:pPr>
    </w:p>
    <w:p w14:paraId="5A6574DD">
      <w:pPr>
        <w:rPr>
          <w:color w:val="auto"/>
          <w:sz w:val="32"/>
          <w:szCs w:val="40"/>
          <w:highlight w:val="none"/>
        </w:rPr>
      </w:pPr>
    </w:p>
    <w:p w14:paraId="014127F8">
      <w:pPr>
        <w:rPr>
          <w:color w:val="auto"/>
          <w:sz w:val="32"/>
          <w:szCs w:val="40"/>
          <w:highlight w:val="none"/>
        </w:rPr>
      </w:pPr>
    </w:p>
    <w:p w14:paraId="3BA6F4DD">
      <w:pPr>
        <w:rPr>
          <w:color w:val="auto"/>
          <w:sz w:val="32"/>
          <w:szCs w:val="40"/>
          <w:highlight w:val="none"/>
        </w:rPr>
      </w:pPr>
    </w:p>
    <w:p w14:paraId="0F0C9CBA">
      <w:pPr>
        <w:rPr>
          <w:color w:val="auto"/>
          <w:sz w:val="32"/>
          <w:szCs w:val="40"/>
          <w:highlight w:val="none"/>
        </w:rPr>
      </w:pPr>
    </w:p>
    <w:p w14:paraId="71E553B9">
      <w:pPr>
        <w:rPr>
          <w:color w:val="auto"/>
          <w:sz w:val="32"/>
          <w:szCs w:val="40"/>
          <w:highlight w:val="none"/>
        </w:rPr>
      </w:pPr>
    </w:p>
    <w:p w14:paraId="05C9DD57">
      <w:pPr>
        <w:rPr>
          <w:color w:val="auto"/>
          <w:sz w:val="32"/>
          <w:szCs w:val="40"/>
          <w:highlight w:val="none"/>
        </w:rPr>
      </w:pPr>
    </w:p>
    <w:p w14:paraId="2C3D1345">
      <w:pPr>
        <w:rPr>
          <w:color w:val="auto"/>
          <w:sz w:val="32"/>
          <w:szCs w:val="40"/>
          <w:highlight w:val="none"/>
        </w:rPr>
      </w:pPr>
    </w:p>
    <w:p w14:paraId="3E190E8A">
      <w:pP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624FA11E">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3E4E5B3">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r>
        <w:rPr>
          <w:rFonts w:hint="eastAsia" w:hAnsi="宋体"/>
          <w:bCs/>
          <w:color w:val="auto"/>
          <w:sz w:val="24"/>
          <w:szCs w:val="24"/>
          <w:highlight w:val="none"/>
        </w:rPr>
        <w:t>：</w:t>
      </w:r>
    </w:p>
    <w:p w14:paraId="1F4CC9CA">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FE601FA">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E6CB7C">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2190A98">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5B84C0D">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A4A589B">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135E989">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C4CDB3B">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7B830B39">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D52762A">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8C136F">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BD24BA4">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1DAC7C8A">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7D32892E">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6C59BC1">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5F50046">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3184A02">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r>
        <w:rPr>
          <w:rFonts w:hint="eastAsia" w:hAnsi="宋体"/>
          <w:bCs/>
          <w:color w:val="auto"/>
          <w:sz w:val="24"/>
          <w:szCs w:val="24"/>
          <w:highlight w:val="none"/>
        </w:rPr>
        <w:t>：</w:t>
      </w:r>
    </w:p>
    <w:p w14:paraId="25DBFAA1">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32ACC68">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BF06410">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03B68B8">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22D4073">
      <w:pPr>
        <w:pStyle w:val="18"/>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D0E3AF2">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5F80E1B">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48422ADA">
      <w:pPr>
        <w:pStyle w:val="18"/>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D72CF94">
      <w:pPr>
        <w:pStyle w:val="18"/>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8922733">
      <w:pPr>
        <w:pStyle w:val="18"/>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9F69F7B">
      <w:pPr>
        <w:pStyle w:val="18"/>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550DDE4">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1A5D541D">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9709FAD">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0AA59BC">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62414960">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DA8DE09">
      <w:pPr>
        <w:pStyle w:val="18"/>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25AEA44">
      <w:pPr>
        <w:pStyle w:val="18"/>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04DA1B3B">
      <w:pPr>
        <w:pStyle w:val="18"/>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3E5368D2">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r>
        <w:rPr>
          <w:rFonts w:hint="eastAsia" w:hAnsi="宋体"/>
          <w:color w:val="auto"/>
          <w:sz w:val="24"/>
          <w:szCs w:val="24"/>
          <w:highlight w:val="none"/>
        </w:rPr>
        <w:t>：</w:t>
      </w:r>
    </w:p>
    <w:p w14:paraId="20E91795">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93A7A0F">
      <w:pPr>
        <w:pStyle w:val="18"/>
        <w:spacing w:line="360" w:lineRule="auto"/>
        <w:ind w:left="25" w:leftChars="12" w:firstLine="352" w:firstLineChars="147"/>
        <w:rPr>
          <w:rFonts w:hAnsi="宋体"/>
          <w:color w:val="auto"/>
          <w:sz w:val="24"/>
          <w:szCs w:val="24"/>
          <w:highlight w:val="none"/>
        </w:rPr>
      </w:pPr>
    </w:p>
    <w:p w14:paraId="43695D80">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3C34DF5A">
      <w:pPr>
        <w:pStyle w:val="18"/>
        <w:spacing w:line="360" w:lineRule="auto"/>
        <w:ind w:left="25" w:leftChars="12" w:firstLine="352" w:firstLineChars="147"/>
        <w:rPr>
          <w:rFonts w:hAnsi="宋体"/>
          <w:color w:val="auto"/>
          <w:sz w:val="24"/>
          <w:szCs w:val="24"/>
          <w:highlight w:val="none"/>
        </w:rPr>
      </w:pPr>
    </w:p>
    <w:p w14:paraId="53695018">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A327EBD">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4E34E037">
      <w:pPr>
        <w:pStyle w:val="18"/>
        <w:snapToGrid w:val="0"/>
        <w:spacing w:line="360" w:lineRule="auto"/>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5D8A89BA">
      <w:pPr>
        <w:pStyle w:val="18"/>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6D2860E">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6D869F">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5D2832B">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7FEB068">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00C270EF">
      <w:pPr>
        <w:pStyle w:val="18"/>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3E732AB6">
      <w:pPr>
        <w:pStyle w:val="5"/>
        <w:jc w:val="center"/>
        <w:rPr>
          <w:color w:val="auto"/>
          <w:highlight w:val="none"/>
        </w:rPr>
      </w:pPr>
      <w:bookmarkStart w:id="179" w:name="_Toc10542"/>
      <w:r>
        <w:rPr>
          <w:rFonts w:hint="eastAsia"/>
          <w:color w:val="auto"/>
          <w:highlight w:val="none"/>
        </w:rPr>
        <w:t>第六章 合同文本</w:t>
      </w:r>
      <w:bookmarkEnd w:id="179"/>
    </w:p>
    <w:p w14:paraId="633A5033">
      <w:pPr>
        <w:autoSpaceDE w:val="0"/>
        <w:autoSpaceDN w:val="0"/>
        <w:adjustRightInd w:val="0"/>
        <w:snapToGrid w:val="0"/>
        <w:spacing w:line="640" w:lineRule="exact"/>
        <w:jc w:val="center"/>
        <w:rPr>
          <w:rFonts w:ascii="宋体" w:hAnsi="宋体"/>
          <w:b/>
          <w:bCs/>
          <w:color w:val="auto"/>
          <w:sz w:val="32"/>
          <w:szCs w:val="32"/>
          <w:highlight w:val="none"/>
        </w:rPr>
      </w:pPr>
    </w:p>
    <w:p w14:paraId="4F238FCA">
      <w:pPr>
        <w:pStyle w:val="2"/>
        <w:rPr>
          <w:color w:val="auto"/>
          <w:highlight w:val="none"/>
        </w:rPr>
      </w:pPr>
    </w:p>
    <w:p w14:paraId="22501B5D">
      <w:pPr>
        <w:autoSpaceDE w:val="0"/>
        <w:autoSpaceDN w:val="0"/>
        <w:adjustRightInd w:val="0"/>
        <w:snapToGrid w:val="0"/>
        <w:spacing w:line="6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14:paraId="76369699">
      <w:pPr>
        <w:wordWrap w:val="0"/>
        <w:spacing w:line="700" w:lineRule="exact"/>
        <w:ind w:firstLine="1799" w:firstLineChars="640"/>
        <w:rPr>
          <w:rFonts w:ascii="宋体" w:hAnsi="宋体" w:cs="Courier New"/>
          <w:b/>
          <w:color w:val="auto"/>
          <w:sz w:val="28"/>
          <w:szCs w:val="28"/>
          <w:highlight w:val="none"/>
        </w:rPr>
      </w:pPr>
    </w:p>
    <w:p w14:paraId="273C674A">
      <w:pPr>
        <w:wordWrap w:val="0"/>
        <w:spacing w:line="700" w:lineRule="exact"/>
        <w:ind w:firstLine="1799" w:firstLineChars="640"/>
        <w:rPr>
          <w:rFonts w:ascii="宋体" w:hAnsi="宋体" w:cs="Courier New"/>
          <w:b/>
          <w:color w:val="auto"/>
          <w:sz w:val="28"/>
          <w:szCs w:val="28"/>
          <w:highlight w:val="none"/>
        </w:rPr>
      </w:pPr>
    </w:p>
    <w:p w14:paraId="53535786">
      <w:pPr>
        <w:wordWrap w:val="0"/>
        <w:spacing w:line="700" w:lineRule="exact"/>
        <w:ind w:firstLine="1799" w:firstLineChars="640"/>
        <w:rPr>
          <w:rFonts w:ascii="宋体" w:hAnsi="宋体" w:cs="Courier New"/>
          <w:b/>
          <w:color w:val="auto"/>
          <w:sz w:val="28"/>
          <w:szCs w:val="28"/>
          <w:highlight w:val="none"/>
        </w:rPr>
      </w:pPr>
    </w:p>
    <w:p w14:paraId="3F51A11F">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合同名称</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399EFC40">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合同编号</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234002DC">
      <w:pPr>
        <w:wordWrap w:val="0"/>
        <w:spacing w:line="700" w:lineRule="exact"/>
        <w:ind w:firstLine="1799" w:firstLineChars="640"/>
        <w:rPr>
          <w:rFonts w:ascii="宋体" w:hAnsi="宋体" w:cs="Courier New"/>
          <w:b/>
          <w:color w:val="auto"/>
          <w:sz w:val="28"/>
          <w:szCs w:val="28"/>
          <w:highlight w:val="none"/>
        </w:rPr>
      </w:pPr>
    </w:p>
    <w:p w14:paraId="69BA8311">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采购人（甲方）</w:t>
      </w:r>
      <w:r>
        <w:rPr>
          <w:rFonts w:hint="eastAsia" w:ascii="宋体" w:hAnsi="宋体" w:cs="Courier New"/>
          <w:b/>
          <w:color w:val="auto"/>
          <w:sz w:val="28"/>
          <w:szCs w:val="28"/>
          <w:highlight w:val="none"/>
          <w:u w:val="single"/>
        </w:rPr>
        <w:t xml:space="preserve">                      </w:t>
      </w:r>
    </w:p>
    <w:p w14:paraId="33431884">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供 应 商（乙方）</w:t>
      </w:r>
      <w:r>
        <w:rPr>
          <w:rFonts w:hint="eastAsia" w:ascii="宋体" w:hAnsi="宋体" w:cs="Courier New"/>
          <w:b/>
          <w:color w:val="auto"/>
          <w:sz w:val="28"/>
          <w:szCs w:val="28"/>
          <w:highlight w:val="none"/>
          <w:u w:val="single"/>
        </w:rPr>
        <w:t xml:space="preserve">                    </w:t>
      </w:r>
    </w:p>
    <w:p w14:paraId="301044AA">
      <w:pPr>
        <w:wordWrap w:val="0"/>
        <w:spacing w:line="700" w:lineRule="exact"/>
        <w:ind w:firstLine="1799" w:firstLineChars="640"/>
        <w:rPr>
          <w:rFonts w:ascii="宋体" w:hAnsi="宋体" w:cs="Courier New"/>
          <w:b/>
          <w:color w:val="auto"/>
          <w:sz w:val="28"/>
          <w:szCs w:val="28"/>
          <w:highlight w:val="none"/>
        </w:rPr>
      </w:pPr>
    </w:p>
    <w:p w14:paraId="7B26F6E2">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签订合同地点</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20DA4719">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签订合同时间</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70E63B75">
      <w:pPr>
        <w:wordWrap w:val="0"/>
        <w:jc w:val="center"/>
        <w:rPr>
          <w:rFonts w:ascii="宋体" w:hAnsi="宋体" w:cs="Courier New"/>
          <w:color w:val="auto"/>
          <w:szCs w:val="21"/>
          <w:highlight w:val="none"/>
        </w:rPr>
      </w:pPr>
      <w:r>
        <w:rPr>
          <w:rFonts w:hint="eastAsia" w:ascii="宋体" w:hAnsi="宋体" w:cs="Courier New"/>
          <w:color w:val="auto"/>
          <w:szCs w:val="21"/>
          <w:highlight w:val="none"/>
        </w:rPr>
        <w:t xml:space="preserve"> </w:t>
      </w:r>
    </w:p>
    <w:p w14:paraId="4B83EC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b/>
          <w:bCs/>
          <w:color w:val="auto"/>
          <w:sz w:val="32"/>
          <w:szCs w:val="32"/>
          <w:highlight w:val="none"/>
        </w:rPr>
      </w:pPr>
      <w:r>
        <w:rPr>
          <w:rFonts w:ascii="Cambria" w:hAnsi="Cambria" w:cs="宋体"/>
          <w:b/>
          <w:bCs/>
          <w:color w:val="auto"/>
          <w:kern w:val="0"/>
          <w:sz w:val="36"/>
          <w:szCs w:val="36"/>
          <w:highlight w:val="none"/>
        </w:rPr>
        <w:br w:type="page"/>
      </w:r>
      <w:r>
        <w:rPr>
          <w:rFonts w:hint="eastAsia" w:ascii="宋体" w:hAnsi="宋体"/>
          <w:b/>
          <w:bCs/>
          <w:color w:val="auto"/>
          <w:sz w:val="32"/>
          <w:szCs w:val="32"/>
          <w:highlight w:val="none"/>
        </w:rPr>
        <w:t>北海市政府采购合同</w:t>
      </w:r>
    </w:p>
    <w:p w14:paraId="1F0AE05D">
      <w:pPr>
        <w:wordWrap w:val="0"/>
        <w:snapToGrid w:val="0"/>
        <w:spacing w:line="36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7F4E2174">
      <w:pPr>
        <w:wordWrap w:val="0"/>
        <w:snapToGrid w:val="0"/>
        <w:spacing w:line="36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采购计划编号：</w:t>
      </w:r>
      <w:r>
        <w:rPr>
          <w:rFonts w:hint="eastAsia" w:ascii="宋体" w:hAnsi="宋体" w:cs="宋体"/>
          <w:bCs/>
          <w:color w:val="auto"/>
          <w:szCs w:val="21"/>
          <w:highlight w:val="none"/>
          <w:u w:val="single"/>
        </w:rPr>
        <w:t xml:space="preserve">                </w:t>
      </w:r>
    </w:p>
    <w:p w14:paraId="73665EE4">
      <w:pPr>
        <w:wordWrap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953457E">
      <w:pPr>
        <w:wordWrap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p>
    <w:p w14:paraId="4A9DC592">
      <w:pPr>
        <w:wordWrap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项目名称和项目编号</w:t>
      </w:r>
      <w:r>
        <w:rPr>
          <w:rFonts w:hint="eastAsia" w:ascii="宋体" w:hAnsi="宋体" w:cs="宋体"/>
          <w:color w:val="auto"/>
          <w:szCs w:val="21"/>
          <w:highlight w:val="none"/>
          <w:u w:val="single"/>
        </w:rPr>
        <w:t xml:space="preserve">                      </w:t>
      </w:r>
    </w:p>
    <w:p w14:paraId="21B140D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签订地点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28123B6C">
      <w:pPr>
        <w:wordWrap w:val="0"/>
        <w:spacing w:line="360" w:lineRule="exact"/>
        <w:ind w:firstLine="420" w:firstLineChars="200"/>
        <w:rPr>
          <w:rFonts w:ascii="宋体" w:hAnsi="宋体" w:cs="宋体"/>
          <w:color w:val="auto"/>
          <w:szCs w:val="21"/>
          <w:highlight w:val="none"/>
        </w:rPr>
      </w:pPr>
    </w:p>
    <w:p w14:paraId="5E7E6F9B">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政府采购竞争性磋商采购方式管理暂行办法》、《中华人民共和国民法典》等法律、法规规定，按照竞争性磋商文件（以下简称磋商文件）、竞争性磋商响应文件（以下简称响应文件）规定条款和成交供应商的承诺、甲乙双方签订本采购合同。</w:t>
      </w:r>
    </w:p>
    <w:p w14:paraId="338C7130">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合同标的及合同金额</w:t>
      </w:r>
    </w:p>
    <w:tbl>
      <w:tblPr>
        <w:tblStyle w:val="2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66"/>
        <w:gridCol w:w="1283"/>
        <w:gridCol w:w="1031"/>
        <w:gridCol w:w="1786"/>
        <w:gridCol w:w="1808"/>
        <w:gridCol w:w="672"/>
      </w:tblGrid>
      <w:tr w14:paraId="073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DDF1D26">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966" w:type="dxa"/>
            <w:tcBorders>
              <w:top w:val="single" w:color="auto" w:sz="4" w:space="0"/>
              <w:left w:val="single" w:color="auto" w:sz="4" w:space="0"/>
              <w:bottom w:val="single" w:color="auto" w:sz="4" w:space="0"/>
              <w:right w:val="single" w:color="auto" w:sz="4" w:space="0"/>
            </w:tcBorders>
            <w:vAlign w:val="center"/>
          </w:tcPr>
          <w:p w14:paraId="636E050F">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服务名称</w:t>
            </w:r>
          </w:p>
        </w:tc>
        <w:tc>
          <w:tcPr>
            <w:tcW w:w="1283" w:type="dxa"/>
            <w:tcBorders>
              <w:top w:val="single" w:color="auto" w:sz="4" w:space="0"/>
              <w:left w:val="single" w:color="auto" w:sz="4" w:space="0"/>
              <w:bottom w:val="single" w:color="auto" w:sz="4" w:space="0"/>
              <w:right w:val="single" w:color="auto" w:sz="4" w:space="0"/>
            </w:tcBorders>
            <w:vAlign w:val="center"/>
          </w:tcPr>
          <w:p w14:paraId="0EC4EA84">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1031" w:type="dxa"/>
            <w:tcBorders>
              <w:top w:val="single" w:color="auto" w:sz="4" w:space="0"/>
              <w:left w:val="single" w:color="auto" w:sz="4" w:space="0"/>
              <w:bottom w:val="single" w:color="auto" w:sz="4" w:space="0"/>
              <w:right w:val="single" w:color="auto" w:sz="4" w:space="0"/>
            </w:tcBorders>
            <w:vAlign w:val="center"/>
          </w:tcPr>
          <w:p w14:paraId="33658A2B">
            <w:pPr>
              <w:widowControl/>
              <w:wordWrap w:val="0"/>
              <w:spacing w:line="360" w:lineRule="exact"/>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1786" w:type="dxa"/>
            <w:tcBorders>
              <w:top w:val="single" w:color="auto" w:sz="4" w:space="0"/>
              <w:left w:val="single" w:color="auto" w:sz="4" w:space="0"/>
              <w:bottom w:val="single" w:color="auto" w:sz="4" w:space="0"/>
              <w:right w:val="single" w:color="auto" w:sz="4" w:space="0"/>
            </w:tcBorders>
            <w:vAlign w:val="center"/>
          </w:tcPr>
          <w:p w14:paraId="597260A5">
            <w:pPr>
              <w:widowControl/>
              <w:wordWrap w:val="0"/>
              <w:spacing w:line="360" w:lineRule="exact"/>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13F28FA8">
            <w:pPr>
              <w:widowControl/>
              <w:wordWrap w:val="0"/>
              <w:spacing w:line="360" w:lineRule="exact"/>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单价合计（元）</w:t>
            </w:r>
          </w:p>
        </w:tc>
        <w:tc>
          <w:tcPr>
            <w:tcW w:w="672" w:type="dxa"/>
            <w:tcBorders>
              <w:top w:val="single" w:color="auto" w:sz="4" w:space="0"/>
              <w:left w:val="single" w:color="auto" w:sz="4" w:space="0"/>
              <w:bottom w:val="single" w:color="auto" w:sz="4" w:space="0"/>
              <w:right w:val="single" w:color="auto" w:sz="4" w:space="0"/>
            </w:tcBorders>
            <w:vAlign w:val="center"/>
          </w:tcPr>
          <w:p w14:paraId="5B7DE138">
            <w:pPr>
              <w:widowControl/>
              <w:wordWrap w:val="0"/>
              <w:spacing w:line="360" w:lineRule="exact"/>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备注</w:t>
            </w:r>
          </w:p>
        </w:tc>
      </w:tr>
      <w:tr w14:paraId="5C58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D1A49F0">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966" w:type="dxa"/>
            <w:tcBorders>
              <w:top w:val="single" w:color="auto" w:sz="4" w:space="0"/>
              <w:left w:val="single" w:color="auto" w:sz="4" w:space="0"/>
              <w:bottom w:val="single" w:color="auto" w:sz="4" w:space="0"/>
              <w:right w:val="single" w:color="auto" w:sz="4" w:space="0"/>
            </w:tcBorders>
            <w:vAlign w:val="center"/>
          </w:tcPr>
          <w:p w14:paraId="3493423F">
            <w:pPr>
              <w:keepNext w:val="0"/>
              <w:keepLines w:val="0"/>
              <w:widowControl/>
              <w:suppressLineNumbers w:val="0"/>
              <w:jc w:val="center"/>
              <w:textAlignment w:val="center"/>
              <w:rPr>
                <w:rFonts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水泥蚝桩拆除</w:t>
            </w:r>
          </w:p>
        </w:tc>
        <w:tc>
          <w:tcPr>
            <w:tcW w:w="1283" w:type="dxa"/>
            <w:tcBorders>
              <w:top w:val="single" w:color="auto" w:sz="4" w:space="0"/>
              <w:left w:val="single" w:color="auto" w:sz="4" w:space="0"/>
              <w:bottom w:val="single" w:color="auto" w:sz="4" w:space="0"/>
              <w:right w:val="single" w:color="auto" w:sz="4" w:space="0"/>
            </w:tcBorders>
            <w:vAlign w:val="center"/>
          </w:tcPr>
          <w:p w14:paraId="10613E5C">
            <w:pPr>
              <w:widowControl/>
              <w:jc w:val="center"/>
              <w:textAlignment w:val="center"/>
              <w:rPr>
                <w:rFonts w:ascii="宋体" w:hAnsi="宋体" w:cs="宋体"/>
                <w:color w:val="auto"/>
                <w:kern w:val="0"/>
                <w:szCs w:val="21"/>
                <w:highlight w:val="none"/>
                <w:lang w:bidi="ar"/>
              </w:rPr>
            </w:pPr>
          </w:p>
        </w:tc>
        <w:tc>
          <w:tcPr>
            <w:tcW w:w="1031" w:type="dxa"/>
            <w:tcBorders>
              <w:top w:val="single" w:color="auto" w:sz="4" w:space="0"/>
              <w:left w:val="single" w:color="auto" w:sz="4" w:space="0"/>
              <w:bottom w:val="single" w:color="auto" w:sz="4" w:space="0"/>
              <w:right w:val="single" w:color="auto" w:sz="4" w:space="0"/>
            </w:tcBorders>
            <w:vAlign w:val="center"/>
          </w:tcPr>
          <w:p w14:paraId="7DA2103B">
            <w:pPr>
              <w:widowControl/>
              <w:jc w:val="center"/>
              <w:textAlignment w:val="center"/>
              <w:rPr>
                <w:rFonts w:ascii="宋体" w:hAnsi="宋体" w:cs="宋体"/>
                <w:color w:val="auto"/>
                <w:kern w:val="0"/>
                <w:szCs w:val="21"/>
                <w:highlight w:val="none"/>
                <w:lang w:bidi="ar"/>
              </w:rPr>
            </w:pPr>
          </w:p>
        </w:tc>
        <w:tc>
          <w:tcPr>
            <w:tcW w:w="1786" w:type="dxa"/>
            <w:tcBorders>
              <w:top w:val="single" w:color="auto" w:sz="4" w:space="0"/>
              <w:left w:val="single" w:color="auto" w:sz="4" w:space="0"/>
              <w:bottom w:val="single" w:color="auto" w:sz="4" w:space="0"/>
              <w:right w:val="single" w:color="auto" w:sz="4" w:space="0"/>
            </w:tcBorders>
            <w:vAlign w:val="center"/>
          </w:tcPr>
          <w:p w14:paraId="4D55AC35">
            <w:pPr>
              <w:widowControl/>
              <w:wordWrap w:val="0"/>
              <w:spacing w:line="360" w:lineRule="exact"/>
              <w:jc w:val="center"/>
              <w:textAlignment w:val="center"/>
              <w:rPr>
                <w:rFonts w:ascii="宋体" w:hAnsi="宋体" w:cs="宋体"/>
                <w:color w:val="auto"/>
                <w:kern w:val="0"/>
                <w:szCs w:val="21"/>
                <w:highlight w:val="none"/>
                <w:lang w:bidi="ar"/>
              </w:rPr>
            </w:pPr>
          </w:p>
        </w:tc>
        <w:tc>
          <w:tcPr>
            <w:tcW w:w="1808" w:type="dxa"/>
            <w:tcBorders>
              <w:top w:val="single" w:color="auto" w:sz="4" w:space="0"/>
              <w:left w:val="single" w:color="auto" w:sz="4" w:space="0"/>
              <w:bottom w:val="single" w:color="auto" w:sz="4" w:space="0"/>
              <w:right w:val="single" w:color="auto" w:sz="4" w:space="0"/>
            </w:tcBorders>
            <w:vAlign w:val="center"/>
          </w:tcPr>
          <w:p w14:paraId="6ABC41FF">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533CBE2F">
            <w:pPr>
              <w:wordWrap w:val="0"/>
              <w:spacing w:line="360" w:lineRule="exact"/>
              <w:jc w:val="center"/>
              <w:rPr>
                <w:rFonts w:ascii="宋体" w:hAnsi="宋体" w:cs="宋体"/>
                <w:color w:val="auto"/>
                <w:szCs w:val="21"/>
                <w:highlight w:val="none"/>
              </w:rPr>
            </w:pPr>
          </w:p>
        </w:tc>
      </w:tr>
      <w:tr w14:paraId="39C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E81148">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966" w:type="dxa"/>
            <w:tcBorders>
              <w:top w:val="single" w:color="auto" w:sz="4" w:space="0"/>
              <w:left w:val="single" w:color="auto" w:sz="4" w:space="0"/>
              <w:bottom w:val="single" w:color="auto" w:sz="4" w:space="0"/>
              <w:right w:val="single" w:color="auto" w:sz="4" w:space="0"/>
            </w:tcBorders>
            <w:vAlign w:val="center"/>
          </w:tcPr>
          <w:p w14:paraId="70EBCC32">
            <w:pPr>
              <w:keepNext w:val="0"/>
              <w:keepLines w:val="0"/>
              <w:widowControl/>
              <w:suppressLineNumbers w:val="0"/>
              <w:jc w:val="center"/>
              <w:textAlignment w:val="center"/>
              <w:rPr>
                <w:rFonts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蚝排及附着物拆除</w:t>
            </w:r>
          </w:p>
        </w:tc>
        <w:tc>
          <w:tcPr>
            <w:tcW w:w="1283" w:type="dxa"/>
            <w:tcBorders>
              <w:top w:val="single" w:color="auto" w:sz="4" w:space="0"/>
              <w:left w:val="single" w:color="auto" w:sz="4" w:space="0"/>
              <w:bottom w:val="single" w:color="auto" w:sz="4" w:space="0"/>
              <w:right w:val="single" w:color="auto" w:sz="4" w:space="0"/>
            </w:tcBorders>
            <w:vAlign w:val="center"/>
          </w:tcPr>
          <w:p w14:paraId="2105A096">
            <w:pPr>
              <w:widowControl/>
              <w:jc w:val="center"/>
              <w:textAlignment w:val="center"/>
              <w:rPr>
                <w:rFonts w:ascii="宋体" w:hAnsi="宋体" w:cs="宋体"/>
                <w:color w:val="auto"/>
                <w:kern w:val="0"/>
                <w:szCs w:val="21"/>
                <w:highlight w:val="none"/>
                <w:lang w:bidi="ar"/>
              </w:rPr>
            </w:pPr>
          </w:p>
        </w:tc>
        <w:tc>
          <w:tcPr>
            <w:tcW w:w="1031" w:type="dxa"/>
            <w:tcBorders>
              <w:top w:val="single" w:color="auto" w:sz="4" w:space="0"/>
              <w:left w:val="single" w:color="auto" w:sz="4" w:space="0"/>
              <w:bottom w:val="single" w:color="auto" w:sz="4" w:space="0"/>
              <w:right w:val="single" w:color="auto" w:sz="4" w:space="0"/>
            </w:tcBorders>
            <w:vAlign w:val="center"/>
          </w:tcPr>
          <w:p w14:paraId="6FEE6F3C">
            <w:pPr>
              <w:widowControl/>
              <w:jc w:val="center"/>
              <w:textAlignment w:val="center"/>
              <w:rPr>
                <w:rFonts w:ascii="宋体" w:hAnsi="宋体" w:cs="宋体"/>
                <w:color w:val="auto"/>
                <w:kern w:val="0"/>
                <w:szCs w:val="21"/>
                <w:highlight w:val="none"/>
                <w:lang w:bidi="ar"/>
              </w:rPr>
            </w:pPr>
          </w:p>
        </w:tc>
        <w:tc>
          <w:tcPr>
            <w:tcW w:w="1786" w:type="dxa"/>
            <w:tcBorders>
              <w:top w:val="single" w:color="auto" w:sz="4" w:space="0"/>
              <w:left w:val="single" w:color="auto" w:sz="4" w:space="0"/>
              <w:bottom w:val="single" w:color="auto" w:sz="4" w:space="0"/>
              <w:right w:val="single" w:color="auto" w:sz="4" w:space="0"/>
            </w:tcBorders>
            <w:vAlign w:val="center"/>
          </w:tcPr>
          <w:p w14:paraId="292E3B59">
            <w:pPr>
              <w:widowControl/>
              <w:wordWrap w:val="0"/>
              <w:spacing w:line="360" w:lineRule="exact"/>
              <w:jc w:val="center"/>
              <w:textAlignment w:val="center"/>
              <w:rPr>
                <w:rFonts w:ascii="宋体" w:hAnsi="宋体" w:cs="宋体"/>
                <w:color w:val="auto"/>
                <w:kern w:val="0"/>
                <w:szCs w:val="21"/>
                <w:highlight w:val="none"/>
                <w:lang w:bidi="ar"/>
              </w:rPr>
            </w:pPr>
          </w:p>
        </w:tc>
        <w:tc>
          <w:tcPr>
            <w:tcW w:w="1808" w:type="dxa"/>
            <w:tcBorders>
              <w:top w:val="single" w:color="auto" w:sz="4" w:space="0"/>
              <w:left w:val="single" w:color="auto" w:sz="4" w:space="0"/>
              <w:bottom w:val="single" w:color="auto" w:sz="4" w:space="0"/>
              <w:right w:val="single" w:color="auto" w:sz="4" w:space="0"/>
            </w:tcBorders>
            <w:vAlign w:val="center"/>
          </w:tcPr>
          <w:p w14:paraId="6DA78432">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4E875B37">
            <w:pPr>
              <w:wordWrap w:val="0"/>
              <w:spacing w:line="360" w:lineRule="exact"/>
              <w:jc w:val="center"/>
              <w:rPr>
                <w:rFonts w:ascii="宋体" w:hAnsi="宋体" w:cs="宋体"/>
                <w:color w:val="auto"/>
                <w:szCs w:val="21"/>
                <w:highlight w:val="none"/>
              </w:rPr>
            </w:pPr>
          </w:p>
        </w:tc>
      </w:tr>
      <w:tr w14:paraId="791E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CC6AE35">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966" w:type="dxa"/>
            <w:tcBorders>
              <w:top w:val="single" w:color="auto" w:sz="4" w:space="0"/>
              <w:left w:val="single" w:color="auto" w:sz="4" w:space="0"/>
              <w:bottom w:val="single" w:color="auto" w:sz="4" w:space="0"/>
              <w:right w:val="single" w:color="auto" w:sz="4" w:space="0"/>
            </w:tcBorders>
            <w:vAlign w:val="center"/>
          </w:tcPr>
          <w:p w14:paraId="3D15EC90">
            <w:pPr>
              <w:keepNext w:val="0"/>
              <w:keepLines w:val="0"/>
              <w:widowControl/>
              <w:suppressLineNumbers w:val="0"/>
              <w:jc w:val="center"/>
              <w:textAlignment w:val="center"/>
              <w:rPr>
                <w:rFonts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废弃蚝堆拆除</w:t>
            </w:r>
          </w:p>
        </w:tc>
        <w:tc>
          <w:tcPr>
            <w:tcW w:w="1283" w:type="dxa"/>
            <w:tcBorders>
              <w:top w:val="single" w:color="auto" w:sz="4" w:space="0"/>
              <w:left w:val="single" w:color="auto" w:sz="4" w:space="0"/>
              <w:bottom w:val="single" w:color="auto" w:sz="4" w:space="0"/>
              <w:right w:val="single" w:color="auto" w:sz="4" w:space="0"/>
            </w:tcBorders>
            <w:vAlign w:val="center"/>
          </w:tcPr>
          <w:p w14:paraId="0D212AD4">
            <w:pPr>
              <w:widowControl/>
              <w:jc w:val="center"/>
              <w:textAlignment w:val="center"/>
              <w:rPr>
                <w:rFonts w:ascii="宋体" w:hAnsi="宋体" w:cs="宋体"/>
                <w:color w:val="auto"/>
                <w:kern w:val="0"/>
                <w:szCs w:val="21"/>
                <w:highlight w:val="none"/>
                <w:lang w:bidi="ar"/>
              </w:rPr>
            </w:pPr>
          </w:p>
        </w:tc>
        <w:tc>
          <w:tcPr>
            <w:tcW w:w="1031" w:type="dxa"/>
            <w:tcBorders>
              <w:top w:val="single" w:color="auto" w:sz="4" w:space="0"/>
              <w:left w:val="single" w:color="auto" w:sz="4" w:space="0"/>
              <w:bottom w:val="single" w:color="auto" w:sz="4" w:space="0"/>
              <w:right w:val="single" w:color="auto" w:sz="4" w:space="0"/>
            </w:tcBorders>
            <w:vAlign w:val="center"/>
          </w:tcPr>
          <w:p w14:paraId="4C74CAAD">
            <w:pPr>
              <w:widowControl/>
              <w:jc w:val="center"/>
              <w:textAlignment w:val="center"/>
              <w:rPr>
                <w:rFonts w:ascii="宋体" w:hAnsi="宋体" w:cs="宋体"/>
                <w:color w:val="auto"/>
                <w:kern w:val="0"/>
                <w:szCs w:val="21"/>
                <w:highlight w:val="none"/>
                <w:lang w:bidi="ar"/>
              </w:rPr>
            </w:pPr>
          </w:p>
        </w:tc>
        <w:tc>
          <w:tcPr>
            <w:tcW w:w="1786" w:type="dxa"/>
            <w:tcBorders>
              <w:top w:val="single" w:color="auto" w:sz="4" w:space="0"/>
              <w:left w:val="single" w:color="auto" w:sz="4" w:space="0"/>
              <w:bottom w:val="single" w:color="auto" w:sz="4" w:space="0"/>
              <w:right w:val="single" w:color="auto" w:sz="4" w:space="0"/>
            </w:tcBorders>
            <w:vAlign w:val="center"/>
          </w:tcPr>
          <w:p w14:paraId="37902983">
            <w:pPr>
              <w:widowControl/>
              <w:wordWrap w:val="0"/>
              <w:spacing w:line="360" w:lineRule="exact"/>
              <w:jc w:val="center"/>
              <w:textAlignment w:val="center"/>
              <w:rPr>
                <w:rFonts w:ascii="宋体" w:hAnsi="宋体" w:cs="宋体"/>
                <w:color w:val="auto"/>
                <w:kern w:val="0"/>
                <w:szCs w:val="21"/>
                <w:highlight w:val="none"/>
                <w:lang w:bidi="ar"/>
              </w:rPr>
            </w:pPr>
          </w:p>
        </w:tc>
        <w:tc>
          <w:tcPr>
            <w:tcW w:w="1808" w:type="dxa"/>
            <w:tcBorders>
              <w:top w:val="single" w:color="auto" w:sz="4" w:space="0"/>
              <w:left w:val="single" w:color="auto" w:sz="4" w:space="0"/>
              <w:bottom w:val="single" w:color="auto" w:sz="4" w:space="0"/>
              <w:right w:val="single" w:color="auto" w:sz="4" w:space="0"/>
            </w:tcBorders>
            <w:vAlign w:val="center"/>
          </w:tcPr>
          <w:p w14:paraId="30955830">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6C64FBDB">
            <w:pPr>
              <w:wordWrap w:val="0"/>
              <w:spacing w:line="360" w:lineRule="exact"/>
              <w:jc w:val="center"/>
              <w:rPr>
                <w:rFonts w:ascii="宋体" w:hAnsi="宋体" w:cs="宋体"/>
                <w:color w:val="auto"/>
                <w:szCs w:val="21"/>
                <w:highlight w:val="none"/>
              </w:rPr>
            </w:pPr>
          </w:p>
        </w:tc>
      </w:tr>
      <w:tr w14:paraId="5C95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E952769">
            <w:pPr>
              <w:widowControl/>
              <w:wordWrap w:val="0"/>
              <w:spacing w:line="360" w:lineRule="exact"/>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w:t>
            </w:r>
          </w:p>
        </w:tc>
        <w:tc>
          <w:tcPr>
            <w:tcW w:w="1966" w:type="dxa"/>
            <w:tcBorders>
              <w:top w:val="single" w:color="auto" w:sz="4" w:space="0"/>
              <w:left w:val="single" w:color="auto" w:sz="4" w:space="0"/>
              <w:bottom w:val="single" w:color="auto" w:sz="4" w:space="0"/>
              <w:right w:val="single" w:color="auto" w:sz="4" w:space="0"/>
            </w:tcBorders>
            <w:vAlign w:val="center"/>
          </w:tcPr>
          <w:p w14:paraId="0C7ADD3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渔箔拆除</w:t>
            </w:r>
          </w:p>
        </w:tc>
        <w:tc>
          <w:tcPr>
            <w:tcW w:w="1283" w:type="dxa"/>
            <w:tcBorders>
              <w:top w:val="single" w:color="auto" w:sz="4" w:space="0"/>
              <w:left w:val="single" w:color="auto" w:sz="4" w:space="0"/>
              <w:bottom w:val="single" w:color="auto" w:sz="4" w:space="0"/>
              <w:right w:val="single" w:color="auto" w:sz="4" w:space="0"/>
            </w:tcBorders>
            <w:vAlign w:val="center"/>
          </w:tcPr>
          <w:p w14:paraId="1E391F19">
            <w:pPr>
              <w:widowControl/>
              <w:jc w:val="center"/>
              <w:textAlignment w:val="center"/>
              <w:rPr>
                <w:rFonts w:ascii="宋体" w:hAnsi="宋体" w:cs="宋体"/>
                <w:color w:val="auto"/>
                <w:kern w:val="0"/>
                <w:szCs w:val="21"/>
                <w:highlight w:val="none"/>
                <w:lang w:bidi="ar"/>
              </w:rPr>
            </w:pPr>
          </w:p>
        </w:tc>
        <w:tc>
          <w:tcPr>
            <w:tcW w:w="1031" w:type="dxa"/>
            <w:tcBorders>
              <w:top w:val="single" w:color="auto" w:sz="4" w:space="0"/>
              <w:left w:val="single" w:color="auto" w:sz="4" w:space="0"/>
              <w:bottom w:val="single" w:color="auto" w:sz="4" w:space="0"/>
              <w:right w:val="single" w:color="auto" w:sz="4" w:space="0"/>
            </w:tcBorders>
            <w:vAlign w:val="center"/>
          </w:tcPr>
          <w:p w14:paraId="3B84AF65">
            <w:pPr>
              <w:widowControl/>
              <w:jc w:val="center"/>
              <w:textAlignment w:val="center"/>
              <w:rPr>
                <w:rFonts w:ascii="宋体" w:hAnsi="宋体" w:cs="宋体"/>
                <w:color w:val="auto"/>
                <w:kern w:val="0"/>
                <w:szCs w:val="21"/>
                <w:highlight w:val="none"/>
                <w:lang w:bidi="ar"/>
              </w:rPr>
            </w:pPr>
          </w:p>
        </w:tc>
        <w:tc>
          <w:tcPr>
            <w:tcW w:w="1786" w:type="dxa"/>
            <w:tcBorders>
              <w:top w:val="single" w:color="auto" w:sz="4" w:space="0"/>
              <w:left w:val="single" w:color="auto" w:sz="4" w:space="0"/>
              <w:bottom w:val="single" w:color="auto" w:sz="4" w:space="0"/>
              <w:right w:val="single" w:color="auto" w:sz="4" w:space="0"/>
            </w:tcBorders>
            <w:vAlign w:val="center"/>
          </w:tcPr>
          <w:p w14:paraId="34D97B19">
            <w:pPr>
              <w:widowControl/>
              <w:wordWrap w:val="0"/>
              <w:spacing w:line="360" w:lineRule="exact"/>
              <w:jc w:val="center"/>
              <w:textAlignment w:val="center"/>
              <w:rPr>
                <w:rFonts w:ascii="宋体" w:hAnsi="宋体" w:cs="宋体"/>
                <w:color w:val="auto"/>
                <w:kern w:val="0"/>
                <w:szCs w:val="21"/>
                <w:highlight w:val="none"/>
                <w:lang w:bidi="ar"/>
              </w:rPr>
            </w:pPr>
          </w:p>
        </w:tc>
        <w:tc>
          <w:tcPr>
            <w:tcW w:w="1808" w:type="dxa"/>
            <w:tcBorders>
              <w:top w:val="single" w:color="auto" w:sz="4" w:space="0"/>
              <w:left w:val="single" w:color="auto" w:sz="4" w:space="0"/>
              <w:bottom w:val="single" w:color="auto" w:sz="4" w:space="0"/>
              <w:right w:val="single" w:color="auto" w:sz="4" w:space="0"/>
            </w:tcBorders>
            <w:vAlign w:val="center"/>
          </w:tcPr>
          <w:p w14:paraId="3B649CF6">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757F14E1">
            <w:pPr>
              <w:wordWrap w:val="0"/>
              <w:spacing w:line="360" w:lineRule="exact"/>
              <w:jc w:val="center"/>
              <w:rPr>
                <w:rFonts w:ascii="宋体" w:hAnsi="宋体" w:cs="宋体"/>
                <w:color w:val="auto"/>
                <w:szCs w:val="21"/>
                <w:highlight w:val="none"/>
              </w:rPr>
            </w:pPr>
          </w:p>
        </w:tc>
      </w:tr>
      <w:tr w14:paraId="3D05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14:paraId="21E72F13">
            <w:pPr>
              <w:wordWrap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磋商总报价（人民币）：</w:t>
            </w:r>
            <w:r>
              <w:rPr>
                <w:rFonts w:hint="eastAsia" w:ascii="宋体" w:hAnsi="宋体" w:cs="宋体"/>
                <w:b/>
                <w:bCs/>
                <w:color w:val="auto"/>
                <w:szCs w:val="21"/>
                <w:highlight w:val="none"/>
                <w:u w:val="single"/>
              </w:rPr>
              <w:t xml:space="preserve">（大写）                 （小写）             </w:t>
            </w:r>
          </w:p>
        </w:tc>
      </w:tr>
      <w:tr w14:paraId="43FB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14:paraId="1C109A4B">
            <w:pPr>
              <w:wordWrap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合同履行期限：</w:t>
            </w:r>
          </w:p>
        </w:tc>
      </w:tr>
    </w:tbl>
    <w:p w14:paraId="3118E62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根据《成交通知书》的成交内容，合同的总金额为：（大写）</w:t>
      </w:r>
      <w:r>
        <w:rPr>
          <w:rFonts w:hint="eastAsia" w:ascii="宋体" w:hAnsi="宋体" w:cs="宋体"/>
          <w:color w:val="auto"/>
          <w:szCs w:val="21"/>
          <w:highlight w:val="none"/>
          <w:u w:val="single"/>
        </w:rPr>
        <w:t>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w:t>
      </w:r>
      <w:r>
        <w:rPr>
          <w:rFonts w:hint="eastAsia" w:ascii="宋体" w:hAnsi="宋体" w:cs="宋体"/>
          <w:color w:val="auto"/>
          <w:szCs w:val="21"/>
          <w:highlight w:val="none"/>
        </w:rPr>
        <w:t>元）。</w:t>
      </w:r>
    </w:p>
    <w:p w14:paraId="23430239">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合同总金额包括但不限于整体服务价格及设备、人员成本、管理、利润、税金、保险、搬运、包装、运输、培训、验收、检测及其它所有成本、费用的总和。</w:t>
      </w:r>
    </w:p>
    <w:p w14:paraId="5CB90F2F">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42886D0B">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乙方应按磋商文件要求及响应文件承诺向甲方提供服务。</w:t>
      </w:r>
    </w:p>
    <w:p w14:paraId="06CC1937">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权力保证</w:t>
      </w:r>
    </w:p>
    <w:p w14:paraId="5EEFFAC4">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1.甲方权利和义务</w:t>
      </w:r>
    </w:p>
    <w:p w14:paraId="37741C5A">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（1）甲方负责审核确定乙方提交的清理计划。</w:t>
      </w:r>
    </w:p>
    <w:p w14:paraId="7C7078CA">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（2）甲方负责监督检查清理区域的清理效果情况。</w:t>
      </w:r>
    </w:p>
    <w:p w14:paraId="01D6E442">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（3）甲方负责对乙方开展的工作情况进行验收，验收小组现场验收确定出清理亩数、清理时长；验收合格的，按实际清理工作量乘以成交单价进行清理费用的支付。</w:t>
      </w:r>
    </w:p>
    <w:p w14:paraId="2BFF69A8">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2.乙方权利和义务</w:t>
      </w:r>
    </w:p>
    <w:p w14:paraId="008515EC">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（1）乙方按国家、自治区有关规定和响应文件中的承诺负责组织落实好清理队伍并按安全生产有关规定组织好实施工作；</w:t>
      </w:r>
    </w:p>
    <w:p w14:paraId="0CA6B895">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（2）乙方根据潮汐变化对清理范围内的清理内容开展经常性巡查，巡查发现后需及时沟通甲方共同参与清理；</w:t>
      </w:r>
    </w:p>
    <w:p w14:paraId="7303E84B">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（4）乙方按时支付项目人员工资并按有关规定落实有关保险事项，负责项目人员的人身安全；</w:t>
      </w:r>
    </w:p>
    <w:p w14:paraId="77F38B7A">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（5）乙方自行负责实施过程中所需的工具；</w:t>
      </w:r>
    </w:p>
    <w:p w14:paraId="553AC413">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（6）乙方派驻专人负责对清理及实施全过程进行监管及向甲方进行实时汇报，监管应对清理过程拍摄相应照片等进行保存归档，并做好数量统计，接受甲方的检查。</w:t>
      </w:r>
    </w:p>
    <w:p w14:paraId="4A80F760">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（7）乙方服从甲方的工作安排和监督管理。</w:t>
      </w:r>
    </w:p>
    <w:p w14:paraId="509EFBFC">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（8）乙方按时报送清理数据给甲方。</w:t>
      </w:r>
    </w:p>
    <w:p w14:paraId="7E35D1C7">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（9）在清理过程中，如果与群众发生了冲突，由乙方负责协调和解决，因冲突导致人员伤亡财产损失或者工期延误，由此产生的后果均由乙方负责。</w:t>
      </w:r>
    </w:p>
    <w:p w14:paraId="71BDBA53">
      <w:pPr>
        <w:wordWrap w:val="0"/>
        <w:adjustRightInd w:val="0"/>
        <w:spacing w:line="36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第四条  合同履行期限及服务地点：</w:t>
      </w:r>
    </w:p>
    <w:p w14:paraId="16A1E5E2">
      <w:pPr>
        <w:wordWrap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（1）合同履行期限：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BFCDFF3">
      <w:pPr>
        <w:wordWrap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（2）服务地点：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F2846BF">
      <w:pPr>
        <w:wordWrap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项目验收</w:t>
      </w:r>
    </w:p>
    <w:p w14:paraId="172EBC38">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.乙方须配合采购人完成项目验收工作，验收过程中产生的一切费用均由乙方承担，包括但不限于验收过程中可能使用到的无人机等相关设备费、检验检测费用等。报价时应考虑相关费用。</w:t>
      </w:r>
    </w:p>
    <w:p w14:paraId="76F777F9">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整体清理完成后，甲方在收到乙方提供的验收申请书后10天内组织验收。乙方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0EC27E2D">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3.乙方根据清理计划进行清理，要求对验收成果进行验收时，须提前通知甲方进行现场验收，乙方对验收过程必须全程录制视频监控。</w:t>
      </w:r>
    </w:p>
    <w:p w14:paraId="566F3B6B">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验收标准应达到：单次清理行动结束后（即按照甲方提供的清理范围内非法养殖设施需清理完成后），在当日（次日）最低潮清理验收时，要求清理范围内无竖立的蚝柱；当日清理指定的蚝排，予以驱离（拆除）出清理海域，渔箔、废弃蚝堆等非法养殖设施予以拆除。</w:t>
      </w:r>
    </w:p>
    <w:p w14:paraId="0447651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5.采购项目有其他要求的按其要求。</w:t>
      </w:r>
    </w:p>
    <w:p w14:paraId="41FF034B">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服务要求</w:t>
      </w:r>
    </w:p>
    <w:p w14:paraId="6F2E347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1.乙方应按照国家有关法律规定、响应文件和本合同所附的《项目实施方案》，为甲方提供服务。</w:t>
      </w:r>
    </w:p>
    <w:p w14:paraId="5A9F28A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2.如在服务过程中发生质量问题，乙方在接到甲方通知后及时到达甲方现场处理。</w:t>
      </w:r>
    </w:p>
    <w:p w14:paraId="26E822E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3.在服务期内，乙方应对服务的质量及安全问题负责处理解决并承担一切费用。</w:t>
      </w:r>
    </w:p>
    <w:p w14:paraId="3290D323">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4.乙方在履行合同中获取的数据、视频、照片及成果报告等未经甲方书面同意，不得向任何第三方披露或使用。</w:t>
      </w:r>
    </w:p>
    <w:p w14:paraId="7900B4E9">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2B294EA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6ABA0CE4">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付款方式</w:t>
      </w:r>
    </w:p>
    <w:p w14:paraId="7E8D6C94">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（1）结算时，工作量少于采购文件中的工作量时，按实际工作量*成交单价（元）结算；工作量多于采购文件中的工作量时，结算最高总额按合同总金额结算。</w:t>
      </w:r>
    </w:p>
    <w:p w14:paraId="128B5D3C">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（2）付款进度（每次付款时，乙方应向甲方开具相应金额的合法正式发票，否则甲方有权延长付款期限，并不承担延期付款的违约责任）：</w:t>
      </w:r>
    </w:p>
    <w:p w14:paraId="078476D4">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①签订合同后十个工作日内，甲方向国库支付机构提出申请支付令、办理国库支付手续，国库支付机构在规定时间内（不计入甲方付款期限）将合同总金额的30%作为预付款支付给乙方；</w:t>
      </w:r>
    </w:p>
    <w:p w14:paraId="7FCF670C">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项目完工后，乙方向甲方提交结算材料，甲方根据实际工作量计算初步的结算金额，甲方向国库支付机构提出申请支付令、办理国库支付手续，国库支付机构在规定时间内（不计入甲方付款期限）将初步结算金额的80%支付给乙方；</w:t>
      </w:r>
    </w:p>
    <w:p w14:paraId="52B134DD">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项目验收合格后十个工作日内，甲方根据通过验收的实际工作量计算最终结算金额，甲方向国库支付机构提出申请支付令、办理国库支付手续，国库支付机构在规定时间内（不计入甲方付款期限）将合同剩余款项支付给乙方。</w:t>
      </w:r>
    </w:p>
    <w:p w14:paraId="7345E5B6">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5B8A78BE">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14:paraId="6A46F427">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3F1161EC">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1.合同一方不履行合同义务、履行合同义务不符合约定或者违反合同项下所作保证的， 应向对方承担继续履行等补救措施或者赔偿损失等违约责任。</w:t>
      </w:r>
    </w:p>
    <w:p w14:paraId="18E667D7">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2.乙方未能按时履行合同服务的，应向甲方支付迟延交付违约金。迟延交付违约金的计算方法如下：</w:t>
      </w:r>
    </w:p>
    <w:p w14:paraId="5A2A530F">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（1）从迟交的第一周到第四周，每周迟延交付违约金为合同价款（报酬）的</w:t>
      </w:r>
      <w:r>
        <w:rPr>
          <w:rFonts w:hint="eastAsia" w:ascii="宋体" w:hAnsi="宋体" w:cs="宋体"/>
          <w:i/>
          <w:color w:val="auto"/>
          <w:kern w:val="0"/>
          <w:szCs w:val="21"/>
          <w:highlight w:val="none"/>
          <w:u w:val="single"/>
        </w:rPr>
        <w:t xml:space="preserve"> 0.5%</w:t>
      </w:r>
      <w:r>
        <w:rPr>
          <w:rFonts w:hint="eastAsia" w:ascii="宋体" w:hAnsi="宋体" w:cs="宋体"/>
          <w:color w:val="auto"/>
          <w:kern w:val="0"/>
          <w:szCs w:val="21"/>
          <w:highlight w:val="none"/>
        </w:rPr>
        <w:t>；</w:t>
      </w:r>
    </w:p>
    <w:p w14:paraId="24C149E2">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（2）从迟交的第五周到第八周，每周迟延交付违约金为合同价款（报酬）的</w:t>
      </w:r>
      <w:r>
        <w:rPr>
          <w:rFonts w:hint="eastAsia" w:ascii="宋体" w:hAnsi="宋体" w:cs="宋体"/>
          <w:i/>
          <w:color w:val="auto"/>
          <w:kern w:val="0"/>
          <w:szCs w:val="21"/>
          <w:highlight w:val="none"/>
          <w:u w:val="single"/>
        </w:rPr>
        <w:t xml:space="preserve"> 1%</w:t>
      </w:r>
      <w:r>
        <w:rPr>
          <w:rFonts w:hint="eastAsia" w:ascii="宋体" w:hAnsi="宋体" w:cs="宋体"/>
          <w:color w:val="auto"/>
          <w:kern w:val="0"/>
          <w:szCs w:val="21"/>
          <w:highlight w:val="none"/>
        </w:rPr>
        <w:t>；</w:t>
      </w:r>
    </w:p>
    <w:p w14:paraId="263C1801">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（3）从迟交第九周起，每周迟延交付违约金为合同价款（报酬）的</w:t>
      </w:r>
      <w:r>
        <w:rPr>
          <w:rFonts w:hint="eastAsia" w:ascii="宋体" w:hAnsi="宋体" w:cs="宋体"/>
          <w:i/>
          <w:color w:val="auto"/>
          <w:kern w:val="0"/>
          <w:szCs w:val="21"/>
          <w:highlight w:val="none"/>
          <w:u w:val="single"/>
        </w:rPr>
        <w:t xml:space="preserve"> 1.5%</w:t>
      </w:r>
      <w:r>
        <w:rPr>
          <w:rFonts w:hint="eastAsia" w:ascii="宋体" w:hAnsi="宋体" w:cs="宋体"/>
          <w:color w:val="auto"/>
          <w:kern w:val="0"/>
          <w:szCs w:val="21"/>
          <w:highlight w:val="none"/>
        </w:rPr>
        <w:t>。在计算迟延交付违约金时，迟交不足一周的按一周计算。迟延交付违约金的总额不得超过合同价款（报酬）的</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。迟延交付违约金的支付不能免除乙方继续交付相关合同服务的义务，但如迟延交付必然导致合同服务实施、调试、验收等工作推迟的，相关工作应相应顺延。</w:t>
      </w:r>
    </w:p>
    <w:p w14:paraId="6A719AFA">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3.甲方未能按合同约定支付合同价款的，应向乙方支付延迟付款违约金。迟延付款违约金的计算方法如下：</w:t>
      </w:r>
    </w:p>
    <w:p w14:paraId="23536700">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（1）从迟付的第一周到第四周，每周迟延付款违约金为迟延付款金额的</w:t>
      </w:r>
      <w:r>
        <w:rPr>
          <w:rFonts w:hint="eastAsia" w:ascii="宋体" w:hAnsi="宋体" w:cs="宋体"/>
          <w:i/>
          <w:color w:val="auto"/>
          <w:kern w:val="0"/>
          <w:szCs w:val="21"/>
          <w:highlight w:val="none"/>
          <w:u w:val="single"/>
        </w:rPr>
        <w:t xml:space="preserve"> 0.5%</w:t>
      </w:r>
      <w:r>
        <w:rPr>
          <w:rFonts w:hint="eastAsia" w:ascii="宋体" w:hAnsi="宋体" w:cs="宋体"/>
          <w:color w:val="auto"/>
          <w:kern w:val="0"/>
          <w:szCs w:val="21"/>
          <w:highlight w:val="none"/>
        </w:rPr>
        <w:t>；</w:t>
      </w:r>
    </w:p>
    <w:p w14:paraId="51A34058">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（2）从迟付的第五周到第八周，每周迟延付款违约金为迟延付款金额的</w:t>
      </w:r>
      <w:r>
        <w:rPr>
          <w:rFonts w:hint="eastAsia" w:ascii="宋体" w:hAnsi="宋体" w:cs="宋体"/>
          <w:i/>
          <w:color w:val="auto"/>
          <w:kern w:val="0"/>
          <w:szCs w:val="21"/>
          <w:highlight w:val="none"/>
          <w:u w:val="single"/>
        </w:rPr>
        <w:t xml:space="preserve"> 1%</w:t>
      </w:r>
      <w:r>
        <w:rPr>
          <w:rFonts w:hint="eastAsia" w:ascii="宋体" w:hAnsi="宋体" w:cs="宋体"/>
          <w:color w:val="auto"/>
          <w:kern w:val="0"/>
          <w:szCs w:val="21"/>
          <w:highlight w:val="none"/>
        </w:rPr>
        <w:t>；</w:t>
      </w:r>
    </w:p>
    <w:p w14:paraId="7EE84589">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（3）从迟付第九周起，每周迟延付款违约金为迟延付款金额的</w:t>
      </w:r>
      <w:r>
        <w:rPr>
          <w:rFonts w:hint="eastAsia" w:ascii="宋体" w:hAnsi="宋体" w:cs="宋体"/>
          <w:i/>
          <w:color w:val="auto"/>
          <w:kern w:val="0"/>
          <w:szCs w:val="21"/>
          <w:highlight w:val="none"/>
          <w:u w:val="single"/>
        </w:rPr>
        <w:t xml:space="preserve"> 1.5%</w:t>
      </w:r>
      <w:r>
        <w:rPr>
          <w:rFonts w:hint="eastAsia" w:ascii="宋体" w:hAnsi="宋体" w:cs="宋体"/>
          <w:color w:val="auto"/>
          <w:kern w:val="0"/>
          <w:szCs w:val="21"/>
          <w:highlight w:val="none"/>
        </w:rPr>
        <w:t>。在计算迟延付款违约金时，迟付不足一周的按一周计算。迟延付款违约金的总额不得超过合同价格的</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w:t>
      </w:r>
    </w:p>
    <w:p w14:paraId="2FC0833E">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4.乙方未按本合同和响应文件承诺提供服务的，乙方应按本合同价款（报酬）的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%向甲方支付违约金。</w:t>
      </w:r>
    </w:p>
    <w:p w14:paraId="0777BFB6">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5.因某一方原因导致变更、中止或者终止政府采购合同的，该方应当对另一方受到的损失予以赔偿或者补偿。</w:t>
      </w:r>
    </w:p>
    <w:p w14:paraId="180268F5">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6.其他违约责任按《中华人民共和国民法典》处理。</w:t>
      </w:r>
    </w:p>
    <w:p w14:paraId="2F814F8E">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0ED5B82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1.在合同有效期内，乙方因不可抗力事件导致不能履行合同的，则合同履行期可在甲方同意的前提下予以延长，其延长期与不可抗力影响期相同，但不得影响合同所涉旅游展的举办。</w:t>
      </w:r>
    </w:p>
    <w:p w14:paraId="38077C07">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2.不可抗力事件发生后，应在三日内通知甲方，并寄送有关权威机构出具的证明。</w:t>
      </w:r>
    </w:p>
    <w:p w14:paraId="122DDEA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3.不可抗力事件延续三十天以上，双方应通过友好协商，确定是否继续履行合同。</w:t>
      </w:r>
    </w:p>
    <w:p w14:paraId="04C46D4A">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合同争议解决</w:t>
      </w:r>
    </w:p>
    <w:p w14:paraId="7EA16C9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1.因服务质量问题发生争议的，应邀请国家认可的质量检测机构对服务质量进行鉴定。服务符合标准的，鉴定费由甲方承担；服务不符合标准的，鉴定费由乙方承担。</w:t>
      </w:r>
    </w:p>
    <w:p w14:paraId="11CF2231">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2.因履行本合同引起的或与本合同有关的争议，甲乙双方应首先通过友好协商解决，如果协商不能解决，可向项目所在地仲裁委员会申请仲裁。</w:t>
      </w:r>
    </w:p>
    <w:p w14:paraId="525F5CB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2F757536">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合同生效及其它</w:t>
      </w:r>
    </w:p>
    <w:p w14:paraId="481E551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1.合同经甲乙双方法定代表人、负责人、自然人或相应的授权代表签字并加盖单位公章后生效。</w:t>
      </w:r>
    </w:p>
    <w:p w14:paraId="4EB2F6D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2.合同执行中涉及采购资金和采购内容修改或补充的，需经北海市财政部门审批，并签订书面补充协议报北海市政府采购管理办公室备案，方可作为主合同不可分割的一部分。</w:t>
      </w:r>
    </w:p>
    <w:p w14:paraId="42B5A699">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DC51066">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1C130A93">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2189640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ECE0920">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签订本合同依据：</w:t>
      </w:r>
    </w:p>
    <w:p w14:paraId="3140E22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1.竞争性磋商文件；</w:t>
      </w:r>
    </w:p>
    <w:p w14:paraId="2130974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2.乙方提供的响应（或应答）文件；</w:t>
      </w:r>
    </w:p>
    <w:p w14:paraId="60279571">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3.磋商中的磋商记录；</w:t>
      </w:r>
    </w:p>
    <w:p w14:paraId="699D016A">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4.成交通知书。</w:t>
      </w:r>
    </w:p>
    <w:p w14:paraId="474C38E4">
      <w:pPr>
        <w:wordWrap w:val="0"/>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w:t>
      </w:r>
      <w:r>
        <w:rPr>
          <w:rFonts w:hint="eastAsia" w:ascii="宋体" w:hAnsi="宋体" w:cs="宋体"/>
          <w:color w:val="auto"/>
          <w:szCs w:val="21"/>
          <w:highlight w:val="none"/>
        </w:rPr>
        <w:t>本合同一式四份，具有同等法律效力，政府采购监管部门、采购代理机构各一份，甲乙双方各一份（可根据需要另增加）。</w:t>
      </w:r>
    </w:p>
    <w:p w14:paraId="522F668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本合同甲乙双方签字盖章后生效，自签订之日起1个工作日内，甲方或采购代理机构应当将合同上传至广西政府采购云平台报同级财政部门备案，并在指定网站公示。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4490"/>
      </w:tblGrid>
      <w:tr w14:paraId="28A1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4489" w:type="dxa"/>
            <w:vAlign w:val="center"/>
          </w:tcPr>
          <w:p w14:paraId="7F7E4CB8">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14:paraId="2B5227B4">
            <w:pPr>
              <w:snapToGrid w:val="0"/>
              <w:spacing w:line="360" w:lineRule="exact"/>
              <w:jc w:val="left"/>
              <w:rPr>
                <w:rFonts w:ascii="宋体" w:hAnsi="宋体"/>
                <w:color w:val="auto"/>
                <w:szCs w:val="21"/>
                <w:highlight w:val="none"/>
              </w:rPr>
            </w:pPr>
          </w:p>
          <w:p w14:paraId="09C9FDC9">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年   月   日</w:t>
            </w:r>
          </w:p>
        </w:tc>
        <w:tc>
          <w:tcPr>
            <w:tcW w:w="4490" w:type="dxa"/>
            <w:vAlign w:val="center"/>
          </w:tcPr>
          <w:p w14:paraId="2519AFE2">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乙方（章）  </w:t>
            </w:r>
          </w:p>
          <w:p w14:paraId="657D3CDA">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            </w:t>
            </w:r>
          </w:p>
          <w:p w14:paraId="1094698A">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年   月   日</w:t>
            </w:r>
          </w:p>
        </w:tc>
      </w:tr>
      <w:tr w14:paraId="4B18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58C41430">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c>
          <w:tcPr>
            <w:tcW w:w="4490" w:type="dxa"/>
            <w:vAlign w:val="center"/>
          </w:tcPr>
          <w:p w14:paraId="75474B14">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r>
      <w:tr w14:paraId="2E2F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79EB0CE4">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tc>
        <w:tc>
          <w:tcPr>
            <w:tcW w:w="4490" w:type="dxa"/>
            <w:vAlign w:val="center"/>
          </w:tcPr>
          <w:p w14:paraId="495A7460">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tc>
      </w:tr>
      <w:tr w14:paraId="28B7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681A3B1F">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rPr>
              <w:t xml:space="preserve"> </w:t>
            </w:r>
          </w:p>
        </w:tc>
        <w:tc>
          <w:tcPr>
            <w:tcW w:w="4490" w:type="dxa"/>
            <w:vAlign w:val="center"/>
          </w:tcPr>
          <w:p w14:paraId="515AF00C">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r>
      <w:tr w14:paraId="0DF3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328F7272">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c>
          <w:tcPr>
            <w:tcW w:w="4490" w:type="dxa"/>
            <w:vAlign w:val="center"/>
          </w:tcPr>
          <w:p w14:paraId="44265761">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r>
      <w:tr w14:paraId="6C77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3F7446A5">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c>
          <w:tcPr>
            <w:tcW w:w="4490" w:type="dxa"/>
            <w:vAlign w:val="center"/>
          </w:tcPr>
          <w:p w14:paraId="6AC6ECCC">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r>
      <w:tr w14:paraId="5828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3799C9AC">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c>
          <w:tcPr>
            <w:tcW w:w="4490" w:type="dxa"/>
            <w:vAlign w:val="center"/>
          </w:tcPr>
          <w:p w14:paraId="21DA8B8D">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r>
      <w:tr w14:paraId="7018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489" w:type="dxa"/>
            <w:vAlign w:val="center"/>
          </w:tcPr>
          <w:p w14:paraId="1FDD57A8">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c>
          <w:tcPr>
            <w:tcW w:w="4490" w:type="dxa"/>
            <w:vAlign w:val="center"/>
          </w:tcPr>
          <w:p w14:paraId="09788879">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r>
      <w:tr w14:paraId="3159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89" w:type="dxa"/>
            <w:vAlign w:val="center"/>
          </w:tcPr>
          <w:p w14:paraId="6E300F07">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c>
          <w:tcPr>
            <w:tcW w:w="4490" w:type="dxa"/>
            <w:vAlign w:val="center"/>
          </w:tcPr>
          <w:p w14:paraId="44BD685E">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r>
    </w:tbl>
    <w:p w14:paraId="5AA0AED2">
      <w:pPr>
        <w:spacing w:line="400" w:lineRule="exact"/>
        <w:rPr>
          <w:rFonts w:ascii="宋体" w:hAnsi="宋体"/>
          <w:bCs/>
          <w:color w:val="auto"/>
          <w:szCs w:val="21"/>
          <w:highlight w:val="none"/>
        </w:rPr>
      </w:pPr>
    </w:p>
    <w:sectPr>
      <w:headerReference r:id="rId7" w:type="first"/>
      <w:footerReference r:id="rId9" w:type="firs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305DEB1-C06D-4292-B218-4ED59BACFA05}"/>
  </w:font>
  <w:font w:name="黑体">
    <w:panose1 w:val="02010609060101010101"/>
    <w:charset w:val="86"/>
    <w:family w:val="auto"/>
    <w:pitch w:val="default"/>
    <w:sig w:usb0="800002BF" w:usb1="38CF7CFA" w:usb2="00000016" w:usb3="00000000" w:csb0="00040001" w:csb1="00000000"/>
    <w:embedRegular r:id="rId2" w:fontKey="{728AA0AB-F68E-4A54-93C2-8AB6DD5F3B56}"/>
  </w:font>
  <w:font w:name="Courier New">
    <w:panose1 w:val="02070309020205020404"/>
    <w:charset w:val="01"/>
    <w:family w:val="modern"/>
    <w:pitch w:val="default"/>
    <w:sig w:usb0="E0002AFF" w:usb1="C0007843" w:usb2="00000009" w:usb3="00000000" w:csb0="400001FF" w:csb1="FFFF0000"/>
    <w:embedRegular r:id="rId3" w:fontKey="{4E024196-443A-418F-8B3C-5E711B72E0B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embedRegular r:id="rId4" w:fontKey="{0200998D-D6CD-43DF-A2B3-D8A2E987A827}"/>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FB2CF507-22E5-47A2-8E83-D9DE15DA92B1}"/>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6" w:fontKey="{F8E0ABC7-CEBE-4D64-B5EC-EA3A41E9550B}"/>
  </w:font>
  <w:font w:name="华文新魏">
    <w:panose1 w:val="02010800040101010101"/>
    <w:charset w:val="86"/>
    <w:family w:val="auto"/>
    <w:pitch w:val="default"/>
    <w:sig w:usb0="00000001" w:usb1="080F0000" w:usb2="00000000" w:usb3="00000000" w:csb0="00040000" w:csb1="00000000"/>
    <w:embedRegular r:id="rId7" w:fontKey="{A0DC78D7-5EF5-4F76-934D-175B24F3BC08}"/>
  </w:font>
  <w:font w:name="Segoe UI Symbol">
    <w:panose1 w:val="020B0502040204020203"/>
    <w:charset w:val="00"/>
    <w:family w:val="swiss"/>
    <w:pitch w:val="default"/>
    <w:sig w:usb0="8000006F" w:usb1="1200FBEF" w:usb2="0064C000" w:usb3="00000002" w:csb0="00000001" w:csb1="40000000"/>
    <w:embedRegular r:id="rId8" w:fontKey="{87F02BA2-0F6F-46B8-89FD-2C9EE821D082}"/>
  </w:font>
  <w:font w:name="仿宋">
    <w:panose1 w:val="02010609060101010101"/>
    <w:charset w:val="86"/>
    <w:family w:val="modern"/>
    <w:pitch w:val="default"/>
    <w:sig w:usb0="800002BF" w:usb1="38CF7CFA" w:usb2="00000016" w:usb3="00000000" w:csb0="00040001" w:csb1="00000000"/>
    <w:embedRegular r:id="rId9" w:fontKey="{F36705FF-43FE-4810-9170-870BA422C374}"/>
  </w:font>
  <w:font w:name="Verdana">
    <w:panose1 w:val="020B0604030504040204"/>
    <w:charset w:val="00"/>
    <w:family w:val="swiss"/>
    <w:pitch w:val="default"/>
    <w:sig w:usb0="A10006FF" w:usb1="4000205B" w:usb2="00000010" w:usb3="00000000" w:csb0="2000019F" w:csb1="00000000"/>
    <w:embedRegular r:id="rId10" w:fontKey="{DAE8084A-AA2F-4838-858F-40713A592A2B}"/>
  </w:font>
  <w:font w:name="微软雅黑">
    <w:panose1 w:val="020B0503020204020204"/>
    <w:charset w:val="86"/>
    <w:family w:val="swiss"/>
    <w:pitch w:val="default"/>
    <w:sig w:usb0="80000287" w:usb1="280F3C52" w:usb2="00000016" w:usb3="00000000" w:csb0="0004001F" w:csb1="00000000"/>
    <w:embedRegular r:id="rId11" w:fontKey="{029D89F8-3EF1-4709-B7AF-69B7877AE4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DF71">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5CBECD">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09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0NZtEBAACqAwAADgAAAGRycy9lMm9Eb2MueG1srVNLbtswEN0XyB0I&#10;7mPJblA4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C0llhl88NPPH6dff06/v5Or&#10;8vo6KdR5qLDw3mNp7D+4HvdmigMGE/FeBpO+SIlgHvU9nvUVfSQ8XVoulssSUxxzk4P4xeN1HyDe&#10;CWdIMmoa8AGzruzwCeJQOpWkbtbdKq3zI2r7JICYQ0TkLRhvJybDxMmK/bYf6W1dc0R2HW5CTS0u&#10;PiX6o0Wh09JMRpiM7WTsfVC7Fged5ynBv99HHClPmjoMsMgwOfiEmeu4bmlH/vVz1eMvt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QNDWbRAQAAqgMAAA4AAAAAAAAAAQAgAAAAHgEAAGRy&#10;cy9lMm9Eb2MueG1sUEsFBgAAAAAGAAYAWQEAAGEFAAAAAA==&#10;">
              <v:fill on="f" focussize="0,0"/>
              <v:stroke on="f"/>
              <v:imagedata o:title=""/>
              <o:lock v:ext="edit" aspectratio="f"/>
              <v:textbox inset="0mm,0mm,0mm,0mm" style="mso-fit-shape-to-text:t;">
                <w:txbxContent>
                  <w:p w14:paraId="085CBECD">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1FC5A561">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F41F">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410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77336E5B"/>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MCDr/VAQAAqAMAAA4AAABkcnMvZTJvRG9jLnhtbK1TS27bMBDdF8gd&#10;CO5rSYlTNILloIWRoEDRFkh6AJoiLQL8gUNb8gXaG3TVTfc9l8+RISXbbbrJohtqODN8M+/NaHE7&#10;GE12IoBytqHVrKREWO5aZTcN/fp49/otJRCZbZl2VjR0L4DeLi9eLXpfi0vXOd2KQBDEQt37hnYx&#10;+roogHfCMJg5LywGpQuGRbyGTdEG1iO60cVlWb4pehdaHxwXAOhdjUE6IYaXADopFRcrx7dG2Dii&#10;BqFZRErQKQ90mbuVUvD4WUoQkeiGItOYTyyC9jqdxXLB6k1gvlN8aoG9pIVnnAxTFoueoFYsMrIN&#10;6h8oo3hw4GSccWeKkUhWBFlU5TNtHjrmReaCUoM/iQ7/D5Z/2n0JRLUNnVNimcGBH358P/z8ffj1&#10;jcyrMivUe6gx8cFjahzeuwH3JimX/IDORHyQwaQvUiIYR333J33FEAlPj6r5zdU1JRxD1fVViTai&#10;FOfHPkC8F86QZDQ04Piyqmz3EeKYekxJtay7U1rnEWr7lwMxR4/IOzC9PvebrDish4nE2rV75Nbj&#10;HjTU4tpToj9YlDmtzNEIR2N9NLY+qE2HjVa5S/DvthFbyp2mCiMsMkwXHGDmOi1b2pA/7znr/IMt&#10;n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owIOv9UBAACoAwAADgAAAAAAAAABACAAAAAf&#10;AQAAZHJzL2Uyb0RvYy54bWxQSwUGAAAAAAYABgBZAQAAZgUAAAAA&#10;">
              <v:fill on="f" focussize="0,0"/>
              <v:stroke on="f"/>
              <v:imagedata o:title=""/>
              <o:lock v:ext="edit" aspectratio="f"/>
              <v:textbox inset="0mm,0mm,0mm,0mm" style="mso-fit-shape-to-text:t;">
                <w:txbxContent>
                  <w:p w14:paraId="77336E5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1C36">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232F52">
                          <w:pPr>
                            <w:pStyle w:val="21"/>
                            <w:jc w:val="center"/>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mar88BAACqAwAADgAAAGRycy9lMm9Eb2MueG1srVNNrtMwEN4jcQfL&#10;e5q0Ql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hjaBMysMPfjl+7fLj1+Xn1/Z8/LV&#10;y6RQ77GiwjtPpXF444ZUPcWRgon40AaTvkSJUZ70PV/1hSEymS6tV+t1SSlJudkhnOL+ug8Y34Iz&#10;LBk1D/SAWVdxeo9xLJ1LUjfrbpXWFBeVtn8FCHOMQN6C6XZiMk6crDjsh4nG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GZqvzwEAAKoDAAAOAAAAAAAAAAEAIAAAAB4BAABkcnMv&#10;ZTJvRG9jLnhtbFBLBQYAAAAABgAGAFkBAABfBQAAAAA=&#10;">
              <v:fill on="f" focussize="0,0"/>
              <v:stroke on="f"/>
              <v:imagedata o:title=""/>
              <o:lock v:ext="edit" aspectratio="f"/>
              <v:textbox inset="0mm,0mm,0mm,0mm" style="mso-fit-shape-to-text:t;">
                <w:txbxContent>
                  <w:p w14:paraId="1F232F52">
                    <w:pPr>
                      <w:pStyle w:val="21"/>
                      <w:jc w:val="center"/>
                    </w:pPr>
                    <w:r>
                      <w:fldChar w:fldCharType="begin"/>
                    </w:r>
                    <w:r>
                      <w:instrText xml:space="preserve"> PAGE  \* MERGEFORMAT </w:instrText>
                    </w:r>
                    <w:r>
                      <w:fldChar w:fldCharType="separate"/>
                    </w:r>
                    <w:r>
                      <w:t>9</w:t>
                    </w:r>
                    <w:r>
                      <w:fldChar w:fldCharType="end"/>
                    </w:r>
                  </w:p>
                </w:txbxContent>
              </v:textbox>
            </v:shape>
          </w:pict>
        </mc:Fallback>
      </mc:AlternateContent>
    </w:r>
  </w:p>
  <w:p w14:paraId="49893835">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C4F2">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63C64F">
                          <w:pPr>
                            <w:pStyle w:val="2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2vm9ABAACqAwAADgAAAGRycy9lMm9Eb2MueG1srVNLbtswEN0XyB0I&#10;7mPJRlCo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dEWJZQYf/Pz92/nHr/PPr+Sm&#10;fF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4D2vm9ABAACqAwAADgAAAAAAAAABACAAAAAeAQAAZHJz&#10;L2Uyb0RvYy54bWxQSwUGAAAAAAYABgBZAQAAYAUAAAAA&#10;">
              <v:fill on="f" focussize="0,0"/>
              <v:stroke on="f"/>
              <v:imagedata o:title=""/>
              <o:lock v:ext="edit" aspectratio="f"/>
              <v:textbox inset="0mm,0mm,0mm,0mm" style="mso-fit-shape-to-text:t;">
                <w:txbxContent>
                  <w:p w14:paraId="3463C64F">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51BA">
    <w:pPr>
      <w:pStyle w:val="22"/>
      <w:pBdr>
        <w:bottom w:val="none" w:color="auto" w:sz="0" w:space="0"/>
      </w:pBdr>
      <w:rPr>
        <w:rFonts w:ascii="宋体" w:hAnsi="宋体"/>
        <w:bCs/>
        <w:u w:val="single"/>
      </w:rPr>
    </w:pPr>
    <w:r>
      <w:rPr>
        <w:rFonts w:hint="eastAsia" w:ascii="宋体" w:hAnsi="宋体"/>
        <w:bCs/>
        <w:u w:val="single"/>
      </w:rPr>
      <w:t>海城区廉州湾北岸对出海域非法养殖占海设施清理整治项目（</w:t>
    </w:r>
    <w:r>
      <w:rPr>
        <w:rFonts w:hint="eastAsia" w:ascii="宋体" w:hAnsi="宋体"/>
        <w:bCs/>
        <w:u w:val="single"/>
        <w:lang w:eastAsia="zh-CN"/>
      </w:rPr>
      <w:t>BHZC2025-C3-020023-YZLZ</w:t>
    </w:r>
    <w:r>
      <w:rPr>
        <w:rFonts w:hint="eastAsia" w:ascii="宋体" w:hAnsi="宋体"/>
        <w:bCs/>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5B16">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B9B4">
    <w:pPr>
      <w:pStyle w:val="22"/>
      <w:pBdr>
        <w:bottom w:val="none" w:color="auto" w:sz="0" w:space="1"/>
      </w:pBdr>
      <w:rPr>
        <w:rFonts w:hint="eastAsia" w:ascii="宋体" w:hAnsi="宋体" w:eastAsia="宋体"/>
        <w:bCs/>
        <w:u w:val="single"/>
        <w:lang w:eastAsia="zh-CN"/>
      </w:rPr>
    </w:pPr>
    <w:r>
      <w:rPr>
        <w:rFonts w:hint="eastAsia" w:ascii="宋体" w:hAnsi="宋体"/>
        <w:bCs/>
        <w:u w:val="single"/>
      </w:rPr>
      <w:t xml:space="preserve">项目名称：海城区廉州湾北岸对出海域非法养殖占海设施清理整治项目  </w:t>
    </w:r>
    <w:r>
      <w:rPr>
        <w:rFonts w:ascii="宋体" w:hAnsi="宋体"/>
        <w:bCs/>
        <w:u w:val="single"/>
      </w:rPr>
      <w:t xml:space="preserve">      </w:t>
    </w:r>
    <w:r>
      <w:rPr>
        <w:rFonts w:hint="eastAsia" w:ascii="宋体" w:hAnsi="宋体"/>
        <w:bCs/>
        <w:u w:val="single"/>
      </w:rPr>
      <w:t xml:space="preserve">  项目编号：</w:t>
    </w:r>
    <w:r>
      <w:rPr>
        <w:rFonts w:hint="eastAsia" w:ascii="宋体" w:hAnsi="宋体"/>
        <w:bCs/>
        <w:u w:val="single"/>
        <w:lang w:eastAsia="zh-CN"/>
      </w:rPr>
      <w:t>BHZC2025-C3-020023-YZLZ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F67F"/>
    <w:multiLevelType w:val="singleLevel"/>
    <w:tmpl w:val="5696F6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OTBiY2VmNmMxMWY2OGVkMWMyYTU1NDAwZjdiZGUifQ=="/>
  </w:docVars>
  <w:rsids>
    <w:rsidRoot w:val="00F34B14"/>
    <w:rsid w:val="000002E0"/>
    <w:rsid w:val="00000672"/>
    <w:rsid w:val="00000B7F"/>
    <w:rsid w:val="00001013"/>
    <w:rsid w:val="0000140E"/>
    <w:rsid w:val="000016CE"/>
    <w:rsid w:val="00001799"/>
    <w:rsid w:val="00001AF2"/>
    <w:rsid w:val="00001ECA"/>
    <w:rsid w:val="00002D29"/>
    <w:rsid w:val="00003725"/>
    <w:rsid w:val="00003B93"/>
    <w:rsid w:val="0000474D"/>
    <w:rsid w:val="00004C1F"/>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645"/>
    <w:rsid w:val="000177DB"/>
    <w:rsid w:val="000179C9"/>
    <w:rsid w:val="00017CCC"/>
    <w:rsid w:val="00020227"/>
    <w:rsid w:val="00020263"/>
    <w:rsid w:val="00020455"/>
    <w:rsid w:val="00020813"/>
    <w:rsid w:val="00020AAC"/>
    <w:rsid w:val="000215D0"/>
    <w:rsid w:val="000220B2"/>
    <w:rsid w:val="00022440"/>
    <w:rsid w:val="0002264C"/>
    <w:rsid w:val="00022731"/>
    <w:rsid w:val="00022792"/>
    <w:rsid w:val="00022A03"/>
    <w:rsid w:val="00024463"/>
    <w:rsid w:val="00025461"/>
    <w:rsid w:val="00025636"/>
    <w:rsid w:val="00025E36"/>
    <w:rsid w:val="00026855"/>
    <w:rsid w:val="00026886"/>
    <w:rsid w:val="00026BD9"/>
    <w:rsid w:val="0002785D"/>
    <w:rsid w:val="00030691"/>
    <w:rsid w:val="000307BE"/>
    <w:rsid w:val="000329E0"/>
    <w:rsid w:val="0003527A"/>
    <w:rsid w:val="000352E9"/>
    <w:rsid w:val="00035494"/>
    <w:rsid w:val="00035677"/>
    <w:rsid w:val="00036125"/>
    <w:rsid w:val="00036A07"/>
    <w:rsid w:val="0003780B"/>
    <w:rsid w:val="00040571"/>
    <w:rsid w:val="00040973"/>
    <w:rsid w:val="0004156E"/>
    <w:rsid w:val="00041713"/>
    <w:rsid w:val="0004404E"/>
    <w:rsid w:val="0004440C"/>
    <w:rsid w:val="00044EAE"/>
    <w:rsid w:val="00046B5E"/>
    <w:rsid w:val="00046DB5"/>
    <w:rsid w:val="000470CB"/>
    <w:rsid w:val="0004783C"/>
    <w:rsid w:val="000509D9"/>
    <w:rsid w:val="000512AF"/>
    <w:rsid w:val="00051ACB"/>
    <w:rsid w:val="000533E7"/>
    <w:rsid w:val="00054C33"/>
    <w:rsid w:val="00055D41"/>
    <w:rsid w:val="00056EF6"/>
    <w:rsid w:val="00057CD6"/>
    <w:rsid w:val="00060DCE"/>
    <w:rsid w:val="000610E3"/>
    <w:rsid w:val="000614F3"/>
    <w:rsid w:val="000623B4"/>
    <w:rsid w:val="00062405"/>
    <w:rsid w:val="00062412"/>
    <w:rsid w:val="000630B3"/>
    <w:rsid w:val="000634A7"/>
    <w:rsid w:val="00063B0B"/>
    <w:rsid w:val="00063F81"/>
    <w:rsid w:val="00064847"/>
    <w:rsid w:val="00065E08"/>
    <w:rsid w:val="000673E2"/>
    <w:rsid w:val="000678B1"/>
    <w:rsid w:val="00067EF1"/>
    <w:rsid w:val="0007063F"/>
    <w:rsid w:val="000707FD"/>
    <w:rsid w:val="00070949"/>
    <w:rsid w:val="000711E4"/>
    <w:rsid w:val="00071E9B"/>
    <w:rsid w:val="000720A1"/>
    <w:rsid w:val="000724D9"/>
    <w:rsid w:val="00072AED"/>
    <w:rsid w:val="00073F47"/>
    <w:rsid w:val="000747AA"/>
    <w:rsid w:val="0007492F"/>
    <w:rsid w:val="00074ED8"/>
    <w:rsid w:val="00075B7E"/>
    <w:rsid w:val="00077ACA"/>
    <w:rsid w:val="00077C70"/>
    <w:rsid w:val="000813B5"/>
    <w:rsid w:val="000816B6"/>
    <w:rsid w:val="0008191E"/>
    <w:rsid w:val="00081BA3"/>
    <w:rsid w:val="00081D2E"/>
    <w:rsid w:val="00081F89"/>
    <w:rsid w:val="000823EE"/>
    <w:rsid w:val="00082619"/>
    <w:rsid w:val="00082D02"/>
    <w:rsid w:val="0008381A"/>
    <w:rsid w:val="00083871"/>
    <w:rsid w:val="00083B91"/>
    <w:rsid w:val="00084195"/>
    <w:rsid w:val="0008473C"/>
    <w:rsid w:val="0008520B"/>
    <w:rsid w:val="000857DE"/>
    <w:rsid w:val="000860BD"/>
    <w:rsid w:val="000871B8"/>
    <w:rsid w:val="00087B0A"/>
    <w:rsid w:val="000916DA"/>
    <w:rsid w:val="00091AAB"/>
    <w:rsid w:val="00092442"/>
    <w:rsid w:val="000929EF"/>
    <w:rsid w:val="00092C26"/>
    <w:rsid w:val="000933BE"/>
    <w:rsid w:val="0009560F"/>
    <w:rsid w:val="0009588E"/>
    <w:rsid w:val="000959EE"/>
    <w:rsid w:val="0009634C"/>
    <w:rsid w:val="000967F8"/>
    <w:rsid w:val="00096DB9"/>
    <w:rsid w:val="00097183"/>
    <w:rsid w:val="000972CB"/>
    <w:rsid w:val="00097608"/>
    <w:rsid w:val="000A0F35"/>
    <w:rsid w:val="000A1175"/>
    <w:rsid w:val="000A131B"/>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3FFD"/>
    <w:rsid w:val="000B4321"/>
    <w:rsid w:val="000B63AB"/>
    <w:rsid w:val="000B6893"/>
    <w:rsid w:val="000B6A6B"/>
    <w:rsid w:val="000B6C95"/>
    <w:rsid w:val="000B6E23"/>
    <w:rsid w:val="000B7478"/>
    <w:rsid w:val="000B79FC"/>
    <w:rsid w:val="000C1679"/>
    <w:rsid w:val="000C1EE3"/>
    <w:rsid w:val="000C3079"/>
    <w:rsid w:val="000C3AE7"/>
    <w:rsid w:val="000C3CC9"/>
    <w:rsid w:val="000C59C6"/>
    <w:rsid w:val="000C6DE4"/>
    <w:rsid w:val="000C6F93"/>
    <w:rsid w:val="000C7202"/>
    <w:rsid w:val="000C7CC8"/>
    <w:rsid w:val="000D0A89"/>
    <w:rsid w:val="000D1389"/>
    <w:rsid w:val="000D1798"/>
    <w:rsid w:val="000D2508"/>
    <w:rsid w:val="000D25A6"/>
    <w:rsid w:val="000D2626"/>
    <w:rsid w:val="000D411D"/>
    <w:rsid w:val="000D4589"/>
    <w:rsid w:val="000D4809"/>
    <w:rsid w:val="000D73DD"/>
    <w:rsid w:val="000E1C51"/>
    <w:rsid w:val="000E28AB"/>
    <w:rsid w:val="000E2E3E"/>
    <w:rsid w:val="000E3583"/>
    <w:rsid w:val="000E3AF0"/>
    <w:rsid w:val="000E4E04"/>
    <w:rsid w:val="000E693B"/>
    <w:rsid w:val="000E6ADF"/>
    <w:rsid w:val="000E6D5C"/>
    <w:rsid w:val="000E6EC9"/>
    <w:rsid w:val="000E70B4"/>
    <w:rsid w:val="000E7B62"/>
    <w:rsid w:val="000F0E1E"/>
    <w:rsid w:val="000F0F33"/>
    <w:rsid w:val="000F1A1B"/>
    <w:rsid w:val="000F2A95"/>
    <w:rsid w:val="000F3281"/>
    <w:rsid w:val="000F32FD"/>
    <w:rsid w:val="000F3733"/>
    <w:rsid w:val="000F37B1"/>
    <w:rsid w:val="000F4F56"/>
    <w:rsid w:val="000F5F8B"/>
    <w:rsid w:val="000F6153"/>
    <w:rsid w:val="000F64AA"/>
    <w:rsid w:val="000F68A7"/>
    <w:rsid w:val="000F74A0"/>
    <w:rsid w:val="000F7AF4"/>
    <w:rsid w:val="000F7C33"/>
    <w:rsid w:val="000F7F0C"/>
    <w:rsid w:val="001004D6"/>
    <w:rsid w:val="00100830"/>
    <w:rsid w:val="00100BC1"/>
    <w:rsid w:val="001014C0"/>
    <w:rsid w:val="00101D1B"/>
    <w:rsid w:val="00102676"/>
    <w:rsid w:val="00103646"/>
    <w:rsid w:val="00103918"/>
    <w:rsid w:val="00103C40"/>
    <w:rsid w:val="00104897"/>
    <w:rsid w:val="00104AB2"/>
    <w:rsid w:val="00104EDE"/>
    <w:rsid w:val="00104F54"/>
    <w:rsid w:val="00105CDA"/>
    <w:rsid w:val="00106BEE"/>
    <w:rsid w:val="0010711C"/>
    <w:rsid w:val="00107368"/>
    <w:rsid w:val="00107BDF"/>
    <w:rsid w:val="00107C74"/>
    <w:rsid w:val="0011091C"/>
    <w:rsid w:val="00110A2A"/>
    <w:rsid w:val="00111266"/>
    <w:rsid w:val="001112EB"/>
    <w:rsid w:val="00111C7B"/>
    <w:rsid w:val="0011247D"/>
    <w:rsid w:val="00113678"/>
    <w:rsid w:val="00113A7D"/>
    <w:rsid w:val="00113C3E"/>
    <w:rsid w:val="00115813"/>
    <w:rsid w:val="00115E11"/>
    <w:rsid w:val="00115EEE"/>
    <w:rsid w:val="00115F56"/>
    <w:rsid w:val="001162AB"/>
    <w:rsid w:val="00116635"/>
    <w:rsid w:val="00116CA9"/>
    <w:rsid w:val="00116F38"/>
    <w:rsid w:val="001170A4"/>
    <w:rsid w:val="00117AE7"/>
    <w:rsid w:val="00117B85"/>
    <w:rsid w:val="00117CBD"/>
    <w:rsid w:val="0012006A"/>
    <w:rsid w:val="00121979"/>
    <w:rsid w:val="00122064"/>
    <w:rsid w:val="0012280A"/>
    <w:rsid w:val="00122D4D"/>
    <w:rsid w:val="00124341"/>
    <w:rsid w:val="0012435A"/>
    <w:rsid w:val="00124492"/>
    <w:rsid w:val="00124B12"/>
    <w:rsid w:val="001250A0"/>
    <w:rsid w:val="001263B8"/>
    <w:rsid w:val="00127BA0"/>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47ECF"/>
    <w:rsid w:val="001509CF"/>
    <w:rsid w:val="00150AF4"/>
    <w:rsid w:val="00150D1D"/>
    <w:rsid w:val="001525AA"/>
    <w:rsid w:val="00152A14"/>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728"/>
    <w:rsid w:val="001629AF"/>
    <w:rsid w:val="001629FD"/>
    <w:rsid w:val="00163E37"/>
    <w:rsid w:val="0016428A"/>
    <w:rsid w:val="001647C9"/>
    <w:rsid w:val="00164AF9"/>
    <w:rsid w:val="00165627"/>
    <w:rsid w:val="0016570B"/>
    <w:rsid w:val="001661A3"/>
    <w:rsid w:val="00167226"/>
    <w:rsid w:val="0016782B"/>
    <w:rsid w:val="0016784D"/>
    <w:rsid w:val="00167853"/>
    <w:rsid w:val="00167887"/>
    <w:rsid w:val="0017161C"/>
    <w:rsid w:val="00172CA8"/>
    <w:rsid w:val="00173256"/>
    <w:rsid w:val="00173B0E"/>
    <w:rsid w:val="00173E03"/>
    <w:rsid w:val="00174B44"/>
    <w:rsid w:val="00174B92"/>
    <w:rsid w:val="0017512C"/>
    <w:rsid w:val="001756AF"/>
    <w:rsid w:val="0017586A"/>
    <w:rsid w:val="00175BA6"/>
    <w:rsid w:val="00176CA7"/>
    <w:rsid w:val="00176D0C"/>
    <w:rsid w:val="00176F8E"/>
    <w:rsid w:val="001778C5"/>
    <w:rsid w:val="00177E56"/>
    <w:rsid w:val="00177F0A"/>
    <w:rsid w:val="001801FB"/>
    <w:rsid w:val="00180DA0"/>
    <w:rsid w:val="00181EAD"/>
    <w:rsid w:val="00182862"/>
    <w:rsid w:val="00184F57"/>
    <w:rsid w:val="00185091"/>
    <w:rsid w:val="00185544"/>
    <w:rsid w:val="00185617"/>
    <w:rsid w:val="00186FE1"/>
    <w:rsid w:val="00187A14"/>
    <w:rsid w:val="001902C2"/>
    <w:rsid w:val="0019171E"/>
    <w:rsid w:val="00192368"/>
    <w:rsid w:val="001923A0"/>
    <w:rsid w:val="001926C6"/>
    <w:rsid w:val="001928B1"/>
    <w:rsid w:val="00193537"/>
    <w:rsid w:val="00193846"/>
    <w:rsid w:val="00194858"/>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A7B24"/>
    <w:rsid w:val="001A7DBF"/>
    <w:rsid w:val="001B125A"/>
    <w:rsid w:val="001B1EBA"/>
    <w:rsid w:val="001B2142"/>
    <w:rsid w:val="001B2C70"/>
    <w:rsid w:val="001B2F2B"/>
    <w:rsid w:val="001B327A"/>
    <w:rsid w:val="001B35DE"/>
    <w:rsid w:val="001B3A13"/>
    <w:rsid w:val="001B3F5C"/>
    <w:rsid w:val="001B57C9"/>
    <w:rsid w:val="001B59FF"/>
    <w:rsid w:val="001B6512"/>
    <w:rsid w:val="001B65D7"/>
    <w:rsid w:val="001B6752"/>
    <w:rsid w:val="001B6768"/>
    <w:rsid w:val="001B6F1F"/>
    <w:rsid w:val="001B7080"/>
    <w:rsid w:val="001B7ECC"/>
    <w:rsid w:val="001C025B"/>
    <w:rsid w:val="001C115F"/>
    <w:rsid w:val="001C1EAB"/>
    <w:rsid w:val="001C25A7"/>
    <w:rsid w:val="001C2775"/>
    <w:rsid w:val="001C2E61"/>
    <w:rsid w:val="001C318C"/>
    <w:rsid w:val="001C35C4"/>
    <w:rsid w:val="001C3C0E"/>
    <w:rsid w:val="001C4287"/>
    <w:rsid w:val="001C4479"/>
    <w:rsid w:val="001C5190"/>
    <w:rsid w:val="001C51EE"/>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4A"/>
    <w:rsid w:val="00200F7C"/>
    <w:rsid w:val="002012A1"/>
    <w:rsid w:val="002014DB"/>
    <w:rsid w:val="0020150B"/>
    <w:rsid w:val="00201E12"/>
    <w:rsid w:val="00202295"/>
    <w:rsid w:val="002033B5"/>
    <w:rsid w:val="0020382C"/>
    <w:rsid w:val="0020437A"/>
    <w:rsid w:val="0020454C"/>
    <w:rsid w:val="00204740"/>
    <w:rsid w:val="00205129"/>
    <w:rsid w:val="0020521F"/>
    <w:rsid w:val="0020532C"/>
    <w:rsid w:val="002114C7"/>
    <w:rsid w:val="002125AF"/>
    <w:rsid w:val="0021302C"/>
    <w:rsid w:val="00213B1C"/>
    <w:rsid w:val="00213F1E"/>
    <w:rsid w:val="00214202"/>
    <w:rsid w:val="002148E3"/>
    <w:rsid w:val="002150A2"/>
    <w:rsid w:val="0021552D"/>
    <w:rsid w:val="002156AE"/>
    <w:rsid w:val="00215D51"/>
    <w:rsid w:val="00215E99"/>
    <w:rsid w:val="0022054D"/>
    <w:rsid w:val="00220F7F"/>
    <w:rsid w:val="0022107B"/>
    <w:rsid w:val="00221FBD"/>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5FF1"/>
    <w:rsid w:val="00236578"/>
    <w:rsid w:val="002366E1"/>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2D4"/>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C2A"/>
    <w:rsid w:val="00273CBE"/>
    <w:rsid w:val="00274538"/>
    <w:rsid w:val="002746B1"/>
    <w:rsid w:val="00274BAD"/>
    <w:rsid w:val="00276FB5"/>
    <w:rsid w:val="002807B0"/>
    <w:rsid w:val="00282382"/>
    <w:rsid w:val="002826DB"/>
    <w:rsid w:val="00282ACB"/>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895"/>
    <w:rsid w:val="00294F10"/>
    <w:rsid w:val="002952B1"/>
    <w:rsid w:val="00295D11"/>
    <w:rsid w:val="00296FB6"/>
    <w:rsid w:val="002974A3"/>
    <w:rsid w:val="002A0001"/>
    <w:rsid w:val="002A0BD9"/>
    <w:rsid w:val="002A0C3A"/>
    <w:rsid w:val="002A0DF8"/>
    <w:rsid w:val="002A0F1C"/>
    <w:rsid w:val="002A1130"/>
    <w:rsid w:val="002A1880"/>
    <w:rsid w:val="002A23B7"/>
    <w:rsid w:val="002A3A57"/>
    <w:rsid w:val="002A4B4F"/>
    <w:rsid w:val="002A57A8"/>
    <w:rsid w:val="002A64F1"/>
    <w:rsid w:val="002A6886"/>
    <w:rsid w:val="002A6DEF"/>
    <w:rsid w:val="002A770B"/>
    <w:rsid w:val="002B013E"/>
    <w:rsid w:val="002B058D"/>
    <w:rsid w:val="002B0C16"/>
    <w:rsid w:val="002B2456"/>
    <w:rsid w:val="002B2AC5"/>
    <w:rsid w:val="002B2CD1"/>
    <w:rsid w:val="002B3528"/>
    <w:rsid w:val="002B3539"/>
    <w:rsid w:val="002B4395"/>
    <w:rsid w:val="002B4532"/>
    <w:rsid w:val="002B4DD9"/>
    <w:rsid w:val="002B5042"/>
    <w:rsid w:val="002B69CC"/>
    <w:rsid w:val="002B6D71"/>
    <w:rsid w:val="002C03AE"/>
    <w:rsid w:val="002C0C1C"/>
    <w:rsid w:val="002C11AB"/>
    <w:rsid w:val="002C41BF"/>
    <w:rsid w:val="002C4EBB"/>
    <w:rsid w:val="002C4EFE"/>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3768"/>
    <w:rsid w:val="002E38AD"/>
    <w:rsid w:val="002E47E4"/>
    <w:rsid w:val="002E4BF9"/>
    <w:rsid w:val="002E4D61"/>
    <w:rsid w:val="002E68A7"/>
    <w:rsid w:val="002E6E6C"/>
    <w:rsid w:val="002F016E"/>
    <w:rsid w:val="002F0522"/>
    <w:rsid w:val="002F16DD"/>
    <w:rsid w:val="002F199D"/>
    <w:rsid w:val="002F213C"/>
    <w:rsid w:val="002F2453"/>
    <w:rsid w:val="002F33FA"/>
    <w:rsid w:val="002F352D"/>
    <w:rsid w:val="002F381E"/>
    <w:rsid w:val="002F4084"/>
    <w:rsid w:val="002F4A08"/>
    <w:rsid w:val="002F4ADB"/>
    <w:rsid w:val="002F531E"/>
    <w:rsid w:val="002F548D"/>
    <w:rsid w:val="002F5ACC"/>
    <w:rsid w:val="002F704B"/>
    <w:rsid w:val="002F72C3"/>
    <w:rsid w:val="002F768C"/>
    <w:rsid w:val="002F7D1E"/>
    <w:rsid w:val="003001BA"/>
    <w:rsid w:val="00300201"/>
    <w:rsid w:val="0030025A"/>
    <w:rsid w:val="00300F13"/>
    <w:rsid w:val="00301B3B"/>
    <w:rsid w:val="00302AF0"/>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66F"/>
    <w:rsid w:val="00310CC1"/>
    <w:rsid w:val="003117DC"/>
    <w:rsid w:val="00312059"/>
    <w:rsid w:val="00312504"/>
    <w:rsid w:val="00312B89"/>
    <w:rsid w:val="00313026"/>
    <w:rsid w:val="00313831"/>
    <w:rsid w:val="00313913"/>
    <w:rsid w:val="0031421F"/>
    <w:rsid w:val="00314B31"/>
    <w:rsid w:val="00315A65"/>
    <w:rsid w:val="0031642B"/>
    <w:rsid w:val="003165D7"/>
    <w:rsid w:val="0031666B"/>
    <w:rsid w:val="0031670F"/>
    <w:rsid w:val="00316ABE"/>
    <w:rsid w:val="00317BA7"/>
    <w:rsid w:val="00320BE2"/>
    <w:rsid w:val="00320F48"/>
    <w:rsid w:val="00321886"/>
    <w:rsid w:val="00321EDC"/>
    <w:rsid w:val="00322D52"/>
    <w:rsid w:val="0032359E"/>
    <w:rsid w:val="00323688"/>
    <w:rsid w:val="00323694"/>
    <w:rsid w:val="00323BE7"/>
    <w:rsid w:val="00324C3A"/>
    <w:rsid w:val="00324D63"/>
    <w:rsid w:val="003255AF"/>
    <w:rsid w:val="003256EB"/>
    <w:rsid w:val="003259DB"/>
    <w:rsid w:val="0032795B"/>
    <w:rsid w:val="003303CD"/>
    <w:rsid w:val="00330FF2"/>
    <w:rsid w:val="003314D9"/>
    <w:rsid w:val="00331653"/>
    <w:rsid w:val="00331A48"/>
    <w:rsid w:val="00331BCC"/>
    <w:rsid w:val="003330C9"/>
    <w:rsid w:val="0033364C"/>
    <w:rsid w:val="00334415"/>
    <w:rsid w:val="00334D63"/>
    <w:rsid w:val="00335983"/>
    <w:rsid w:val="00335EA1"/>
    <w:rsid w:val="0033691E"/>
    <w:rsid w:val="00336A6A"/>
    <w:rsid w:val="00336CCB"/>
    <w:rsid w:val="003411D1"/>
    <w:rsid w:val="003416BA"/>
    <w:rsid w:val="00342148"/>
    <w:rsid w:val="00342F99"/>
    <w:rsid w:val="0034575A"/>
    <w:rsid w:val="00345F57"/>
    <w:rsid w:val="00347923"/>
    <w:rsid w:val="00350458"/>
    <w:rsid w:val="00350E6C"/>
    <w:rsid w:val="003518A6"/>
    <w:rsid w:val="00351E7F"/>
    <w:rsid w:val="00352953"/>
    <w:rsid w:val="00353C8C"/>
    <w:rsid w:val="00354062"/>
    <w:rsid w:val="0035459E"/>
    <w:rsid w:val="00354AE9"/>
    <w:rsid w:val="00355C0D"/>
    <w:rsid w:val="00355F01"/>
    <w:rsid w:val="003566A9"/>
    <w:rsid w:val="00356988"/>
    <w:rsid w:val="003569D3"/>
    <w:rsid w:val="00356CE9"/>
    <w:rsid w:val="003570BB"/>
    <w:rsid w:val="00357128"/>
    <w:rsid w:val="0035755E"/>
    <w:rsid w:val="00357A80"/>
    <w:rsid w:val="00360A2A"/>
    <w:rsid w:val="003611D1"/>
    <w:rsid w:val="00361441"/>
    <w:rsid w:val="00361B8B"/>
    <w:rsid w:val="00362DAD"/>
    <w:rsid w:val="00363F39"/>
    <w:rsid w:val="003640FC"/>
    <w:rsid w:val="0036445C"/>
    <w:rsid w:val="00364627"/>
    <w:rsid w:val="00364AB0"/>
    <w:rsid w:val="00364D71"/>
    <w:rsid w:val="003667B0"/>
    <w:rsid w:val="003667DD"/>
    <w:rsid w:val="00366B48"/>
    <w:rsid w:val="00367764"/>
    <w:rsid w:val="00370316"/>
    <w:rsid w:val="003708DE"/>
    <w:rsid w:val="00370DC7"/>
    <w:rsid w:val="00371CBD"/>
    <w:rsid w:val="00371F20"/>
    <w:rsid w:val="003721E3"/>
    <w:rsid w:val="00372B98"/>
    <w:rsid w:val="003737B7"/>
    <w:rsid w:val="00373BA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77F1A"/>
    <w:rsid w:val="00380874"/>
    <w:rsid w:val="00380BBE"/>
    <w:rsid w:val="00381D70"/>
    <w:rsid w:val="0038235E"/>
    <w:rsid w:val="003829D0"/>
    <w:rsid w:val="0038326A"/>
    <w:rsid w:val="00383535"/>
    <w:rsid w:val="0038444F"/>
    <w:rsid w:val="00385BD7"/>
    <w:rsid w:val="003861F0"/>
    <w:rsid w:val="0038649C"/>
    <w:rsid w:val="00386AF0"/>
    <w:rsid w:val="00386CF0"/>
    <w:rsid w:val="00387051"/>
    <w:rsid w:val="00387ECF"/>
    <w:rsid w:val="0039021B"/>
    <w:rsid w:val="00390429"/>
    <w:rsid w:val="003906A0"/>
    <w:rsid w:val="003923D5"/>
    <w:rsid w:val="003931AF"/>
    <w:rsid w:val="0039366C"/>
    <w:rsid w:val="00393E71"/>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12DA"/>
    <w:rsid w:val="003B2258"/>
    <w:rsid w:val="003B22F7"/>
    <w:rsid w:val="003B29CF"/>
    <w:rsid w:val="003B3A90"/>
    <w:rsid w:val="003B3D01"/>
    <w:rsid w:val="003B534F"/>
    <w:rsid w:val="003B5C0B"/>
    <w:rsid w:val="003B6B4B"/>
    <w:rsid w:val="003B7A79"/>
    <w:rsid w:val="003C0FE1"/>
    <w:rsid w:val="003C151A"/>
    <w:rsid w:val="003C350C"/>
    <w:rsid w:val="003C3733"/>
    <w:rsid w:val="003C3903"/>
    <w:rsid w:val="003C3BA0"/>
    <w:rsid w:val="003C4580"/>
    <w:rsid w:val="003C5C5E"/>
    <w:rsid w:val="003C5C81"/>
    <w:rsid w:val="003C6746"/>
    <w:rsid w:val="003C7555"/>
    <w:rsid w:val="003C7898"/>
    <w:rsid w:val="003D0E27"/>
    <w:rsid w:val="003D0FF5"/>
    <w:rsid w:val="003D11A3"/>
    <w:rsid w:val="003D1537"/>
    <w:rsid w:val="003D183C"/>
    <w:rsid w:val="003D207F"/>
    <w:rsid w:val="003D2D1B"/>
    <w:rsid w:val="003D3809"/>
    <w:rsid w:val="003D48C7"/>
    <w:rsid w:val="003D4C27"/>
    <w:rsid w:val="003D5CBF"/>
    <w:rsid w:val="003D6880"/>
    <w:rsid w:val="003D6D37"/>
    <w:rsid w:val="003D7109"/>
    <w:rsid w:val="003D7CE8"/>
    <w:rsid w:val="003E0514"/>
    <w:rsid w:val="003E1032"/>
    <w:rsid w:val="003E14BE"/>
    <w:rsid w:val="003E164F"/>
    <w:rsid w:val="003E1904"/>
    <w:rsid w:val="003E285E"/>
    <w:rsid w:val="003E3124"/>
    <w:rsid w:val="003E3300"/>
    <w:rsid w:val="003E43D3"/>
    <w:rsid w:val="003E48E1"/>
    <w:rsid w:val="003E50F4"/>
    <w:rsid w:val="003E59BB"/>
    <w:rsid w:val="003E5E97"/>
    <w:rsid w:val="003E6225"/>
    <w:rsid w:val="003E65AC"/>
    <w:rsid w:val="003E66AE"/>
    <w:rsid w:val="003E72B9"/>
    <w:rsid w:val="003E7612"/>
    <w:rsid w:val="003E7C3F"/>
    <w:rsid w:val="003E7ED4"/>
    <w:rsid w:val="003F0E52"/>
    <w:rsid w:val="003F0F6B"/>
    <w:rsid w:val="003F1FC6"/>
    <w:rsid w:val="003F1FE3"/>
    <w:rsid w:val="003F2359"/>
    <w:rsid w:val="003F3232"/>
    <w:rsid w:val="003F3865"/>
    <w:rsid w:val="003F38AC"/>
    <w:rsid w:val="003F3D55"/>
    <w:rsid w:val="003F44E2"/>
    <w:rsid w:val="003F4632"/>
    <w:rsid w:val="003F47BA"/>
    <w:rsid w:val="003F4937"/>
    <w:rsid w:val="003F4FE6"/>
    <w:rsid w:val="003F52B3"/>
    <w:rsid w:val="003F5638"/>
    <w:rsid w:val="003F6617"/>
    <w:rsid w:val="00402332"/>
    <w:rsid w:val="004025C2"/>
    <w:rsid w:val="00403195"/>
    <w:rsid w:val="004033A9"/>
    <w:rsid w:val="00403C06"/>
    <w:rsid w:val="00403E55"/>
    <w:rsid w:val="0040407C"/>
    <w:rsid w:val="0040416C"/>
    <w:rsid w:val="004041CA"/>
    <w:rsid w:val="00404681"/>
    <w:rsid w:val="00405445"/>
    <w:rsid w:val="00405AC1"/>
    <w:rsid w:val="00406923"/>
    <w:rsid w:val="0040763D"/>
    <w:rsid w:val="00410AF5"/>
    <w:rsid w:val="00410D17"/>
    <w:rsid w:val="00412AA9"/>
    <w:rsid w:val="00413373"/>
    <w:rsid w:val="00413442"/>
    <w:rsid w:val="00413821"/>
    <w:rsid w:val="00413BA5"/>
    <w:rsid w:val="004141A3"/>
    <w:rsid w:val="00414909"/>
    <w:rsid w:val="00414F9F"/>
    <w:rsid w:val="0041582F"/>
    <w:rsid w:val="00416112"/>
    <w:rsid w:val="004163EF"/>
    <w:rsid w:val="00417A18"/>
    <w:rsid w:val="00417AE0"/>
    <w:rsid w:val="00417BAA"/>
    <w:rsid w:val="00417CF1"/>
    <w:rsid w:val="004200A8"/>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10C"/>
    <w:rsid w:val="0044033F"/>
    <w:rsid w:val="00440630"/>
    <w:rsid w:val="00441F0F"/>
    <w:rsid w:val="00442965"/>
    <w:rsid w:val="004432B6"/>
    <w:rsid w:val="00444157"/>
    <w:rsid w:val="0044417C"/>
    <w:rsid w:val="00444DB3"/>
    <w:rsid w:val="00445617"/>
    <w:rsid w:val="00445859"/>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0DD"/>
    <w:rsid w:val="0046483B"/>
    <w:rsid w:val="00464AB7"/>
    <w:rsid w:val="004655CA"/>
    <w:rsid w:val="00465998"/>
    <w:rsid w:val="00465DE5"/>
    <w:rsid w:val="00467EF8"/>
    <w:rsid w:val="00471671"/>
    <w:rsid w:val="00471AC3"/>
    <w:rsid w:val="00472429"/>
    <w:rsid w:val="004725E5"/>
    <w:rsid w:val="00472751"/>
    <w:rsid w:val="00472F22"/>
    <w:rsid w:val="00473128"/>
    <w:rsid w:val="004731DC"/>
    <w:rsid w:val="00475078"/>
    <w:rsid w:val="00475767"/>
    <w:rsid w:val="00476925"/>
    <w:rsid w:val="004779A0"/>
    <w:rsid w:val="00480623"/>
    <w:rsid w:val="004808E3"/>
    <w:rsid w:val="00480C08"/>
    <w:rsid w:val="00481016"/>
    <w:rsid w:val="00481069"/>
    <w:rsid w:val="0048204C"/>
    <w:rsid w:val="004821BB"/>
    <w:rsid w:val="0048237A"/>
    <w:rsid w:val="004826FE"/>
    <w:rsid w:val="004827D5"/>
    <w:rsid w:val="00482AF2"/>
    <w:rsid w:val="004830C9"/>
    <w:rsid w:val="00483347"/>
    <w:rsid w:val="00483E2E"/>
    <w:rsid w:val="00484B69"/>
    <w:rsid w:val="00485406"/>
    <w:rsid w:val="00485650"/>
    <w:rsid w:val="0048590F"/>
    <w:rsid w:val="00486D60"/>
    <w:rsid w:val="00491FA1"/>
    <w:rsid w:val="00492A25"/>
    <w:rsid w:val="004938A3"/>
    <w:rsid w:val="0049558B"/>
    <w:rsid w:val="00496350"/>
    <w:rsid w:val="0049797C"/>
    <w:rsid w:val="004A1405"/>
    <w:rsid w:val="004A15BD"/>
    <w:rsid w:val="004A1E28"/>
    <w:rsid w:val="004A1FC6"/>
    <w:rsid w:val="004A2E5F"/>
    <w:rsid w:val="004A3837"/>
    <w:rsid w:val="004A38C2"/>
    <w:rsid w:val="004A3C03"/>
    <w:rsid w:val="004A3DB7"/>
    <w:rsid w:val="004A463B"/>
    <w:rsid w:val="004A5088"/>
    <w:rsid w:val="004A5255"/>
    <w:rsid w:val="004A5B62"/>
    <w:rsid w:val="004A6551"/>
    <w:rsid w:val="004A6B28"/>
    <w:rsid w:val="004A6CB0"/>
    <w:rsid w:val="004A70FF"/>
    <w:rsid w:val="004A7BAD"/>
    <w:rsid w:val="004A7EDE"/>
    <w:rsid w:val="004B0D93"/>
    <w:rsid w:val="004B1FA4"/>
    <w:rsid w:val="004B29AC"/>
    <w:rsid w:val="004B2F17"/>
    <w:rsid w:val="004B35DF"/>
    <w:rsid w:val="004B3627"/>
    <w:rsid w:val="004B3F05"/>
    <w:rsid w:val="004B4922"/>
    <w:rsid w:val="004B4C58"/>
    <w:rsid w:val="004B57DF"/>
    <w:rsid w:val="004B5976"/>
    <w:rsid w:val="004B6E9F"/>
    <w:rsid w:val="004B722E"/>
    <w:rsid w:val="004B72E8"/>
    <w:rsid w:val="004C01A5"/>
    <w:rsid w:val="004C0412"/>
    <w:rsid w:val="004C2138"/>
    <w:rsid w:val="004C3940"/>
    <w:rsid w:val="004C401E"/>
    <w:rsid w:val="004C4A7B"/>
    <w:rsid w:val="004C51FD"/>
    <w:rsid w:val="004C581E"/>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40F8"/>
    <w:rsid w:val="004E4178"/>
    <w:rsid w:val="004E5866"/>
    <w:rsid w:val="004E6097"/>
    <w:rsid w:val="004E61EF"/>
    <w:rsid w:val="004E63C6"/>
    <w:rsid w:val="004E76A7"/>
    <w:rsid w:val="004E7B03"/>
    <w:rsid w:val="004F0064"/>
    <w:rsid w:val="004F06AC"/>
    <w:rsid w:val="004F0E50"/>
    <w:rsid w:val="004F1233"/>
    <w:rsid w:val="004F165E"/>
    <w:rsid w:val="004F1AB3"/>
    <w:rsid w:val="004F1D2A"/>
    <w:rsid w:val="004F243F"/>
    <w:rsid w:val="004F252C"/>
    <w:rsid w:val="004F36A3"/>
    <w:rsid w:val="004F3E0C"/>
    <w:rsid w:val="004F4308"/>
    <w:rsid w:val="004F62F7"/>
    <w:rsid w:val="004F6996"/>
    <w:rsid w:val="004F7160"/>
    <w:rsid w:val="00500258"/>
    <w:rsid w:val="00500B2D"/>
    <w:rsid w:val="005011AE"/>
    <w:rsid w:val="00501A99"/>
    <w:rsid w:val="00503180"/>
    <w:rsid w:val="005038A4"/>
    <w:rsid w:val="00504CD4"/>
    <w:rsid w:val="00504E1B"/>
    <w:rsid w:val="0050524B"/>
    <w:rsid w:val="00505450"/>
    <w:rsid w:val="00505FC6"/>
    <w:rsid w:val="00507B99"/>
    <w:rsid w:val="005100B7"/>
    <w:rsid w:val="005105DE"/>
    <w:rsid w:val="00510CB3"/>
    <w:rsid w:val="005113C9"/>
    <w:rsid w:val="00512050"/>
    <w:rsid w:val="00512055"/>
    <w:rsid w:val="0051280C"/>
    <w:rsid w:val="00512842"/>
    <w:rsid w:val="005128BE"/>
    <w:rsid w:val="0051356F"/>
    <w:rsid w:val="00513E7C"/>
    <w:rsid w:val="005140BB"/>
    <w:rsid w:val="00514FBE"/>
    <w:rsid w:val="00514FD9"/>
    <w:rsid w:val="0051550A"/>
    <w:rsid w:val="005157B8"/>
    <w:rsid w:val="0051608F"/>
    <w:rsid w:val="00516480"/>
    <w:rsid w:val="005175FB"/>
    <w:rsid w:val="005179FD"/>
    <w:rsid w:val="00517CE9"/>
    <w:rsid w:val="00520EF8"/>
    <w:rsid w:val="005210F7"/>
    <w:rsid w:val="005213FE"/>
    <w:rsid w:val="00521753"/>
    <w:rsid w:val="0052239D"/>
    <w:rsid w:val="005224EE"/>
    <w:rsid w:val="00522879"/>
    <w:rsid w:val="0052395D"/>
    <w:rsid w:val="00523B63"/>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79B"/>
    <w:rsid w:val="00540808"/>
    <w:rsid w:val="0054080E"/>
    <w:rsid w:val="00540D1A"/>
    <w:rsid w:val="00540DE5"/>
    <w:rsid w:val="00540EA1"/>
    <w:rsid w:val="00541B7E"/>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0F4F"/>
    <w:rsid w:val="005517C1"/>
    <w:rsid w:val="005522F2"/>
    <w:rsid w:val="005531DF"/>
    <w:rsid w:val="00553874"/>
    <w:rsid w:val="00553DCE"/>
    <w:rsid w:val="00554577"/>
    <w:rsid w:val="00554AD8"/>
    <w:rsid w:val="00554F78"/>
    <w:rsid w:val="00555661"/>
    <w:rsid w:val="00555DA1"/>
    <w:rsid w:val="00556BF7"/>
    <w:rsid w:val="00556E53"/>
    <w:rsid w:val="005571E2"/>
    <w:rsid w:val="00557F60"/>
    <w:rsid w:val="00561730"/>
    <w:rsid w:val="00561B97"/>
    <w:rsid w:val="00562149"/>
    <w:rsid w:val="0056407A"/>
    <w:rsid w:val="005640EB"/>
    <w:rsid w:val="005643AA"/>
    <w:rsid w:val="005666A4"/>
    <w:rsid w:val="00567B5D"/>
    <w:rsid w:val="005702EF"/>
    <w:rsid w:val="00570757"/>
    <w:rsid w:val="00573520"/>
    <w:rsid w:val="00573733"/>
    <w:rsid w:val="00573F8B"/>
    <w:rsid w:val="00574554"/>
    <w:rsid w:val="00574E06"/>
    <w:rsid w:val="005751BB"/>
    <w:rsid w:val="00576089"/>
    <w:rsid w:val="005764B1"/>
    <w:rsid w:val="00576852"/>
    <w:rsid w:val="00576D06"/>
    <w:rsid w:val="005779E4"/>
    <w:rsid w:val="00580EC7"/>
    <w:rsid w:val="0058289C"/>
    <w:rsid w:val="005836C7"/>
    <w:rsid w:val="00583C96"/>
    <w:rsid w:val="0058408E"/>
    <w:rsid w:val="005844C3"/>
    <w:rsid w:val="00585374"/>
    <w:rsid w:val="005854CA"/>
    <w:rsid w:val="00585FAB"/>
    <w:rsid w:val="00586C48"/>
    <w:rsid w:val="00590B77"/>
    <w:rsid w:val="00590D9A"/>
    <w:rsid w:val="005913A3"/>
    <w:rsid w:val="00591A5A"/>
    <w:rsid w:val="005920CF"/>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3F43"/>
    <w:rsid w:val="005A46EC"/>
    <w:rsid w:val="005A5EAE"/>
    <w:rsid w:val="005A6273"/>
    <w:rsid w:val="005A6407"/>
    <w:rsid w:val="005A726C"/>
    <w:rsid w:val="005B02A7"/>
    <w:rsid w:val="005B07EC"/>
    <w:rsid w:val="005B0E5A"/>
    <w:rsid w:val="005B131A"/>
    <w:rsid w:val="005B183B"/>
    <w:rsid w:val="005B2B11"/>
    <w:rsid w:val="005B32A4"/>
    <w:rsid w:val="005B3371"/>
    <w:rsid w:val="005B338D"/>
    <w:rsid w:val="005B33A1"/>
    <w:rsid w:val="005B3852"/>
    <w:rsid w:val="005B3BAF"/>
    <w:rsid w:val="005B4DA3"/>
    <w:rsid w:val="005B5BEE"/>
    <w:rsid w:val="005B6C7B"/>
    <w:rsid w:val="005B77D2"/>
    <w:rsid w:val="005C0195"/>
    <w:rsid w:val="005C019B"/>
    <w:rsid w:val="005C08D0"/>
    <w:rsid w:val="005C1AED"/>
    <w:rsid w:val="005C1C32"/>
    <w:rsid w:val="005C2136"/>
    <w:rsid w:val="005C30F5"/>
    <w:rsid w:val="005C3840"/>
    <w:rsid w:val="005C3DCB"/>
    <w:rsid w:val="005C51A5"/>
    <w:rsid w:val="005C557A"/>
    <w:rsid w:val="005C566F"/>
    <w:rsid w:val="005C5C47"/>
    <w:rsid w:val="005C61DD"/>
    <w:rsid w:val="005C6438"/>
    <w:rsid w:val="005C6B8B"/>
    <w:rsid w:val="005C727F"/>
    <w:rsid w:val="005C7DAD"/>
    <w:rsid w:val="005D02E3"/>
    <w:rsid w:val="005D1F34"/>
    <w:rsid w:val="005D2C1F"/>
    <w:rsid w:val="005D317B"/>
    <w:rsid w:val="005D34B2"/>
    <w:rsid w:val="005D3B54"/>
    <w:rsid w:val="005D40CD"/>
    <w:rsid w:val="005D6B59"/>
    <w:rsid w:val="005D784B"/>
    <w:rsid w:val="005D78F4"/>
    <w:rsid w:val="005E03E4"/>
    <w:rsid w:val="005E0454"/>
    <w:rsid w:val="005E05F6"/>
    <w:rsid w:val="005E1B9D"/>
    <w:rsid w:val="005E1BDA"/>
    <w:rsid w:val="005E2375"/>
    <w:rsid w:val="005E2442"/>
    <w:rsid w:val="005E2897"/>
    <w:rsid w:val="005E3111"/>
    <w:rsid w:val="005E3CA0"/>
    <w:rsid w:val="005E3F85"/>
    <w:rsid w:val="005E4A5F"/>
    <w:rsid w:val="005E516A"/>
    <w:rsid w:val="005E57B0"/>
    <w:rsid w:val="005E5B01"/>
    <w:rsid w:val="005E6D3B"/>
    <w:rsid w:val="005F009E"/>
    <w:rsid w:val="005F0418"/>
    <w:rsid w:val="005F0DF1"/>
    <w:rsid w:val="005F1516"/>
    <w:rsid w:val="005F1A6F"/>
    <w:rsid w:val="005F229E"/>
    <w:rsid w:val="005F2564"/>
    <w:rsid w:val="005F3822"/>
    <w:rsid w:val="005F38AF"/>
    <w:rsid w:val="005F4635"/>
    <w:rsid w:val="005F4900"/>
    <w:rsid w:val="005F4E52"/>
    <w:rsid w:val="005F60E3"/>
    <w:rsid w:val="005F6638"/>
    <w:rsid w:val="005F6D58"/>
    <w:rsid w:val="005F7383"/>
    <w:rsid w:val="005F7F36"/>
    <w:rsid w:val="0060058E"/>
    <w:rsid w:val="00602A3C"/>
    <w:rsid w:val="00603EFD"/>
    <w:rsid w:val="0060475B"/>
    <w:rsid w:val="00604BED"/>
    <w:rsid w:val="00604FB6"/>
    <w:rsid w:val="00605387"/>
    <w:rsid w:val="00606302"/>
    <w:rsid w:val="006076FD"/>
    <w:rsid w:val="00607779"/>
    <w:rsid w:val="00610587"/>
    <w:rsid w:val="00610811"/>
    <w:rsid w:val="00610CE8"/>
    <w:rsid w:val="0061143F"/>
    <w:rsid w:val="006114D8"/>
    <w:rsid w:val="00613553"/>
    <w:rsid w:val="00613601"/>
    <w:rsid w:val="00613791"/>
    <w:rsid w:val="00613BD7"/>
    <w:rsid w:val="00613C8B"/>
    <w:rsid w:val="00614110"/>
    <w:rsid w:val="006150D6"/>
    <w:rsid w:val="00615245"/>
    <w:rsid w:val="0061590D"/>
    <w:rsid w:val="00617EEE"/>
    <w:rsid w:val="00620A1F"/>
    <w:rsid w:val="0062169D"/>
    <w:rsid w:val="0062181E"/>
    <w:rsid w:val="0062211B"/>
    <w:rsid w:val="00622BB7"/>
    <w:rsid w:val="00622C1E"/>
    <w:rsid w:val="00623389"/>
    <w:rsid w:val="00623D7B"/>
    <w:rsid w:val="00623DAA"/>
    <w:rsid w:val="00623FAF"/>
    <w:rsid w:val="006244AB"/>
    <w:rsid w:val="006265C4"/>
    <w:rsid w:val="0062678A"/>
    <w:rsid w:val="006270AF"/>
    <w:rsid w:val="00631FBF"/>
    <w:rsid w:val="00634367"/>
    <w:rsid w:val="006360E2"/>
    <w:rsid w:val="00636CE3"/>
    <w:rsid w:val="00640082"/>
    <w:rsid w:val="00640291"/>
    <w:rsid w:val="00640D0E"/>
    <w:rsid w:val="00640EFE"/>
    <w:rsid w:val="00641D6D"/>
    <w:rsid w:val="00641FAC"/>
    <w:rsid w:val="00643607"/>
    <w:rsid w:val="00643664"/>
    <w:rsid w:val="00643CAA"/>
    <w:rsid w:val="00644F16"/>
    <w:rsid w:val="006455EB"/>
    <w:rsid w:val="006456C2"/>
    <w:rsid w:val="00645A65"/>
    <w:rsid w:val="00646959"/>
    <w:rsid w:val="006477F0"/>
    <w:rsid w:val="006478E4"/>
    <w:rsid w:val="0065171A"/>
    <w:rsid w:val="00652680"/>
    <w:rsid w:val="00653288"/>
    <w:rsid w:val="00653CDE"/>
    <w:rsid w:val="00654585"/>
    <w:rsid w:val="006552A0"/>
    <w:rsid w:val="0065566E"/>
    <w:rsid w:val="00655AB6"/>
    <w:rsid w:val="00655EFA"/>
    <w:rsid w:val="00656061"/>
    <w:rsid w:val="00656281"/>
    <w:rsid w:val="0065636A"/>
    <w:rsid w:val="00657003"/>
    <w:rsid w:val="006570AE"/>
    <w:rsid w:val="00657477"/>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77F7D"/>
    <w:rsid w:val="0068051E"/>
    <w:rsid w:val="00680B9D"/>
    <w:rsid w:val="00681F13"/>
    <w:rsid w:val="0068200A"/>
    <w:rsid w:val="0068231C"/>
    <w:rsid w:val="00682344"/>
    <w:rsid w:val="00682A52"/>
    <w:rsid w:val="00682F28"/>
    <w:rsid w:val="00683515"/>
    <w:rsid w:val="00684079"/>
    <w:rsid w:val="00684842"/>
    <w:rsid w:val="006859AA"/>
    <w:rsid w:val="00685BD6"/>
    <w:rsid w:val="00687116"/>
    <w:rsid w:val="006878A6"/>
    <w:rsid w:val="00687D5F"/>
    <w:rsid w:val="00690437"/>
    <w:rsid w:val="00690DC3"/>
    <w:rsid w:val="00690E65"/>
    <w:rsid w:val="006911B7"/>
    <w:rsid w:val="00691387"/>
    <w:rsid w:val="00691635"/>
    <w:rsid w:val="0069188E"/>
    <w:rsid w:val="00691974"/>
    <w:rsid w:val="00692BAB"/>
    <w:rsid w:val="00692BF6"/>
    <w:rsid w:val="00692CE6"/>
    <w:rsid w:val="00693186"/>
    <w:rsid w:val="00693381"/>
    <w:rsid w:val="00693B6C"/>
    <w:rsid w:val="006942AE"/>
    <w:rsid w:val="00695421"/>
    <w:rsid w:val="00696395"/>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C28"/>
    <w:rsid w:val="006B0DF4"/>
    <w:rsid w:val="006B16EA"/>
    <w:rsid w:val="006B1780"/>
    <w:rsid w:val="006B21DC"/>
    <w:rsid w:val="006B224E"/>
    <w:rsid w:val="006B376E"/>
    <w:rsid w:val="006B4589"/>
    <w:rsid w:val="006B5157"/>
    <w:rsid w:val="006B610E"/>
    <w:rsid w:val="006B6805"/>
    <w:rsid w:val="006B6C07"/>
    <w:rsid w:val="006B6DE0"/>
    <w:rsid w:val="006B7703"/>
    <w:rsid w:val="006B7B07"/>
    <w:rsid w:val="006B7E1F"/>
    <w:rsid w:val="006C16C3"/>
    <w:rsid w:val="006C1938"/>
    <w:rsid w:val="006C2187"/>
    <w:rsid w:val="006C2623"/>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941"/>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4AB9"/>
    <w:rsid w:val="006E58BF"/>
    <w:rsid w:val="006E5DD8"/>
    <w:rsid w:val="006E5EA1"/>
    <w:rsid w:val="006E6DEE"/>
    <w:rsid w:val="006E7A5A"/>
    <w:rsid w:val="006E7D4B"/>
    <w:rsid w:val="006F018A"/>
    <w:rsid w:val="006F0760"/>
    <w:rsid w:val="006F11E2"/>
    <w:rsid w:val="006F2574"/>
    <w:rsid w:val="006F3231"/>
    <w:rsid w:val="006F3DE3"/>
    <w:rsid w:val="006F4787"/>
    <w:rsid w:val="006F61D8"/>
    <w:rsid w:val="006F62B7"/>
    <w:rsid w:val="006F70BC"/>
    <w:rsid w:val="006F726C"/>
    <w:rsid w:val="006F7E7C"/>
    <w:rsid w:val="007016E7"/>
    <w:rsid w:val="0070174E"/>
    <w:rsid w:val="007018DB"/>
    <w:rsid w:val="00701B59"/>
    <w:rsid w:val="00701DE6"/>
    <w:rsid w:val="00702740"/>
    <w:rsid w:val="0070381B"/>
    <w:rsid w:val="00703985"/>
    <w:rsid w:val="007060C1"/>
    <w:rsid w:val="0070796C"/>
    <w:rsid w:val="007109BB"/>
    <w:rsid w:val="00710E59"/>
    <w:rsid w:val="00710EBF"/>
    <w:rsid w:val="007110B8"/>
    <w:rsid w:val="0071209F"/>
    <w:rsid w:val="007125A2"/>
    <w:rsid w:val="00713DD9"/>
    <w:rsid w:val="00713F79"/>
    <w:rsid w:val="007148A8"/>
    <w:rsid w:val="00716A66"/>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29EE"/>
    <w:rsid w:val="00733721"/>
    <w:rsid w:val="00733DAE"/>
    <w:rsid w:val="00733DE2"/>
    <w:rsid w:val="00734142"/>
    <w:rsid w:val="007352EA"/>
    <w:rsid w:val="0073792F"/>
    <w:rsid w:val="00740C81"/>
    <w:rsid w:val="00740DA6"/>
    <w:rsid w:val="00741B4B"/>
    <w:rsid w:val="00741D1E"/>
    <w:rsid w:val="00741DD6"/>
    <w:rsid w:val="00741EE2"/>
    <w:rsid w:val="00741F3D"/>
    <w:rsid w:val="0074207F"/>
    <w:rsid w:val="00742367"/>
    <w:rsid w:val="00742EAA"/>
    <w:rsid w:val="00743360"/>
    <w:rsid w:val="00743818"/>
    <w:rsid w:val="00743857"/>
    <w:rsid w:val="007441FB"/>
    <w:rsid w:val="00744517"/>
    <w:rsid w:val="0074522A"/>
    <w:rsid w:val="00745A5F"/>
    <w:rsid w:val="00745CAD"/>
    <w:rsid w:val="00747295"/>
    <w:rsid w:val="00747829"/>
    <w:rsid w:val="0074789C"/>
    <w:rsid w:val="00747DE2"/>
    <w:rsid w:val="007502D0"/>
    <w:rsid w:val="007504BF"/>
    <w:rsid w:val="007506CD"/>
    <w:rsid w:val="0075267F"/>
    <w:rsid w:val="007526EC"/>
    <w:rsid w:val="007539EF"/>
    <w:rsid w:val="00753C48"/>
    <w:rsid w:val="00754250"/>
    <w:rsid w:val="007549A2"/>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3DA"/>
    <w:rsid w:val="00767BFD"/>
    <w:rsid w:val="00767EA0"/>
    <w:rsid w:val="0077068F"/>
    <w:rsid w:val="007706E5"/>
    <w:rsid w:val="00771749"/>
    <w:rsid w:val="00771EDF"/>
    <w:rsid w:val="00772A90"/>
    <w:rsid w:val="00772F8D"/>
    <w:rsid w:val="0077408D"/>
    <w:rsid w:val="00774270"/>
    <w:rsid w:val="007743F6"/>
    <w:rsid w:val="00774733"/>
    <w:rsid w:val="00775363"/>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343F"/>
    <w:rsid w:val="00793696"/>
    <w:rsid w:val="00794D9D"/>
    <w:rsid w:val="007955DA"/>
    <w:rsid w:val="00795E4C"/>
    <w:rsid w:val="00796366"/>
    <w:rsid w:val="00796F65"/>
    <w:rsid w:val="007A0A32"/>
    <w:rsid w:val="007A11C2"/>
    <w:rsid w:val="007A18BB"/>
    <w:rsid w:val="007A27DD"/>
    <w:rsid w:val="007A303D"/>
    <w:rsid w:val="007A31BE"/>
    <w:rsid w:val="007A41BF"/>
    <w:rsid w:val="007A490A"/>
    <w:rsid w:val="007A7B95"/>
    <w:rsid w:val="007A7C8C"/>
    <w:rsid w:val="007B0297"/>
    <w:rsid w:val="007B02FA"/>
    <w:rsid w:val="007B0F53"/>
    <w:rsid w:val="007B21AE"/>
    <w:rsid w:val="007B2570"/>
    <w:rsid w:val="007B3113"/>
    <w:rsid w:val="007B3304"/>
    <w:rsid w:val="007B3639"/>
    <w:rsid w:val="007B3B5E"/>
    <w:rsid w:val="007B3BF0"/>
    <w:rsid w:val="007B6925"/>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54"/>
    <w:rsid w:val="007D0FE7"/>
    <w:rsid w:val="007D1452"/>
    <w:rsid w:val="007D1563"/>
    <w:rsid w:val="007D1ECB"/>
    <w:rsid w:val="007D3DCB"/>
    <w:rsid w:val="007D460C"/>
    <w:rsid w:val="007D4996"/>
    <w:rsid w:val="007D4AD3"/>
    <w:rsid w:val="007D5D19"/>
    <w:rsid w:val="007D5FDC"/>
    <w:rsid w:val="007D6176"/>
    <w:rsid w:val="007D69CD"/>
    <w:rsid w:val="007D6D68"/>
    <w:rsid w:val="007D7F70"/>
    <w:rsid w:val="007E194F"/>
    <w:rsid w:val="007E32DA"/>
    <w:rsid w:val="007E4998"/>
    <w:rsid w:val="007E4A9C"/>
    <w:rsid w:val="007E6914"/>
    <w:rsid w:val="007E7E2E"/>
    <w:rsid w:val="007E7F78"/>
    <w:rsid w:val="007F0179"/>
    <w:rsid w:val="007F0BCD"/>
    <w:rsid w:val="007F1397"/>
    <w:rsid w:val="007F19EF"/>
    <w:rsid w:val="007F2C13"/>
    <w:rsid w:val="007F2CEC"/>
    <w:rsid w:val="007F2ED1"/>
    <w:rsid w:val="007F2EEE"/>
    <w:rsid w:val="007F3435"/>
    <w:rsid w:val="007F505D"/>
    <w:rsid w:val="007F531B"/>
    <w:rsid w:val="007F55DE"/>
    <w:rsid w:val="007F762D"/>
    <w:rsid w:val="007F78F0"/>
    <w:rsid w:val="007F78FF"/>
    <w:rsid w:val="008001C5"/>
    <w:rsid w:val="00800F6C"/>
    <w:rsid w:val="00801065"/>
    <w:rsid w:val="00801DB4"/>
    <w:rsid w:val="00802C0B"/>
    <w:rsid w:val="008034BA"/>
    <w:rsid w:val="00805040"/>
    <w:rsid w:val="008051FC"/>
    <w:rsid w:val="008055A9"/>
    <w:rsid w:val="008056C4"/>
    <w:rsid w:val="008057FD"/>
    <w:rsid w:val="00805D8B"/>
    <w:rsid w:val="0081010F"/>
    <w:rsid w:val="00810768"/>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12CB"/>
    <w:rsid w:val="00822518"/>
    <w:rsid w:val="008226F5"/>
    <w:rsid w:val="00823FC6"/>
    <w:rsid w:val="00824306"/>
    <w:rsid w:val="008245AB"/>
    <w:rsid w:val="00825A76"/>
    <w:rsid w:val="00825C74"/>
    <w:rsid w:val="00825CFA"/>
    <w:rsid w:val="00826AB9"/>
    <w:rsid w:val="00826E0E"/>
    <w:rsid w:val="00827451"/>
    <w:rsid w:val="00827D11"/>
    <w:rsid w:val="00827E0F"/>
    <w:rsid w:val="00827F6E"/>
    <w:rsid w:val="00830712"/>
    <w:rsid w:val="00831758"/>
    <w:rsid w:val="008317D9"/>
    <w:rsid w:val="00831AEC"/>
    <w:rsid w:val="0083241D"/>
    <w:rsid w:val="0083279F"/>
    <w:rsid w:val="00832CE9"/>
    <w:rsid w:val="0083307F"/>
    <w:rsid w:val="008334DB"/>
    <w:rsid w:val="00833B7F"/>
    <w:rsid w:val="00833E8E"/>
    <w:rsid w:val="00834906"/>
    <w:rsid w:val="00836075"/>
    <w:rsid w:val="00836417"/>
    <w:rsid w:val="008368C4"/>
    <w:rsid w:val="00837526"/>
    <w:rsid w:val="008407A7"/>
    <w:rsid w:val="0084322B"/>
    <w:rsid w:val="00843F81"/>
    <w:rsid w:val="00844087"/>
    <w:rsid w:val="008448F1"/>
    <w:rsid w:val="0084519E"/>
    <w:rsid w:val="00845AAD"/>
    <w:rsid w:val="00845CAE"/>
    <w:rsid w:val="0084617B"/>
    <w:rsid w:val="008462C5"/>
    <w:rsid w:val="008462FA"/>
    <w:rsid w:val="00846370"/>
    <w:rsid w:val="00846873"/>
    <w:rsid w:val="008477A5"/>
    <w:rsid w:val="008477E7"/>
    <w:rsid w:val="00847C2B"/>
    <w:rsid w:val="00850272"/>
    <w:rsid w:val="008506B9"/>
    <w:rsid w:val="0085086F"/>
    <w:rsid w:val="00851822"/>
    <w:rsid w:val="00851C16"/>
    <w:rsid w:val="008532BF"/>
    <w:rsid w:val="008539B2"/>
    <w:rsid w:val="00853BF4"/>
    <w:rsid w:val="00854294"/>
    <w:rsid w:val="00854295"/>
    <w:rsid w:val="0085572E"/>
    <w:rsid w:val="00855D45"/>
    <w:rsid w:val="0085788B"/>
    <w:rsid w:val="00857A9E"/>
    <w:rsid w:val="00857DE2"/>
    <w:rsid w:val="0086003D"/>
    <w:rsid w:val="00862779"/>
    <w:rsid w:val="00863A8E"/>
    <w:rsid w:val="0086407F"/>
    <w:rsid w:val="008645E3"/>
    <w:rsid w:val="00864E79"/>
    <w:rsid w:val="0086572B"/>
    <w:rsid w:val="00866615"/>
    <w:rsid w:val="0086661F"/>
    <w:rsid w:val="00866A0D"/>
    <w:rsid w:val="00866DB5"/>
    <w:rsid w:val="0086701D"/>
    <w:rsid w:val="0086702B"/>
    <w:rsid w:val="008672E2"/>
    <w:rsid w:val="0086784E"/>
    <w:rsid w:val="00870103"/>
    <w:rsid w:val="0087121C"/>
    <w:rsid w:val="00871E72"/>
    <w:rsid w:val="00871FD2"/>
    <w:rsid w:val="00872084"/>
    <w:rsid w:val="00872827"/>
    <w:rsid w:val="00872A32"/>
    <w:rsid w:val="00872D46"/>
    <w:rsid w:val="00874684"/>
    <w:rsid w:val="00874911"/>
    <w:rsid w:val="008754E4"/>
    <w:rsid w:val="00876EAE"/>
    <w:rsid w:val="00880106"/>
    <w:rsid w:val="008802A8"/>
    <w:rsid w:val="00880E13"/>
    <w:rsid w:val="00880F95"/>
    <w:rsid w:val="00881B3B"/>
    <w:rsid w:val="00882B44"/>
    <w:rsid w:val="008838AD"/>
    <w:rsid w:val="008841CE"/>
    <w:rsid w:val="00885BC9"/>
    <w:rsid w:val="008864B3"/>
    <w:rsid w:val="008865E5"/>
    <w:rsid w:val="008871B0"/>
    <w:rsid w:val="00890B57"/>
    <w:rsid w:val="00890DEC"/>
    <w:rsid w:val="008916BA"/>
    <w:rsid w:val="0089217C"/>
    <w:rsid w:val="00892790"/>
    <w:rsid w:val="00892F89"/>
    <w:rsid w:val="00893671"/>
    <w:rsid w:val="00895185"/>
    <w:rsid w:val="00895838"/>
    <w:rsid w:val="00895A1E"/>
    <w:rsid w:val="00895A72"/>
    <w:rsid w:val="00895CDF"/>
    <w:rsid w:val="00896679"/>
    <w:rsid w:val="00896D8C"/>
    <w:rsid w:val="008A0784"/>
    <w:rsid w:val="008A0FC9"/>
    <w:rsid w:val="008A1956"/>
    <w:rsid w:val="008A1A7C"/>
    <w:rsid w:val="008A2CE2"/>
    <w:rsid w:val="008A40D3"/>
    <w:rsid w:val="008A469C"/>
    <w:rsid w:val="008A486C"/>
    <w:rsid w:val="008A50FB"/>
    <w:rsid w:val="008A51D1"/>
    <w:rsid w:val="008A5DCE"/>
    <w:rsid w:val="008A75D3"/>
    <w:rsid w:val="008B05DD"/>
    <w:rsid w:val="008B07B8"/>
    <w:rsid w:val="008B17E8"/>
    <w:rsid w:val="008B18F0"/>
    <w:rsid w:val="008B2875"/>
    <w:rsid w:val="008B2C45"/>
    <w:rsid w:val="008B2E7C"/>
    <w:rsid w:val="008B399A"/>
    <w:rsid w:val="008B3E67"/>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82"/>
    <w:rsid w:val="008C74D9"/>
    <w:rsid w:val="008D2050"/>
    <w:rsid w:val="008D3973"/>
    <w:rsid w:val="008D3B2D"/>
    <w:rsid w:val="008D4DAF"/>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A"/>
    <w:rsid w:val="008F357B"/>
    <w:rsid w:val="008F44CA"/>
    <w:rsid w:val="008F49D3"/>
    <w:rsid w:val="008F6411"/>
    <w:rsid w:val="008F6519"/>
    <w:rsid w:val="008F6D6E"/>
    <w:rsid w:val="008F7012"/>
    <w:rsid w:val="008F7ADA"/>
    <w:rsid w:val="008F7B17"/>
    <w:rsid w:val="00900042"/>
    <w:rsid w:val="0090034B"/>
    <w:rsid w:val="0090061F"/>
    <w:rsid w:val="009007CA"/>
    <w:rsid w:val="0090087C"/>
    <w:rsid w:val="00901121"/>
    <w:rsid w:val="00902623"/>
    <w:rsid w:val="00902A67"/>
    <w:rsid w:val="00902C5E"/>
    <w:rsid w:val="00903521"/>
    <w:rsid w:val="00904BE4"/>
    <w:rsid w:val="0090504A"/>
    <w:rsid w:val="009051F5"/>
    <w:rsid w:val="00905221"/>
    <w:rsid w:val="00905664"/>
    <w:rsid w:val="00905A7C"/>
    <w:rsid w:val="00905D7E"/>
    <w:rsid w:val="009061C2"/>
    <w:rsid w:val="00907037"/>
    <w:rsid w:val="00907259"/>
    <w:rsid w:val="00910C5D"/>
    <w:rsid w:val="0091112C"/>
    <w:rsid w:val="0091160A"/>
    <w:rsid w:val="00912E04"/>
    <w:rsid w:val="00913258"/>
    <w:rsid w:val="009133A3"/>
    <w:rsid w:val="00913851"/>
    <w:rsid w:val="00913BB0"/>
    <w:rsid w:val="0091456C"/>
    <w:rsid w:val="00914C58"/>
    <w:rsid w:val="00914D78"/>
    <w:rsid w:val="00914EA5"/>
    <w:rsid w:val="0091564D"/>
    <w:rsid w:val="009156DA"/>
    <w:rsid w:val="00915774"/>
    <w:rsid w:val="009165E3"/>
    <w:rsid w:val="00916BC5"/>
    <w:rsid w:val="00916DC2"/>
    <w:rsid w:val="0091726A"/>
    <w:rsid w:val="00917C01"/>
    <w:rsid w:val="00920184"/>
    <w:rsid w:val="00920EA4"/>
    <w:rsid w:val="00921792"/>
    <w:rsid w:val="00921BEA"/>
    <w:rsid w:val="009227BE"/>
    <w:rsid w:val="009238FD"/>
    <w:rsid w:val="00923998"/>
    <w:rsid w:val="00923DB4"/>
    <w:rsid w:val="0092420B"/>
    <w:rsid w:val="0092430E"/>
    <w:rsid w:val="00925F4B"/>
    <w:rsid w:val="00926112"/>
    <w:rsid w:val="0092625F"/>
    <w:rsid w:val="00926B28"/>
    <w:rsid w:val="00926D9C"/>
    <w:rsid w:val="00927028"/>
    <w:rsid w:val="009275CB"/>
    <w:rsid w:val="00927763"/>
    <w:rsid w:val="0092798B"/>
    <w:rsid w:val="00927A2D"/>
    <w:rsid w:val="00927B37"/>
    <w:rsid w:val="009321B1"/>
    <w:rsid w:val="009327F0"/>
    <w:rsid w:val="00932ED7"/>
    <w:rsid w:val="0093422D"/>
    <w:rsid w:val="0093483B"/>
    <w:rsid w:val="00934CF9"/>
    <w:rsid w:val="00934DD7"/>
    <w:rsid w:val="00935CB2"/>
    <w:rsid w:val="009369A9"/>
    <w:rsid w:val="00936CF7"/>
    <w:rsid w:val="00937783"/>
    <w:rsid w:val="0093781B"/>
    <w:rsid w:val="00937EAD"/>
    <w:rsid w:val="00937F28"/>
    <w:rsid w:val="00940AA6"/>
    <w:rsid w:val="00940FE1"/>
    <w:rsid w:val="00941474"/>
    <w:rsid w:val="00942306"/>
    <w:rsid w:val="009424B8"/>
    <w:rsid w:val="009432E2"/>
    <w:rsid w:val="00944668"/>
    <w:rsid w:val="00944DC6"/>
    <w:rsid w:val="009458B0"/>
    <w:rsid w:val="00945B52"/>
    <w:rsid w:val="00945B7A"/>
    <w:rsid w:val="00945F05"/>
    <w:rsid w:val="00946348"/>
    <w:rsid w:val="0094639A"/>
    <w:rsid w:val="00947224"/>
    <w:rsid w:val="00947797"/>
    <w:rsid w:val="009478A2"/>
    <w:rsid w:val="00950746"/>
    <w:rsid w:val="00951ED3"/>
    <w:rsid w:val="009533BD"/>
    <w:rsid w:val="009536FB"/>
    <w:rsid w:val="00953808"/>
    <w:rsid w:val="0095399D"/>
    <w:rsid w:val="009539A6"/>
    <w:rsid w:val="00954032"/>
    <w:rsid w:val="00954537"/>
    <w:rsid w:val="0095472D"/>
    <w:rsid w:val="00954C5C"/>
    <w:rsid w:val="00955342"/>
    <w:rsid w:val="00955FBB"/>
    <w:rsid w:val="0095694B"/>
    <w:rsid w:val="00956BD5"/>
    <w:rsid w:val="00956D84"/>
    <w:rsid w:val="009577B5"/>
    <w:rsid w:val="0096018C"/>
    <w:rsid w:val="009608E6"/>
    <w:rsid w:val="00960F57"/>
    <w:rsid w:val="00961C90"/>
    <w:rsid w:val="00961F82"/>
    <w:rsid w:val="00965443"/>
    <w:rsid w:val="00965954"/>
    <w:rsid w:val="0096596F"/>
    <w:rsid w:val="00965A21"/>
    <w:rsid w:val="00965DD1"/>
    <w:rsid w:val="00965E55"/>
    <w:rsid w:val="0096608E"/>
    <w:rsid w:val="00966522"/>
    <w:rsid w:val="00966979"/>
    <w:rsid w:val="00966C33"/>
    <w:rsid w:val="00967D87"/>
    <w:rsid w:val="00970F18"/>
    <w:rsid w:val="00971CF1"/>
    <w:rsid w:val="00971F5D"/>
    <w:rsid w:val="009721E9"/>
    <w:rsid w:val="00973772"/>
    <w:rsid w:val="009739CB"/>
    <w:rsid w:val="00974E9F"/>
    <w:rsid w:val="0097560A"/>
    <w:rsid w:val="00975E1E"/>
    <w:rsid w:val="00975E70"/>
    <w:rsid w:val="009761DE"/>
    <w:rsid w:val="009766FA"/>
    <w:rsid w:val="00977CD6"/>
    <w:rsid w:val="0098048B"/>
    <w:rsid w:val="00980908"/>
    <w:rsid w:val="00980DF9"/>
    <w:rsid w:val="00981CD8"/>
    <w:rsid w:val="0098243D"/>
    <w:rsid w:val="00982D26"/>
    <w:rsid w:val="00983B6E"/>
    <w:rsid w:val="00983B7B"/>
    <w:rsid w:val="00983FE5"/>
    <w:rsid w:val="009849E9"/>
    <w:rsid w:val="00984AFF"/>
    <w:rsid w:val="009850EA"/>
    <w:rsid w:val="009859E4"/>
    <w:rsid w:val="00985D7F"/>
    <w:rsid w:val="00986F6A"/>
    <w:rsid w:val="00987812"/>
    <w:rsid w:val="00990225"/>
    <w:rsid w:val="00991307"/>
    <w:rsid w:val="00991FAA"/>
    <w:rsid w:val="009928C4"/>
    <w:rsid w:val="00992A13"/>
    <w:rsid w:val="00994AAD"/>
    <w:rsid w:val="00995150"/>
    <w:rsid w:val="0099538C"/>
    <w:rsid w:val="00995D67"/>
    <w:rsid w:val="00996509"/>
    <w:rsid w:val="00997613"/>
    <w:rsid w:val="00997852"/>
    <w:rsid w:val="009A013B"/>
    <w:rsid w:val="009A02F4"/>
    <w:rsid w:val="009A06BF"/>
    <w:rsid w:val="009A0D17"/>
    <w:rsid w:val="009A2494"/>
    <w:rsid w:val="009A32B1"/>
    <w:rsid w:val="009A33A3"/>
    <w:rsid w:val="009A36F2"/>
    <w:rsid w:val="009A3E18"/>
    <w:rsid w:val="009A40C3"/>
    <w:rsid w:val="009A40D5"/>
    <w:rsid w:val="009A5268"/>
    <w:rsid w:val="009A57D0"/>
    <w:rsid w:val="009A5C36"/>
    <w:rsid w:val="009A6559"/>
    <w:rsid w:val="009A674C"/>
    <w:rsid w:val="009A68FC"/>
    <w:rsid w:val="009A6CE4"/>
    <w:rsid w:val="009A7514"/>
    <w:rsid w:val="009A7E7A"/>
    <w:rsid w:val="009B0925"/>
    <w:rsid w:val="009B1584"/>
    <w:rsid w:val="009B18F0"/>
    <w:rsid w:val="009B1F4C"/>
    <w:rsid w:val="009B2471"/>
    <w:rsid w:val="009B2C53"/>
    <w:rsid w:val="009B314F"/>
    <w:rsid w:val="009B439C"/>
    <w:rsid w:val="009B49A1"/>
    <w:rsid w:val="009B4A6C"/>
    <w:rsid w:val="009B4DA8"/>
    <w:rsid w:val="009B519A"/>
    <w:rsid w:val="009B620C"/>
    <w:rsid w:val="009B6753"/>
    <w:rsid w:val="009B676C"/>
    <w:rsid w:val="009B6A26"/>
    <w:rsid w:val="009C079D"/>
    <w:rsid w:val="009C0D70"/>
    <w:rsid w:val="009C13D1"/>
    <w:rsid w:val="009C2555"/>
    <w:rsid w:val="009C2913"/>
    <w:rsid w:val="009C2BD4"/>
    <w:rsid w:val="009C5AFE"/>
    <w:rsid w:val="009C6606"/>
    <w:rsid w:val="009C6CE5"/>
    <w:rsid w:val="009C6D50"/>
    <w:rsid w:val="009C7547"/>
    <w:rsid w:val="009D029D"/>
    <w:rsid w:val="009D05EC"/>
    <w:rsid w:val="009D06B5"/>
    <w:rsid w:val="009D17CA"/>
    <w:rsid w:val="009D18D4"/>
    <w:rsid w:val="009D1FCF"/>
    <w:rsid w:val="009D2F60"/>
    <w:rsid w:val="009D3A2E"/>
    <w:rsid w:val="009D3BA9"/>
    <w:rsid w:val="009D5ADE"/>
    <w:rsid w:val="009D5BAC"/>
    <w:rsid w:val="009D5C56"/>
    <w:rsid w:val="009D6265"/>
    <w:rsid w:val="009D64BD"/>
    <w:rsid w:val="009D6CB1"/>
    <w:rsid w:val="009E0286"/>
    <w:rsid w:val="009E0D41"/>
    <w:rsid w:val="009E10BD"/>
    <w:rsid w:val="009E153F"/>
    <w:rsid w:val="009E18C5"/>
    <w:rsid w:val="009E322A"/>
    <w:rsid w:val="009E393E"/>
    <w:rsid w:val="009E3F36"/>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218"/>
    <w:rsid w:val="00A10CA8"/>
    <w:rsid w:val="00A11042"/>
    <w:rsid w:val="00A12579"/>
    <w:rsid w:val="00A12CDC"/>
    <w:rsid w:val="00A133D8"/>
    <w:rsid w:val="00A15655"/>
    <w:rsid w:val="00A15A40"/>
    <w:rsid w:val="00A160B0"/>
    <w:rsid w:val="00A16FDE"/>
    <w:rsid w:val="00A1740C"/>
    <w:rsid w:val="00A17904"/>
    <w:rsid w:val="00A20069"/>
    <w:rsid w:val="00A2244D"/>
    <w:rsid w:val="00A2253D"/>
    <w:rsid w:val="00A2267F"/>
    <w:rsid w:val="00A22CDB"/>
    <w:rsid w:val="00A232E9"/>
    <w:rsid w:val="00A247B8"/>
    <w:rsid w:val="00A2495A"/>
    <w:rsid w:val="00A24C7A"/>
    <w:rsid w:val="00A24D8F"/>
    <w:rsid w:val="00A25B8B"/>
    <w:rsid w:val="00A25D8E"/>
    <w:rsid w:val="00A2689F"/>
    <w:rsid w:val="00A26ECA"/>
    <w:rsid w:val="00A27461"/>
    <w:rsid w:val="00A27D67"/>
    <w:rsid w:val="00A30ABC"/>
    <w:rsid w:val="00A31C00"/>
    <w:rsid w:val="00A33B74"/>
    <w:rsid w:val="00A342C5"/>
    <w:rsid w:val="00A3467F"/>
    <w:rsid w:val="00A34B28"/>
    <w:rsid w:val="00A34B4C"/>
    <w:rsid w:val="00A35030"/>
    <w:rsid w:val="00A3551A"/>
    <w:rsid w:val="00A366A0"/>
    <w:rsid w:val="00A36D34"/>
    <w:rsid w:val="00A37209"/>
    <w:rsid w:val="00A37584"/>
    <w:rsid w:val="00A376E8"/>
    <w:rsid w:val="00A37F8E"/>
    <w:rsid w:val="00A41537"/>
    <w:rsid w:val="00A41737"/>
    <w:rsid w:val="00A41750"/>
    <w:rsid w:val="00A42B8F"/>
    <w:rsid w:val="00A42D8E"/>
    <w:rsid w:val="00A42DDD"/>
    <w:rsid w:val="00A42F8F"/>
    <w:rsid w:val="00A43254"/>
    <w:rsid w:val="00A43896"/>
    <w:rsid w:val="00A43951"/>
    <w:rsid w:val="00A43A26"/>
    <w:rsid w:val="00A447A0"/>
    <w:rsid w:val="00A44AD3"/>
    <w:rsid w:val="00A459F5"/>
    <w:rsid w:val="00A45FC0"/>
    <w:rsid w:val="00A46802"/>
    <w:rsid w:val="00A46B74"/>
    <w:rsid w:val="00A47BF7"/>
    <w:rsid w:val="00A47ECC"/>
    <w:rsid w:val="00A50171"/>
    <w:rsid w:val="00A504FA"/>
    <w:rsid w:val="00A50AC2"/>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6F18"/>
    <w:rsid w:val="00A67FCC"/>
    <w:rsid w:val="00A70AA5"/>
    <w:rsid w:val="00A70C03"/>
    <w:rsid w:val="00A71256"/>
    <w:rsid w:val="00A7217B"/>
    <w:rsid w:val="00A722D7"/>
    <w:rsid w:val="00A723A3"/>
    <w:rsid w:val="00A73861"/>
    <w:rsid w:val="00A739A6"/>
    <w:rsid w:val="00A740ED"/>
    <w:rsid w:val="00A74C29"/>
    <w:rsid w:val="00A74C62"/>
    <w:rsid w:val="00A75EF9"/>
    <w:rsid w:val="00A764ED"/>
    <w:rsid w:val="00A7657C"/>
    <w:rsid w:val="00A77EFC"/>
    <w:rsid w:val="00A80216"/>
    <w:rsid w:val="00A8118A"/>
    <w:rsid w:val="00A81DA8"/>
    <w:rsid w:val="00A81F2D"/>
    <w:rsid w:val="00A8311C"/>
    <w:rsid w:val="00A835D0"/>
    <w:rsid w:val="00A84C5F"/>
    <w:rsid w:val="00A84FBE"/>
    <w:rsid w:val="00A85930"/>
    <w:rsid w:val="00A863F7"/>
    <w:rsid w:val="00A86604"/>
    <w:rsid w:val="00A87519"/>
    <w:rsid w:val="00A9246D"/>
    <w:rsid w:val="00A92804"/>
    <w:rsid w:val="00A92CCA"/>
    <w:rsid w:val="00A92EED"/>
    <w:rsid w:val="00A93BD0"/>
    <w:rsid w:val="00A93CC2"/>
    <w:rsid w:val="00A93D03"/>
    <w:rsid w:val="00A94D4B"/>
    <w:rsid w:val="00A974CC"/>
    <w:rsid w:val="00AA16FB"/>
    <w:rsid w:val="00AA2001"/>
    <w:rsid w:val="00AA2B5C"/>
    <w:rsid w:val="00AA32D2"/>
    <w:rsid w:val="00AA3B8B"/>
    <w:rsid w:val="00AA3F61"/>
    <w:rsid w:val="00AA4016"/>
    <w:rsid w:val="00AA4C1F"/>
    <w:rsid w:val="00AA5328"/>
    <w:rsid w:val="00AA5393"/>
    <w:rsid w:val="00AA5D54"/>
    <w:rsid w:val="00AA63D4"/>
    <w:rsid w:val="00AA7989"/>
    <w:rsid w:val="00AA7AE4"/>
    <w:rsid w:val="00AB03FD"/>
    <w:rsid w:val="00AB2000"/>
    <w:rsid w:val="00AB38CB"/>
    <w:rsid w:val="00AB3BEC"/>
    <w:rsid w:val="00AB44E4"/>
    <w:rsid w:val="00AB4AEB"/>
    <w:rsid w:val="00AB4E5F"/>
    <w:rsid w:val="00AB5352"/>
    <w:rsid w:val="00AB56AE"/>
    <w:rsid w:val="00AB62D5"/>
    <w:rsid w:val="00AB65B5"/>
    <w:rsid w:val="00AB6DCD"/>
    <w:rsid w:val="00AB6EE0"/>
    <w:rsid w:val="00AB7B84"/>
    <w:rsid w:val="00AC17A2"/>
    <w:rsid w:val="00AC2494"/>
    <w:rsid w:val="00AC40B7"/>
    <w:rsid w:val="00AC5148"/>
    <w:rsid w:val="00AC531F"/>
    <w:rsid w:val="00AC5B36"/>
    <w:rsid w:val="00AC6377"/>
    <w:rsid w:val="00AC66A4"/>
    <w:rsid w:val="00AC6CB1"/>
    <w:rsid w:val="00AC75E9"/>
    <w:rsid w:val="00AC7669"/>
    <w:rsid w:val="00AC7D6D"/>
    <w:rsid w:val="00AD0091"/>
    <w:rsid w:val="00AD23EF"/>
    <w:rsid w:val="00AD2583"/>
    <w:rsid w:val="00AD2662"/>
    <w:rsid w:val="00AD307B"/>
    <w:rsid w:val="00AD3581"/>
    <w:rsid w:val="00AD4014"/>
    <w:rsid w:val="00AD41B3"/>
    <w:rsid w:val="00AD45EF"/>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6C5B"/>
    <w:rsid w:val="00B003FF"/>
    <w:rsid w:val="00B0098A"/>
    <w:rsid w:val="00B00A5F"/>
    <w:rsid w:val="00B0247D"/>
    <w:rsid w:val="00B029B8"/>
    <w:rsid w:val="00B02F60"/>
    <w:rsid w:val="00B02F94"/>
    <w:rsid w:val="00B032B8"/>
    <w:rsid w:val="00B040BF"/>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A4F"/>
    <w:rsid w:val="00B13EC9"/>
    <w:rsid w:val="00B14319"/>
    <w:rsid w:val="00B14A06"/>
    <w:rsid w:val="00B158E1"/>
    <w:rsid w:val="00B16715"/>
    <w:rsid w:val="00B1764B"/>
    <w:rsid w:val="00B1768E"/>
    <w:rsid w:val="00B17910"/>
    <w:rsid w:val="00B20F18"/>
    <w:rsid w:val="00B21516"/>
    <w:rsid w:val="00B21A37"/>
    <w:rsid w:val="00B21D23"/>
    <w:rsid w:val="00B21F62"/>
    <w:rsid w:val="00B22CE0"/>
    <w:rsid w:val="00B23738"/>
    <w:rsid w:val="00B23BEF"/>
    <w:rsid w:val="00B247BB"/>
    <w:rsid w:val="00B24910"/>
    <w:rsid w:val="00B2504A"/>
    <w:rsid w:val="00B25EE6"/>
    <w:rsid w:val="00B3115A"/>
    <w:rsid w:val="00B3178B"/>
    <w:rsid w:val="00B31825"/>
    <w:rsid w:val="00B31A5C"/>
    <w:rsid w:val="00B32265"/>
    <w:rsid w:val="00B3276D"/>
    <w:rsid w:val="00B33AF9"/>
    <w:rsid w:val="00B33B06"/>
    <w:rsid w:val="00B33C19"/>
    <w:rsid w:val="00B34AE0"/>
    <w:rsid w:val="00B35607"/>
    <w:rsid w:val="00B35A15"/>
    <w:rsid w:val="00B35B45"/>
    <w:rsid w:val="00B36165"/>
    <w:rsid w:val="00B36A99"/>
    <w:rsid w:val="00B40602"/>
    <w:rsid w:val="00B41C80"/>
    <w:rsid w:val="00B42264"/>
    <w:rsid w:val="00B434B2"/>
    <w:rsid w:val="00B43D45"/>
    <w:rsid w:val="00B459AF"/>
    <w:rsid w:val="00B468F2"/>
    <w:rsid w:val="00B469DE"/>
    <w:rsid w:val="00B47286"/>
    <w:rsid w:val="00B47EB4"/>
    <w:rsid w:val="00B50234"/>
    <w:rsid w:val="00B51BF4"/>
    <w:rsid w:val="00B52C68"/>
    <w:rsid w:val="00B5372B"/>
    <w:rsid w:val="00B539B2"/>
    <w:rsid w:val="00B542FE"/>
    <w:rsid w:val="00B55A1B"/>
    <w:rsid w:val="00B561DB"/>
    <w:rsid w:val="00B56DF9"/>
    <w:rsid w:val="00B56E80"/>
    <w:rsid w:val="00B571F1"/>
    <w:rsid w:val="00B57EC7"/>
    <w:rsid w:val="00B600BD"/>
    <w:rsid w:val="00B60E4E"/>
    <w:rsid w:val="00B61274"/>
    <w:rsid w:val="00B61DCE"/>
    <w:rsid w:val="00B62188"/>
    <w:rsid w:val="00B62F79"/>
    <w:rsid w:val="00B62F82"/>
    <w:rsid w:val="00B6306A"/>
    <w:rsid w:val="00B635E3"/>
    <w:rsid w:val="00B662FF"/>
    <w:rsid w:val="00B66679"/>
    <w:rsid w:val="00B668BE"/>
    <w:rsid w:val="00B70145"/>
    <w:rsid w:val="00B717F9"/>
    <w:rsid w:val="00B71A92"/>
    <w:rsid w:val="00B721D8"/>
    <w:rsid w:val="00B72AC5"/>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765"/>
    <w:rsid w:val="00B82B78"/>
    <w:rsid w:val="00B845B4"/>
    <w:rsid w:val="00B84662"/>
    <w:rsid w:val="00B84C74"/>
    <w:rsid w:val="00B84CE9"/>
    <w:rsid w:val="00B85191"/>
    <w:rsid w:val="00B858A1"/>
    <w:rsid w:val="00B85FEC"/>
    <w:rsid w:val="00B8637D"/>
    <w:rsid w:val="00B864A3"/>
    <w:rsid w:val="00B86C2A"/>
    <w:rsid w:val="00B902A5"/>
    <w:rsid w:val="00B90420"/>
    <w:rsid w:val="00B90848"/>
    <w:rsid w:val="00B91146"/>
    <w:rsid w:val="00B913E4"/>
    <w:rsid w:val="00B91DB9"/>
    <w:rsid w:val="00B91FF3"/>
    <w:rsid w:val="00B925F8"/>
    <w:rsid w:val="00B934AF"/>
    <w:rsid w:val="00B93EFE"/>
    <w:rsid w:val="00B944B9"/>
    <w:rsid w:val="00B94956"/>
    <w:rsid w:val="00B94C7F"/>
    <w:rsid w:val="00B94E93"/>
    <w:rsid w:val="00B956B5"/>
    <w:rsid w:val="00B95956"/>
    <w:rsid w:val="00B96DF2"/>
    <w:rsid w:val="00B96E18"/>
    <w:rsid w:val="00B96F5A"/>
    <w:rsid w:val="00B97B44"/>
    <w:rsid w:val="00BA0B39"/>
    <w:rsid w:val="00BA0CB2"/>
    <w:rsid w:val="00BA0E26"/>
    <w:rsid w:val="00BA138B"/>
    <w:rsid w:val="00BA1A9E"/>
    <w:rsid w:val="00BA305B"/>
    <w:rsid w:val="00BA31BF"/>
    <w:rsid w:val="00BA3916"/>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416"/>
    <w:rsid w:val="00BC2C17"/>
    <w:rsid w:val="00BC397C"/>
    <w:rsid w:val="00BC3ACD"/>
    <w:rsid w:val="00BC3B20"/>
    <w:rsid w:val="00BC3EE4"/>
    <w:rsid w:val="00BC588C"/>
    <w:rsid w:val="00BC6E73"/>
    <w:rsid w:val="00BC721B"/>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319"/>
    <w:rsid w:val="00BE3917"/>
    <w:rsid w:val="00BE48D3"/>
    <w:rsid w:val="00BE4BFE"/>
    <w:rsid w:val="00BE4D94"/>
    <w:rsid w:val="00BE50FD"/>
    <w:rsid w:val="00BE51CA"/>
    <w:rsid w:val="00BE537F"/>
    <w:rsid w:val="00BE5D77"/>
    <w:rsid w:val="00BE6884"/>
    <w:rsid w:val="00BE6D47"/>
    <w:rsid w:val="00BE7032"/>
    <w:rsid w:val="00BE7330"/>
    <w:rsid w:val="00BE78F1"/>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55"/>
    <w:rsid w:val="00C031CF"/>
    <w:rsid w:val="00C047AB"/>
    <w:rsid w:val="00C058AF"/>
    <w:rsid w:val="00C05935"/>
    <w:rsid w:val="00C075B6"/>
    <w:rsid w:val="00C11ACA"/>
    <w:rsid w:val="00C124C1"/>
    <w:rsid w:val="00C128AE"/>
    <w:rsid w:val="00C12BA8"/>
    <w:rsid w:val="00C13094"/>
    <w:rsid w:val="00C136D6"/>
    <w:rsid w:val="00C13D5B"/>
    <w:rsid w:val="00C141D7"/>
    <w:rsid w:val="00C169B9"/>
    <w:rsid w:val="00C1711B"/>
    <w:rsid w:val="00C17AE2"/>
    <w:rsid w:val="00C20140"/>
    <w:rsid w:val="00C20F27"/>
    <w:rsid w:val="00C215CF"/>
    <w:rsid w:val="00C22204"/>
    <w:rsid w:val="00C2244B"/>
    <w:rsid w:val="00C22711"/>
    <w:rsid w:val="00C2280A"/>
    <w:rsid w:val="00C22AAA"/>
    <w:rsid w:val="00C22B0D"/>
    <w:rsid w:val="00C22BFF"/>
    <w:rsid w:val="00C23522"/>
    <w:rsid w:val="00C23E89"/>
    <w:rsid w:val="00C240C1"/>
    <w:rsid w:val="00C244A1"/>
    <w:rsid w:val="00C24AED"/>
    <w:rsid w:val="00C250D0"/>
    <w:rsid w:val="00C252AC"/>
    <w:rsid w:val="00C25C0F"/>
    <w:rsid w:val="00C26567"/>
    <w:rsid w:val="00C26923"/>
    <w:rsid w:val="00C2695A"/>
    <w:rsid w:val="00C27214"/>
    <w:rsid w:val="00C27597"/>
    <w:rsid w:val="00C27E5E"/>
    <w:rsid w:val="00C30382"/>
    <w:rsid w:val="00C30772"/>
    <w:rsid w:val="00C30D6F"/>
    <w:rsid w:val="00C31063"/>
    <w:rsid w:val="00C31B7E"/>
    <w:rsid w:val="00C322D1"/>
    <w:rsid w:val="00C3242A"/>
    <w:rsid w:val="00C33201"/>
    <w:rsid w:val="00C33A39"/>
    <w:rsid w:val="00C34619"/>
    <w:rsid w:val="00C3467C"/>
    <w:rsid w:val="00C348D9"/>
    <w:rsid w:val="00C35D01"/>
    <w:rsid w:val="00C360B3"/>
    <w:rsid w:val="00C36885"/>
    <w:rsid w:val="00C37027"/>
    <w:rsid w:val="00C373BF"/>
    <w:rsid w:val="00C37B19"/>
    <w:rsid w:val="00C41349"/>
    <w:rsid w:val="00C413CB"/>
    <w:rsid w:val="00C42752"/>
    <w:rsid w:val="00C42973"/>
    <w:rsid w:val="00C44D22"/>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635"/>
    <w:rsid w:val="00C62A48"/>
    <w:rsid w:val="00C62AC4"/>
    <w:rsid w:val="00C62B59"/>
    <w:rsid w:val="00C62F96"/>
    <w:rsid w:val="00C631E1"/>
    <w:rsid w:val="00C638D8"/>
    <w:rsid w:val="00C63A43"/>
    <w:rsid w:val="00C63AE7"/>
    <w:rsid w:val="00C63D26"/>
    <w:rsid w:val="00C6540A"/>
    <w:rsid w:val="00C668A1"/>
    <w:rsid w:val="00C67223"/>
    <w:rsid w:val="00C701FE"/>
    <w:rsid w:val="00C707B8"/>
    <w:rsid w:val="00C712AC"/>
    <w:rsid w:val="00C71ADC"/>
    <w:rsid w:val="00C71C15"/>
    <w:rsid w:val="00C71F3D"/>
    <w:rsid w:val="00C72F53"/>
    <w:rsid w:val="00C74035"/>
    <w:rsid w:val="00C748EA"/>
    <w:rsid w:val="00C77818"/>
    <w:rsid w:val="00C8063F"/>
    <w:rsid w:val="00C81282"/>
    <w:rsid w:val="00C827B4"/>
    <w:rsid w:val="00C83214"/>
    <w:rsid w:val="00C8329F"/>
    <w:rsid w:val="00C83B21"/>
    <w:rsid w:val="00C84F8A"/>
    <w:rsid w:val="00C85BA4"/>
    <w:rsid w:val="00C8618F"/>
    <w:rsid w:val="00C8625D"/>
    <w:rsid w:val="00C86A49"/>
    <w:rsid w:val="00C874F1"/>
    <w:rsid w:val="00C90103"/>
    <w:rsid w:val="00C90364"/>
    <w:rsid w:val="00C90372"/>
    <w:rsid w:val="00C9041F"/>
    <w:rsid w:val="00C91023"/>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66DE"/>
    <w:rsid w:val="00CB105E"/>
    <w:rsid w:val="00CB19D7"/>
    <w:rsid w:val="00CB19FE"/>
    <w:rsid w:val="00CB1C3F"/>
    <w:rsid w:val="00CB2364"/>
    <w:rsid w:val="00CB24BE"/>
    <w:rsid w:val="00CB25BA"/>
    <w:rsid w:val="00CB304C"/>
    <w:rsid w:val="00CB3933"/>
    <w:rsid w:val="00CB5010"/>
    <w:rsid w:val="00CB53E8"/>
    <w:rsid w:val="00CB594A"/>
    <w:rsid w:val="00CB5CB2"/>
    <w:rsid w:val="00CB6979"/>
    <w:rsid w:val="00CB7DDE"/>
    <w:rsid w:val="00CC0A3D"/>
    <w:rsid w:val="00CC2F62"/>
    <w:rsid w:val="00CC2FF0"/>
    <w:rsid w:val="00CC3261"/>
    <w:rsid w:val="00CC3C53"/>
    <w:rsid w:val="00CC3D24"/>
    <w:rsid w:val="00CC3F91"/>
    <w:rsid w:val="00CC47EE"/>
    <w:rsid w:val="00CC4ACD"/>
    <w:rsid w:val="00CC4B0A"/>
    <w:rsid w:val="00CC544A"/>
    <w:rsid w:val="00CC57AE"/>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5E4F"/>
    <w:rsid w:val="00CD63D3"/>
    <w:rsid w:val="00CD7111"/>
    <w:rsid w:val="00CD72C5"/>
    <w:rsid w:val="00CD79A7"/>
    <w:rsid w:val="00CD7FAD"/>
    <w:rsid w:val="00CE0789"/>
    <w:rsid w:val="00CE0AF1"/>
    <w:rsid w:val="00CE0E8D"/>
    <w:rsid w:val="00CE1A03"/>
    <w:rsid w:val="00CE2346"/>
    <w:rsid w:val="00CE25B2"/>
    <w:rsid w:val="00CE2D47"/>
    <w:rsid w:val="00CE3529"/>
    <w:rsid w:val="00CE35C8"/>
    <w:rsid w:val="00CE3962"/>
    <w:rsid w:val="00CE4920"/>
    <w:rsid w:val="00CE4A07"/>
    <w:rsid w:val="00CE4D0A"/>
    <w:rsid w:val="00CE4D1A"/>
    <w:rsid w:val="00CE4E8A"/>
    <w:rsid w:val="00CE5105"/>
    <w:rsid w:val="00CE56BD"/>
    <w:rsid w:val="00CE5EC0"/>
    <w:rsid w:val="00CE68AD"/>
    <w:rsid w:val="00CE6F9F"/>
    <w:rsid w:val="00CE7719"/>
    <w:rsid w:val="00CE781A"/>
    <w:rsid w:val="00CE790C"/>
    <w:rsid w:val="00CE7B08"/>
    <w:rsid w:val="00CE7D52"/>
    <w:rsid w:val="00CF0AB7"/>
    <w:rsid w:val="00CF1D74"/>
    <w:rsid w:val="00CF287D"/>
    <w:rsid w:val="00CF2BE2"/>
    <w:rsid w:val="00CF3DEB"/>
    <w:rsid w:val="00CF4498"/>
    <w:rsid w:val="00CF55F9"/>
    <w:rsid w:val="00CF585F"/>
    <w:rsid w:val="00CF5D43"/>
    <w:rsid w:val="00CF6870"/>
    <w:rsid w:val="00CF7074"/>
    <w:rsid w:val="00CF7495"/>
    <w:rsid w:val="00D01CF9"/>
    <w:rsid w:val="00D02D65"/>
    <w:rsid w:val="00D0334D"/>
    <w:rsid w:val="00D0374D"/>
    <w:rsid w:val="00D06D7B"/>
    <w:rsid w:val="00D06DA5"/>
    <w:rsid w:val="00D07191"/>
    <w:rsid w:val="00D07F1D"/>
    <w:rsid w:val="00D10136"/>
    <w:rsid w:val="00D10558"/>
    <w:rsid w:val="00D11D4D"/>
    <w:rsid w:val="00D11DB1"/>
    <w:rsid w:val="00D11F76"/>
    <w:rsid w:val="00D126DC"/>
    <w:rsid w:val="00D12B03"/>
    <w:rsid w:val="00D13E70"/>
    <w:rsid w:val="00D13EE7"/>
    <w:rsid w:val="00D15FCD"/>
    <w:rsid w:val="00D16C58"/>
    <w:rsid w:val="00D17019"/>
    <w:rsid w:val="00D17711"/>
    <w:rsid w:val="00D17FC8"/>
    <w:rsid w:val="00D2015B"/>
    <w:rsid w:val="00D20B44"/>
    <w:rsid w:val="00D21168"/>
    <w:rsid w:val="00D2438C"/>
    <w:rsid w:val="00D2585A"/>
    <w:rsid w:val="00D259B0"/>
    <w:rsid w:val="00D259C2"/>
    <w:rsid w:val="00D26C3F"/>
    <w:rsid w:val="00D27185"/>
    <w:rsid w:val="00D3028A"/>
    <w:rsid w:val="00D32A03"/>
    <w:rsid w:val="00D33488"/>
    <w:rsid w:val="00D338D9"/>
    <w:rsid w:val="00D33AB3"/>
    <w:rsid w:val="00D33F24"/>
    <w:rsid w:val="00D34160"/>
    <w:rsid w:val="00D346B8"/>
    <w:rsid w:val="00D34DCA"/>
    <w:rsid w:val="00D35AC8"/>
    <w:rsid w:val="00D35B55"/>
    <w:rsid w:val="00D36F87"/>
    <w:rsid w:val="00D37D77"/>
    <w:rsid w:val="00D37E4E"/>
    <w:rsid w:val="00D417D8"/>
    <w:rsid w:val="00D41F78"/>
    <w:rsid w:val="00D42D63"/>
    <w:rsid w:val="00D42E6C"/>
    <w:rsid w:val="00D4351C"/>
    <w:rsid w:val="00D43B80"/>
    <w:rsid w:val="00D44261"/>
    <w:rsid w:val="00D44988"/>
    <w:rsid w:val="00D45B4C"/>
    <w:rsid w:val="00D45BA4"/>
    <w:rsid w:val="00D471AF"/>
    <w:rsid w:val="00D471E2"/>
    <w:rsid w:val="00D4724F"/>
    <w:rsid w:val="00D4738A"/>
    <w:rsid w:val="00D50519"/>
    <w:rsid w:val="00D50779"/>
    <w:rsid w:val="00D51496"/>
    <w:rsid w:val="00D51601"/>
    <w:rsid w:val="00D51ECB"/>
    <w:rsid w:val="00D5264C"/>
    <w:rsid w:val="00D52BBC"/>
    <w:rsid w:val="00D537FE"/>
    <w:rsid w:val="00D53CC9"/>
    <w:rsid w:val="00D54A6A"/>
    <w:rsid w:val="00D54B8F"/>
    <w:rsid w:val="00D54C5C"/>
    <w:rsid w:val="00D55848"/>
    <w:rsid w:val="00D55951"/>
    <w:rsid w:val="00D559F0"/>
    <w:rsid w:val="00D5650F"/>
    <w:rsid w:val="00D57EB6"/>
    <w:rsid w:val="00D608C0"/>
    <w:rsid w:val="00D60C14"/>
    <w:rsid w:val="00D60D6D"/>
    <w:rsid w:val="00D6128C"/>
    <w:rsid w:val="00D61CFF"/>
    <w:rsid w:val="00D63B22"/>
    <w:rsid w:val="00D63E63"/>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0237"/>
    <w:rsid w:val="00D81AFA"/>
    <w:rsid w:val="00D81EAA"/>
    <w:rsid w:val="00D81FE2"/>
    <w:rsid w:val="00D820A5"/>
    <w:rsid w:val="00D8259F"/>
    <w:rsid w:val="00D825F2"/>
    <w:rsid w:val="00D8285C"/>
    <w:rsid w:val="00D828B1"/>
    <w:rsid w:val="00D8294D"/>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1AF1"/>
    <w:rsid w:val="00D923B2"/>
    <w:rsid w:val="00D92463"/>
    <w:rsid w:val="00D93E64"/>
    <w:rsid w:val="00D93F64"/>
    <w:rsid w:val="00D94CA4"/>
    <w:rsid w:val="00D95E99"/>
    <w:rsid w:val="00D965D5"/>
    <w:rsid w:val="00D970B3"/>
    <w:rsid w:val="00D97D58"/>
    <w:rsid w:val="00D97DA2"/>
    <w:rsid w:val="00DA0485"/>
    <w:rsid w:val="00DA1A3A"/>
    <w:rsid w:val="00DA2351"/>
    <w:rsid w:val="00DA249E"/>
    <w:rsid w:val="00DA2D3D"/>
    <w:rsid w:val="00DA3855"/>
    <w:rsid w:val="00DA39BA"/>
    <w:rsid w:val="00DA3D28"/>
    <w:rsid w:val="00DA4C30"/>
    <w:rsid w:val="00DA5C6B"/>
    <w:rsid w:val="00DA6A44"/>
    <w:rsid w:val="00DA7A3C"/>
    <w:rsid w:val="00DB145E"/>
    <w:rsid w:val="00DB1A94"/>
    <w:rsid w:val="00DB1D52"/>
    <w:rsid w:val="00DB1E2B"/>
    <w:rsid w:val="00DB1F62"/>
    <w:rsid w:val="00DB21E7"/>
    <w:rsid w:val="00DB2E03"/>
    <w:rsid w:val="00DB3742"/>
    <w:rsid w:val="00DB3E9B"/>
    <w:rsid w:val="00DB3F4B"/>
    <w:rsid w:val="00DB5375"/>
    <w:rsid w:val="00DB5382"/>
    <w:rsid w:val="00DB67C1"/>
    <w:rsid w:val="00DB6C0B"/>
    <w:rsid w:val="00DB70F4"/>
    <w:rsid w:val="00DB748A"/>
    <w:rsid w:val="00DC050E"/>
    <w:rsid w:val="00DC1056"/>
    <w:rsid w:val="00DC1442"/>
    <w:rsid w:val="00DC21D8"/>
    <w:rsid w:val="00DC282A"/>
    <w:rsid w:val="00DC2DE8"/>
    <w:rsid w:val="00DC34DC"/>
    <w:rsid w:val="00DC3780"/>
    <w:rsid w:val="00DC3ADA"/>
    <w:rsid w:val="00DC3CC6"/>
    <w:rsid w:val="00DC3F55"/>
    <w:rsid w:val="00DC4782"/>
    <w:rsid w:val="00DC514A"/>
    <w:rsid w:val="00DC5D05"/>
    <w:rsid w:val="00DC67B1"/>
    <w:rsid w:val="00DC7588"/>
    <w:rsid w:val="00DC7FBC"/>
    <w:rsid w:val="00DD0019"/>
    <w:rsid w:val="00DD07C2"/>
    <w:rsid w:val="00DD132B"/>
    <w:rsid w:val="00DD1725"/>
    <w:rsid w:val="00DD2159"/>
    <w:rsid w:val="00DD218B"/>
    <w:rsid w:val="00DD2A18"/>
    <w:rsid w:val="00DD3044"/>
    <w:rsid w:val="00DD3985"/>
    <w:rsid w:val="00DD4DAD"/>
    <w:rsid w:val="00DD5783"/>
    <w:rsid w:val="00DD61E8"/>
    <w:rsid w:val="00DD62C0"/>
    <w:rsid w:val="00DD64DE"/>
    <w:rsid w:val="00DD66DE"/>
    <w:rsid w:val="00DD7859"/>
    <w:rsid w:val="00DD7B41"/>
    <w:rsid w:val="00DE0338"/>
    <w:rsid w:val="00DE0784"/>
    <w:rsid w:val="00DE0A1D"/>
    <w:rsid w:val="00DE15B2"/>
    <w:rsid w:val="00DE16BA"/>
    <w:rsid w:val="00DE1A9A"/>
    <w:rsid w:val="00DE33F3"/>
    <w:rsid w:val="00DE3C82"/>
    <w:rsid w:val="00DE3D2C"/>
    <w:rsid w:val="00DE4569"/>
    <w:rsid w:val="00DE5E82"/>
    <w:rsid w:val="00DE5FA6"/>
    <w:rsid w:val="00DE605D"/>
    <w:rsid w:val="00DE6792"/>
    <w:rsid w:val="00DE6AA1"/>
    <w:rsid w:val="00DE7EF7"/>
    <w:rsid w:val="00DF015B"/>
    <w:rsid w:val="00DF02EC"/>
    <w:rsid w:val="00DF10FC"/>
    <w:rsid w:val="00DF1185"/>
    <w:rsid w:val="00DF1299"/>
    <w:rsid w:val="00DF1A70"/>
    <w:rsid w:val="00DF1E5F"/>
    <w:rsid w:val="00DF23A8"/>
    <w:rsid w:val="00DF2E4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4C8"/>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868"/>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363F"/>
    <w:rsid w:val="00E34A77"/>
    <w:rsid w:val="00E34DB1"/>
    <w:rsid w:val="00E352B3"/>
    <w:rsid w:val="00E35931"/>
    <w:rsid w:val="00E359FF"/>
    <w:rsid w:val="00E3699A"/>
    <w:rsid w:val="00E36B82"/>
    <w:rsid w:val="00E402C5"/>
    <w:rsid w:val="00E402F4"/>
    <w:rsid w:val="00E405F1"/>
    <w:rsid w:val="00E417DB"/>
    <w:rsid w:val="00E43054"/>
    <w:rsid w:val="00E43655"/>
    <w:rsid w:val="00E44440"/>
    <w:rsid w:val="00E46013"/>
    <w:rsid w:val="00E464FB"/>
    <w:rsid w:val="00E4708F"/>
    <w:rsid w:val="00E47099"/>
    <w:rsid w:val="00E47284"/>
    <w:rsid w:val="00E477C3"/>
    <w:rsid w:val="00E47CB6"/>
    <w:rsid w:val="00E51E16"/>
    <w:rsid w:val="00E52DED"/>
    <w:rsid w:val="00E53730"/>
    <w:rsid w:val="00E5438D"/>
    <w:rsid w:val="00E54511"/>
    <w:rsid w:val="00E54E50"/>
    <w:rsid w:val="00E55288"/>
    <w:rsid w:val="00E556B0"/>
    <w:rsid w:val="00E57577"/>
    <w:rsid w:val="00E602B2"/>
    <w:rsid w:val="00E62043"/>
    <w:rsid w:val="00E626B9"/>
    <w:rsid w:val="00E627C9"/>
    <w:rsid w:val="00E630F3"/>
    <w:rsid w:val="00E6332F"/>
    <w:rsid w:val="00E637C9"/>
    <w:rsid w:val="00E637E3"/>
    <w:rsid w:val="00E6402D"/>
    <w:rsid w:val="00E6680A"/>
    <w:rsid w:val="00E66F0D"/>
    <w:rsid w:val="00E67C09"/>
    <w:rsid w:val="00E70615"/>
    <w:rsid w:val="00E7161E"/>
    <w:rsid w:val="00E7207B"/>
    <w:rsid w:val="00E7347A"/>
    <w:rsid w:val="00E73AA6"/>
    <w:rsid w:val="00E75A47"/>
    <w:rsid w:val="00E75BB6"/>
    <w:rsid w:val="00E75D8C"/>
    <w:rsid w:val="00E76A3F"/>
    <w:rsid w:val="00E777F2"/>
    <w:rsid w:val="00E802C9"/>
    <w:rsid w:val="00E80BFB"/>
    <w:rsid w:val="00E80EC2"/>
    <w:rsid w:val="00E80F0A"/>
    <w:rsid w:val="00E811AB"/>
    <w:rsid w:val="00E815D4"/>
    <w:rsid w:val="00E8291B"/>
    <w:rsid w:val="00E82E70"/>
    <w:rsid w:val="00E82F92"/>
    <w:rsid w:val="00E8395F"/>
    <w:rsid w:val="00E8410F"/>
    <w:rsid w:val="00E849D7"/>
    <w:rsid w:val="00E85E41"/>
    <w:rsid w:val="00E85EA1"/>
    <w:rsid w:val="00E8618C"/>
    <w:rsid w:val="00E86703"/>
    <w:rsid w:val="00E86C85"/>
    <w:rsid w:val="00E900DA"/>
    <w:rsid w:val="00E91044"/>
    <w:rsid w:val="00E910D3"/>
    <w:rsid w:val="00E92097"/>
    <w:rsid w:val="00E92154"/>
    <w:rsid w:val="00E923CF"/>
    <w:rsid w:val="00E93685"/>
    <w:rsid w:val="00E93B65"/>
    <w:rsid w:val="00E93C8C"/>
    <w:rsid w:val="00E95111"/>
    <w:rsid w:val="00E95FDF"/>
    <w:rsid w:val="00EA080B"/>
    <w:rsid w:val="00EA14C8"/>
    <w:rsid w:val="00EA2110"/>
    <w:rsid w:val="00EA283A"/>
    <w:rsid w:val="00EA2C90"/>
    <w:rsid w:val="00EA2E07"/>
    <w:rsid w:val="00EA383B"/>
    <w:rsid w:val="00EA48F3"/>
    <w:rsid w:val="00EA60BF"/>
    <w:rsid w:val="00EA7365"/>
    <w:rsid w:val="00EA763F"/>
    <w:rsid w:val="00EA77E9"/>
    <w:rsid w:val="00EB0037"/>
    <w:rsid w:val="00EB05D0"/>
    <w:rsid w:val="00EB1151"/>
    <w:rsid w:val="00EB1D49"/>
    <w:rsid w:val="00EB23D9"/>
    <w:rsid w:val="00EB39A0"/>
    <w:rsid w:val="00EB430A"/>
    <w:rsid w:val="00EB559F"/>
    <w:rsid w:val="00EB566C"/>
    <w:rsid w:val="00EB5A18"/>
    <w:rsid w:val="00EB5F3D"/>
    <w:rsid w:val="00EB677D"/>
    <w:rsid w:val="00EB67A0"/>
    <w:rsid w:val="00EB6C97"/>
    <w:rsid w:val="00EB7E7E"/>
    <w:rsid w:val="00EC1CEB"/>
    <w:rsid w:val="00EC1DC0"/>
    <w:rsid w:val="00EC1DC2"/>
    <w:rsid w:val="00EC1E09"/>
    <w:rsid w:val="00EC210E"/>
    <w:rsid w:val="00EC21EC"/>
    <w:rsid w:val="00EC24B8"/>
    <w:rsid w:val="00EC268C"/>
    <w:rsid w:val="00EC3753"/>
    <w:rsid w:val="00EC4E71"/>
    <w:rsid w:val="00EC5F1C"/>
    <w:rsid w:val="00EC7470"/>
    <w:rsid w:val="00ED0365"/>
    <w:rsid w:val="00ED0865"/>
    <w:rsid w:val="00ED0C1C"/>
    <w:rsid w:val="00ED1C60"/>
    <w:rsid w:val="00ED2EB9"/>
    <w:rsid w:val="00ED3722"/>
    <w:rsid w:val="00ED3A31"/>
    <w:rsid w:val="00ED4469"/>
    <w:rsid w:val="00ED4C30"/>
    <w:rsid w:val="00ED5302"/>
    <w:rsid w:val="00ED5424"/>
    <w:rsid w:val="00ED5F23"/>
    <w:rsid w:val="00ED6DC0"/>
    <w:rsid w:val="00ED7A7A"/>
    <w:rsid w:val="00EE0327"/>
    <w:rsid w:val="00EE038C"/>
    <w:rsid w:val="00EE13C6"/>
    <w:rsid w:val="00EE28C5"/>
    <w:rsid w:val="00EE2F09"/>
    <w:rsid w:val="00EE3B97"/>
    <w:rsid w:val="00EE47C5"/>
    <w:rsid w:val="00EE4824"/>
    <w:rsid w:val="00EE490C"/>
    <w:rsid w:val="00EE4E57"/>
    <w:rsid w:val="00EE5738"/>
    <w:rsid w:val="00EE58BD"/>
    <w:rsid w:val="00EE5E59"/>
    <w:rsid w:val="00EE73D0"/>
    <w:rsid w:val="00EE7CB0"/>
    <w:rsid w:val="00EE7F8E"/>
    <w:rsid w:val="00EF0455"/>
    <w:rsid w:val="00EF08A8"/>
    <w:rsid w:val="00EF167B"/>
    <w:rsid w:val="00EF2496"/>
    <w:rsid w:val="00EF41A8"/>
    <w:rsid w:val="00EF44FB"/>
    <w:rsid w:val="00EF5122"/>
    <w:rsid w:val="00EF5554"/>
    <w:rsid w:val="00EF5AD8"/>
    <w:rsid w:val="00EF6B90"/>
    <w:rsid w:val="00EF7807"/>
    <w:rsid w:val="00EF79F7"/>
    <w:rsid w:val="00EF7D80"/>
    <w:rsid w:val="00F005DE"/>
    <w:rsid w:val="00F006C0"/>
    <w:rsid w:val="00F0125F"/>
    <w:rsid w:val="00F019AA"/>
    <w:rsid w:val="00F0267E"/>
    <w:rsid w:val="00F02686"/>
    <w:rsid w:val="00F030C0"/>
    <w:rsid w:val="00F03291"/>
    <w:rsid w:val="00F03A85"/>
    <w:rsid w:val="00F0459B"/>
    <w:rsid w:val="00F04D6F"/>
    <w:rsid w:val="00F04E15"/>
    <w:rsid w:val="00F05DF3"/>
    <w:rsid w:val="00F06829"/>
    <w:rsid w:val="00F069EA"/>
    <w:rsid w:val="00F070E5"/>
    <w:rsid w:val="00F07DB8"/>
    <w:rsid w:val="00F07DDE"/>
    <w:rsid w:val="00F11675"/>
    <w:rsid w:val="00F123DA"/>
    <w:rsid w:val="00F12557"/>
    <w:rsid w:val="00F13599"/>
    <w:rsid w:val="00F13B28"/>
    <w:rsid w:val="00F156A0"/>
    <w:rsid w:val="00F15730"/>
    <w:rsid w:val="00F176A6"/>
    <w:rsid w:val="00F202C2"/>
    <w:rsid w:val="00F20D26"/>
    <w:rsid w:val="00F212F6"/>
    <w:rsid w:val="00F22756"/>
    <w:rsid w:val="00F23248"/>
    <w:rsid w:val="00F23890"/>
    <w:rsid w:val="00F24B3D"/>
    <w:rsid w:val="00F2504D"/>
    <w:rsid w:val="00F2637F"/>
    <w:rsid w:val="00F268F7"/>
    <w:rsid w:val="00F26A5F"/>
    <w:rsid w:val="00F30B83"/>
    <w:rsid w:val="00F30BDB"/>
    <w:rsid w:val="00F30CF8"/>
    <w:rsid w:val="00F30E78"/>
    <w:rsid w:val="00F31EDF"/>
    <w:rsid w:val="00F3228B"/>
    <w:rsid w:val="00F32CDE"/>
    <w:rsid w:val="00F32D4C"/>
    <w:rsid w:val="00F3327E"/>
    <w:rsid w:val="00F338C3"/>
    <w:rsid w:val="00F33A62"/>
    <w:rsid w:val="00F34B14"/>
    <w:rsid w:val="00F34F58"/>
    <w:rsid w:val="00F35DA7"/>
    <w:rsid w:val="00F36A6A"/>
    <w:rsid w:val="00F36D95"/>
    <w:rsid w:val="00F379E5"/>
    <w:rsid w:val="00F37A38"/>
    <w:rsid w:val="00F40101"/>
    <w:rsid w:val="00F404F7"/>
    <w:rsid w:val="00F40CCA"/>
    <w:rsid w:val="00F42D97"/>
    <w:rsid w:val="00F42FCF"/>
    <w:rsid w:val="00F436B2"/>
    <w:rsid w:val="00F43813"/>
    <w:rsid w:val="00F43FEE"/>
    <w:rsid w:val="00F4492F"/>
    <w:rsid w:val="00F4547B"/>
    <w:rsid w:val="00F45A72"/>
    <w:rsid w:val="00F46723"/>
    <w:rsid w:val="00F4706D"/>
    <w:rsid w:val="00F476E1"/>
    <w:rsid w:val="00F47D1D"/>
    <w:rsid w:val="00F47F29"/>
    <w:rsid w:val="00F50016"/>
    <w:rsid w:val="00F5118A"/>
    <w:rsid w:val="00F51A21"/>
    <w:rsid w:val="00F52614"/>
    <w:rsid w:val="00F5265B"/>
    <w:rsid w:val="00F5276E"/>
    <w:rsid w:val="00F52E9F"/>
    <w:rsid w:val="00F52F3C"/>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4B6D"/>
    <w:rsid w:val="00F65171"/>
    <w:rsid w:val="00F6560D"/>
    <w:rsid w:val="00F67844"/>
    <w:rsid w:val="00F679D5"/>
    <w:rsid w:val="00F70799"/>
    <w:rsid w:val="00F70A8B"/>
    <w:rsid w:val="00F70B8D"/>
    <w:rsid w:val="00F71936"/>
    <w:rsid w:val="00F724FB"/>
    <w:rsid w:val="00F726B8"/>
    <w:rsid w:val="00F72A26"/>
    <w:rsid w:val="00F733C3"/>
    <w:rsid w:val="00F73E8D"/>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016"/>
    <w:rsid w:val="00FA0889"/>
    <w:rsid w:val="00FA16E7"/>
    <w:rsid w:val="00FA31C7"/>
    <w:rsid w:val="00FA472D"/>
    <w:rsid w:val="00FA681F"/>
    <w:rsid w:val="00FB0500"/>
    <w:rsid w:val="00FB05B8"/>
    <w:rsid w:val="00FB0CBF"/>
    <w:rsid w:val="00FB18F6"/>
    <w:rsid w:val="00FB1958"/>
    <w:rsid w:val="00FB2A52"/>
    <w:rsid w:val="00FB3999"/>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F09"/>
    <w:rsid w:val="00FC6524"/>
    <w:rsid w:val="00FC6B58"/>
    <w:rsid w:val="00FC75AC"/>
    <w:rsid w:val="00FC7984"/>
    <w:rsid w:val="00FD01BF"/>
    <w:rsid w:val="00FD0525"/>
    <w:rsid w:val="00FD0AB7"/>
    <w:rsid w:val="00FD1EA6"/>
    <w:rsid w:val="00FD297D"/>
    <w:rsid w:val="00FD2D13"/>
    <w:rsid w:val="00FD374D"/>
    <w:rsid w:val="00FD5342"/>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72"/>
    <w:rsid w:val="00FF1C9B"/>
    <w:rsid w:val="00FF1D49"/>
    <w:rsid w:val="00FF203B"/>
    <w:rsid w:val="00FF2216"/>
    <w:rsid w:val="00FF2562"/>
    <w:rsid w:val="00FF3703"/>
    <w:rsid w:val="00FF3A41"/>
    <w:rsid w:val="00FF3C9C"/>
    <w:rsid w:val="00FF3E5B"/>
    <w:rsid w:val="00FF4538"/>
    <w:rsid w:val="00FF57E4"/>
    <w:rsid w:val="00FF78E5"/>
    <w:rsid w:val="012C5FAF"/>
    <w:rsid w:val="01AF3D99"/>
    <w:rsid w:val="02221B29"/>
    <w:rsid w:val="02511F9D"/>
    <w:rsid w:val="029D4ECB"/>
    <w:rsid w:val="02A9526F"/>
    <w:rsid w:val="02C951F9"/>
    <w:rsid w:val="02CE19DA"/>
    <w:rsid w:val="03127926"/>
    <w:rsid w:val="03591C55"/>
    <w:rsid w:val="03A314B8"/>
    <w:rsid w:val="03D82B98"/>
    <w:rsid w:val="03DB0072"/>
    <w:rsid w:val="03F83E8B"/>
    <w:rsid w:val="04DB69A2"/>
    <w:rsid w:val="05182AFA"/>
    <w:rsid w:val="05C56868"/>
    <w:rsid w:val="060A3E55"/>
    <w:rsid w:val="06AC66F4"/>
    <w:rsid w:val="07A539BD"/>
    <w:rsid w:val="07B72767"/>
    <w:rsid w:val="08077E72"/>
    <w:rsid w:val="081B668F"/>
    <w:rsid w:val="08882DD0"/>
    <w:rsid w:val="08A16533"/>
    <w:rsid w:val="08D85DF6"/>
    <w:rsid w:val="09CC2AAC"/>
    <w:rsid w:val="0A652D3E"/>
    <w:rsid w:val="0A730510"/>
    <w:rsid w:val="0AF94B2F"/>
    <w:rsid w:val="0B326F2A"/>
    <w:rsid w:val="0B66017E"/>
    <w:rsid w:val="0B75621D"/>
    <w:rsid w:val="0BED0EFB"/>
    <w:rsid w:val="0C1E2888"/>
    <w:rsid w:val="0C8723F5"/>
    <w:rsid w:val="0C92213C"/>
    <w:rsid w:val="0CB343F6"/>
    <w:rsid w:val="0CC2027E"/>
    <w:rsid w:val="0D003F3D"/>
    <w:rsid w:val="0D63531C"/>
    <w:rsid w:val="0D84032B"/>
    <w:rsid w:val="0EF4423E"/>
    <w:rsid w:val="0F1A028E"/>
    <w:rsid w:val="0F2A74C4"/>
    <w:rsid w:val="0F7B4E6A"/>
    <w:rsid w:val="0F8A6A96"/>
    <w:rsid w:val="0F8B76DD"/>
    <w:rsid w:val="0FC4763E"/>
    <w:rsid w:val="103B2931"/>
    <w:rsid w:val="10A27F31"/>
    <w:rsid w:val="11306AD5"/>
    <w:rsid w:val="11927058"/>
    <w:rsid w:val="11C041A5"/>
    <w:rsid w:val="11C708A3"/>
    <w:rsid w:val="11EA400A"/>
    <w:rsid w:val="120E171E"/>
    <w:rsid w:val="120F5D75"/>
    <w:rsid w:val="129652A4"/>
    <w:rsid w:val="12B62DBD"/>
    <w:rsid w:val="136E7FB7"/>
    <w:rsid w:val="13801C3B"/>
    <w:rsid w:val="13AF4F03"/>
    <w:rsid w:val="143C0174"/>
    <w:rsid w:val="14736E66"/>
    <w:rsid w:val="147F458F"/>
    <w:rsid w:val="14FB3FE4"/>
    <w:rsid w:val="1534169A"/>
    <w:rsid w:val="15517E86"/>
    <w:rsid w:val="15C03E03"/>
    <w:rsid w:val="15DB133F"/>
    <w:rsid w:val="162A25EB"/>
    <w:rsid w:val="164F051B"/>
    <w:rsid w:val="165F088C"/>
    <w:rsid w:val="16735895"/>
    <w:rsid w:val="16CC0D53"/>
    <w:rsid w:val="16FD2A55"/>
    <w:rsid w:val="17067C1A"/>
    <w:rsid w:val="17366761"/>
    <w:rsid w:val="173C7D8C"/>
    <w:rsid w:val="177C01F0"/>
    <w:rsid w:val="179E3EFA"/>
    <w:rsid w:val="17CE6630"/>
    <w:rsid w:val="180A592B"/>
    <w:rsid w:val="1857752E"/>
    <w:rsid w:val="18D41847"/>
    <w:rsid w:val="1929207F"/>
    <w:rsid w:val="194834DE"/>
    <w:rsid w:val="19807C73"/>
    <w:rsid w:val="19A27A66"/>
    <w:rsid w:val="1A240E45"/>
    <w:rsid w:val="1A8647D3"/>
    <w:rsid w:val="1AFF0AFE"/>
    <w:rsid w:val="1B093873"/>
    <w:rsid w:val="1B47100F"/>
    <w:rsid w:val="1B4F19F8"/>
    <w:rsid w:val="1B6D5E5F"/>
    <w:rsid w:val="1B8B1C65"/>
    <w:rsid w:val="1C2022D6"/>
    <w:rsid w:val="1D3F3591"/>
    <w:rsid w:val="1D5A4243"/>
    <w:rsid w:val="1DD9661C"/>
    <w:rsid w:val="1DEB2570"/>
    <w:rsid w:val="1E066426"/>
    <w:rsid w:val="1EC666D7"/>
    <w:rsid w:val="1ECC44FA"/>
    <w:rsid w:val="1F063325"/>
    <w:rsid w:val="1F150598"/>
    <w:rsid w:val="1F3D64E2"/>
    <w:rsid w:val="1FB309B9"/>
    <w:rsid w:val="1FBC5DF5"/>
    <w:rsid w:val="1FC86C5A"/>
    <w:rsid w:val="1FF90588"/>
    <w:rsid w:val="20793A8A"/>
    <w:rsid w:val="207C0831"/>
    <w:rsid w:val="20C3623F"/>
    <w:rsid w:val="21781212"/>
    <w:rsid w:val="21A75BB7"/>
    <w:rsid w:val="21B83F86"/>
    <w:rsid w:val="21BD41DB"/>
    <w:rsid w:val="221178A8"/>
    <w:rsid w:val="221213CF"/>
    <w:rsid w:val="22327A92"/>
    <w:rsid w:val="227D4DF4"/>
    <w:rsid w:val="228C7672"/>
    <w:rsid w:val="231D53A2"/>
    <w:rsid w:val="236D5383"/>
    <w:rsid w:val="23B7504C"/>
    <w:rsid w:val="23BA5744"/>
    <w:rsid w:val="23EB61A9"/>
    <w:rsid w:val="240866FC"/>
    <w:rsid w:val="24484D0F"/>
    <w:rsid w:val="24571307"/>
    <w:rsid w:val="24B149DB"/>
    <w:rsid w:val="24EA5A89"/>
    <w:rsid w:val="24FB1080"/>
    <w:rsid w:val="25110A2A"/>
    <w:rsid w:val="256C0944"/>
    <w:rsid w:val="25BA7C7E"/>
    <w:rsid w:val="25DE70EB"/>
    <w:rsid w:val="2602467A"/>
    <w:rsid w:val="26125040"/>
    <w:rsid w:val="26446DE3"/>
    <w:rsid w:val="26877DFE"/>
    <w:rsid w:val="269669E7"/>
    <w:rsid w:val="26A270C1"/>
    <w:rsid w:val="26D7699F"/>
    <w:rsid w:val="270409FF"/>
    <w:rsid w:val="27514182"/>
    <w:rsid w:val="27586C8C"/>
    <w:rsid w:val="27A7749C"/>
    <w:rsid w:val="284B4155"/>
    <w:rsid w:val="29B35110"/>
    <w:rsid w:val="29BF7B8B"/>
    <w:rsid w:val="29D75F7F"/>
    <w:rsid w:val="2A7932A2"/>
    <w:rsid w:val="2ABA6379"/>
    <w:rsid w:val="2AE273B5"/>
    <w:rsid w:val="2B185AC8"/>
    <w:rsid w:val="2B774624"/>
    <w:rsid w:val="2C326B2E"/>
    <w:rsid w:val="2C4C78E5"/>
    <w:rsid w:val="2C7A72BE"/>
    <w:rsid w:val="2C9A7D75"/>
    <w:rsid w:val="2CC17412"/>
    <w:rsid w:val="2D1D5A3E"/>
    <w:rsid w:val="2D7C1E99"/>
    <w:rsid w:val="2DE57862"/>
    <w:rsid w:val="2E953665"/>
    <w:rsid w:val="2E9976CE"/>
    <w:rsid w:val="2EDA456E"/>
    <w:rsid w:val="2EF01DEE"/>
    <w:rsid w:val="2F401D3C"/>
    <w:rsid w:val="2F5B24E1"/>
    <w:rsid w:val="2FA95C88"/>
    <w:rsid w:val="30182A89"/>
    <w:rsid w:val="302A3A0A"/>
    <w:rsid w:val="3041370F"/>
    <w:rsid w:val="30B87FED"/>
    <w:rsid w:val="30E161D9"/>
    <w:rsid w:val="312B50A3"/>
    <w:rsid w:val="31486EE9"/>
    <w:rsid w:val="315B522B"/>
    <w:rsid w:val="31894FD2"/>
    <w:rsid w:val="318F1FBE"/>
    <w:rsid w:val="32453A27"/>
    <w:rsid w:val="3263064A"/>
    <w:rsid w:val="32770F75"/>
    <w:rsid w:val="32A43132"/>
    <w:rsid w:val="32AC0C06"/>
    <w:rsid w:val="33201DA5"/>
    <w:rsid w:val="33344EF5"/>
    <w:rsid w:val="3383610E"/>
    <w:rsid w:val="340F5638"/>
    <w:rsid w:val="3537750C"/>
    <w:rsid w:val="3537798C"/>
    <w:rsid w:val="35C13FC9"/>
    <w:rsid w:val="35F66EA4"/>
    <w:rsid w:val="36310181"/>
    <w:rsid w:val="36372B05"/>
    <w:rsid w:val="364257B6"/>
    <w:rsid w:val="36B73858"/>
    <w:rsid w:val="37290267"/>
    <w:rsid w:val="37EA5922"/>
    <w:rsid w:val="38276B93"/>
    <w:rsid w:val="382E58B8"/>
    <w:rsid w:val="384E5AB2"/>
    <w:rsid w:val="38AC3431"/>
    <w:rsid w:val="39087C97"/>
    <w:rsid w:val="392F2E16"/>
    <w:rsid w:val="39886A38"/>
    <w:rsid w:val="399A69DA"/>
    <w:rsid w:val="39E00529"/>
    <w:rsid w:val="3A0B64A7"/>
    <w:rsid w:val="3A574DDA"/>
    <w:rsid w:val="3A643DBF"/>
    <w:rsid w:val="3AD3075A"/>
    <w:rsid w:val="3AF74C02"/>
    <w:rsid w:val="3BF33702"/>
    <w:rsid w:val="3C0059A5"/>
    <w:rsid w:val="3C083348"/>
    <w:rsid w:val="3C134E78"/>
    <w:rsid w:val="3C5C7C56"/>
    <w:rsid w:val="3D024FE4"/>
    <w:rsid w:val="3D3A25CA"/>
    <w:rsid w:val="3DCB38CE"/>
    <w:rsid w:val="3DE02603"/>
    <w:rsid w:val="3DE26608"/>
    <w:rsid w:val="3DF6345D"/>
    <w:rsid w:val="3E2B5515"/>
    <w:rsid w:val="3E445E69"/>
    <w:rsid w:val="3E4D4F28"/>
    <w:rsid w:val="3EA437F3"/>
    <w:rsid w:val="3ED92EC4"/>
    <w:rsid w:val="3EE13701"/>
    <w:rsid w:val="3EFC6DB2"/>
    <w:rsid w:val="3F1A4BB3"/>
    <w:rsid w:val="3F797AD9"/>
    <w:rsid w:val="3FF65CE6"/>
    <w:rsid w:val="40192BA6"/>
    <w:rsid w:val="406E5F5B"/>
    <w:rsid w:val="41614CC1"/>
    <w:rsid w:val="41766EA9"/>
    <w:rsid w:val="423367A1"/>
    <w:rsid w:val="42550A18"/>
    <w:rsid w:val="429B0BD7"/>
    <w:rsid w:val="429D496A"/>
    <w:rsid w:val="42F473A1"/>
    <w:rsid w:val="431324CB"/>
    <w:rsid w:val="433C73FD"/>
    <w:rsid w:val="437217EA"/>
    <w:rsid w:val="43974077"/>
    <w:rsid w:val="43AB7156"/>
    <w:rsid w:val="441E62C0"/>
    <w:rsid w:val="45094B59"/>
    <w:rsid w:val="450A4D4D"/>
    <w:rsid w:val="452F6EE8"/>
    <w:rsid w:val="45325D14"/>
    <w:rsid w:val="45332111"/>
    <w:rsid w:val="453D13BE"/>
    <w:rsid w:val="45413006"/>
    <w:rsid w:val="455707A9"/>
    <w:rsid w:val="45622D3C"/>
    <w:rsid w:val="45751EAF"/>
    <w:rsid w:val="457B3D2C"/>
    <w:rsid w:val="45811C7C"/>
    <w:rsid w:val="45906116"/>
    <w:rsid w:val="45931B8C"/>
    <w:rsid w:val="459C087E"/>
    <w:rsid w:val="45EF2552"/>
    <w:rsid w:val="46640BA8"/>
    <w:rsid w:val="468B3EFB"/>
    <w:rsid w:val="46E1680A"/>
    <w:rsid w:val="470A6193"/>
    <w:rsid w:val="47385210"/>
    <w:rsid w:val="47395927"/>
    <w:rsid w:val="475510F8"/>
    <w:rsid w:val="47C07070"/>
    <w:rsid w:val="47D54D38"/>
    <w:rsid w:val="47DC4F5C"/>
    <w:rsid w:val="48B40671"/>
    <w:rsid w:val="49205F7F"/>
    <w:rsid w:val="499B5738"/>
    <w:rsid w:val="499F244D"/>
    <w:rsid w:val="49A9693B"/>
    <w:rsid w:val="4A63530A"/>
    <w:rsid w:val="4A973F3F"/>
    <w:rsid w:val="4ACB4D84"/>
    <w:rsid w:val="4AF96BC7"/>
    <w:rsid w:val="4B0D0CEC"/>
    <w:rsid w:val="4B1916B1"/>
    <w:rsid w:val="4B24669A"/>
    <w:rsid w:val="4B862A85"/>
    <w:rsid w:val="4B8C33A1"/>
    <w:rsid w:val="4C5F40FE"/>
    <w:rsid w:val="4C7F77B3"/>
    <w:rsid w:val="4CA878C4"/>
    <w:rsid w:val="4CEF36E2"/>
    <w:rsid w:val="4CEF4DC5"/>
    <w:rsid w:val="4D2D3ED6"/>
    <w:rsid w:val="4D73058E"/>
    <w:rsid w:val="4D7A7B6F"/>
    <w:rsid w:val="4E1A20D7"/>
    <w:rsid w:val="4E257655"/>
    <w:rsid w:val="4EB34830"/>
    <w:rsid w:val="4F372380"/>
    <w:rsid w:val="4F372FFB"/>
    <w:rsid w:val="4F474815"/>
    <w:rsid w:val="4F871DAE"/>
    <w:rsid w:val="50206D62"/>
    <w:rsid w:val="5025116D"/>
    <w:rsid w:val="505408CC"/>
    <w:rsid w:val="50550B27"/>
    <w:rsid w:val="50DE0F6D"/>
    <w:rsid w:val="51B84A51"/>
    <w:rsid w:val="52395ECD"/>
    <w:rsid w:val="52420380"/>
    <w:rsid w:val="52C10D75"/>
    <w:rsid w:val="52EC2C4F"/>
    <w:rsid w:val="53C27FF8"/>
    <w:rsid w:val="541746D3"/>
    <w:rsid w:val="548041E2"/>
    <w:rsid w:val="54806794"/>
    <w:rsid w:val="549E1A80"/>
    <w:rsid w:val="54C658F4"/>
    <w:rsid w:val="54C92704"/>
    <w:rsid w:val="550C4BD7"/>
    <w:rsid w:val="554C1D56"/>
    <w:rsid w:val="55572986"/>
    <w:rsid w:val="555D26AF"/>
    <w:rsid w:val="55656217"/>
    <w:rsid w:val="55806920"/>
    <w:rsid w:val="565340FA"/>
    <w:rsid w:val="56AD5F59"/>
    <w:rsid w:val="56C60774"/>
    <w:rsid w:val="56E3631B"/>
    <w:rsid w:val="57486711"/>
    <w:rsid w:val="57B12A52"/>
    <w:rsid w:val="580A39A0"/>
    <w:rsid w:val="58313FB6"/>
    <w:rsid w:val="5858427A"/>
    <w:rsid w:val="58D64A28"/>
    <w:rsid w:val="59425364"/>
    <w:rsid w:val="59444D7C"/>
    <w:rsid w:val="594F05A5"/>
    <w:rsid w:val="595128D6"/>
    <w:rsid w:val="5A2F2CC8"/>
    <w:rsid w:val="5A663955"/>
    <w:rsid w:val="5AA77AC9"/>
    <w:rsid w:val="5AE51395"/>
    <w:rsid w:val="5B1A676E"/>
    <w:rsid w:val="5B596DE8"/>
    <w:rsid w:val="5B8836FB"/>
    <w:rsid w:val="5BE6357C"/>
    <w:rsid w:val="5C10702D"/>
    <w:rsid w:val="5C152601"/>
    <w:rsid w:val="5C4C2264"/>
    <w:rsid w:val="5C591F03"/>
    <w:rsid w:val="5C8A1B2F"/>
    <w:rsid w:val="5C924741"/>
    <w:rsid w:val="5D864083"/>
    <w:rsid w:val="5DE50C25"/>
    <w:rsid w:val="5E2B162C"/>
    <w:rsid w:val="5E7F524D"/>
    <w:rsid w:val="5E8C073E"/>
    <w:rsid w:val="5EB14206"/>
    <w:rsid w:val="5F385194"/>
    <w:rsid w:val="5F3F0D2F"/>
    <w:rsid w:val="5F561B72"/>
    <w:rsid w:val="606007BB"/>
    <w:rsid w:val="60AC7F66"/>
    <w:rsid w:val="60DA3FB5"/>
    <w:rsid w:val="61BF10D9"/>
    <w:rsid w:val="625A5414"/>
    <w:rsid w:val="625C3C13"/>
    <w:rsid w:val="62AC22DC"/>
    <w:rsid w:val="62F86FD5"/>
    <w:rsid w:val="6303755C"/>
    <w:rsid w:val="6375365C"/>
    <w:rsid w:val="63A22BFD"/>
    <w:rsid w:val="64E45EF7"/>
    <w:rsid w:val="65137C9C"/>
    <w:rsid w:val="65234D8A"/>
    <w:rsid w:val="659B319B"/>
    <w:rsid w:val="65A253EE"/>
    <w:rsid w:val="65C45688"/>
    <w:rsid w:val="6691014E"/>
    <w:rsid w:val="66C87CCE"/>
    <w:rsid w:val="66D26A77"/>
    <w:rsid w:val="6708598A"/>
    <w:rsid w:val="670B76C5"/>
    <w:rsid w:val="671C666D"/>
    <w:rsid w:val="67384EA6"/>
    <w:rsid w:val="677435B2"/>
    <w:rsid w:val="67E548C1"/>
    <w:rsid w:val="67EF75F1"/>
    <w:rsid w:val="68354966"/>
    <w:rsid w:val="683B434D"/>
    <w:rsid w:val="684F4F11"/>
    <w:rsid w:val="687A7D07"/>
    <w:rsid w:val="69124F16"/>
    <w:rsid w:val="69481BB6"/>
    <w:rsid w:val="69737C6F"/>
    <w:rsid w:val="69CD5C14"/>
    <w:rsid w:val="69CF0D33"/>
    <w:rsid w:val="6AB966A8"/>
    <w:rsid w:val="6B0845B4"/>
    <w:rsid w:val="6B1317C0"/>
    <w:rsid w:val="6B20695E"/>
    <w:rsid w:val="6B275BCB"/>
    <w:rsid w:val="6B9946B3"/>
    <w:rsid w:val="6BE518DA"/>
    <w:rsid w:val="6C276F3A"/>
    <w:rsid w:val="6C7007C7"/>
    <w:rsid w:val="6C8D2840"/>
    <w:rsid w:val="6CE472D5"/>
    <w:rsid w:val="6CEC39FF"/>
    <w:rsid w:val="6D14399E"/>
    <w:rsid w:val="6DA331BB"/>
    <w:rsid w:val="6DE76850"/>
    <w:rsid w:val="6E2D2E36"/>
    <w:rsid w:val="6E7F017C"/>
    <w:rsid w:val="6EC56CC7"/>
    <w:rsid w:val="6F143579"/>
    <w:rsid w:val="6FB20BD4"/>
    <w:rsid w:val="6FBA59BE"/>
    <w:rsid w:val="6FC71E08"/>
    <w:rsid w:val="70220040"/>
    <w:rsid w:val="70296B3E"/>
    <w:rsid w:val="70454174"/>
    <w:rsid w:val="70611204"/>
    <w:rsid w:val="70954546"/>
    <w:rsid w:val="709D579F"/>
    <w:rsid w:val="70BA6916"/>
    <w:rsid w:val="70CC6F5A"/>
    <w:rsid w:val="70E7097F"/>
    <w:rsid w:val="7165620F"/>
    <w:rsid w:val="717039F8"/>
    <w:rsid w:val="71E847F7"/>
    <w:rsid w:val="72E51112"/>
    <w:rsid w:val="734A1857"/>
    <w:rsid w:val="73C52D0D"/>
    <w:rsid w:val="7456013E"/>
    <w:rsid w:val="74843CE5"/>
    <w:rsid w:val="74A65081"/>
    <w:rsid w:val="74D13AD5"/>
    <w:rsid w:val="74EE65C9"/>
    <w:rsid w:val="74FA2C30"/>
    <w:rsid w:val="7517160E"/>
    <w:rsid w:val="754D5C4B"/>
    <w:rsid w:val="75721393"/>
    <w:rsid w:val="758C1F4C"/>
    <w:rsid w:val="759C224A"/>
    <w:rsid w:val="75B574B1"/>
    <w:rsid w:val="765E373E"/>
    <w:rsid w:val="76C240A7"/>
    <w:rsid w:val="76DA416A"/>
    <w:rsid w:val="77200E71"/>
    <w:rsid w:val="77252D09"/>
    <w:rsid w:val="773635C2"/>
    <w:rsid w:val="775246B7"/>
    <w:rsid w:val="77FA6220"/>
    <w:rsid w:val="781E69D1"/>
    <w:rsid w:val="78630FEE"/>
    <w:rsid w:val="7901747F"/>
    <w:rsid w:val="79107E1B"/>
    <w:rsid w:val="798D24A0"/>
    <w:rsid w:val="79C331B5"/>
    <w:rsid w:val="79FC42F4"/>
    <w:rsid w:val="7A194398"/>
    <w:rsid w:val="7A263B6B"/>
    <w:rsid w:val="7AF42D09"/>
    <w:rsid w:val="7AF46346"/>
    <w:rsid w:val="7B0F5EBF"/>
    <w:rsid w:val="7B130FB9"/>
    <w:rsid w:val="7B7862BD"/>
    <w:rsid w:val="7BBC41AB"/>
    <w:rsid w:val="7BD71E38"/>
    <w:rsid w:val="7BE51CB9"/>
    <w:rsid w:val="7BF64EDE"/>
    <w:rsid w:val="7C0F19A9"/>
    <w:rsid w:val="7C400C1E"/>
    <w:rsid w:val="7D092EA1"/>
    <w:rsid w:val="7D4B12F6"/>
    <w:rsid w:val="7DD11708"/>
    <w:rsid w:val="7DEE4A4F"/>
    <w:rsid w:val="7DF85511"/>
    <w:rsid w:val="7E3B0572"/>
    <w:rsid w:val="7E4C34C4"/>
    <w:rsid w:val="7EA1529F"/>
    <w:rsid w:val="7EAE6230"/>
    <w:rsid w:val="7EBD579E"/>
    <w:rsid w:val="7EC167BD"/>
    <w:rsid w:val="7F127A05"/>
    <w:rsid w:val="7F272D9E"/>
    <w:rsid w:val="7FCB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5"/>
    <w:basedOn w:val="1"/>
    <w:next w:val="9"/>
    <w:link w:val="39"/>
    <w:qFormat/>
    <w:uiPriority w:val="9"/>
    <w:pPr>
      <w:keepNext/>
      <w:keepLines/>
      <w:spacing w:before="280" w:after="290" w:line="376" w:lineRule="auto"/>
      <w:outlineLvl w:val="4"/>
    </w:pPr>
    <w:rPr>
      <w:b/>
      <w:bCs/>
      <w:sz w:val="28"/>
      <w:szCs w:val="28"/>
    </w:rPr>
  </w:style>
  <w:style w:type="paragraph" w:styleId="10">
    <w:name w:val="heading 8"/>
    <w:basedOn w:val="1"/>
    <w:next w:val="1"/>
    <w:link w:val="40"/>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0"/>
    <w:pPr>
      <w:spacing w:after="120"/>
    </w:pPr>
  </w:style>
  <w:style w:type="paragraph" w:styleId="3">
    <w:name w:val="Body Text First Indent 2"/>
    <w:basedOn w:val="4"/>
    <w:link w:val="49"/>
    <w:unhideWhenUsed/>
    <w:qFormat/>
    <w:uiPriority w:val="99"/>
    <w:pPr>
      <w:spacing w:after="120"/>
      <w:ind w:left="420" w:leftChars="200" w:firstLine="420" w:firstLineChars="200"/>
    </w:pPr>
    <w:rPr>
      <w:kern w:val="2"/>
      <w:sz w:val="21"/>
      <w:szCs w:val="24"/>
    </w:rPr>
  </w:style>
  <w:style w:type="paragraph" w:styleId="4">
    <w:name w:val="Body Text Indent"/>
    <w:basedOn w:val="1"/>
    <w:link w:val="43"/>
    <w:qFormat/>
    <w:uiPriority w:val="0"/>
    <w:pPr>
      <w:ind w:firstLine="830" w:firstLineChars="352"/>
    </w:pPr>
    <w:rPr>
      <w:rFonts w:ascii="仿宋_GB2312" w:eastAsia="仿宋_GB2312"/>
      <w:kern w:val="0"/>
      <w:sz w:val="32"/>
      <w:szCs w:val="20"/>
    </w:rPr>
  </w:style>
  <w:style w:type="paragraph" w:styleId="9">
    <w:name w:val="Normal Indent"/>
    <w:basedOn w:val="1"/>
    <w:next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35"/>
    <w:pPr>
      <w:widowControl/>
      <w:spacing w:line="360" w:lineRule="auto"/>
      <w:jc w:val="center"/>
    </w:pPr>
    <w:rPr>
      <w:rFonts w:ascii="宋体" w:hAnsi="宋体" w:eastAsia="黑体" w:cs="宋体"/>
      <w:kern w:val="0"/>
      <w:sz w:val="24"/>
    </w:rPr>
  </w:style>
  <w:style w:type="paragraph" w:styleId="13">
    <w:name w:val="List Bullet"/>
    <w:basedOn w:val="1"/>
    <w:qFormat/>
    <w:uiPriority w:val="0"/>
    <w:pPr>
      <w:tabs>
        <w:tab w:val="left" w:pos="360"/>
      </w:tabs>
      <w:ind w:left="360" w:hanging="360" w:hangingChars="200"/>
    </w:pPr>
  </w:style>
  <w:style w:type="paragraph" w:styleId="14">
    <w:name w:val="annotation text"/>
    <w:basedOn w:val="1"/>
    <w:link w:val="41"/>
    <w:qFormat/>
    <w:uiPriority w:val="99"/>
    <w:pPr>
      <w:jc w:val="left"/>
    </w:pPr>
  </w:style>
  <w:style w:type="paragraph" w:styleId="15">
    <w:name w:val="Body Text 3"/>
    <w:basedOn w:val="1"/>
    <w:link w:val="42"/>
    <w:unhideWhenUsed/>
    <w:qFormat/>
    <w:uiPriority w:val="99"/>
    <w:pPr>
      <w:spacing w:after="120"/>
    </w:pPr>
    <w:rPr>
      <w:sz w:val="16"/>
      <w:szCs w:val="16"/>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semiHidden/>
    <w:unhideWhenUsed/>
    <w:qFormat/>
    <w:uiPriority w:val="39"/>
    <w:pPr>
      <w:ind w:left="840" w:leftChars="400"/>
    </w:pPr>
  </w:style>
  <w:style w:type="paragraph" w:styleId="18">
    <w:name w:val="Plain Text"/>
    <w:basedOn w:val="1"/>
    <w:link w:val="44"/>
    <w:qFormat/>
    <w:uiPriority w:val="0"/>
    <w:rPr>
      <w:rFonts w:ascii="宋体" w:hAnsi="Courier New"/>
      <w:kern w:val="0"/>
      <w:sz w:val="20"/>
      <w:szCs w:val="21"/>
    </w:rPr>
  </w:style>
  <w:style w:type="paragraph" w:styleId="19">
    <w:name w:val="Date"/>
    <w:basedOn w:val="1"/>
    <w:next w:val="1"/>
    <w:link w:val="45"/>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kern w:val="0"/>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4"/>
    <w:next w:val="14"/>
    <w:link w:val="48"/>
    <w:qFormat/>
    <w:uiPriority w:val="99"/>
    <w:rPr>
      <w:b/>
      <w:bCs/>
    </w:rPr>
  </w:style>
  <w:style w:type="paragraph" w:styleId="27">
    <w:name w:val="Body Text First Indent"/>
    <w:basedOn w:val="2"/>
    <w:qFormat/>
    <w:uiPriority w:val="0"/>
    <w:pPr>
      <w:ind w:firstLine="420" w:firstLineChars="1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正文文本 字符1"/>
    <w:link w:val="2"/>
    <w:qFormat/>
    <w:uiPriority w:val="0"/>
    <w:rPr>
      <w:rFonts w:ascii="Times New Roman" w:hAnsi="Times New Roman"/>
      <w:kern w:val="2"/>
      <w:sz w:val="21"/>
      <w:szCs w:val="24"/>
    </w:rPr>
  </w:style>
  <w:style w:type="character" w:customStyle="1" w:styleId="36">
    <w:name w:val="标题 1 字符"/>
    <w:link w:val="5"/>
    <w:qFormat/>
    <w:uiPriority w:val="9"/>
    <w:rPr>
      <w:b/>
      <w:bCs/>
      <w:kern w:val="44"/>
      <w:sz w:val="44"/>
      <w:szCs w:val="44"/>
    </w:rPr>
  </w:style>
  <w:style w:type="character" w:customStyle="1" w:styleId="37">
    <w:name w:val="标题 2 字符"/>
    <w:link w:val="6"/>
    <w:qFormat/>
    <w:uiPriority w:val="9"/>
    <w:rPr>
      <w:rFonts w:ascii="Cambria" w:hAnsi="Cambria" w:eastAsia="宋体" w:cs="Times New Roman"/>
      <w:b/>
      <w:bCs/>
      <w:kern w:val="2"/>
      <w:sz w:val="32"/>
      <w:szCs w:val="32"/>
    </w:rPr>
  </w:style>
  <w:style w:type="character" w:customStyle="1" w:styleId="38">
    <w:name w:val="标题 3 字符"/>
    <w:link w:val="7"/>
    <w:qFormat/>
    <w:uiPriority w:val="99"/>
    <w:rPr>
      <w:b/>
      <w:bCs/>
      <w:kern w:val="2"/>
      <w:sz w:val="32"/>
      <w:szCs w:val="32"/>
    </w:rPr>
  </w:style>
  <w:style w:type="character" w:customStyle="1" w:styleId="39">
    <w:name w:val="标题 5 字符"/>
    <w:link w:val="8"/>
    <w:semiHidden/>
    <w:qFormat/>
    <w:uiPriority w:val="9"/>
    <w:rPr>
      <w:rFonts w:ascii="Times New Roman" w:hAnsi="Times New Roman"/>
      <w:b/>
      <w:bCs/>
      <w:kern w:val="2"/>
      <w:sz w:val="28"/>
      <w:szCs w:val="28"/>
    </w:rPr>
  </w:style>
  <w:style w:type="character" w:customStyle="1" w:styleId="40">
    <w:name w:val="标题 8 字符"/>
    <w:link w:val="10"/>
    <w:semiHidden/>
    <w:qFormat/>
    <w:uiPriority w:val="9"/>
    <w:rPr>
      <w:rFonts w:ascii="等线 Light" w:hAnsi="等线 Light" w:eastAsia="等线 Light" w:cs="Times New Roman"/>
      <w:kern w:val="2"/>
      <w:sz w:val="24"/>
      <w:szCs w:val="24"/>
    </w:rPr>
  </w:style>
  <w:style w:type="character" w:customStyle="1" w:styleId="41">
    <w:name w:val="批注文字 字符2"/>
    <w:link w:val="14"/>
    <w:qFormat/>
    <w:uiPriority w:val="0"/>
    <w:rPr>
      <w:rFonts w:ascii="Times New Roman" w:hAnsi="Times New Roman"/>
      <w:kern w:val="2"/>
      <w:sz w:val="21"/>
      <w:szCs w:val="24"/>
    </w:rPr>
  </w:style>
  <w:style w:type="character" w:customStyle="1" w:styleId="42">
    <w:name w:val="正文文本 3 字符"/>
    <w:link w:val="15"/>
    <w:semiHidden/>
    <w:qFormat/>
    <w:uiPriority w:val="99"/>
    <w:rPr>
      <w:kern w:val="2"/>
      <w:sz w:val="16"/>
      <w:szCs w:val="16"/>
    </w:rPr>
  </w:style>
  <w:style w:type="character" w:customStyle="1" w:styleId="43">
    <w:name w:val="正文文本缩进 字符"/>
    <w:link w:val="4"/>
    <w:qFormat/>
    <w:uiPriority w:val="0"/>
    <w:rPr>
      <w:rFonts w:ascii="仿宋_GB2312" w:hAnsi="Times New Roman" w:eastAsia="仿宋_GB2312" w:cs="Times New Roman"/>
      <w:sz w:val="32"/>
      <w:szCs w:val="20"/>
    </w:rPr>
  </w:style>
  <w:style w:type="character" w:customStyle="1" w:styleId="44">
    <w:name w:val="纯文本 字符3"/>
    <w:link w:val="18"/>
    <w:qFormat/>
    <w:uiPriority w:val="0"/>
    <w:rPr>
      <w:rFonts w:ascii="宋体" w:hAnsi="Courier New" w:eastAsia="宋体" w:cs="Courier New"/>
      <w:szCs w:val="21"/>
    </w:rPr>
  </w:style>
  <w:style w:type="character" w:customStyle="1" w:styleId="45">
    <w:name w:val="日期 字符"/>
    <w:link w:val="19"/>
    <w:semiHidden/>
    <w:qFormat/>
    <w:uiPriority w:val="99"/>
    <w:rPr>
      <w:rFonts w:ascii="Times New Roman" w:hAnsi="Times New Roman"/>
      <w:kern w:val="2"/>
      <w:sz w:val="21"/>
      <w:szCs w:val="24"/>
    </w:rPr>
  </w:style>
  <w:style w:type="character" w:customStyle="1" w:styleId="46">
    <w:name w:val="页脚 字符"/>
    <w:link w:val="21"/>
    <w:qFormat/>
    <w:uiPriority w:val="99"/>
    <w:rPr>
      <w:sz w:val="18"/>
      <w:szCs w:val="18"/>
    </w:rPr>
  </w:style>
  <w:style w:type="character" w:customStyle="1" w:styleId="47">
    <w:name w:val="页眉 字符"/>
    <w:link w:val="22"/>
    <w:qFormat/>
    <w:uiPriority w:val="99"/>
    <w:rPr>
      <w:sz w:val="18"/>
      <w:szCs w:val="18"/>
    </w:rPr>
  </w:style>
  <w:style w:type="character" w:customStyle="1" w:styleId="48">
    <w:name w:val="批注主题 字符"/>
    <w:link w:val="26"/>
    <w:qFormat/>
    <w:uiPriority w:val="99"/>
    <w:rPr>
      <w:rFonts w:ascii="Times New Roman" w:hAnsi="Times New Roman"/>
      <w:b/>
      <w:bCs/>
      <w:kern w:val="2"/>
      <w:sz w:val="21"/>
      <w:szCs w:val="24"/>
    </w:rPr>
  </w:style>
  <w:style w:type="character" w:customStyle="1" w:styleId="49">
    <w:name w:val="正文首行缩进 2 字符"/>
    <w:link w:val="3"/>
    <w:qFormat/>
    <w:uiPriority w:val="99"/>
    <w:rPr>
      <w:rFonts w:ascii="仿宋_GB2312" w:hAnsi="Times New Roman" w:eastAsia="仿宋_GB2312" w:cs="Times New Roman"/>
      <w:kern w:val="2"/>
      <w:sz w:val="21"/>
      <w:szCs w:val="24"/>
    </w:rPr>
  </w:style>
  <w:style w:type="character" w:customStyle="1" w:styleId="50">
    <w:name w:val="apple-style-span"/>
    <w:qFormat/>
    <w:uiPriority w:val="0"/>
  </w:style>
  <w:style w:type="character" w:customStyle="1" w:styleId="51">
    <w:name w:val="font101"/>
    <w:qFormat/>
    <w:uiPriority w:val="0"/>
    <w:rPr>
      <w:rFonts w:hint="eastAsia" w:ascii="宋体" w:hAnsi="宋体" w:eastAsia="宋体"/>
      <w:color w:val="000000"/>
      <w:sz w:val="20"/>
      <w:szCs w:val="20"/>
      <w:u w:val="none"/>
      <w:vertAlign w:val="superscript"/>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纯文本 字符"/>
    <w:qFormat/>
    <w:uiPriority w:val="0"/>
    <w:rPr>
      <w:rFonts w:ascii="宋体" w:hAnsi="Courier New" w:eastAsia="宋体" w:cs="Courier New"/>
      <w:szCs w:val="21"/>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批注文字 Char2"/>
    <w:qFormat/>
    <w:uiPriority w:val="0"/>
    <w:rPr>
      <w:rFonts w:ascii="Times New Roman" w:hAnsi="Times New Roman"/>
      <w:kern w:val="2"/>
      <w:sz w:val="21"/>
      <w:szCs w:val="24"/>
    </w:rPr>
  </w:style>
  <w:style w:type="character" w:customStyle="1" w:styleId="56">
    <w:name w:val="font132"/>
    <w:qFormat/>
    <w:uiPriority w:val="0"/>
    <w:rPr>
      <w:rFonts w:hint="eastAsia" w:ascii="宋体" w:hAnsi="宋体" w:eastAsia="宋体" w:cs="宋体"/>
      <w:color w:val="000000"/>
      <w:sz w:val="28"/>
      <w:szCs w:val="28"/>
      <w:u w:val="none"/>
    </w:rPr>
  </w:style>
  <w:style w:type="character" w:customStyle="1" w:styleId="57">
    <w:name w:val="font71"/>
    <w:qFormat/>
    <w:uiPriority w:val="0"/>
    <w:rPr>
      <w:rFonts w:hint="eastAsia" w:ascii="宋体" w:hAnsi="宋体" w:eastAsia="宋体"/>
      <w:color w:val="000000"/>
      <w:sz w:val="20"/>
      <w:szCs w:val="20"/>
      <w:u w:val="none"/>
    </w:rPr>
  </w:style>
  <w:style w:type="character" w:customStyle="1" w:styleId="58">
    <w:name w:val="纯文本 Char"/>
    <w:qFormat/>
    <w:uiPriority w:val="0"/>
    <w:rPr>
      <w:rFonts w:ascii="宋体" w:hAnsi="Courier New" w:eastAsia="宋体" w:cs="Courier New"/>
      <w:szCs w:val="21"/>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标题 1 字符1"/>
    <w:qFormat/>
    <w:uiPriority w:val="0"/>
    <w:rPr>
      <w:b/>
      <w:bCs/>
      <w:kern w:val="44"/>
      <w:sz w:val="44"/>
      <w:szCs w:val="44"/>
    </w:rPr>
  </w:style>
  <w:style w:type="character" w:customStyle="1" w:styleId="61">
    <w:name w:val="正文文本 Char"/>
    <w:qFormat/>
    <w:uiPriority w:val="0"/>
    <w:rPr>
      <w:rFonts w:ascii="Times New Roman" w:hAnsi="Times New Roman"/>
      <w:kern w:val="2"/>
      <w:sz w:val="21"/>
      <w:szCs w:val="2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textcontents"/>
    <w:qFormat/>
    <w:uiPriority w:val="0"/>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8 Char"/>
    <w:qFormat/>
    <w:uiPriority w:val="0"/>
    <w:rPr>
      <w:rFonts w:ascii="Arial" w:hAnsi="Arial" w:eastAsia="黑体"/>
      <w:kern w:val="2"/>
      <w:sz w:val="24"/>
      <w:szCs w:val="24"/>
    </w:rPr>
  </w:style>
  <w:style w:type="character" w:customStyle="1" w:styleId="68">
    <w:name w:val="font131"/>
    <w:qFormat/>
    <w:uiPriority w:val="0"/>
    <w:rPr>
      <w:rFonts w:hint="eastAsia" w:ascii="宋体" w:hAnsi="宋体" w:eastAsia="宋体" w:cs="宋体"/>
      <w:color w:val="000000"/>
      <w:sz w:val="28"/>
      <w:szCs w:val="28"/>
      <w:u w:val="none"/>
    </w:rPr>
  </w:style>
  <w:style w:type="character" w:customStyle="1" w:styleId="69">
    <w:name w:val="批注文字 Char"/>
    <w:qFormat/>
    <w:uiPriority w:val="99"/>
    <w:rPr>
      <w:rFonts w:ascii="Times New Roman" w:hAnsi="Times New Roman"/>
      <w:kern w:val="2"/>
      <w:sz w:val="21"/>
      <w:szCs w:val="24"/>
    </w:rPr>
  </w:style>
  <w:style w:type="character" w:customStyle="1" w:styleId="70">
    <w:name w:val="纯文本 字符1"/>
    <w:qFormat/>
    <w:uiPriority w:val="0"/>
    <w:rPr>
      <w:rFonts w:ascii="宋体" w:hAnsi="Courier New"/>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纯文本 字符2"/>
    <w:qFormat/>
    <w:uiPriority w:val="0"/>
    <w:rPr>
      <w:rFonts w:ascii="宋体" w:hAnsi="Courier New" w:eastAsia="宋体" w:cs="Courier New"/>
      <w:szCs w:val="21"/>
    </w:rPr>
  </w:style>
  <w:style w:type="character" w:customStyle="1" w:styleId="73">
    <w:name w:val="font12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olor w:val="000000"/>
      <w:sz w:val="20"/>
      <w:szCs w:val="20"/>
      <w:u w:val="none"/>
    </w:rPr>
  </w:style>
  <w:style w:type="character" w:customStyle="1" w:styleId="75">
    <w:name w:val="font21"/>
    <w:qFormat/>
    <w:uiPriority w:val="0"/>
    <w:rPr>
      <w:rFonts w:hint="eastAsia" w:ascii="宋体" w:hAnsi="宋体" w:eastAsia="宋体"/>
      <w:color w:val="000000"/>
      <w:sz w:val="24"/>
      <w:szCs w:val="24"/>
      <w:u w:val="none"/>
    </w:rPr>
  </w:style>
  <w:style w:type="character" w:customStyle="1" w:styleId="76">
    <w:name w:val="font51"/>
    <w:qFormat/>
    <w:uiPriority w:val="0"/>
    <w:rPr>
      <w:rFonts w:hint="eastAsia" w:ascii="宋体" w:hAnsi="宋体" w:eastAsia="宋体"/>
      <w:color w:val="000000"/>
      <w:sz w:val="24"/>
      <w:szCs w:val="24"/>
      <w:u w:val="none"/>
    </w:rPr>
  </w:style>
  <w:style w:type="character" w:customStyle="1" w:styleId="77">
    <w:name w:val="font61"/>
    <w:qFormat/>
    <w:uiPriority w:val="0"/>
    <w:rPr>
      <w:rFonts w:hint="eastAsia" w:ascii="宋体" w:hAnsi="宋体" w:eastAsia="宋体" w:cs="宋体"/>
      <w:b/>
      <w:bCs/>
      <w:color w:val="000000"/>
      <w:sz w:val="24"/>
      <w:szCs w:val="24"/>
      <w:u w:val="none"/>
    </w:rPr>
  </w:style>
  <w:style w:type="character" w:customStyle="1" w:styleId="78">
    <w:name w:val="font41"/>
    <w:qFormat/>
    <w:uiPriority w:val="0"/>
    <w:rPr>
      <w:rFonts w:ascii="宋体" w:hAnsi="宋体" w:eastAsia="宋体" w:cs="宋体"/>
      <w:b/>
      <w:bCs/>
      <w:color w:val="000000"/>
      <w:sz w:val="20"/>
      <w:szCs w:val="20"/>
      <w:u w:val="none"/>
    </w:rPr>
  </w:style>
  <w:style w:type="character" w:customStyle="1" w:styleId="79">
    <w:name w:val="样式 宋体 三号"/>
    <w:qFormat/>
    <w:uiPriority w:val="0"/>
    <w:rPr>
      <w:rFonts w:hint="eastAsia" w:ascii="宋体" w:hAnsi="宋体" w:eastAsia="宋体" w:cs="Times New Roman"/>
      <w:sz w:val="30"/>
    </w:rPr>
  </w:style>
  <w:style w:type="paragraph" w:customStyle="1" w:styleId="8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styleId="82">
    <w:name w:val="List Paragraph"/>
    <w:basedOn w:val="1"/>
    <w:qFormat/>
    <w:uiPriority w:val="34"/>
    <w:pPr>
      <w:ind w:firstLine="420" w:firstLineChars="200"/>
    </w:p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115"/>
    <w:basedOn w:val="1"/>
    <w:qFormat/>
    <w:uiPriority w:val="0"/>
    <w:pPr>
      <w:jc w:val="left"/>
    </w:pPr>
    <w:rPr>
      <w:bCs/>
      <w:spacing w:val="10"/>
      <w:kern w:val="0"/>
      <w:sz w:val="24"/>
    </w:rPr>
  </w:style>
  <w:style w:type="paragraph" w:customStyle="1" w:styleId="85">
    <w:name w:val="p0"/>
    <w:basedOn w:val="1"/>
    <w:qFormat/>
    <w:uiPriority w:val="0"/>
    <w:pPr>
      <w:widowControl/>
    </w:pPr>
    <w:rPr>
      <w:kern w:val="0"/>
      <w:szCs w:val="21"/>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16983</Words>
  <Characters>18203</Characters>
  <Lines>361</Lines>
  <Paragraphs>101</Paragraphs>
  <TotalTime>40</TotalTime>
  <ScaleCrop>false</ScaleCrop>
  <LinksUpToDate>false</LinksUpToDate>
  <CharactersWithSpaces>18533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2025-04-27T07:57:00Z</dcterms:created>
  <dc:creator>唐冰</dc:creator>
  <cp:lastModifiedBy> </cp:lastModifiedBy>
  <cp:lastPrinted>2023-04-14T08:25:00Z</cp:lastPrinted>
  <dcterms:modified xsi:type="dcterms:W3CDTF">2025-06-19T02:35:00Z</dcterms:modified>
  <dc:title>竞争性谈判文件规范</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1E4C7C591FA942D9B094C5211DAEC63D</vt:lpwstr>
  </property>
  <property fmtid="{D5CDD505-2E9C-101B-9397-08002B2CF9AE}" pid="4" name="KSOTemplateDocerSaveRecord">
    <vt:lpwstr>eyJoZGlkIjoiNzU1OTBiY2VmNmMxMWY2OGVkMWMyYTU1NDAwZjdiZGUiLCJ1c2VySWQiOiI0NjM0OTk2MzcifQ==</vt:lpwstr>
  </property>
</Properties>
</file>