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34502">
      <w:pPr>
        <w:spacing w:line="360" w:lineRule="auto"/>
        <w:jc w:val="center"/>
        <w:rPr>
          <w:rFonts w:hint="eastAsia" w:ascii="方正小标宋简体" w:hAnsi="宋体" w:eastAsia="方正小标宋简体"/>
          <w:color w:val="auto"/>
          <w:sz w:val="52"/>
          <w:szCs w:val="52"/>
          <w:highlight w:val="none"/>
        </w:rPr>
      </w:pPr>
      <w:bookmarkStart w:id="0" w:name="OLE_LINK1"/>
      <w:r>
        <w:rPr>
          <w:rFonts w:hint="eastAsia" w:ascii="方正小标宋简体" w:hAnsi="宋体" w:eastAsia="方正小标宋简体"/>
          <w:color w:val="auto"/>
          <w:sz w:val="52"/>
          <w:szCs w:val="52"/>
          <w:highlight w:val="none"/>
        </w:rPr>
        <w:t>云之龙咨询集团有限公司</w:t>
      </w:r>
    </w:p>
    <w:bookmarkEnd w:id="0"/>
    <w:p w14:paraId="73AB3D08">
      <w:pPr>
        <w:spacing w:before="156" w:beforeLines="50" w:line="360" w:lineRule="auto"/>
        <w:jc w:val="center"/>
        <w:rPr>
          <w:rFonts w:hint="eastAsia" w:ascii="宋体" w:hAnsi="宋体"/>
          <w:i/>
          <w:color w:val="auto"/>
          <w:sz w:val="52"/>
          <w:szCs w:val="52"/>
          <w:highlight w:val="none"/>
        </w:rPr>
      </w:pPr>
    </w:p>
    <w:p w14:paraId="0B515DE9">
      <w:pPr>
        <w:spacing w:line="360" w:lineRule="auto"/>
        <w:jc w:val="center"/>
        <w:rPr>
          <w:rFonts w:hint="eastAsia" w:ascii="方正小标宋简体" w:hAnsi="方正小标宋简体" w:eastAsia="方正小标宋简体" w:cs="方正小标宋简体"/>
          <w:b/>
          <w:color w:val="auto"/>
          <w:sz w:val="44"/>
          <w:szCs w:val="44"/>
          <w:highlight w:val="none"/>
        </w:rPr>
      </w:pPr>
    </w:p>
    <w:p w14:paraId="4B8C6CD0">
      <w:pPr>
        <w:snapToGrid w:val="0"/>
        <w:spacing w:before="156" w:beforeLines="50" w:line="360" w:lineRule="auto"/>
        <w:jc w:val="center"/>
        <w:rPr>
          <w:rFonts w:hint="eastAsia"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竞争性谈判文件</w:t>
      </w:r>
    </w:p>
    <w:p w14:paraId="6537581A">
      <w:pPr>
        <w:snapToGrid w:val="0"/>
        <w:spacing w:before="156" w:beforeLines="50" w:line="360" w:lineRule="auto"/>
        <w:jc w:val="center"/>
        <w:rPr>
          <w:rFonts w:hint="eastAsia"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173BD6E8">
      <w:pPr>
        <w:snapToGrid w:val="0"/>
        <w:spacing w:line="360" w:lineRule="auto"/>
        <w:rPr>
          <w:rFonts w:hint="eastAsia" w:ascii="仿宋_GB2312" w:hAnsi="宋体" w:eastAsia="仿宋_GB2312"/>
          <w:color w:val="auto"/>
          <w:sz w:val="30"/>
          <w:szCs w:val="72"/>
          <w:highlight w:val="none"/>
        </w:rPr>
      </w:pPr>
    </w:p>
    <w:p w14:paraId="6DB0469D">
      <w:pPr>
        <w:pStyle w:val="12"/>
        <w:snapToGrid w:val="0"/>
        <w:spacing w:line="360" w:lineRule="auto"/>
        <w:ind w:firstLine="1193" w:firstLineChars="396"/>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bookmarkStart w:id="1" w:name="OLE_LINK3"/>
      <w:bookmarkStart w:id="2" w:name="OLE_LINK2"/>
      <w:bookmarkStart w:id="3" w:name="OLE_LINK6"/>
      <w:bookmarkStart w:id="4" w:name="OLE_LINK5"/>
      <w:r>
        <w:rPr>
          <w:rFonts w:hint="eastAsia" w:ascii="仿宋_GB2312" w:hAnsi="宋体" w:eastAsia="仿宋_GB2312"/>
          <w:b/>
          <w:bCs/>
          <w:color w:val="auto"/>
          <w:sz w:val="30"/>
          <w:szCs w:val="30"/>
          <w:highlight w:val="none"/>
        </w:rPr>
        <w:t>广西大江大河水文监测系统建设工程</w:t>
      </w:r>
    </w:p>
    <w:p w14:paraId="1E91E80D">
      <w:pPr>
        <w:pStyle w:val="12"/>
        <w:snapToGrid w:val="0"/>
        <w:spacing w:line="360" w:lineRule="auto"/>
        <w:ind w:firstLine="2397" w:firstLineChars="796"/>
        <w:rPr>
          <w:rFonts w:hint="eastAsia" w:ascii="仿宋_GB2312" w:hAnsi="宋体" w:eastAsia="仿宋_GB2312"/>
          <w:b/>
          <w:bCs/>
          <w:color w:val="auto"/>
          <w:sz w:val="30"/>
          <w:szCs w:val="30"/>
          <w:highlight w:val="none"/>
        </w:rPr>
      </w:pPr>
      <w:bookmarkStart w:id="5" w:name="OLE_LINK4"/>
      <w:r>
        <w:rPr>
          <w:rFonts w:hint="eastAsia" w:ascii="仿宋_GB2312" w:hAnsi="宋体" w:eastAsia="仿宋_GB2312"/>
          <w:b/>
          <w:bCs/>
          <w:color w:val="auto"/>
          <w:sz w:val="30"/>
          <w:szCs w:val="30"/>
          <w:highlight w:val="none"/>
        </w:rPr>
        <w:t>(2021-2025年)梧州部分-</w:t>
      </w:r>
      <w:bookmarkEnd w:id="1"/>
      <w:bookmarkEnd w:id="2"/>
      <w:bookmarkEnd w:id="5"/>
      <w:r>
        <w:rPr>
          <w:rFonts w:hint="eastAsia" w:ascii="仿宋_GB2312" w:hAnsi="宋体" w:eastAsia="仿宋_GB2312"/>
          <w:b/>
          <w:bCs/>
          <w:color w:val="auto"/>
          <w:sz w:val="30"/>
          <w:szCs w:val="30"/>
          <w:highlight w:val="none"/>
        </w:rPr>
        <w:t>设备采购</w:t>
      </w:r>
    </w:p>
    <w:bookmarkEnd w:id="3"/>
    <w:bookmarkEnd w:id="4"/>
    <w:p w14:paraId="5E800DAB">
      <w:pPr>
        <w:snapToGrid w:val="0"/>
        <w:spacing w:line="360" w:lineRule="auto"/>
        <w:ind w:firstLine="1145" w:firstLineChars="400"/>
        <w:rPr>
          <w:rFonts w:hint="eastAsia" w:ascii="仿宋_GB2312" w:hAnsi="宋体" w:eastAsia="仿宋_GB2312"/>
          <w:color w:val="auto"/>
          <w:sz w:val="30"/>
          <w:szCs w:val="72"/>
          <w:highlight w:val="none"/>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GXZC2025-J1-002553-YZLZ</w:t>
      </w:r>
      <w:r>
        <w:rPr>
          <w:rFonts w:hint="eastAsia" w:ascii="仿宋_GB2312" w:hAnsi="宋体" w:eastAsia="仿宋_GB2312"/>
          <w:b/>
          <w:color w:val="auto"/>
          <w:sz w:val="30"/>
          <w:szCs w:val="48"/>
          <w:highlight w:val="none"/>
        </w:rPr>
        <w:t xml:space="preserve"> </w:t>
      </w:r>
    </w:p>
    <w:p w14:paraId="719935E1">
      <w:pPr>
        <w:pStyle w:val="12"/>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 xml:space="preserve">采 购 人：梧州水文中心 </w:t>
      </w:r>
    </w:p>
    <w:p w14:paraId="1DB4F3FF">
      <w:pPr>
        <w:pStyle w:val="12"/>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采购代理机构：云之龙咨询集团有限公司</w:t>
      </w:r>
    </w:p>
    <w:p w14:paraId="4760822F">
      <w:pPr>
        <w:pStyle w:val="12"/>
        <w:snapToGrid w:val="0"/>
        <w:spacing w:line="360" w:lineRule="auto"/>
        <w:ind w:firstLine="1125" w:firstLineChars="393"/>
        <w:rPr>
          <w:rFonts w:hint="eastAsia" w:ascii="仿宋_GB2312" w:hAnsi="宋体" w:eastAsia="仿宋_GB2312"/>
          <w:b/>
          <w:bCs/>
          <w:color w:val="auto"/>
          <w:w w:val="95"/>
          <w:sz w:val="30"/>
          <w:szCs w:val="30"/>
          <w:highlight w:val="none"/>
        </w:rPr>
      </w:pPr>
    </w:p>
    <w:p w14:paraId="5C6F1CD0">
      <w:pPr>
        <w:pStyle w:val="12"/>
        <w:snapToGrid w:val="0"/>
        <w:spacing w:line="360" w:lineRule="auto"/>
        <w:ind w:firstLine="841" w:firstLineChars="294"/>
        <w:rPr>
          <w:rFonts w:ascii="仿宋_GB2312" w:eastAsia="仿宋_GB2312"/>
          <w:color w:val="auto"/>
          <w:szCs w:val="20"/>
          <w:highlight w:val="none"/>
        </w:rPr>
      </w:pPr>
      <w:r>
        <w:rPr>
          <w:rFonts w:hint="eastAsia" w:ascii="仿宋_GB2312" w:hAnsi="宋体" w:eastAsia="仿宋_GB2312"/>
          <w:b/>
          <w:bCs/>
          <w:color w:val="auto"/>
          <w:w w:val="95"/>
          <w:sz w:val="30"/>
          <w:szCs w:val="30"/>
          <w:highlight w:val="none"/>
        </w:rPr>
        <w:t xml:space="preserve">               2025年8月</w:t>
      </w:r>
      <w:r>
        <w:rPr>
          <w:rFonts w:hint="eastAsia" w:ascii="仿宋_GB2312" w:hAnsi="宋体" w:eastAsia="仿宋_GB2312"/>
          <w:b/>
          <w:bCs/>
          <w:color w:val="auto"/>
          <w:w w:val="95"/>
          <w:sz w:val="30"/>
          <w:szCs w:val="30"/>
          <w:highlight w:val="none"/>
          <w:lang w:val="en-US" w:eastAsia="zh-CN"/>
        </w:rPr>
        <w:t>27</w:t>
      </w:r>
      <w:r>
        <w:rPr>
          <w:rFonts w:hint="eastAsia" w:ascii="仿宋_GB2312" w:hAnsi="宋体" w:eastAsia="仿宋_GB2312"/>
          <w:b/>
          <w:bCs/>
          <w:color w:val="auto"/>
          <w:w w:val="95"/>
          <w:sz w:val="30"/>
          <w:szCs w:val="30"/>
          <w:highlight w:val="none"/>
        </w:rPr>
        <w:t>日</w:t>
      </w:r>
    </w:p>
    <w:p w14:paraId="2DB14C4D">
      <w:pPr>
        <w:tabs>
          <w:tab w:val="left" w:pos="1080"/>
        </w:tabs>
        <w:spacing w:line="360" w:lineRule="exact"/>
        <w:ind w:firstLine="480"/>
        <w:rPr>
          <w:rFonts w:hint="eastAsia" w:ascii="宋体" w:hAnsi="宋体"/>
          <w:b/>
          <w:color w:val="auto"/>
          <w:sz w:val="44"/>
          <w:szCs w:val="44"/>
          <w:highlight w:val="none"/>
        </w:rPr>
      </w:pPr>
      <w:r>
        <w:rPr>
          <w:rFonts w:ascii="仿宋_GB2312" w:hAnsi="宋体" w:eastAsia="仿宋_GB2312"/>
          <w:b/>
          <w:color w:val="auto"/>
          <w:sz w:val="30"/>
          <w:szCs w:val="30"/>
          <w:highlight w:val="none"/>
        </w:rPr>
        <w:br w:type="page"/>
      </w:r>
    </w:p>
    <w:p w14:paraId="05C8FFAA">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0B04E07F">
      <w:pPr>
        <w:spacing w:line="400" w:lineRule="exact"/>
        <w:jc w:val="center"/>
        <w:rPr>
          <w:rFonts w:hint="eastAsia" w:ascii="宋体" w:hAnsi="宋体"/>
          <w:b/>
          <w:color w:val="auto"/>
          <w:sz w:val="44"/>
          <w:szCs w:val="44"/>
          <w:highlight w:val="none"/>
        </w:rPr>
      </w:pPr>
    </w:p>
    <w:p w14:paraId="55252367">
      <w:pPr>
        <w:pStyle w:val="17"/>
        <w:tabs>
          <w:tab w:val="right" w:leader="dot" w:pos="8869"/>
        </w:tabs>
        <w:snapToGrid w:val="0"/>
        <w:spacing w:line="500" w:lineRule="atLeast"/>
        <w:rPr>
          <w:rFonts w:hint="eastAsia" w:ascii="宋体" w:hAnsi="宋体"/>
          <w:b/>
          <w:color w:val="auto"/>
          <w:sz w:val="24"/>
          <w:highlight w:val="none"/>
        </w:rPr>
      </w:pPr>
      <w:r>
        <w:rPr>
          <w:rFonts w:ascii="宋体" w:hAnsi="宋体"/>
          <w:b/>
          <w:color w:val="auto"/>
          <w:sz w:val="24"/>
          <w:highlight w:val="none"/>
        </w:rPr>
        <w:fldChar w:fldCharType="begin"/>
      </w:r>
      <w:r>
        <w:rPr>
          <w:rFonts w:ascii="宋体" w:hAnsi="宋体"/>
          <w:b/>
          <w:color w:val="auto"/>
          <w:sz w:val="24"/>
          <w:highlight w:val="none"/>
        </w:rPr>
        <w:instrText xml:space="preserve"> </w:instrText>
      </w:r>
      <w:r>
        <w:rPr>
          <w:rFonts w:hint="eastAsia" w:ascii="宋体" w:hAnsi="宋体"/>
          <w:b/>
          <w:color w:val="auto"/>
          <w:sz w:val="24"/>
          <w:highlight w:val="none"/>
        </w:rPr>
        <w:instrText xml:space="preserve">TOC \o "1-3" \h \z \u</w:instrText>
      </w:r>
      <w:r>
        <w:rPr>
          <w:rFonts w:ascii="宋体" w:hAnsi="宋体"/>
          <w:b/>
          <w:color w:val="auto"/>
          <w:sz w:val="24"/>
          <w:highlight w:val="none"/>
        </w:rPr>
        <w:instrText xml:space="preserve"> </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"_Toc74322008" </w:instrText>
      </w:r>
      <w:r>
        <w:rPr>
          <w:color w:val="auto"/>
          <w:highlight w:val="none"/>
        </w:rPr>
        <w:fldChar w:fldCharType="separate"/>
      </w:r>
      <w:r>
        <w:rPr>
          <w:rStyle w:val="25"/>
          <w:rFonts w:hint="eastAsia" w:ascii="宋体" w:hAnsi="宋体"/>
          <w:b/>
          <w:color w:val="auto"/>
          <w:sz w:val="24"/>
          <w:highlight w:val="none"/>
        </w:rPr>
        <w:t>第一章</w:t>
      </w:r>
      <w:r>
        <w:rPr>
          <w:rStyle w:val="25"/>
          <w:rFonts w:ascii="宋体" w:hAnsi="宋体"/>
          <w:b/>
          <w:color w:val="auto"/>
          <w:sz w:val="24"/>
          <w:highlight w:val="none"/>
        </w:rPr>
        <w:t xml:space="preserve"> </w:t>
      </w:r>
      <w:r>
        <w:rPr>
          <w:rStyle w:val="25"/>
          <w:rFonts w:hint="eastAsia" w:ascii="宋体" w:hAnsi="宋体"/>
          <w:b/>
          <w:color w:val="auto"/>
          <w:sz w:val="24"/>
          <w:highlight w:val="none"/>
        </w:rPr>
        <w:t>竞争性谈判公告</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_Toc74322008 \h </w:instrText>
      </w:r>
      <w:r>
        <w:rPr>
          <w:rFonts w:ascii="宋体" w:hAnsi="宋体"/>
          <w:b/>
          <w:color w:val="auto"/>
          <w:sz w:val="24"/>
          <w:highlight w:val="none"/>
        </w:rPr>
        <w:fldChar w:fldCharType="separate"/>
      </w:r>
      <w:r>
        <w:rPr>
          <w:rFonts w:ascii="宋体" w:hAnsi="宋体"/>
          <w:b/>
          <w:color w:val="auto"/>
          <w:sz w:val="24"/>
          <w:highlight w:val="none"/>
        </w:rPr>
        <w:t>2</w:t>
      </w:r>
      <w:r>
        <w:rPr>
          <w:rFonts w:ascii="宋体" w:hAnsi="宋体"/>
          <w:b/>
          <w:color w:val="auto"/>
          <w:sz w:val="24"/>
          <w:highlight w:val="none"/>
        </w:rPr>
        <w:fldChar w:fldCharType="end"/>
      </w:r>
      <w:r>
        <w:rPr>
          <w:rFonts w:ascii="宋体" w:hAnsi="宋体"/>
          <w:b/>
          <w:color w:val="auto"/>
          <w:sz w:val="24"/>
          <w:highlight w:val="none"/>
        </w:rPr>
        <w:fldChar w:fldCharType="end"/>
      </w:r>
    </w:p>
    <w:p w14:paraId="0CCC1A43">
      <w:pPr>
        <w:pStyle w:val="17"/>
        <w:tabs>
          <w:tab w:val="right" w:leader="dot" w:pos="8869"/>
        </w:tabs>
        <w:snapToGrid w:val="0"/>
        <w:spacing w:line="500" w:lineRule="atLeast"/>
        <w:rPr>
          <w:rFonts w:hint="eastAsia" w:ascii="宋体" w:hAnsi="宋体"/>
          <w:b/>
          <w:color w:val="auto"/>
          <w:sz w:val="24"/>
          <w:highlight w:val="none"/>
        </w:rPr>
      </w:pPr>
      <w:r>
        <w:rPr>
          <w:color w:val="auto"/>
          <w:highlight w:val="none"/>
        </w:rPr>
        <w:fldChar w:fldCharType="begin"/>
      </w:r>
      <w:r>
        <w:rPr>
          <w:color w:val="auto"/>
          <w:highlight w:val="none"/>
        </w:rPr>
        <w:instrText xml:space="preserve"> HYPERLINK \l "_Toc74322009" </w:instrText>
      </w:r>
      <w:r>
        <w:rPr>
          <w:color w:val="auto"/>
          <w:highlight w:val="none"/>
        </w:rPr>
        <w:fldChar w:fldCharType="separate"/>
      </w:r>
      <w:r>
        <w:rPr>
          <w:rStyle w:val="25"/>
          <w:rFonts w:hint="eastAsia" w:ascii="宋体" w:hAnsi="宋体"/>
          <w:b/>
          <w:color w:val="auto"/>
          <w:sz w:val="24"/>
          <w:highlight w:val="none"/>
        </w:rPr>
        <w:t>第二章</w:t>
      </w:r>
      <w:r>
        <w:rPr>
          <w:rStyle w:val="25"/>
          <w:rFonts w:ascii="宋体" w:hAnsi="宋体"/>
          <w:b/>
          <w:color w:val="auto"/>
          <w:sz w:val="24"/>
          <w:highlight w:val="none"/>
        </w:rPr>
        <w:t xml:space="preserve"> </w:t>
      </w:r>
      <w:r>
        <w:rPr>
          <w:rStyle w:val="25"/>
          <w:rFonts w:hint="eastAsia" w:ascii="宋体" w:hAnsi="宋体"/>
          <w:b/>
          <w:color w:val="auto"/>
          <w:sz w:val="24"/>
          <w:highlight w:val="none"/>
        </w:rPr>
        <w:t>供应商须知</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_Toc74322009 \h </w:instrText>
      </w:r>
      <w:r>
        <w:rPr>
          <w:rFonts w:ascii="宋体" w:hAnsi="宋体"/>
          <w:b/>
          <w:color w:val="auto"/>
          <w:sz w:val="24"/>
          <w:highlight w:val="none"/>
        </w:rPr>
        <w:fldChar w:fldCharType="separate"/>
      </w:r>
      <w:r>
        <w:rPr>
          <w:rFonts w:ascii="宋体" w:hAnsi="宋体"/>
          <w:b/>
          <w:color w:val="auto"/>
          <w:sz w:val="24"/>
          <w:highlight w:val="none"/>
        </w:rPr>
        <w:t>5</w:t>
      </w:r>
      <w:r>
        <w:rPr>
          <w:rFonts w:ascii="宋体" w:hAnsi="宋体"/>
          <w:b/>
          <w:color w:val="auto"/>
          <w:sz w:val="24"/>
          <w:highlight w:val="none"/>
        </w:rPr>
        <w:fldChar w:fldCharType="end"/>
      </w:r>
      <w:r>
        <w:rPr>
          <w:rFonts w:ascii="宋体" w:hAnsi="宋体"/>
          <w:b/>
          <w:color w:val="auto"/>
          <w:sz w:val="24"/>
          <w:highlight w:val="none"/>
        </w:rPr>
        <w:fldChar w:fldCharType="end"/>
      </w:r>
    </w:p>
    <w:p w14:paraId="0D1828C7">
      <w:pPr>
        <w:pStyle w:val="17"/>
        <w:tabs>
          <w:tab w:val="right" w:leader="dot" w:pos="8869"/>
        </w:tabs>
        <w:snapToGrid w:val="0"/>
        <w:spacing w:line="500" w:lineRule="atLeast"/>
        <w:rPr>
          <w:rFonts w:hint="eastAsia" w:ascii="宋体" w:hAnsi="宋体"/>
          <w:b/>
          <w:color w:val="auto"/>
          <w:sz w:val="24"/>
          <w:highlight w:val="none"/>
        </w:rPr>
      </w:pPr>
      <w:r>
        <w:rPr>
          <w:color w:val="auto"/>
          <w:highlight w:val="none"/>
        </w:rPr>
        <w:fldChar w:fldCharType="begin"/>
      </w:r>
      <w:r>
        <w:rPr>
          <w:color w:val="auto"/>
          <w:highlight w:val="none"/>
        </w:rPr>
        <w:instrText xml:space="preserve"> HYPERLINK \l "_Toc74322010" </w:instrText>
      </w:r>
      <w:r>
        <w:rPr>
          <w:color w:val="auto"/>
          <w:highlight w:val="none"/>
        </w:rPr>
        <w:fldChar w:fldCharType="separate"/>
      </w:r>
      <w:r>
        <w:rPr>
          <w:rStyle w:val="25"/>
          <w:rFonts w:hint="eastAsia" w:ascii="宋体" w:hAnsi="宋体"/>
          <w:b/>
          <w:color w:val="auto"/>
          <w:sz w:val="24"/>
          <w:highlight w:val="none"/>
        </w:rPr>
        <w:t>第三章</w:t>
      </w:r>
      <w:r>
        <w:rPr>
          <w:rStyle w:val="25"/>
          <w:rFonts w:ascii="宋体" w:hAnsi="宋体"/>
          <w:b/>
          <w:color w:val="auto"/>
          <w:sz w:val="24"/>
          <w:highlight w:val="none"/>
        </w:rPr>
        <w:t xml:space="preserve"> </w:t>
      </w:r>
      <w:r>
        <w:rPr>
          <w:rStyle w:val="25"/>
          <w:rFonts w:hint="eastAsia" w:ascii="宋体" w:hAnsi="宋体"/>
          <w:b/>
          <w:color w:val="auto"/>
          <w:sz w:val="24"/>
          <w:highlight w:val="none"/>
        </w:rPr>
        <w:t>采购需求</w:t>
      </w:r>
      <w:bookmarkStart w:id="6" w:name="_Hlt82166985"/>
      <w:r>
        <w:rPr>
          <w:rFonts w:ascii="宋体" w:hAnsi="宋体"/>
          <w:b/>
          <w:color w:val="auto"/>
          <w:sz w:val="24"/>
          <w:highlight w:val="none"/>
        </w:rPr>
        <w:tab/>
      </w:r>
      <w:bookmarkEnd w:id="6"/>
      <w:r>
        <w:rPr>
          <w:rFonts w:ascii="宋体" w:hAnsi="宋体"/>
          <w:b/>
          <w:color w:val="auto"/>
          <w:sz w:val="24"/>
          <w:highlight w:val="none"/>
        </w:rPr>
        <w:fldChar w:fldCharType="begin"/>
      </w:r>
      <w:r>
        <w:rPr>
          <w:rFonts w:ascii="宋体" w:hAnsi="宋体"/>
          <w:b/>
          <w:color w:val="auto"/>
          <w:sz w:val="24"/>
          <w:highlight w:val="none"/>
        </w:rPr>
        <w:instrText xml:space="preserve"> PAGEREF _Toc74322010 \h </w:instrText>
      </w:r>
      <w:r>
        <w:rPr>
          <w:rFonts w:ascii="宋体" w:hAnsi="宋体"/>
          <w:b/>
          <w:color w:val="auto"/>
          <w:sz w:val="24"/>
          <w:highlight w:val="none"/>
        </w:rPr>
        <w:fldChar w:fldCharType="separate"/>
      </w:r>
      <w:r>
        <w:rPr>
          <w:rFonts w:ascii="宋体" w:hAnsi="宋体"/>
          <w:b/>
          <w:color w:val="auto"/>
          <w:sz w:val="24"/>
          <w:highlight w:val="none"/>
        </w:rPr>
        <w:t>22</w:t>
      </w:r>
      <w:r>
        <w:rPr>
          <w:rFonts w:ascii="宋体" w:hAnsi="宋体"/>
          <w:b/>
          <w:color w:val="auto"/>
          <w:sz w:val="24"/>
          <w:highlight w:val="none"/>
        </w:rPr>
        <w:fldChar w:fldCharType="end"/>
      </w:r>
      <w:r>
        <w:rPr>
          <w:rFonts w:ascii="宋体" w:hAnsi="宋体"/>
          <w:b/>
          <w:color w:val="auto"/>
          <w:sz w:val="24"/>
          <w:highlight w:val="none"/>
        </w:rPr>
        <w:fldChar w:fldCharType="end"/>
      </w:r>
    </w:p>
    <w:p w14:paraId="72E102C0">
      <w:pPr>
        <w:pStyle w:val="17"/>
        <w:tabs>
          <w:tab w:val="right" w:leader="dot" w:pos="8869"/>
        </w:tabs>
        <w:snapToGrid w:val="0"/>
        <w:spacing w:line="500" w:lineRule="atLeast"/>
        <w:rPr>
          <w:rFonts w:hint="eastAsia" w:ascii="宋体" w:hAnsi="宋体"/>
          <w:b/>
          <w:color w:val="auto"/>
          <w:sz w:val="24"/>
          <w:highlight w:val="none"/>
        </w:rPr>
      </w:pPr>
      <w:r>
        <w:rPr>
          <w:color w:val="auto"/>
          <w:highlight w:val="none"/>
        </w:rPr>
        <w:fldChar w:fldCharType="begin"/>
      </w:r>
      <w:r>
        <w:rPr>
          <w:color w:val="auto"/>
          <w:highlight w:val="none"/>
        </w:rPr>
        <w:instrText xml:space="preserve"> HYPERLINK \l "_Toc74322011" </w:instrText>
      </w:r>
      <w:r>
        <w:rPr>
          <w:color w:val="auto"/>
          <w:highlight w:val="none"/>
        </w:rPr>
        <w:fldChar w:fldCharType="separate"/>
      </w:r>
      <w:r>
        <w:rPr>
          <w:rStyle w:val="25"/>
          <w:rFonts w:hint="eastAsia" w:ascii="宋体" w:hAnsi="宋体"/>
          <w:b/>
          <w:color w:val="auto"/>
          <w:sz w:val="24"/>
          <w:highlight w:val="none"/>
        </w:rPr>
        <w:t>第四章</w:t>
      </w:r>
      <w:r>
        <w:rPr>
          <w:rStyle w:val="25"/>
          <w:rFonts w:ascii="宋体" w:hAnsi="宋体"/>
          <w:b/>
          <w:color w:val="auto"/>
          <w:sz w:val="24"/>
          <w:highlight w:val="none"/>
        </w:rPr>
        <w:t xml:space="preserve"> </w:t>
      </w:r>
      <w:r>
        <w:rPr>
          <w:rStyle w:val="25"/>
          <w:rFonts w:hint="eastAsia" w:ascii="宋体" w:hAnsi="宋体"/>
          <w:b/>
          <w:color w:val="auto"/>
          <w:sz w:val="24"/>
          <w:highlight w:val="none"/>
        </w:rPr>
        <w:t>评审程序和评定成交的标准</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_Toc74322011 \h </w:instrText>
      </w:r>
      <w:r>
        <w:rPr>
          <w:rFonts w:ascii="宋体" w:hAnsi="宋体"/>
          <w:b/>
          <w:color w:val="auto"/>
          <w:sz w:val="24"/>
          <w:highlight w:val="none"/>
        </w:rPr>
        <w:fldChar w:fldCharType="separate"/>
      </w:r>
      <w:r>
        <w:rPr>
          <w:rFonts w:ascii="宋体" w:hAnsi="宋体"/>
          <w:b/>
          <w:color w:val="auto"/>
          <w:sz w:val="24"/>
          <w:highlight w:val="none"/>
        </w:rPr>
        <w:t>47</w:t>
      </w:r>
      <w:r>
        <w:rPr>
          <w:rFonts w:ascii="宋体" w:hAnsi="宋体"/>
          <w:b/>
          <w:color w:val="auto"/>
          <w:sz w:val="24"/>
          <w:highlight w:val="none"/>
        </w:rPr>
        <w:fldChar w:fldCharType="end"/>
      </w:r>
      <w:r>
        <w:rPr>
          <w:rFonts w:ascii="宋体" w:hAnsi="宋体"/>
          <w:b/>
          <w:color w:val="auto"/>
          <w:sz w:val="24"/>
          <w:highlight w:val="none"/>
        </w:rPr>
        <w:fldChar w:fldCharType="end"/>
      </w:r>
    </w:p>
    <w:p w14:paraId="3D338340">
      <w:pPr>
        <w:pStyle w:val="17"/>
        <w:tabs>
          <w:tab w:val="right" w:leader="dot" w:pos="8869"/>
        </w:tabs>
        <w:snapToGrid w:val="0"/>
        <w:spacing w:line="500" w:lineRule="atLeast"/>
        <w:rPr>
          <w:rFonts w:hint="eastAsia" w:ascii="宋体" w:hAnsi="宋体"/>
          <w:b/>
          <w:color w:val="auto"/>
          <w:sz w:val="24"/>
          <w:highlight w:val="none"/>
        </w:rPr>
      </w:pPr>
      <w:r>
        <w:rPr>
          <w:color w:val="auto"/>
          <w:highlight w:val="none"/>
        </w:rPr>
        <w:fldChar w:fldCharType="begin"/>
      </w:r>
      <w:r>
        <w:rPr>
          <w:color w:val="auto"/>
          <w:highlight w:val="none"/>
        </w:rPr>
        <w:instrText xml:space="preserve"> HYPERLINK \l "_Toc74322012" </w:instrText>
      </w:r>
      <w:r>
        <w:rPr>
          <w:color w:val="auto"/>
          <w:highlight w:val="none"/>
        </w:rPr>
        <w:fldChar w:fldCharType="separate"/>
      </w:r>
      <w:r>
        <w:rPr>
          <w:rStyle w:val="25"/>
          <w:rFonts w:hint="eastAsia" w:ascii="宋体" w:hAnsi="宋体"/>
          <w:b/>
          <w:color w:val="auto"/>
          <w:sz w:val="24"/>
          <w:highlight w:val="none"/>
        </w:rPr>
        <w:t>第五章</w:t>
      </w:r>
      <w:r>
        <w:rPr>
          <w:rStyle w:val="25"/>
          <w:rFonts w:ascii="宋体" w:hAnsi="宋体"/>
          <w:b/>
          <w:color w:val="auto"/>
          <w:sz w:val="24"/>
          <w:highlight w:val="none"/>
        </w:rPr>
        <w:t xml:space="preserve"> </w:t>
      </w:r>
      <w:r>
        <w:rPr>
          <w:rStyle w:val="25"/>
          <w:rFonts w:hint="eastAsia" w:ascii="宋体" w:hAnsi="宋体"/>
          <w:b/>
          <w:color w:val="auto"/>
          <w:sz w:val="24"/>
          <w:highlight w:val="none"/>
        </w:rPr>
        <w:t>响应文件格式</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_Toc74322012 \h </w:instrText>
      </w:r>
      <w:r>
        <w:rPr>
          <w:rFonts w:ascii="宋体" w:hAnsi="宋体"/>
          <w:b/>
          <w:color w:val="auto"/>
          <w:sz w:val="24"/>
          <w:highlight w:val="none"/>
        </w:rPr>
        <w:fldChar w:fldCharType="separate"/>
      </w:r>
      <w:r>
        <w:rPr>
          <w:rFonts w:ascii="宋体" w:hAnsi="宋体"/>
          <w:b/>
          <w:color w:val="auto"/>
          <w:sz w:val="24"/>
          <w:highlight w:val="none"/>
        </w:rPr>
        <w:t>53</w:t>
      </w:r>
      <w:r>
        <w:rPr>
          <w:rFonts w:ascii="宋体" w:hAnsi="宋体"/>
          <w:b/>
          <w:color w:val="auto"/>
          <w:sz w:val="24"/>
          <w:highlight w:val="none"/>
        </w:rPr>
        <w:fldChar w:fldCharType="end"/>
      </w:r>
      <w:r>
        <w:rPr>
          <w:rFonts w:ascii="宋体" w:hAnsi="宋体"/>
          <w:b/>
          <w:color w:val="auto"/>
          <w:sz w:val="24"/>
          <w:highlight w:val="none"/>
        </w:rPr>
        <w:fldChar w:fldCharType="end"/>
      </w:r>
    </w:p>
    <w:p w14:paraId="7C3EFFB2">
      <w:pPr>
        <w:pStyle w:val="17"/>
        <w:tabs>
          <w:tab w:val="right" w:leader="dot" w:pos="8869"/>
        </w:tabs>
        <w:snapToGrid w:val="0"/>
        <w:spacing w:line="500" w:lineRule="atLeast"/>
        <w:rPr>
          <w:rFonts w:hint="eastAsia" w:ascii="宋体" w:hAnsi="宋体"/>
          <w:b/>
          <w:color w:val="auto"/>
          <w:sz w:val="24"/>
          <w:highlight w:val="none"/>
        </w:rPr>
      </w:pPr>
      <w:r>
        <w:rPr>
          <w:color w:val="auto"/>
          <w:highlight w:val="none"/>
        </w:rPr>
        <w:fldChar w:fldCharType="begin"/>
      </w:r>
      <w:r>
        <w:rPr>
          <w:color w:val="auto"/>
          <w:highlight w:val="none"/>
        </w:rPr>
        <w:instrText xml:space="preserve"> HYPERLINK \l "_Toc74322013" </w:instrText>
      </w:r>
      <w:r>
        <w:rPr>
          <w:color w:val="auto"/>
          <w:highlight w:val="none"/>
        </w:rPr>
        <w:fldChar w:fldCharType="separate"/>
      </w:r>
      <w:r>
        <w:rPr>
          <w:rStyle w:val="25"/>
          <w:rFonts w:hint="eastAsia" w:ascii="宋体" w:hAnsi="宋体"/>
          <w:b/>
          <w:color w:val="auto"/>
          <w:sz w:val="24"/>
          <w:highlight w:val="none"/>
        </w:rPr>
        <w:t>第六章</w:t>
      </w:r>
      <w:r>
        <w:rPr>
          <w:rStyle w:val="25"/>
          <w:rFonts w:ascii="宋体" w:hAnsi="宋体"/>
          <w:b/>
          <w:color w:val="auto"/>
          <w:sz w:val="24"/>
          <w:highlight w:val="none"/>
        </w:rPr>
        <w:t xml:space="preserve"> </w:t>
      </w:r>
      <w:r>
        <w:rPr>
          <w:rStyle w:val="25"/>
          <w:rFonts w:hint="eastAsia" w:ascii="宋体" w:hAnsi="宋体"/>
          <w:b/>
          <w:color w:val="auto"/>
          <w:sz w:val="24"/>
          <w:highlight w:val="none"/>
        </w:rPr>
        <w:t>合同文本</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_Toc74322013 \h </w:instrText>
      </w:r>
      <w:r>
        <w:rPr>
          <w:rFonts w:ascii="宋体" w:hAnsi="宋体"/>
          <w:b/>
          <w:color w:val="auto"/>
          <w:sz w:val="24"/>
          <w:highlight w:val="none"/>
        </w:rPr>
        <w:fldChar w:fldCharType="separate"/>
      </w:r>
      <w:r>
        <w:rPr>
          <w:rFonts w:ascii="宋体" w:hAnsi="宋体"/>
          <w:b/>
          <w:color w:val="auto"/>
          <w:sz w:val="24"/>
          <w:highlight w:val="none"/>
        </w:rPr>
        <w:t>77</w:t>
      </w:r>
      <w:r>
        <w:rPr>
          <w:rFonts w:ascii="宋体" w:hAnsi="宋体"/>
          <w:b/>
          <w:color w:val="auto"/>
          <w:sz w:val="24"/>
          <w:highlight w:val="none"/>
        </w:rPr>
        <w:fldChar w:fldCharType="end"/>
      </w:r>
      <w:r>
        <w:rPr>
          <w:rFonts w:ascii="宋体" w:hAnsi="宋体"/>
          <w:b/>
          <w:color w:val="auto"/>
          <w:sz w:val="24"/>
          <w:highlight w:val="none"/>
        </w:rPr>
        <w:fldChar w:fldCharType="end"/>
      </w:r>
    </w:p>
    <w:p w14:paraId="17E43A84">
      <w:pPr>
        <w:pStyle w:val="18"/>
        <w:tabs>
          <w:tab w:val="right" w:leader="dot" w:pos="8931"/>
          <w:tab w:val="clear" w:pos="8296"/>
        </w:tabs>
        <w:snapToGrid w:val="0"/>
        <w:spacing w:line="500" w:lineRule="atLeast"/>
        <w:ind w:left="0" w:leftChars="0"/>
        <w:rPr>
          <w:rFonts w:hint="eastAsia" w:ascii="宋体" w:hAnsi="宋体"/>
          <w:b/>
          <w:color w:val="auto"/>
          <w:sz w:val="24"/>
          <w:highlight w:val="none"/>
        </w:rPr>
      </w:pPr>
      <w:r>
        <w:rPr>
          <w:rFonts w:ascii="宋体" w:hAnsi="宋体"/>
          <w:b/>
          <w:color w:val="auto"/>
          <w:sz w:val="24"/>
          <w:highlight w:val="none"/>
        </w:rPr>
        <w:fldChar w:fldCharType="end"/>
      </w:r>
    </w:p>
    <w:p w14:paraId="29A58E54">
      <w:pPr>
        <w:spacing w:line="400" w:lineRule="exact"/>
        <w:jc w:val="left"/>
        <w:rPr>
          <w:rFonts w:hint="eastAsia" w:ascii="宋体" w:hAnsi="宋体"/>
          <w:b/>
          <w:color w:val="auto"/>
          <w:sz w:val="32"/>
          <w:szCs w:val="32"/>
          <w:highlight w:val="none"/>
        </w:rPr>
      </w:pPr>
    </w:p>
    <w:p w14:paraId="4F520515">
      <w:pPr>
        <w:spacing w:line="400" w:lineRule="exact"/>
        <w:jc w:val="center"/>
        <w:rPr>
          <w:rFonts w:hint="eastAsia" w:ascii="宋体" w:hAnsi="宋体"/>
          <w:b/>
          <w:color w:val="auto"/>
          <w:sz w:val="32"/>
          <w:szCs w:val="32"/>
          <w:highlight w:val="none"/>
        </w:rPr>
      </w:pPr>
    </w:p>
    <w:p w14:paraId="1899C4EF">
      <w:pPr>
        <w:spacing w:line="400" w:lineRule="exact"/>
        <w:jc w:val="center"/>
        <w:rPr>
          <w:rFonts w:hint="eastAsia" w:ascii="宋体" w:hAnsi="宋体"/>
          <w:b/>
          <w:color w:val="auto"/>
          <w:sz w:val="32"/>
          <w:szCs w:val="32"/>
          <w:highlight w:val="none"/>
        </w:rPr>
      </w:pPr>
    </w:p>
    <w:p w14:paraId="5E24B12E">
      <w:pPr>
        <w:spacing w:line="400" w:lineRule="exact"/>
        <w:jc w:val="center"/>
        <w:rPr>
          <w:rFonts w:hint="eastAsia" w:ascii="宋体" w:hAnsi="宋体"/>
          <w:b/>
          <w:color w:val="auto"/>
          <w:sz w:val="32"/>
          <w:szCs w:val="32"/>
          <w:highlight w:val="none"/>
        </w:rPr>
      </w:pPr>
    </w:p>
    <w:p w14:paraId="40AE1FEE">
      <w:pPr>
        <w:spacing w:line="400" w:lineRule="exact"/>
        <w:jc w:val="center"/>
        <w:rPr>
          <w:rFonts w:hint="eastAsia" w:ascii="宋体" w:hAnsi="宋体"/>
          <w:b/>
          <w:color w:val="auto"/>
          <w:sz w:val="32"/>
          <w:szCs w:val="32"/>
          <w:highlight w:val="none"/>
        </w:rPr>
      </w:pPr>
    </w:p>
    <w:p w14:paraId="730BCEB7">
      <w:pPr>
        <w:spacing w:line="400" w:lineRule="exact"/>
        <w:rPr>
          <w:rFonts w:hint="eastAsia" w:ascii="宋体" w:hAnsi="宋体"/>
          <w:b/>
          <w:color w:val="auto"/>
          <w:sz w:val="32"/>
          <w:szCs w:val="32"/>
          <w:highlight w:val="none"/>
        </w:rPr>
        <w:sectPr>
          <w:headerReference r:id="rId3" w:type="default"/>
          <w:footerReference r:id="rId4" w:type="default"/>
          <w:pgSz w:w="11906" w:h="16838"/>
          <w:pgMar w:top="1440" w:right="1440" w:bottom="1440" w:left="1587" w:header="851" w:footer="992" w:gutter="0"/>
          <w:pgNumType w:start="0"/>
          <w:cols w:space="720" w:num="1"/>
          <w:titlePg/>
          <w:docGrid w:type="lines" w:linePitch="312" w:charSpace="0"/>
        </w:sectPr>
      </w:pPr>
    </w:p>
    <w:p w14:paraId="270639D8">
      <w:pPr>
        <w:pStyle w:val="2"/>
        <w:spacing w:after="100" w:line="480" w:lineRule="auto"/>
        <w:jc w:val="center"/>
        <w:rPr>
          <w:color w:val="auto"/>
          <w:highlight w:val="none"/>
        </w:rPr>
      </w:pPr>
      <w:bookmarkStart w:id="7" w:name="_Toc74322008"/>
      <w:r>
        <w:rPr>
          <w:rFonts w:hint="eastAsia"/>
          <w:color w:val="auto"/>
          <w:highlight w:val="none"/>
        </w:rPr>
        <w:t>第一章 竞争性谈判公告</w:t>
      </w:r>
      <w:bookmarkEnd w:id="7"/>
    </w:p>
    <w:p w14:paraId="34E5D495">
      <w:pPr>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竞争性谈判公告</w:t>
      </w:r>
    </w:p>
    <w:p w14:paraId="70192C0C">
      <w:pPr>
        <w:pBdr>
          <w:top w:val="single" w:color="auto" w:sz="4" w:space="1"/>
          <w:left w:val="single" w:color="auto" w:sz="4" w:space="4"/>
          <w:bottom w:val="single" w:color="auto" w:sz="4" w:space="1"/>
          <w:right w:val="single" w:color="auto" w:sz="4" w:space="4"/>
        </w:pBdr>
        <w:spacing w:line="400" w:lineRule="exact"/>
        <w:ind w:firstLine="420" w:firstLineChars="200"/>
        <w:rPr>
          <w:rFonts w:hint="eastAsia" w:ascii="宋体" w:hAnsi="宋体"/>
          <w:color w:val="auto"/>
          <w:szCs w:val="21"/>
          <w:highlight w:val="none"/>
        </w:rPr>
      </w:pPr>
      <w:bookmarkStart w:id="8" w:name="_Hlk37430271"/>
      <w:r>
        <w:rPr>
          <w:rFonts w:hint="eastAsia" w:ascii="宋体" w:hAnsi="宋体"/>
          <w:color w:val="auto"/>
          <w:szCs w:val="21"/>
          <w:highlight w:val="none"/>
        </w:rPr>
        <w:t>项目概况</w:t>
      </w:r>
    </w:p>
    <w:p w14:paraId="10BBB2FC">
      <w:pPr>
        <w:pBdr>
          <w:top w:val="single" w:color="auto" w:sz="4" w:space="1"/>
          <w:left w:val="single" w:color="auto" w:sz="4" w:space="4"/>
          <w:bottom w:val="single" w:color="auto" w:sz="4" w:space="1"/>
          <w:right w:val="single" w:color="auto" w:sz="4" w:space="4"/>
        </w:pBd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广西大江大河水文监测系统建设工程(2021-2025年)梧州部分-设备采购</w:t>
      </w:r>
      <w:r>
        <w:rPr>
          <w:rFonts w:hint="eastAsia" w:ascii="宋体" w:hAnsi="宋体"/>
          <w:color w:val="auto"/>
          <w:szCs w:val="21"/>
          <w:highlight w:val="none"/>
        </w:rPr>
        <w:t>采购项目的潜在供应商应在广西政府采购云平台（https://www.gcy.zfcg.gxzf.gov.cn/）获取（下载）竞争性谈判文件，并于</w:t>
      </w:r>
      <w:r>
        <w:rPr>
          <w:rFonts w:hint="eastAsia" w:ascii="宋体" w:hAnsi="宋体"/>
          <w:color w:val="auto"/>
          <w:szCs w:val="21"/>
          <w:highlight w:val="none"/>
          <w:u w:val="single"/>
        </w:rPr>
        <w:t>2025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ascii="宋体" w:hAnsi="宋体"/>
          <w:bCs/>
          <w:color w:val="auto"/>
          <w:szCs w:val="21"/>
          <w:highlight w:val="none"/>
        </w:rPr>
        <w:t>文件</w:t>
      </w:r>
      <w:r>
        <w:rPr>
          <w:rFonts w:hint="eastAsia" w:ascii="宋体" w:hAnsi="宋体"/>
          <w:color w:val="auto"/>
          <w:szCs w:val="21"/>
          <w:highlight w:val="none"/>
        </w:rPr>
        <w:t>。</w:t>
      </w:r>
    </w:p>
    <w:p w14:paraId="0BCE334F">
      <w:pPr>
        <w:spacing w:line="400" w:lineRule="exact"/>
        <w:ind w:firstLine="360" w:firstLineChars="150"/>
        <w:rPr>
          <w:rFonts w:hint="eastAsia" w:ascii="黑体" w:hAnsi="黑体" w:eastAsia="黑体"/>
          <w:color w:val="auto"/>
          <w:sz w:val="24"/>
          <w:highlight w:val="none"/>
        </w:rPr>
      </w:pPr>
      <w:bookmarkStart w:id="9" w:name="_Toc71366040"/>
      <w:bookmarkStart w:id="10" w:name="_Toc35393629"/>
      <w:bookmarkStart w:id="11" w:name="_Toc28359089"/>
      <w:bookmarkStart w:id="12" w:name="_Toc28359012"/>
      <w:bookmarkStart w:id="13" w:name="_Toc35393798"/>
      <w:bookmarkStart w:id="14" w:name="_Toc71365362"/>
      <w:r>
        <w:rPr>
          <w:rFonts w:hint="eastAsia" w:ascii="黑体" w:hAnsi="黑体" w:eastAsia="黑体"/>
          <w:color w:val="auto"/>
          <w:sz w:val="24"/>
          <w:highlight w:val="none"/>
        </w:rPr>
        <w:t>一、项目基本情况</w:t>
      </w:r>
      <w:bookmarkEnd w:id="9"/>
      <w:bookmarkEnd w:id="10"/>
      <w:bookmarkEnd w:id="11"/>
      <w:bookmarkEnd w:id="12"/>
      <w:bookmarkEnd w:id="13"/>
      <w:bookmarkEnd w:id="14"/>
    </w:p>
    <w:p w14:paraId="0093154D">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GXZC2025-J1-002553-YZLZ</w:t>
      </w:r>
    </w:p>
    <w:p w14:paraId="25A4D5E9">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项目名称：广西大江大河水文监测系统建设工程(2021-2025年)梧州部分-设备采购</w:t>
      </w:r>
    </w:p>
    <w:p w14:paraId="3FAF023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采购方式：竞争性谈判</w:t>
      </w:r>
    </w:p>
    <w:p w14:paraId="37F4002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预算金额：2102700.00元</w:t>
      </w:r>
    </w:p>
    <w:p w14:paraId="26B5F0E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最高限价（如有）：2102700.00元</w:t>
      </w:r>
    </w:p>
    <w:p w14:paraId="2CE835A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
        <w:gridCol w:w="1376"/>
        <w:gridCol w:w="930"/>
        <w:gridCol w:w="5630"/>
      </w:tblGrid>
      <w:tr w14:paraId="6F42E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vAlign w:val="center"/>
          </w:tcPr>
          <w:p w14:paraId="635FDA34">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1</w:t>
            </w:r>
            <w:r>
              <w:rPr>
                <w:rFonts w:ascii="宋体" w:hAnsi="宋体"/>
                <w:color w:val="auto"/>
                <w:szCs w:val="21"/>
                <w:highlight w:val="none"/>
                <w:u w:val="single"/>
              </w:rPr>
              <w:t xml:space="preserve"> </w:t>
            </w:r>
            <w:r>
              <w:rPr>
                <w:rFonts w:hint="eastAsia" w:ascii="宋体" w:hAnsi="宋体"/>
                <w:color w:val="auto"/>
                <w:szCs w:val="21"/>
                <w:highlight w:val="none"/>
              </w:rPr>
              <w:t>分标；预算金额：2102700.00元</w:t>
            </w:r>
          </w:p>
        </w:tc>
      </w:tr>
      <w:tr w14:paraId="4198D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vAlign w:val="center"/>
          </w:tcPr>
          <w:p w14:paraId="7542726D">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376" w:type="dxa"/>
            <w:tcBorders>
              <w:top w:val="single" w:color="auto" w:sz="4" w:space="0"/>
              <w:left w:val="single" w:color="auto" w:sz="4" w:space="0"/>
              <w:bottom w:val="single" w:color="auto" w:sz="4" w:space="0"/>
              <w:right w:val="single" w:color="auto" w:sz="4" w:space="0"/>
            </w:tcBorders>
            <w:vAlign w:val="center"/>
          </w:tcPr>
          <w:p w14:paraId="112CB71D">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标的的名称</w:t>
            </w:r>
          </w:p>
        </w:tc>
        <w:tc>
          <w:tcPr>
            <w:tcW w:w="930" w:type="dxa"/>
            <w:tcBorders>
              <w:top w:val="single" w:color="auto" w:sz="4" w:space="0"/>
              <w:left w:val="single" w:color="auto" w:sz="4" w:space="0"/>
              <w:bottom w:val="single" w:color="auto" w:sz="4" w:space="0"/>
              <w:right w:val="single" w:color="auto" w:sz="4" w:space="0"/>
            </w:tcBorders>
            <w:vAlign w:val="center"/>
          </w:tcPr>
          <w:p w14:paraId="7B797C38">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数量及</w:t>
            </w:r>
          </w:p>
          <w:p w14:paraId="7E9F6262">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单位</w:t>
            </w:r>
          </w:p>
        </w:tc>
        <w:tc>
          <w:tcPr>
            <w:tcW w:w="5630" w:type="dxa"/>
            <w:tcBorders>
              <w:top w:val="single" w:color="auto" w:sz="4" w:space="0"/>
              <w:left w:val="single" w:color="auto" w:sz="4" w:space="0"/>
              <w:bottom w:val="single" w:color="auto" w:sz="4" w:space="0"/>
              <w:right w:val="single" w:color="auto" w:sz="4" w:space="0"/>
            </w:tcBorders>
            <w:vAlign w:val="center"/>
          </w:tcPr>
          <w:p w14:paraId="438E3520">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简要技术需求或者服务要求</w:t>
            </w:r>
          </w:p>
        </w:tc>
      </w:tr>
      <w:tr w14:paraId="40911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vAlign w:val="center"/>
          </w:tcPr>
          <w:p w14:paraId="1FD44BAA">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01</w:t>
            </w:r>
          </w:p>
        </w:tc>
        <w:tc>
          <w:tcPr>
            <w:tcW w:w="1376" w:type="dxa"/>
            <w:tcBorders>
              <w:top w:val="single" w:color="auto" w:sz="4" w:space="0"/>
              <w:left w:val="single" w:color="auto" w:sz="4" w:space="0"/>
              <w:bottom w:val="single" w:color="auto" w:sz="4" w:space="0"/>
              <w:right w:val="single" w:color="auto" w:sz="4" w:space="0"/>
            </w:tcBorders>
            <w:vAlign w:val="center"/>
          </w:tcPr>
          <w:p w14:paraId="2E678E8D">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智能一体化遥测终端</w:t>
            </w:r>
          </w:p>
        </w:tc>
        <w:tc>
          <w:tcPr>
            <w:tcW w:w="930" w:type="dxa"/>
            <w:tcBorders>
              <w:top w:val="single" w:color="auto" w:sz="4" w:space="0"/>
              <w:left w:val="single" w:color="auto" w:sz="4" w:space="0"/>
              <w:bottom w:val="single" w:color="auto" w:sz="4" w:space="0"/>
              <w:right w:val="single" w:color="auto" w:sz="4" w:space="0"/>
            </w:tcBorders>
            <w:vAlign w:val="center"/>
          </w:tcPr>
          <w:p w14:paraId="55D4903D">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2台</w:t>
            </w:r>
          </w:p>
        </w:tc>
        <w:tc>
          <w:tcPr>
            <w:tcW w:w="5630" w:type="dxa"/>
            <w:tcBorders>
              <w:top w:val="single" w:color="auto" w:sz="4" w:space="0"/>
              <w:left w:val="single" w:color="auto" w:sz="4" w:space="0"/>
              <w:bottom w:val="single" w:color="auto" w:sz="4" w:space="0"/>
              <w:right w:val="single" w:color="auto" w:sz="4" w:space="0"/>
            </w:tcBorders>
            <w:vAlign w:val="center"/>
          </w:tcPr>
          <w:p w14:paraId="56AE45E8">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功能：将水文测站的水位、流量、降水量等水文要素统一汇聚至智能一体化遥测终端，由智能一体化遥测终端将各水文测站信息统一发送至水文分中心；</w:t>
            </w:r>
          </w:p>
          <w:p w14:paraId="76BCB5A3">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具体详见附件：采购需求。</w:t>
            </w:r>
          </w:p>
        </w:tc>
      </w:tr>
      <w:tr w14:paraId="37313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vAlign w:val="center"/>
          </w:tcPr>
          <w:p w14:paraId="1A52EBC7">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02</w:t>
            </w:r>
          </w:p>
        </w:tc>
        <w:tc>
          <w:tcPr>
            <w:tcW w:w="1376" w:type="dxa"/>
            <w:tcBorders>
              <w:top w:val="single" w:color="auto" w:sz="4" w:space="0"/>
              <w:left w:val="single" w:color="auto" w:sz="4" w:space="0"/>
              <w:bottom w:val="single" w:color="auto" w:sz="4" w:space="0"/>
              <w:right w:val="single" w:color="auto" w:sz="4" w:space="0"/>
            </w:tcBorders>
            <w:vAlign w:val="center"/>
          </w:tcPr>
          <w:p w14:paraId="7A2C00B7">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发电机</w:t>
            </w:r>
          </w:p>
        </w:tc>
        <w:tc>
          <w:tcPr>
            <w:tcW w:w="930" w:type="dxa"/>
            <w:tcBorders>
              <w:top w:val="single" w:color="auto" w:sz="4" w:space="0"/>
              <w:left w:val="single" w:color="auto" w:sz="4" w:space="0"/>
              <w:bottom w:val="single" w:color="auto" w:sz="4" w:space="0"/>
              <w:right w:val="single" w:color="auto" w:sz="4" w:space="0"/>
            </w:tcBorders>
            <w:vAlign w:val="center"/>
          </w:tcPr>
          <w:p w14:paraId="05245B01">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none"/>
              </w:rPr>
              <w:t>台</w:t>
            </w:r>
          </w:p>
        </w:tc>
        <w:tc>
          <w:tcPr>
            <w:tcW w:w="5630" w:type="dxa"/>
            <w:tcBorders>
              <w:top w:val="single" w:color="auto" w:sz="4" w:space="0"/>
              <w:left w:val="single" w:color="auto" w:sz="4" w:space="0"/>
              <w:bottom w:val="single" w:color="auto" w:sz="4" w:space="0"/>
              <w:right w:val="single" w:color="auto" w:sz="4" w:space="0"/>
            </w:tcBorders>
            <w:vAlign w:val="center"/>
          </w:tcPr>
          <w:p w14:paraId="5EC3E5D7">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发电机（柴油）额定功率：10</w:t>
            </w:r>
            <w:r>
              <w:rPr>
                <w:rFonts w:hint="eastAsia" w:ascii="宋体" w:hAnsi="宋体"/>
                <w:color w:val="auto"/>
                <w:szCs w:val="21"/>
                <w:highlight w:val="none"/>
              </w:rPr>
              <w:t>kW</w:t>
            </w:r>
            <w:r>
              <w:rPr>
                <w:rFonts w:ascii="宋体" w:hAnsi="宋体"/>
                <w:color w:val="auto"/>
                <w:szCs w:val="21"/>
                <w:highlight w:val="none"/>
              </w:rPr>
              <w:t>；</w:t>
            </w:r>
          </w:p>
          <w:p w14:paraId="1C5556F4">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额定电压：220v单项/380v三相；</w:t>
            </w:r>
          </w:p>
          <w:p w14:paraId="10F58D0F">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具体详见附件：采购需求。</w:t>
            </w:r>
          </w:p>
        </w:tc>
      </w:tr>
      <w:tr w14:paraId="00DFF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vAlign w:val="center"/>
          </w:tcPr>
          <w:p w14:paraId="76324076">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......更多标的内容详见附件：采购需求。</w:t>
            </w:r>
          </w:p>
        </w:tc>
      </w:tr>
    </w:tbl>
    <w:p w14:paraId="2A986F37">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合同履行期限：自合同签订之日起300个日历日内完成交货并安装调试完毕。</w:t>
      </w:r>
    </w:p>
    <w:p w14:paraId="34EF5AD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t>否</w:t>
      </w:r>
      <w:r>
        <w:rPr>
          <w:rFonts w:hint="eastAsia" w:ascii="宋体" w:hAnsi="宋体"/>
          <w:color w:val="auto"/>
          <w:szCs w:val="21"/>
          <w:highlight w:val="none"/>
        </w:rPr>
        <w:t>）接受联合体。</w:t>
      </w:r>
    </w:p>
    <w:p w14:paraId="5D7D9302">
      <w:pPr>
        <w:spacing w:line="400" w:lineRule="exact"/>
        <w:ind w:firstLine="480" w:firstLineChars="200"/>
        <w:rPr>
          <w:rFonts w:hint="eastAsia" w:ascii="黑体" w:hAnsi="黑体" w:eastAsia="黑体"/>
          <w:color w:val="auto"/>
          <w:sz w:val="24"/>
          <w:highlight w:val="none"/>
        </w:rPr>
      </w:pPr>
      <w:bookmarkStart w:id="15" w:name="_Toc71366041"/>
      <w:bookmarkStart w:id="16" w:name="_Toc71365363"/>
      <w:bookmarkStart w:id="17" w:name="_Toc35393630"/>
      <w:bookmarkStart w:id="18" w:name="_Toc35393799"/>
      <w:bookmarkStart w:id="19" w:name="_Toc28359090"/>
      <w:bookmarkStart w:id="20" w:name="_Toc28359013"/>
      <w:r>
        <w:rPr>
          <w:rFonts w:hint="eastAsia" w:ascii="黑体" w:hAnsi="黑体" w:eastAsia="黑体"/>
          <w:color w:val="auto"/>
          <w:sz w:val="24"/>
          <w:highlight w:val="none"/>
        </w:rPr>
        <w:t>二、供应商的资格条件：</w:t>
      </w:r>
      <w:bookmarkEnd w:id="15"/>
      <w:bookmarkEnd w:id="16"/>
      <w:bookmarkEnd w:id="17"/>
      <w:bookmarkEnd w:id="18"/>
      <w:bookmarkEnd w:id="19"/>
      <w:bookmarkEnd w:id="20"/>
    </w:p>
    <w:p w14:paraId="357D9732">
      <w:pPr>
        <w:spacing w:line="400" w:lineRule="exact"/>
        <w:ind w:firstLine="420" w:firstLineChars="200"/>
        <w:rPr>
          <w:rFonts w:hint="eastAsia" w:ascii="宋体" w:hAnsi="宋体" w:cs="宋体"/>
          <w:color w:val="auto"/>
          <w:kern w:val="0"/>
          <w:szCs w:val="21"/>
          <w:highlight w:val="none"/>
        </w:rPr>
      </w:pPr>
      <w:bookmarkStart w:id="21" w:name="_Toc28359091"/>
      <w:bookmarkStart w:id="22" w:name="_Toc28359014"/>
      <w:r>
        <w:rPr>
          <w:rFonts w:hint="eastAsia" w:ascii="宋体" w:hAnsi="宋体" w:cs="宋体"/>
          <w:color w:val="auto"/>
          <w:kern w:val="0"/>
          <w:szCs w:val="21"/>
          <w:highlight w:val="none"/>
        </w:rPr>
        <w:t>1.满足《中华人民共和国政府采购法》第二十二条规定；</w:t>
      </w:r>
    </w:p>
    <w:p w14:paraId="337D1687">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2.落实政府采购政策需满足的资格要求：本项目落实促进中小企业发展预留采购份额措施，预留本项目预算总额的</w:t>
      </w:r>
      <w:r>
        <w:rPr>
          <w:rFonts w:hint="eastAsia" w:ascii="宋体" w:hAnsi="宋体" w:cs="宋体"/>
          <w:color w:val="auto"/>
          <w:kern w:val="0"/>
          <w:szCs w:val="21"/>
          <w:highlight w:val="none"/>
          <w:lang w:val="en-US" w:eastAsia="zh-CN"/>
        </w:rPr>
        <w:t>79.31</w:t>
      </w:r>
      <w:r>
        <w:rPr>
          <w:rFonts w:hint="eastAsia" w:ascii="宋体" w:hAnsi="宋体" w:cs="宋体"/>
          <w:color w:val="auto"/>
          <w:kern w:val="0"/>
          <w:szCs w:val="21"/>
          <w:highlight w:val="none"/>
        </w:rPr>
        <w:t>%以上专门面向中小企业采购。</w:t>
      </w:r>
    </w:p>
    <w:p w14:paraId="2368548B">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3.本项目的特定资格要求：无。</w:t>
      </w:r>
    </w:p>
    <w:p w14:paraId="74802BE3">
      <w:pPr>
        <w:spacing w:line="400" w:lineRule="exact"/>
        <w:ind w:firstLine="480" w:firstLineChars="200"/>
        <w:rPr>
          <w:rFonts w:hint="eastAsia" w:ascii="黑体" w:hAnsi="黑体" w:eastAsia="黑体"/>
          <w:color w:val="auto"/>
          <w:sz w:val="24"/>
          <w:highlight w:val="none"/>
        </w:rPr>
      </w:pPr>
      <w:bookmarkStart w:id="23" w:name="_Toc71365364"/>
      <w:bookmarkStart w:id="24" w:name="_Toc35393800"/>
      <w:bookmarkStart w:id="25" w:name="_Toc35393631"/>
      <w:bookmarkStart w:id="26" w:name="_Toc71366042"/>
      <w:r>
        <w:rPr>
          <w:rFonts w:hint="eastAsia" w:ascii="黑体" w:hAnsi="黑体" w:eastAsia="黑体"/>
          <w:color w:val="auto"/>
          <w:sz w:val="24"/>
          <w:highlight w:val="none"/>
        </w:rPr>
        <w:t>三、获取竞争性谈判文件</w:t>
      </w:r>
      <w:bookmarkEnd w:id="21"/>
      <w:bookmarkEnd w:id="22"/>
      <w:bookmarkEnd w:id="23"/>
      <w:bookmarkEnd w:id="24"/>
      <w:bookmarkEnd w:id="25"/>
      <w:bookmarkEnd w:id="26"/>
    </w:p>
    <w:p w14:paraId="7420AA08">
      <w:pPr>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时间：2025年8月</w:t>
      </w:r>
      <w:r>
        <w:rPr>
          <w:rFonts w:hint="eastAsia" w:ascii="宋体" w:hAnsi="宋体" w:cs="宋体"/>
          <w:bCs/>
          <w:color w:val="auto"/>
          <w:kern w:val="0"/>
          <w:szCs w:val="21"/>
          <w:highlight w:val="none"/>
          <w:lang w:val="en-US" w:eastAsia="zh-CN"/>
        </w:rPr>
        <w:t>27</w:t>
      </w:r>
      <w:r>
        <w:rPr>
          <w:rFonts w:hint="eastAsia" w:ascii="宋体" w:hAnsi="宋体" w:cs="宋体"/>
          <w:bCs/>
          <w:color w:val="auto"/>
          <w:kern w:val="0"/>
          <w:szCs w:val="21"/>
          <w:highlight w:val="none"/>
        </w:rPr>
        <w:t>日至2025年</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日，每天上午8:00至12:00，下午3:00至6:00（北京时间）</w:t>
      </w:r>
    </w:p>
    <w:p w14:paraId="2427FDCD">
      <w:pPr>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2D4075EB">
      <w:pPr>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谈判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制作需要基于广西政府采购云平台获取的谈判文件编制，</w:t>
      </w:r>
      <w:r>
        <w:rPr>
          <w:rFonts w:hint="eastAsia" w:ascii="宋体" w:hAnsi="宋体" w:cs="宋体"/>
          <w:bCs/>
          <w:color w:val="auto"/>
          <w:kern w:val="0"/>
          <w:szCs w:val="21"/>
          <w:highlight w:val="none"/>
        </w:rPr>
        <w:t>通过其他方式获取谈判文件的，将有可能导致供应商无法在广西政府采购云平台编制及上传响应文件。</w:t>
      </w:r>
    </w:p>
    <w:p w14:paraId="1CF8870C">
      <w:pPr>
        <w:spacing w:line="400" w:lineRule="exact"/>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iCs/>
          <w:color w:val="auto"/>
          <w:szCs w:val="21"/>
          <w:highlight w:val="none"/>
          <w:u w:val="single"/>
        </w:rPr>
        <w:t>0</w:t>
      </w:r>
      <w:r>
        <w:rPr>
          <w:rFonts w:hint="eastAsia" w:ascii="宋体" w:hAnsi="宋体" w:cs="宋体"/>
          <w:color w:val="auto"/>
          <w:szCs w:val="21"/>
          <w:highlight w:val="none"/>
        </w:rPr>
        <w:t>元</w:t>
      </w:r>
    </w:p>
    <w:p w14:paraId="0561A690">
      <w:pPr>
        <w:spacing w:line="400" w:lineRule="exact"/>
        <w:ind w:firstLine="360" w:firstLineChars="150"/>
        <w:rPr>
          <w:rFonts w:hint="eastAsia" w:ascii="黑体" w:hAnsi="黑体" w:eastAsia="黑体"/>
          <w:color w:val="auto"/>
          <w:sz w:val="24"/>
          <w:highlight w:val="none"/>
        </w:rPr>
      </w:pPr>
      <w:bookmarkStart w:id="27" w:name="_Toc71365365"/>
      <w:bookmarkStart w:id="28" w:name="_Toc28359015"/>
      <w:bookmarkStart w:id="29" w:name="_Toc71366043"/>
      <w:bookmarkStart w:id="30" w:name="_Toc35393632"/>
      <w:bookmarkStart w:id="31" w:name="_Toc28359092"/>
      <w:bookmarkStart w:id="32" w:name="_Toc35393801"/>
      <w:r>
        <w:rPr>
          <w:rFonts w:hint="eastAsia" w:ascii="黑体" w:hAnsi="黑体" w:eastAsia="黑体"/>
          <w:color w:val="auto"/>
          <w:sz w:val="24"/>
          <w:highlight w:val="none"/>
        </w:rPr>
        <w:t>四、响应文件提交</w:t>
      </w:r>
      <w:bookmarkEnd w:id="27"/>
      <w:bookmarkEnd w:id="28"/>
      <w:bookmarkEnd w:id="29"/>
      <w:bookmarkEnd w:id="30"/>
      <w:bookmarkEnd w:id="31"/>
      <w:bookmarkEnd w:id="32"/>
    </w:p>
    <w:p w14:paraId="0E3F9591">
      <w:pPr>
        <w:spacing w:line="400" w:lineRule="exact"/>
        <w:ind w:firstLine="420" w:firstLineChars="200"/>
        <w:rPr>
          <w:rFonts w:hint="eastAsia" w:ascii="宋体" w:hAnsi="宋体"/>
          <w:bCs/>
          <w:color w:val="auto"/>
          <w:szCs w:val="21"/>
          <w:highlight w:val="none"/>
          <w:u w:val="single"/>
        </w:rPr>
      </w:pPr>
      <w:r>
        <w:rPr>
          <w:rFonts w:hint="eastAsia" w:ascii="宋体" w:hAnsi="宋体"/>
          <w:color w:val="auto"/>
          <w:szCs w:val="21"/>
          <w:highlight w:val="none"/>
        </w:rPr>
        <w:t>截止时间：</w:t>
      </w:r>
      <w:r>
        <w:rPr>
          <w:rFonts w:hint="eastAsia" w:ascii="宋体" w:hAnsi="宋体"/>
          <w:bCs/>
          <w:color w:val="auto"/>
          <w:szCs w:val="21"/>
          <w:highlight w:val="none"/>
          <w:u w:val="single"/>
        </w:rPr>
        <w:t>2025年</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9:30</w:t>
      </w:r>
      <w:r>
        <w:rPr>
          <w:rFonts w:hint="eastAsia" w:ascii="宋体" w:hAnsi="宋体"/>
          <w:bCs/>
          <w:color w:val="auto"/>
          <w:szCs w:val="21"/>
          <w:highlight w:val="none"/>
        </w:rPr>
        <w:t>（北京时间，法定节假日除外）</w:t>
      </w:r>
    </w:p>
    <w:p w14:paraId="38599872">
      <w:pPr>
        <w:spacing w:line="400" w:lineRule="exact"/>
        <w:ind w:left="422"/>
        <w:rPr>
          <w:rFonts w:hint="eastAsia" w:ascii="宋体" w:hAnsi="宋体"/>
          <w:bCs/>
          <w:color w:val="auto"/>
          <w:szCs w:val="21"/>
          <w:highlight w:val="none"/>
          <w:u w:val="single"/>
        </w:rPr>
      </w:pPr>
      <w:r>
        <w:rPr>
          <w:rFonts w:hint="eastAsia" w:ascii="宋体" w:hAnsi="宋体"/>
          <w:color w:val="auto"/>
          <w:szCs w:val="21"/>
          <w:highlight w:val="none"/>
        </w:rPr>
        <w:t>地点：广西政府采购云平台（https://www.gcy.zfcg.gxzf.gov.cn/）</w:t>
      </w:r>
    </w:p>
    <w:p w14:paraId="603A0CCD">
      <w:pPr>
        <w:spacing w:line="400" w:lineRule="exact"/>
        <w:ind w:firstLine="360" w:firstLineChars="150"/>
        <w:rPr>
          <w:rFonts w:hint="eastAsia" w:ascii="黑体" w:hAnsi="黑体" w:eastAsia="黑体"/>
          <w:color w:val="auto"/>
          <w:sz w:val="24"/>
          <w:highlight w:val="none"/>
        </w:rPr>
      </w:pPr>
      <w:bookmarkStart w:id="33" w:name="_Toc28359016"/>
      <w:bookmarkStart w:id="34" w:name="_Toc28359093"/>
      <w:bookmarkStart w:id="35" w:name="_Toc35393802"/>
      <w:bookmarkStart w:id="36" w:name="_Toc35393633"/>
      <w:bookmarkStart w:id="37" w:name="_Toc71365366"/>
      <w:bookmarkStart w:id="38" w:name="_Toc71366044"/>
      <w:r>
        <w:rPr>
          <w:rFonts w:hint="eastAsia" w:ascii="黑体" w:hAnsi="黑体" w:eastAsia="黑体"/>
          <w:color w:val="auto"/>
          <w:sz w:val="24"/>
          <w:highlight w:val="none"/>
        </w:rPr>
        <w:t>五、开启</w:t>
      </w:r>
      <w:bookmarkEnd w:id="33"/>
      <w:bookmarkEnd w:id="34"/>
      <w:bookmarkEnd w:id="35"/>
      <w:bookmarkEnd w:id="36"/>
      <w:bookmarkEnd w:id="37"/>
      <w:bookmarkEnd w:id="38"/>
    </w:p>
    <w:p w14:paraId="2E0A07F0">
      <w:pPr>
        <w:spacing w:line="400" w:lineRule="exact"/>
        <w:ind w:firstLine="420" w:firstLineChars="200"/>
        <w:rPr>
          <w:rFonts w:hint="eastAsia" w:ascii="宋体" w:hAnsi="宋体"/>
          <w:bCs/>
          <w:color w:val="auto"/>
          <w:szCs w:val="21"/>
          <w:highlight w:val="none"/>
          <w:u w:val="single"/>
        </w:rPr>
      </w:pPr>
      <w:r>
        <w:rPr>
          <w:rFonts w:hint="eastAsia" w:ascii="宋体" w:hAnsi="宋体"/>
          <w:color w:val="auto"/>
          <w:szCs w:val="21"/>
          <w:highlight w:val="none"/>
        </w:rPr>
        <w:t>时间：</w:t>
      </w:r>
      <w:r>
        <w:rPr>
          <w:rFonts w:hint="eastAsia" w:ascii="宋体" w:hAnsi="宋体"/>
          <w:color w:val="auto"/>
          <w:szCs w:val="21"/>
          <w:highlight w:val="none"/>
          <w:u w:val="single"/>
        </w:rPr>
        <w:t>2025年</w:t>
      </w:r>
      <w:r>
        <w:rPr>
          <w:rFonts w:hint="eastAsia" w:ascii="宋体" w:hAnsi="宋体"/>
          <w:color w:val="auto"/>
          <w:szCs w:val="21"/>
          <w:highlight w:val="none"/>
          <w:u w:val="single"/>
          <w:lang w:val="en-US" w:eastAsia="zh-CN"/>
        </w:rPr>
        <w:t>9</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9</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30</w:t>
      </w:r>
      <w:r>
        <w:rPr>
          <w:rFonts w:hint="eastAsia" w:ascii="宋体" w:hAnsi="宋体"/>
          <w:bCs/>
          <w:color w:val="auto"/>
          <w:szCs w:val="21"/>
          <w:highlight w:val="none"/>
          <w:u w:val="single"/>
        </w:rPr>
        <w:t>（北京时间）</w:t>
      </w:r>
    </w:p>
    <w:p w14:paraId="51DF5881">
      <w:pPr>
        <w:spacing w:line="400" w:lineRule="exact"/>
        <w:ind w:firstLine="420" w:firstLineChars="200"/>
        <w:rPr>
          <w:rFonts w:hint="eastAsia" w:ascii="宋体" w:hAnsi="宋体"/>
          <w:bCs/>
          <w:color w:val="auto"/>
          <w:szCs w:val="21"/>
          <w:highlight w:val="none"/>
          <w:u w:val="single"/>
        </w:rPr>
      </w:pPr>
      <w:r>
        <w:rPr>
          <w:rFonts w:hint="eastAsia" w:ascii="宋体" w:hAnsi="宋体"/>
          <w:color w:val="auto"/>
          <w:szCs w:val="21"/>
          <w:highlight w:val="none"/>
        </w:rPr>
        <w:t>地点：广西政府采购云平台（https://www.gcy.zfcg.gxzf.gov.cn/）</w:t>
      </w:r>
    </w:p>
    <w:p w14:paraId="0053304C">
      <w:pPr>
        <w:spacing w:line="400" w:lineRule="exact"/>
        <w:ind w:firstLine="360" w:firstLineChars="150"/>
        <w:rPr>
          <w:rFonts w:hint="eastAsia" w:ascii="黑体" w:hAnsi="黑体" w:eastAsia="黑体"/>
          <w:color w:val="auto"/>
          <w:sz w:val="24"/>
          <w:highlight w:val="none"/>
        </w:rPr>
      </w:pPr>
      <w:bookmarkStart w:id="39" w:name="_Toc71365367"/>
      <w:bookmarkStart w:id="40" w:name="_Toc35393803"/>
      <w:bookmarkStart w:id="41" w:name="_Toc28359017"/>
      <w:bookmarkStart w:id="42" w:name="_Toc28359094"/>
      <w:bookmarkStart w:id="43" w:name="_Toc71366045"/>
      <w:bookmarkStart w:id="44" w:name="_Toc35393634"/>
      <w:r>
        <w:rPr>
          <w:rFonts w:hint="eastAsia" w:ascii="黑体" w:hAnsi="黑体" w:eastAsia="黑体"/>
          <w:color w:val="auto"/>
          <w:sz w:val="24"/>
          <w:highlight w:val="none"/>
        </w:rPr>
        <w:t>六、公告期限</w:t>
      </w:r>
      <w:bookmarkEnd w:id="39"/>
      <w:bookmarkEnd w:id="40"/>
      <w:bookmarkEnd w:id="41"/>
      <w:bookmarkEnd w:id="42"/>
      <w:bookmarkEnd w:id="43"/>
      <w:bookmarkEnd w:id="44"/>
    </w:p>
    <w:p w14:paraId="12708883">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0231C636">
      <w:pPr>
        <w:spacing w:line="400" w:lineRule="exact"/>
        <w:ind w:firstLine="360" w:firstLineChars="150"/>
        <w:rPr>
          <w:rFonts w:hint="eastAsia" w:ascii="黑体" w:hAnsi="黑体" w:eastAsia="黑体"/>
          <w:color w:val="auto"/>
          <w:sz w:val="24"/>
          <w:highlight w:val="none"/>
        </w:rPr>
      </w:pPr>
      <w:bookmarkStart w:id="45" w:name="_Toc35393804"/>
      <w:bookmarkStart w:id="46" w:name="_Toc71366046"/>
      <w:bookmarkStart w:id="47" w:name="_Toc71365368"/>
      <w:bookmarkStart w:id="48" w:name="_Toc35393635"/>
      <w:r>
        <w:rPr>
          <w:rFonts w:hint="eastAsia" w:ascii="黑体" w:hAnsi="黑体" w:eastAsia="黑体"/>
          <w:color w:val="auto"/>
          <w:sz w:val="24"/>
          <w:highlight w:val="none"/>
        </w:rPr>
        <w:t>七、其他补充事宜</w:t>
      </w:r>
      <w:bookmarkEnd w:id="45"/>
      <w:bookmarkEnd w:id="46"/>
      <w:bookmarkEnd w:id="47"/>
      <w:bookmarkEnd w:id="48"/>
    </w:p>
    <w:p w14:paraId="4A8DC570">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3BDC3216">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www.ccgp.gov.cn（中国政府采购网）、zfcg.gxzf.gov.cn（广西壮族自治区政府采购网）</w:t>
      </w:r>
    </w:p>
    <w:p w14:paraId="097A553B">
      <w:pPr>
        <w:spacing w:line="400" w:lineRule="exact"/>
        <w:ind w:firstLine="424" w:firstLineChars="202"/>
        <w:rPr>
          <w:rFonts w:hint="eastAsia" w:ascii="宋体" w:hAnsi="宋体" w:cs="宋体"/>
          <w:color w:val="auto"/>
          <w:kern w:val="0"/>
          <w:szCs w:val="21"/>
          <w:highlight w:val="none"/>
        </w:rPr>
      </w:pPr>
      <w:bookmarkStart w:id="49" w:name="_Hlk37429674"/>
      <w:bookmarkStart w:id="50" w:name="_Toc35393805"/>
      <w:bookmarkStart w:id="51" w:name="_Toc71365369"/>
      <w:bookmarkStart w:id="52" w:name="_Toc71366047"/>
      <w:bookmarkStart w:id="53" w:name="_Toc35393636"/>
      <w:bookmarkStart w:id="54" w:name="_Toc28359095"/>
      <w:bookmarkStart w:id="55" w:name="_Toc28359018"/>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352466BE">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5086443D">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49F4C15C">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4DAAC129">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2AC11A76">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4D20EF2B">
      <w:pPr>
        <w:widowControl/>
        <w:spacing w:line="400" w:lineRule="exact"/>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03841759">
      <w:pPr>
        <w:widowControl/>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按照本项目竞争性谈判文件和广西政府采购云平台的要求编制、加密后在提交响应文件截止时间前通过网络上传至 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color w:val="auto"/>
          <w:highlight w:val="none"/>
        </w:rPr>
        <w:t>政府采购项目电子交易管理操作指南-供应商</w:t>
      </w:r>
      <w:r>
        <w:rPr>
          <w:rFonts w:hint="eastAsia" w:ascii="宋体" w:hAnsi="宋体"/>
          <w:color w:val="auto"/>
          <w:szCs w:val="21"/>
          <w:highlight w:val="none"/>
        </w:rPr>
        <w:t>”查看电子竞标具体操作流程。</w:t>
      </w:r>
    </w:p>
    <w:p w14:paraId="7D8052D2">
      <w:pPr>
        <w:widowControl/>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如在操作过程中遇到问题或者需要技术支持，请致电客服热线：95763或者0771-3381253</w:t>
      </w:r>
      <w:r>
        <w:rPr>
          <w:rFonts w:hint="eastAsia" w:ascii="宋体" w:hAnsi="宋体"/>
          <w:color w:val="auto"/>
          <w:szCs w:val="21"/>
          <w:highlight w:val="none"/>
        </w:rPr>
        <w:t>）。</w:t>
      </w:r>
    </w:p>
    <w:p w14:paraId="3EF649E9">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097E40CC">
      <w:pPr>
        <w:widowControl/>
        <w:spacing w:line="400" w:lineRule="exact"/>
        <w:ind w:firstLine="420" w:firstLineChars="200"/>
        <w:jc w:val="left"/>
        <w:rPr>
          <w:rFonts w:hint="eastAsia"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B887AB8">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（4）供应商需要在具备摄像头及语音功能且互联网网络状况良好的电脑登录广西政府采购云平台远程开标大厅参与本次谈判，否则后果自负。</w:t>
      </w:r>
    </w:p>
    <w:bookmarkEnd w:id="49"/>
    <w:p w14:paraId="4DD8CFEA">
      <w:pPr>
        <w:spacing w:line="400" w:lineRule="exact"/>
        <w:ind w:firstLine="360" w:firstLineChars="150"/>
        <w:rPr>
          <w:rFonts w:hint="eastAsia" w:ascii="黑体" w:hAnsi="黑体" w:eastAsia="黑体"/>
          <w:color w:val="auto"/>
          <w:sz w:val="24"/>
          <w:highlight w:val="none"/>
        </w:rPr>
      </w:pPr>
      <w:r>
        <w:rPr>
          <w:rFonts w:hint="eastAsia" w:ascii="黑体" w:hAnsi="黑体" w:eastAsia="黑体"/>
          <w:color w:val="auto"/>
          <w:sz w:val="24"/>
          <w:highlight w:val="none"/>
        </w:rPr>
        <w:t>八、凡对本次采购提出询问，请按</w:t>
      </w:r>
      <w:r>
        <w:rPr>
          <w:rFonts w:ascii="黑体" w:hAnsi="黑体" w:eastAsia="黑体"/>
          <w:color w:val="auto"/>
          <w:sz w:val="24"/>
          <w:highlight w:val="none"/>
        </w:rPr>
        <w:t>以下方式</w:t>
      </w:r>
      <w:r>
        <w:rPr>
          <w:rFonts w:hint="eastAsia" w:ascii="黑体" w:hAnsi="黑体" w:eastAsia="黑体"/>
          <w:color w:val="auto"/>
          <w:sz w:val="24"/>
          <w:highlight w:val="none"/>
        </w:rPr>
        <w:t>联系。</w:t>
      </w:r>
      <w:bookmarkEnd w:id="50"/>
      <w:bookmarkEnd w:id="51"/>
      <w:bookmarkEnd w:id="52"/>
      <w:bookmarkEnd w:id="53"/>
      <w:bookmarkEnd w:id="54"/>
      <w:bookmarkEnd w:id="55"/>
    </w:p>
    <w:p w14:paraId="11AD3381">
      <w:pPr>
        <w:spacing w:line="400" w:lineRule="exact"/>
        <w:ind w:firstLine="420" w:firstLineChars="200"/>
        <w:rPr>
          <w:rFonts w:hint="eastAsia" w:ascii="宋体" w:hAnsi="宋体" w:cs="宋体"/>
          <w:color w:val="auto"/>
          <w:kern w:val="0"/>
          <w:szCs w:val="21"/>
          <w:highlight w:val="none"/>
        </w:rPr>
      </w:pPr>
      <w:bookmarkStart w:id="56" w:name="_Toc35393806"/>
      <w:bookmarkStart w:id="57" w:name="_Toc28359096"/>
      <w:bookmarkStart w:id="58" w:name="_Toc28359019"/>
      <w:bookmarkStart w:id="59" w:name="_Toc35393637"/>
      <w:r>
        <w:rPr>
          <w:rFonts w:hint="eastAsia" w:ascii="宋体" w:hAnsi="宋体" w:cs="宋体"/>
          <w:color w:val="auto"/>
          <w:kern w:val="0"/>
          <w:szCs w:val="21"/>
          <w:highlight w:val="none"/>
        </w:rPr>
        <w:t>1.采购人信息</w:t>
      </w:r>
      <w:bookmarkEnd w:id="56"/>
      <w:bookmarkEnd w:id="57"/>
      <w:bookmarkEnd w:id="58"/>
      <w:bookmarkEnd w:id="59"/>
    </w:p>
    <w:p w14:paraId="3C9D9A21">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梧州水文中心</w:t>
      </w:r>
    </w:p>
    <w:p w14:paraId="052EBBA9">
      <w:pPr>
        <w:widowControl/>
        <w:spacing w:line="400" w:lineRule="exact"/>
        <w:ind w:firstLine="420" w:firstLineChars="200"/>
        <w:jc w:val="left"/>
        <w:rPr>
          <w:rFonts w:hint="eastAsia" w:ascii="宋体" w:hAnsi="宋体"/>
          <w:bCs/>
          <w:color w:val="auto"/>
          <w:szCs w:val="21"/>
          <w:highlight w:val="none"/>
          <w:u w:val="single"/>
        </w:rPr>
      </w:pPr>
      <w:bookmarkStart w:id="60" w:name="_Toc28359020"/>
      <w:bookmarkStart w:id="61" w:name="_Toc35393807"/>
      <w:bookmarkStart w:id="62" w:name="_Toc28359097"/>
      <w:bookmarkStart w:id="63" w:name="_Toc35393638"/>
      <w:r>
        <w:rPr>
          <w:rFonts w:hint="eastAsia" w:ascii="宋体" w:hAnsi="宋体"/>
          <w:bCs/>
          <w:color w:val="auto"/>
          <w:szCs w:val="21"/>
          <w:highlight w:val="none"/>
        </w:rPr>
        <w:t>地    址：</w:t>
      </w:r>
      <w:r>
        <w:rPr>
          <w:rFonts w:hint="eastAsia" w:ascii="宋体" w:hAnsi="宋体"/>
          <w:color w:val="auto"/>
          <w:highlight w:val="none"/>
          <w:u w:val="single"/>
        </w:rPr>
        <w:t>广西壮族自治区梧州市长洲区白垢路1号</w:t>
      </w:r>
    </w:p>
    <w:p w14:paraId="6CE1E36F">
      <w:pPr>
        <w:widowControl/>
        <w:spacing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联系方式：</w:t>
      </w:r>
      <w:r>
        <w:rPr>
          <w:rFonts w:hint="eastAsia" w:ascii="宋体" w:hAnsi="宋体"/>
          <w:color w:val="auto"/>
          <w:szCs w:val="21"/>
          <w:highlight w:val="none"/>
          <w:u w:val="single"/>
        </w:rPr>
        <w:t>覃克剑，0774-3844018</w:t>
      </w:r>
    </w:p>
    <w:p w14:paraId="30DF1D80">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2.采购代理机构信息</w:t>
      </w:r>
      <w:bookmarkEnd w:id="60"/>
      <w:bookmarkEnd w:id="61"/>
      <w:bookmarkEnd w:id="62"/>
      <w:bookmarkEnd w:id="63"/>
    </w:p>
    <w:p w14:paraId="7A7B7AD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云之龙咨询集团有限公司</w:t>
      </w:r>
    </w:p>
    <w:p w14:paraId="6E252F1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梧州市新兴三路30号神冠豪都B栋1单元1008号房</w:t>
      </w:r>
    </w:p>
    <w:p w14:paraId="238BCE23">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联系方式：</w:t>
      </w:r>
      <w:r>
        <w:rPr>
          <w:rFonts w:hint="eastAsia" w:ascii="宋体" w:hAnsi="宋体"/>
          <w:color w:val="auto"/>
          <w:szCs w:val="21"/>
          <w:highlight w:val="none"/>
          <w:u w:val="single"/>
        </w:rPr>
        <w:t>周子然、陈丽莹，0774-3859935</w:t>
      </w:r>
    </w:p>
    <w:p w14:paraId="456FCD49">
      <w:pPr>
        <w:spacing w:line="400" w:lineRule="exact"/>
        <w:ind w:firstLine="420" w:firstLineChars="200"/>
        <w:rPr>
          <w:rFonts w:hint="eastAsia" w:ascii="宋体" w:hAnsi="宋体" w:cs="宋体"/>
          <w:color w:val="auto"/>
          <w:kern w:val="0"/>
          <w:szCs w:val="21"/>
          <w:highlight w:val="none"/>
        </w:rPr>
      </w:pPr>
      <w:bookmarkStart w:id="64" w:name="_Toc35393808"/>
      <w:bookmarkStart w:id="65" w:name="_Toc28359098"/>
      <w:bookmarkStart w:id="66" w:name="_Toc28359021"/>
      <w:bookmarkStart w:id="67" w:name="_Toc35393639"/>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64"/>
      <w:bookmarkEnd w:id="65"/>
      <w:bookmarkEnd w:id="66"/>
      <w:bookmarkEnd w:id="67"/>
    </w:p>
    <w:p w14:paraId="6D2348AD">
      <w:pPr>
        <w:pStyle w:val="7"/>
        <w:spacing w:line="400" w:lineRule="exact"/>
        <w:ind w:firstLine="420" w:firstLineChars="200"/>
        <w:rPr>
          <w:rFonts w:hint="eastAsia" w:ascii="宋体" w:hAnsi="宋体"/>
          <w:color w:val="auto"/>
          <w:szCs w:val="21"/>
          <w:highlight w:val="none"/>
        </w:rPr>
      </w:pPr>
      <w:r>
        <w:rPr>
          <w:rFonts w:hint="eastAsia" w:hAnsi="宋体"/>
          <w:color w:val="auto"/>
          <w:highlight w:val="none"/>
        </w:rPr>
        <w:t>项目联系人：</w:t>
      </w:r>
      <w:r>
        <w:rPr>
          <w:rFonts w:hint="eastAsia" w:hAnsi="宋体"/>
          <w:color w:val="auto"/>
          <w:highlight w:val="none"/>
          <w:u w:val="single"/>
        </w:rPr>
        <w:t xml:space="preserve">周子然、陈丽莹  </w:t>
      </w:r>
      <w:r>
        <w:rPr>
          <w:rFonts w:hint="eastAsia" w:ascii="宋体" w:hAnsi="宋体"/>
          <w:color w:val="auto"/>
          <w:szCs w:val="21"/>
          <w:highlight w:val="none"/>
        </w:rPr>
        <w:t>电　　话：</w:t>
      </w:r>
      <w:r>
        <w:rPr>
          <w:rFonts w:hint="eastAsia" w:ascii="宋体" w:hAnsi="宋体"/>
          <w:color w:val="auto"/>
          <w:szCs w:val="21"/>
          <w:highlight w:val="none"/>
          <w:u w:val="single"/>
        </w:rPr>
        <w:t>0774-3859935</w:t>
      </w:r>
      <w:r>
        <w:rPr>
          <w:rFonts w:hint="eastAsia" w:ascii="宋体" w:hAnsi="宋体"/>
          <w:color w:val="auto"/>
          <w:szCs w:val="21"/>
          <w:highlight w:val="none"/>
        </w:rPr>
        <w:t xml:space="preserve"> </w:t>
      </w:r>
    </w:p>
    <w:p w14:paraId="7DA808E8">
      <w:pPr>
        <w:pStyle w:val="7"/>
        <w:spacing w:line="400" w:lineRule="exact"/>
        <w:ind w:firstLine="420" w:firstLineChars="200"/>
        <w:rPr>
          <w:color w:val="auto"/>
          <w:highlight w:val="none"/>
        </w:rPr>
      </w:pPr>
      <w:r>
        <w:rPr>
          <w:rFonts w:hint="eastAsia"/>
          <w:color w:val="auto"/>
          <w:highlight w:val="none"/>
        </w:rPr>
        <w:t>附件：采购需求</w:t>
      </w:r>
    </w:p>
    <w:bookmarkEnd w:id="8"/>
    <w:p w14:paraId="326ABA6C">
      <w:pPr>
        <w:pStyle w:val="2"/>
        <w:jc w:val="center"/>
        <w:rPr>
          <w:color w:val="auto"/>
          <w:highlight w:val="none"/>
        </w:rPr>
      </w:pPr>
      <w:bookmarkStart w:id="68" w:name="_Toc74322009"/>
      <w:r>
        <w:rPr>
          <w:rFonts w:hint="eastAsia"/>
          <w:color w:val="auto"/>
          <w:highlight w:val="none"/>
        </w:rPr>
        <w:br w:type="page"/>
      </w:r>
      <w:r>
        <w:rPr>
          <w:rFonts w:hint="eastAsia"/>
          <w:color w:val="auto"/>
          <w:highlight w:val="none"/>
        </w:rPr>
        <w:t>第二章 供应商须知</w:t>
      </w:r>
      <w:bookmarkEnd w:id="68"/>
    </w:p>
    <w:p w14:paraId="437E8ABD">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p w14:paraId="689D55C4">
      <w:pPr>
        <w:spacing w:line="400" w:lineRule="exact"/>
        <w:jc w:val="center"/>
        <w:rPr>
          <w:rFonts w:hint="eastAsia" w:ascii="宋体" w:hAnsi="宋体"/>
          <w:b/>
          <w:color w:val="auto"/>
          <w:sz w:val="32"/>
          <w:szCs w:val="32"/>
          <w:highlight w:val="none"/>
        </w:rPr>
      </w:pP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39FE2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76F029A0">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7679CEC4">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3DE1E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64E3FC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62F2AF1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1.供应商的资格条件：详见竞争性谈判公告</w:t>
            </w:r>
          </w:p>
          <w:p w14:paraId="13338C0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3B8FA26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055928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523D4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54D0E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36E0342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 详见竞争性谈判公告</w:t>
            </w:r>
          </w:p>
        </w:tc>
      </w:tr>
      <w:tr w14:paraId="7E956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41A21D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vAlign w:val="center"/>
          </w:tcPr>
          <w:p w14:paraId="4991EF48">
            <w:pPr>
              <w:spacing w:line="360" w:lineRule="auto"/>
              <w:rPr>
                <w:rFonts w:hint="eastAsia" w:ascii="宋体" w:hAnsi="宋体" w:cs="宋体"/>
                <w:color w:val="auto"/>
                <w:szCs w:val="21"/>
                <w:highlight w:val="none"/>
              </w:rPr>
            </w:pPr>
            <w:r>
              <w:rPr>
                <w:rFonts w:hint="eastAsia" w:ascii="宋体" w:hAnsi="宋体"/>
                <w:color w:val="auto"/>
                <w:szCs w:val="21"/>
                <w:highlight w:val="none"/>
              </w:rPr>
              <w:t>如接受联合体竞标，联合体竞标要求如下：无</w:t>
            </w:r>
          </w:p>
        </w:tc>
      </w:tr>
      <w:tr w14:paraId="4DE12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4D25F8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55A7957C">
            <w:pPr>
              <w:pStyle w:val="7"/>
              <w:spacing w:line="360" w:lineRule="auto"/>
              <w:rPr>
                <w:color w:val="auto"/>
                <w:highlight w:val="none"/>
              </w:rPr>
            </w:pPr>
            <w:r>
              <w:rPr>
                <w:rFonts w:hint="eastAsia"/>
                <w:color w:val="auto"/>
                <w:highlight w:val="none"/>
              </w:rPr>
              <w:t>☑不允许分包</w:t>
            </w:r>
          </w:p>
          <w:p w14:paraId="191E8EEA">
            <w:pPr>
              <w:pStyle w:val="7"/>
              <w:spacing w:line="360" w:lineRule="auto"/>
              <w:rPr>
                <w:color w:val="auto"/>
                <w:highlight w:val="none"/>
              </w:rPr>
            </w:pPr>
            <w:r>
              <w:rPr>
                <w:rFonts w:hint="eastAsia"/>
                <w:color w:val="auto"/>
                <w:highlight w:val="none"/>
              </w:rPr>
              <w:t>□允许分包</w:t>
            </w:r>
          </w:p>
          <w:p w14:paraId="445D6AD1">
            <w:pPr>
              <w:pStyle w:val="7"/>
              <w:spacing w:line="360" w:lineRule="auto"/>
              <w:rPr>
                <w:color w:val="auto"/>
                <w:highlight w:val="none"/>
                <w:u w:val="single"/>
              </w:rPr>
            </w:pPr>
            <w:r>
              <w:rPr>
                <w:rFonts w:hint="eastAsia"/>
                <w:color w:val="auto"/>
                <w:highlight w:val="none"/>
              </w:rPr>
              <w:t>分包内容：</w:t>
            </w:r>
            <w:r>
              <w:rPr>
                <w:rFonts w:hint="eastAsia"/>
                <w:color w:val="auto"/>
                <w:highlight w:val="none"/>
                <w:u w:val="single"/>
              </w:rPr>
              <w:t xml:space="preserve">                                     。</w:t>
            </w:r>
          </w:p>
          <w:p w14:paraId="4ED7BC86">
            <w:pPr>
              <w:pStyle w:val="7"/>
              <w:spacing w:line="360" w:lineRule="auto"/>
              <w:rPr>
                <w:color w:val="auto"/>
                <w:highlight w:val="none"/>
                <w:u w:val="single"/>
              </w:rPr>
            </w:pPr>
            <w:r>
              <w:rPr>
                <w:rFonts w:hint="eastAsia"/>
                <w:color w:val="auto"/>
                <w:highlight w:val="none"/>
              </w:rPr>
              <w:t>分包金额或者比例：</w:t>
            </w:r>
            <w:r>
              <w:rPr>
                <w:rFonts w:hint="eastAsia"/>
                <w:color w:val="auto"/>
                <w:highlight w:val="none"/>
                <w:u w:val="single"/>
              </w:rPr>
              <w:t xml:space="preserve">                                     。</w:t>
            </w:r>
          </w:p>
          <w:p w14:paraId="45685066">
            <w:pPr>
              <w:pStyle w:val="7"/>
              <w:spacing w:line="360" w:lineRule="auto"/>
              <w:rPr>
                <w:color w:val="auto"/>
                <w:highlight w:val="none"/>
                <w:u w:val="single"/>
              </w:rPr>
            </w:pPr>
            <w:r>
              <w:rPr>
                <w:rFonts w:hint="eastAsia" w:ascii="宋体" w:hAnsi="宋体"/>
                <w:color w:val="auto"/>
                <w:szCs w:val="21"/>
                <w:highlight w:val="none"/>
              </w:rPr>
              <w:t>分包供应商必须具备的资质：</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p>
        </w:tc>
      </w:tr>
      <w:tr w14:paraId="6950F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26A785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7912" w:type="dxa"/>
            <w:vAlign w:val="center"/>
          </w:tcPr>
          <w:p w14:paraId="5998C368">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提供相同品牌产品（非单一产品采购项目的，指核心产品）的不同供应商最后报价相同时，按照下列方式确定一个供应商获得成交供应商推荐资格：</w:t>
            </w:r>
          </w:p>
          <w:p w14:paraId="548D4007">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□随机抽取；</w:t>
            </w:r>
          </w:p>
          <w:p w14:paraId="49DE1ED0">
            <w:pPr>
              <w:pStyle w:val="7"/>
              <w:spacing w:line="360" w:lineRule="auto"/>
              <w:rPr>
                <w:rFonts w:hint="eastAsia" w:ascii="宋体" w:hAnsi="宋体"/>
                <w:color w:val="auto"/>
                <w:szCs w:val="21"/>
                <w:highlight w:val="none"/>
              </w:rPr>
            </w:pPr>
            <w:r>
              <w:rPr>
                <w:rFonts w:hint="eastAsia" w:ascii="宋体" w:hAnsi="宋体"/>
                <w:color w:val="auto"/>
                <w:szCs w:val="21"/>
                <w:highlight w:val="none"/>
              </w:rPr>
              <w:t>☑技术参数正偏离项数多的优先、均无正偏离或正偏离项数一致时负偏离项数少的优先、质保期长优先、交付时间（交货期）短优先、响应时间短优先的顺序排列。</w:t>
            </w:r>
          </w:p>
        </w:tc>
      </w:tr>
      <w:tr w14:paraId="264F0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2ED42D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432AE709">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5FEE1A6F">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1.供应商为法人或者其他组织的提供其</w:t>
            </w:r>
            <w:r>
              <w:rPr>
                <w:rFonts w:hint="eastAsia" w:ascii="宋体" w:hAnsi="宋体" w:cs="宋体"/>
                <w:b/>
                <w:bCs/>
                <w:color w:val="auto"/>
                <w:szCs w:val="21"/>
                <w:highlight w:val="none"/>
              </w:rPr>
              <w:t>营业执照等证明文件</w:t>
            </w:r>
            <w:r>
              <w:rPr>
                <w:rFonts w:hint="eastAsia" w:ascii="宋体" w:hAnsi="宋体" w:cs="宋体"/>
                <w:color w:val="auto"/>
                <w:szCs w:val="21"/>
                <w:highlight w:val="none"/>
              </w:rPr>
              <w:t>（如营业执照或者事业单位法人证书或者执业许可证或者登记证书等），供应商为自然人的提供其身份证复印件；（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C79102E">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2</w:t>
            </w:r>
            <w:r>
              <w:rPr>
                <w:rFonts w:hint="eastAsia" w:ascii="宋体" w:hAnsi="宋体" w:cs="宋体"/>
                <w:color w:val="auto"/>
                <w:szCs w:val="21"/>
                <w:highlight w:val="none"/>
              </w:rPr>
              <w:t>月至</w:t>
            </w:r>
            <w:r>
              <w:rPr>
                <w:rFonts w:hint="eastAsia" w:ascii="宋体" w:hAnsi="宋体" w:cs="宋体"/>
                <w:color w:val="auto"/>
                <w:szCs w:val="21"/>
                <w:highlight w:val="none"/>
                <w:u w:val="single"/>
              </w:rPr>
              <w:t>响应文件提交截止时间</w:t>
            </w:r>
            <w:r>
              <w:rPr>
                <w:rFonts w:hint="eastAsia" w:ascii="宋体" w:hAnsi="宋体" w:cs="宋体"/>
                <w:color w:val="auto"/>
                <w:szCs w:val="21"/>
                <w:highlight w:val="none"/>
              </w:rPr>
              <w:t>内任意连续</w:t>
            </w:r>
            <w:r>
              <w:rPr>
                <w:rFonts w:hint="eastAsia" w:ascii="宋体" w:hAnsi="宋体" w:cs="宋体"/>
                <w:color w:val="auto"/>
                <w:szCs w:val="21"/>
                <w:highlight w:val="none"/>
                <w:u w:val="single"/>
              </w:rPr>
              <w:t>3</w:t>
            </w:r>
            <w:r>
              <w:rPr>
                <w:rFonts w:hint="eastAsia" w:ascii="宋体" w:hAnsi="宋体" w:cs="宋体"/>
                <w:color w:val="auto"/>
                <w:szCs w:val="21"/>
                <w:highlight w:val="none"/>
              </w:rPr>
              <w:t>个月的依法缴纳税收的凭据复印件；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B6E983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2</w:t>
            </w:r>
            <w:r>
              <w:rPr>
                <w:rFonts w:hint="eastAsia" w:ascii="宋体" w:hAnsi="宋体" w:cs="宋体"/>
                <w:color w:val="auto"/>
                <w:szCs w:val="21"/>
                <w:highlight w:val="none"/>
              </w:rPr>
              <w:t>月至</w:t>
            </w:r>
            <w:r>
              <w:rPr>
                <w:rFonts w:hint="eastAsia" w:ascii="宋体" w:hAnsi="宋体" w:cs="宋体"/>
                <w:color w:val="auto"/>
                <w:szCs w:val="21"/>
                <w:highlight w:val="none"/>
                <w:u w:val="single"/>
              </w:rPr>
              <w:t>响应文件提交截止时间</w:t>
            </w:r>
            <w:r>
              <w:rPr>
                <w:rFonts w:hint="eastAsia" w:ascii="宋体" w:hAnsi="宋体" w:cs="宋体"/>
                <w:color w:val="auto"/>
                <w:szCs w:val="21"/>
                <w:highlight w:val="none"/>
              </w:rPr>
              <w:t>内任意连续</w:t>
            </w:r>
            <w:r>
              <w:rPr>
                <w:rFonts w:hint="eastAsia" w:ascii="宋体" w:hAnsi="宋体" w:cs="宋体"/>
                <w:color w:val="auto"/>
                <w:szCs w:val="21"/>
                <w:highlight w:val="none"/>
                <w:u w:val="single"/>
              </w:rPr>
              <w:t>3</w:t>
            </w:r>
            <w:r>
              <w:rPr>
                <w:rFonts w:hint="eastAsia" w:ascii="宋体" w:hAnsi="宋体" w:cs="宋体"/>
                <w:color w:val="auto"/>
                <w:szCs w:val="21"/>
                <w:highlight w:val="none"/>
              </w:rPr>
              <w:t>个月的依法缴纳社会保障资金的缴费凭证（</w:t>
            </w:r>
            <w:r>
              <w:rPr>
                <w:rFonts w:hint="eastAsia"/>
                <w:color w:val="auto"/>
                <w:highlight w:val="none"/>
              </w:rPr>
              <w:t>如：</w:t>
            </w:r>
            <w:r>
              <w:rPr>
                <w:rFonts w:hint="eastAsia" w:ascii="宋体" w:hAnsi="宋体" w:cs="宋体"/>
                <w:color w:val="auto"/>
                <w:szCs w:val="21"/>
                <w:highlight w:val="none"/>
              </w:rPr>
              <w:t>专用收据、社会保险缴纳清单或者社保部门的证明等）复印件；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rFonts w:hint="eastAsia"/>
                <w:color w:val="auto"/>
                <w:szCs w:val="21"/>
                <w:highlight w:val="none"/>
              </w:rPr>
              <w:t>成立之日起</w:t>
            </w:r>
            <w:r>
              <w:rPr>
                <w:rFonts w:hint="eastAsia" w:ascii="宋体" w:hAnsi="宋体" w:cs="宋体"/>
                <w:color w:val="auto"/>
                <w:szCs w:val="21"/>
                <w:highlight w:val="none"/>
              </w:rPr>
              <w:t>到响应文件提交截止时间止不足要求月数的只需提供从</w:t>
            </w:r>
            <w:r>
              <w:rPr>
                <w:rFonts w:hint="eastAsia"/>
                <w:color w:val="auto"/>
                <w:szCs w:val="21"/>
                <w:highlight w:val="none"/>
              </w:rPr>
              <w:t>成立之日起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CD25836">
            <w:pPr>
              <w:spacing w:line="360" w:lineRule="auto"/>
              <w:contextualSpacing/>
              <w:jc w:val="left"/>
              <w:rPr>
                <w:rFonts w:hint="eastAsia" w:ascii="宋体" w:hAnsi="宋体" w:cs="宋体"/>
                <w:b/>
                <w:color w:val="auto"/>
                <w:szCs w:val="21"/>
                <w:highlight w:val="none"/>
              </w:rPr>
            </w:pPr>
            <w:r>
              <w:rPr>
                <w:rFonts w:hint="eastAsia" w:ascii="宋体" w:hAnsi="宋体" w:cs="宋体"/>
                <w:color w:val="auto"/>
                <w:szCs w:val="21"/>
                <w:highlight w:val="none"/>
              </w:rPr>
              <w:t>4.供应商</w:t>
            </w:r>
            <w:r>
              <w:rPr>
                <w:rFonts w:hint="eastAsia"/>
                <w:color w:val="auto"/>
                <w:szCs w:val="21"/>
                <w:highlight w:val="none"/>
              </w:rPr>
              <w:t>财务状况报告（</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color w:val="auto"/>
                <w:szCs w:val="21"/>
                <w:highlight w:val="none"/>
              </w:rPr>
              <w:t>度财务报表复印件，或者银行出具的资信证明，或者中国人民银行征信中心出具的信用报告（企业竞标的提供企业信用报告，自然人竞标的提供个人信用报告）；供应商属于</w:t>
            </w:r>
            <w:r>
              <w:rPr>
                <w:rFonts w:hint="eastAsia"/>
                <w:color w:val="auto"/>
                <w:highlight w:val="none"/>
              </w:rPr>
              <w:t>成立</w:t>
            </w:r>
            <w:r>
              <w:rPr>
                <w:color w:val="auto"/>
                <w:highlight w:val="none"/>
              </w:rPr>
              <w:t>时间</w:t>
            </w:r>
            <w:r>
              <w:rPr>
                <w:rFonts w:hint="eastAsia"/>
                <w:color w:val="auto"/>
                <w:kern w:val="0"/>
                <w:highlight w:val="none"/>
              </w:rPr>
              <w:t>在规定年度之后</w:t>
            </w:r>
            <w:r>
              <w:rPr>
                <w:color w:val="auto"/>
                <w:highlight w:val="none"/>
              </w:rPr>
              <w:t>的</w:t>
            </w:r>
            <w:r>
              <w:rPr>
                <w:rFonts w:hint="eastAsia"/>
                <w:color w:val="auto"/>
                <w:szCs w:val="21"/>
                <w:highlight w:val="none"/>
              </w:rPr>
              <w:t>法人或其他组织</w:t>
            </w:r>
            <w:r>
              <w:rPr>
                <w:color w:val="auto"/>
                <w:highlight w:val="none"/>
              </w:rPr>
              <w:t>，需提供成立</w:t>
            </w:r>
            <w:r>
              <w:rPr>
                <w:rFonts w:hint="eastAsia"/>
                <w:color w:val="auto"/>
                <w:highlight w:val="none"/>
              </w:rPr>
              <w:t>之日起至响应文件提交截止时间前</w:t>
            </w:r>
            <w:r>
              <w:rPr>
                <w:color w:val="auto"/>
                <w:highlight w:val="none"/>
              </w:rPr>
              <w:t>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14:paraId="6C8EEE79">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25F9683">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 供应商直接管理关系信息表（格式后附）；（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81DF17C">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7. 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FC61057">
            <w:pPr>
              <w:snapToGrid w:val="0"/>
              <w:spacing w:line="360" w:lineRule="auto"/>
              <w:jc w:val="left"/>
              <w:rPr>
                <w:rFonts w:hint="eastAsia" w:ascii="宋体" w:hAnsi="宋体"/>
                <w:i/>
                <w:color w:val="auto"/>
                <w:szCs w:val="21"/>
                <w:highlight w:val="none"/>
              </w:rPr>
            </w:pPr>
            <w:r>
              <w:rPr>
                <w:rFonts w:hint="eastAsia" w:ascii="宋体" w:hAnsi="宋体" w:cs="宋体"/>
                <w:color w:val="auto"/>
                <w:szCs w:val="21"/>
                <w:highlight w:val="none"/>
              </w:rPr>
              <w:t>8. 除谈判文件规定必须提供以外，供应商认为需要提供的其他证明材料。</w:t>
            </w:r>
          </w:p>
          <w:p w14:paraId="3D269A92">
            <w:pPr>
              <w:snapToGrid w:val="0"/>
              <w:spacing w:line="360" w:lineRule="auto"/>
              <w:jc w:val="left"/>
              <w:rPr>
                <w:rFonts w:hint="eastAsia" w:ascii="宋体" w:hAnsi="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.中小企业声明函【如属于残疾人福利性单位的提供残疾人福利性单位声明函，属于监狱企业的提供由省级以上监狱管理局、戒毒管理局（含新疆生产建设兵团）出具的属于监狱企业的证明文件】；</w:t>
            </w:r>
            <w:r>
              <w:rPr>
                <w:rFonts w:hint="eastAsia" w:ascii="宋体" w:hAnsi="宋体"/>
                <w:color w:val="auto"/>
                <w:szCs w:val="21"/>
                <w:highlight w:val="none"/>
              </w:rPr>
              <w:t>（</w:t>
            </w:r>
            <w:r>
              <w:rPr>
                <w:rFonts w:hint="eastAsia" w:ascii="宋体" w:hAnsi="宋体"/>
                <w:b/>
                <w:color w:val="auto"/>
                <w:szCs w:val="21"/>
                <w:highlight w:val="none"/>
              </w:rPr>
              <w:t>必须提供，否则响应文件按无效响应处理</w:t>
            </w:r>
            <w:r>
              <w:rPr>
                <w:rFonts w:hint="eastAsia" w:ascii="宋体" w:hAnsi="宋体"/>
                <w:color w:val="auto"/>
                <w:szCs w:val="21"/>
                <w:highlight w:val="none"/>
              </w:rPr>
              <w:t>）</w:t>
            </w:r>
          </w:p>
          <w:p w14:paraId="4C6DC1D5">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29B1D542">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p>
        </w:tc>
      </w:tr>
      <w:tr w14:paraId="40178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0B4F3C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78F8339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报价文件</w:t>
            </w:r>
          </w:p>
          <w:p w14:paraId="64E0FB9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26204C3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2.供应商认为需要提供的其他有关资料。</w:t>
            </w:r>
          </w:p>
        </w:tc>
      </w:tr>
      <w:tr w14:paraId="0086C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4BFC1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14:paraId="3B129F0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商务技术文件</w:t>
            </w:r>
          </w:p>
          <w:p w14:paraId="546B8A8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3CAD9B8E">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6B3579DD">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7D9106F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4.竞标保证金提交凭证；（</w:t>
            </w:r>
            <w:r>
              <w:rPr>
                <w:rFonts w:hint="eastAsia"/>
                <w:b/>
                <w:bCs/>
                <w:color w:val="auto"/>
                <w:highlight w:val="none"/>
              </w:rPr>
              <w:t>必须提供</w:t>
            </w:r>
            <w:r>
              <w:rPr>
                <w:rFonts w:hint="eastAsia" w:ascii="宋体" w:hAnsi="宋体" w:cs="宋体"/>
                <w:b/>
                <w:color w:val="auto"/>
                <w:szCs w:val="21"/>
                <w:highlight w:val="none"/>
              </w:rPr>
              <w:t>，否则响应文件按无效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3FC569A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13740F5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6.售后服务承诺（格式自拟）；（</w:t>
            </w:r>
            <w:r>
              <w:rPr>
                <w:rFonts w:hint="eastAsia" w:ascii="宋体" w:hAnsi="宋体" w:cs="宋体"/>
                <w:b/>
                <w:color w:val="auto"/>
                <w:szCs w:val="21"/>
                <w:highlight w:val="none"/>
              </w:rPr>
              <w:t>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667DD30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7.货物配置清单（均不含报价）（格式后附）；（</w:t>
            </w:r>
            <w:r>
              <w:rPr>
                <w:rFonts w:hint="eastAsia" w:ascii="宋体" w:hAnsi="宋体" w:cs="宋体"/>
                <w:b/>
                <w:color w:val="auto"/>
                <w:szCs w:val="21"/>
                <w:highlight w:val="none"/>
              </w:rPr>
              <w:t>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04166E0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8.技术要求偏离表（格式后附）；（</w:t>
            </w:r>
            <w:r>
              <w:rPr>
                <w:rFonts w:hint="eastAsia" w:ascii="宋体" w:hAnsi="宋体" w:cs="宋体"/>
                <w:b/>
                <w:color w:val="auto"/>
                <w:szCs w:val="21"/>
                <w:highlight w:val="none"/>
              </w:rPr>
              <w:t>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6B87768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9.供应商认为需要提供的其他有关资料。</w:t>
            </w:r>
          </w:p>
          <w:p w14:paraId="46DBFD07">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注：以上标明“必须提供”材料复印件的，必须加盖供应商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p>
        </w:tc>
      </w:tr>
      <w:tr w14:paraId="09062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EAC35D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3F99C422">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竞标报价包含竞标货物（包括备品备件、专用工具等）的价格，竞标货物运输（含保险）、安装（如有）、调试、检验、验收、技术服务、培训、售后服务和谈判文件要求提供的所有伴随服务、工程等费用和税费。</w:t>
            </w:r>
          </w:p>
        </w:tc>
      </w:tr>
      <w:tr w14:paraId="4B09D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B41BF7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14:paraId="345C1120">
            <w:pPr>
              <w:pStyle w:val="6"/>
              <w:widowControl w:val="0"/>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90</w:t>
            </w:r>
            <w:r>
              <w:rPr>
                <w:rFonts w:hint="eastAsia" w:ascii="宋体" w:hAnsi="宋体" w:cs="宋体"/>
                <w:color w:val="auto"/>
                <w:kern w:val="2"/>
                <w:sz w:val="21"/>
                <w:szCs w:val="21"/>
                <w:highlight w:val="none"/>
              </w:rPr>
              <w:t>日。</w:t>
            </w:r>
          </w:p>
        </w:tc>
      </w:tr>
      <w:tr w14:paraId="1C729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3630AD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19A3182C">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□本项目不收取竞标保证金。</w:t>
            </w:r>
          </w:p>
          <w:p w14:paraId="20E30975">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☑本项目收取竞标保证金，具体规定如下：</w:t>
            </w:r>
          </w:p>
          <w:p w14:paraId="40EE8D31">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竞标保证金人民币</w:t>
            </w:r>
            <w:r>
              <w:rPr>
                <w:rFonts w:hint="eastAsia" w:ascii="宋体" w:hAnsi="宋体" w:cs="宋体"/>
                <w:color w:val="auto"/>
                <w:kern w:val="0"/>
                <w:szCs w:val="21"/>
                <w:highlight w:val="none"/>
                <w:u w:val="single"/>
              </w:rPr>
              <w:t>21000</w:t>
            </w:r>
            <w:r>
              <w:rPr>
                <w:rFonts w:hint="eastAsia" w:ascii="宋体" w:hAnsi="宋体" w:cs="宋体"/>
                <w:color w:val="auto"/>
                <w:kern w:val="0"/>
                <w:szCs w:val="21"/>
                <w:highlight w:val="none"/>
              </w:rPr>
              <w:t>元。</w:t>
            </w:r>
          </w:p>
          <w:p w14:paraId="1AAB79C7">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竞标保证金的交纳方式：银行转账、支票、汇票、本票或者银行、保险机构出具的保函（包含电子保函），禁止采用现钞方式。采用银行转账方式的，在响应文件提交截止时间前交至指定账户并且到账（开户银行：中信银行南宁东葛支行，开户名称：云之龙咨询集团有限公司梧州分公司，银行账号：8113001013700074625）；采用支票、汇票、本票或者保函等方式的，在响应文件提交截止时间前，供应商必须提交单独密封的支票、汇票、本票或者保函原件（电子保函须提交复印件并加盖供应商公章）。</w:t>
            </w:r>
            <w:r>
              <w:rPr>
                <w:rFonts w:hint="eastAsia" w:ascii="宋体" w:hAnsi="宋体" w:cs="宋体"/>
                <w:b/>
                <w:bCs/>
                <w:color w:val="auto"/>
                <w:kern w:val="0"/>
                <w:szCs w:val="21"/>
                <w:highlight w:val="none"/>
              </w:rPr>
              <w:t>否则视为无效竞标保证金</w:t>
            </w:r>
            <w:r>
              <w:rPr>
                <w:rFonts w:hint="eastAsia" w:ascii="宋体" w:hAnsi="宋体" w:cs="宋体"/>
                <w:color w:val="auto"/>
                <w:kern w:val="0"/>
                <w:szCs w:val="21"/>
                <w:highlight w:val="none"/>
              </w:rPr>
              <w:t>。</w:t>
            </w:r>
          </w:p>
          <w:p w14:paraId="3F6B8D2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相关要求：</w:t>
            </w:r>
          </w:p>
          <w:p w14:paraId="1C11E98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1.竞标保证金采用银行转账交纳方式的，在响应文件提交截止时间前交至指定账户并且到账，供应商应将银行转账底单的复印件作为竞标保证金提交凭证，放置于商务技术文件中，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639B9C2">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2.竞标保证金采用支票、汇票、本票或者银行、保险机构出具的保函</w:t>
            </w:r>
            <w:r>
              <w:rPr>
                <w:rFonts w:hint="eastAsia"/>
                <w:color w:val="auto"/>
                <w:highlight w:val="none"/>
              </w:rPr>
              <w:t>（包含电子保函）</w:t>
            </w:r>
            <w:r>
              <w:rPr>
                <w:rFonts w:hint="eastAsia" w:ascii="宋体" w:hAnsi="宋体"/>
                <w:color w:val="auto"/>
                <w:szCs w:val="21"/>
                <w:highlight w:val="none"/>
              </w:rPr>
              <w:t>交纳方式的，供应商应将支票、汇票、本票或者银行、保险机构出具的保函</w:t>
            </w:r>
            <w:r>
              <w:rPr>
                <w:rFonts w:hint="eastAsia"/>
                <w:color w:val="auto"/>
                <w:highlight w:val="none"/>
              </w:rPr>
              <w:t>（包含电子保函）</w:t>
            </w:r>
            <w:r>
              <w:rPr>
                <w:rFonts w:hint="eastAsia" w:ascii="宋体" w:hAnsi="宋体"/>
                <w:color w:val="auto"/>
                <w:szCs w:val="21"/>
                <w:highlight w:val="none"/>
              </w:rPr>
              <w:t>的复印件作为竞标保证金提交凭证，放置于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现场提交地址：梧州市新兴三路30号神冠豪都B栋1单元1008号房；邮寄地址：梧州市新兴三路30号神冠豪都B栋1单元1008号房，收件人：周子然、陈丽莹，联系方式：0774-3859935）</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支票、汇票、本票或者银行、保险机构出具的保函原件（电子保函须提交复印件并加盖供应商公章）提交给采购人或者采购代理机构。</w:t>
            </w:r>
          </w:p>
          <w:p w14:paraId="1F984B21">
            <w:pPr>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3.供应商为联合体的，可以由联合体中的一方或者多方共同交纳竞标保证金，其交纳的保证金对联合体各方均具有约束力。</w:t>
            </w:r>
          </w:p>
          <w:p w14:paraId="3086EA03">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42CC3155">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1.竞标保证金在响应文件提交截止时间后提交的，或者不按规定交纳方式交纳的，或者未足额交纳的（包含保函额度不足的），视为无效竞标保证金。</w:t>
            </w:r>
          </w:p>
          <w:p w14:paraId="2E8D6538">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2.供应商采用现钞方式或者从个人账户（自然人竞标除外）转出的竞标保证金，视为无效竞标保证金。</w:t>
            </w:r>
          </w:p>
          <w:p w14:paraId="0170D8EF">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3.支票、汇票或者本票出现无效或者背书情形的，视为无效竞标保证金。</w:t>
            </w:r>
          </w:p>
          <w:p w14:paraId="613EF627">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4.保函有效期低于竞标有效期的，视为无效竞标保证金。</w:t>
            </w:r>
          </w:p>
          <w:p w14:paraId="47763240">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5.竞标保证金采用银行、保险机构出具的保函（包含电子保函）为有条件保函的，视为无效竞标保证金。</w:t>
            </w:r>
          </w:p>
        </w:tc>
      </w:tr>
      <w:tr w14:paraId="517A2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4416CB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19</w:t>
            </w:r>
          </w:p>
        </w:tc>
        <w:tc>
          <w:tcPr>
            <w:tcW w:w="7912" w:type="dxa"/>
            <w:vAlign w:val="center"/>
          </w:tcPr>
          <w:p w14:paraId="0CF39194">
            <w:pPr>
              <w:autoSpaceDE w:val="0"/>
              <w:autoSpaceDN w:val="0"/>
              <w:adjustRightIn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p w14:paraId="77249522">
            <w:pPr>
              <w:autoSpaceDE w:val="0"/>
              <w:autoSpaceDN w:val="0"/>
              <w:adjustRightIn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w:t>
            </w:r>
            <w:r>
              <w:rPr>
                <w:rFonts w:hint="eastAsia"/>
                <w:color w:val="auto"/>
                <w:highlight w:val="none"/>
              </w:rPr>
              <w:t>本项目接受电子备份响应文件。</w:t>
            </w:r>
          </w:p>
        </w:tc>
      </w:tr>
      <w:tr w14:paraId="7A25D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1C0FA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0D910536">
            <w:pPr>
              <w:spacing w:line="360" w:lineRule="auto"/>
              <w:contextualSpacing/>
              <w:jc w:val="left"/>
              <w:rPr>
                <w:rFonts w:hint="eastAsia" w:ascii="宋体" w:hAnsi="宋体" w:cs="宋体"/>
                <w:color w:val="auto"/>
                <w:szCs w:val="21"/>
                <w:highlight w:val="none"/>
                <w:u w:val="single"/>
              </w:rPr>
            </w:pPr>
            <w:r>
              <w:rPr>
                <w:rFonts w:hint="eastAsia" w:ascii="宋体" w:hAnsi="宋体" w:cs="宋体"/>
                <w:color w:val="auto"/>
                <w:szCs w:val="21"/>
                <w:highlight w:val="none"/>
              </w:rPr>
              <w:t>响应文件提交截止时间：详见竞争性谈判公告。</w:t>
            </w:r>
          </w:p>
          <w:p w14:paraId="0F819B0C">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响应文件提交地点：详见竞争性谈判公告。</w:t>
            </w:r>
          </w:p>
        </w:tc>
      </w:tr>
      <w:tr w14:paraId="61297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8E4094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7F43A54D">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谈判小组的人数：</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rPr>
              <w:t>人。</w:t>
            </w:r>
          </w:p>
        </w:tc>
      </w:tr>
      <w:tr w14:paraId="30848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0FF9D89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14:paraId="7EF6545E">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首次响应文件开启时间详见“竞争性谈判公告”</w:t>
            </w:r>
          </w:p>
          <w:p w14:paraId="4B0F999A">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首次响应文件解密时间：</w:t>
            </w:r>
            <w:r>
              <w:rPr>
                <w:rFonts w:hAnsi="宋体"/>
                <w:color w:val="auto"/>
                <w:highlight w:val="none"/>
                <w:u w:val="single"/>
              </w:rPr>
              <w:t xml:space="preserve"> </w:t>
            </w:r>
            <w:r>
              <w:rPr>
                <w:rFonts w:hint="eastAsia" w:hAnsi="宋体"/>
                <w:color w:val="auto"/>
                <w:highlight w:val="none"/>
                <w:u w:val="single"/>
              </w:rPr>
              <w:t>30</w:t>
            </w:r>
            <w:r>
              <w:rPr>
                <w:rFonts w:hAnsi="宋体"/>
                <w:color w:val="auto"/>
                <w:highlight w:val="none"/>
                <w:u w:val="single"/>
              </w:rPr>
              <w:t xml:space="preserve"> </w:t>
            </w:r>
            <w:r>
              <w:rPr>
                <w:rFonts w:hint="eastAsia" w:hAnsi="宋体"/>
                <w:color w:val="auto"/>
                <w:highlight w:val="none"/>
              </w:rPr>
              <w:t>分钟</w:t>
            </w:r>
          </w:p>
        </w:tc>
      </w:tr>
      <w:tr w14:paraId="101AF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6671EC80">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26</w:t>
            </w:r>
          </w:p>
        </w:tc>
        <w:tc>
          <w:tcPr>
            <w:tcW w:w="7912" w:type="dxa"/>
            <w:vAlign w:val="center"/>
          </w:tcPr>
          <w:p w14:paraId="3B8AD739">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评审价相同时，按照最后报价由低到高顺序依次推荐；最后报价相同时，按节能、环保产品累计金额由高到低顺序依次推荐；节能、环保产品累计金额也相同时，按以下原则确定成交候选人的顺序：</w:t>
            </w:r>
          </w:p>
          <w:p w14:paraId="586F6EB0">
            <w:pPr>
              <w:spacing w:line="360" w:lineRule="auto"/>
              <w:contextualSpacing/>
              <w:rPr>
                <w:rFonts w:hint="eastAsia" w:ascii="宋体" w:hAnsi="宋体" w:cs="宋体"/>
                <w:iCs/>
                <w:color w:val="auto"/>
                <w:szCs w:val="21"/>
                <w:highlight w:val="none"/>
              </w:rPr>
            </w:pPr>
            <w:r>
              <w:rPr>
                <w:rFonts w:hint="eastAsia" w:ascii="宋体" w:hAnsi="宋体" w:cs="宋体"/>
                <w:iCs/>
                <w:color w:val="auto"/>
                <w:szCs w:val="21"/>
                <w:highlight w:val="none"/>
              </w:rPr>
              <w:t>☑带“▲”的实质性要求正偏离项数多的优先、均无正偏离或者正偏离项数一致时负偏离项数少的优先、质保期长优先、交付时间（交货期）短优先、响应时间短优先的顺序推荐。</w:t>
            </w:r>
          </w:p>
          <w:p w14:paraId="45F62CA1">
            <w:pPr>
              <w:snapToGrid w:val="0"/>
              <w:spacing w:line="360" w:lineRule="auto"/>
              <w:rPr>
                <w:rFonts w:hint="eastAsia" w:ascii="宋体" w:hAnsi="宋体" w:cs="宋体"/>
                <w:color w:val="auto"/>
                <w:szCs w:val="21"/>
                <w:highlight w:val="none"/>
              </w:rPr>
            </w:pPr>
            <w:r>
              <w:rPr>
                <w:rFonts w:hint="eastAsia" w:ascii="宋体" w:hAnsi="宋体" w:cs="宋体"/>
                <w:iCs/>
                <w:color w:val="auto"/>
                <w:szCs w:val="21"/>
                <w:highlight w:val="none"/>
              </w:rPr>
              <w:t>□由谈判小组推荐代表随机抽取。</w:t>
            </w:r>
          </w:p>
        </w:tc>
      </w:tr>
      <w:tr w14:paraId="0CDD1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76519BB6">
            <w:pPr>
              <w:spacing w:line="360" w:lineRule="auto"/>
              <w:jc w:val="center"/>
              <w:rPr>
                <w:rFonts w:hint="eastAsia" w:ascii="宋体" w:hAnsi="宋体" w:cs="宋体"/>
                <w:color w:val="auto"/>
                <w:szCs w:val="21"/>
                <w:highlight w:val="none"/>
              </w:rPr>
            </w:pPr>
          </w:p>
        </w:tc>
        <w:tc>
          <w:tcPr>
            <w:tcW w:w="7912" w:type="dxa"/>
            <w:vAlign w:val="center"/>
          </w:tcPr>
          <w:p w14:paraId="33CF79F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39870BD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2</w:t>
            </w:r>
            <w:r>
              <w:rPr>
                <w:rFonts w:hint="eastAsia" w:ascii="宋体" w:hAnsi="宋体" w:cs="宋体"/>
                <w:color w:val="auto"/>
                <w:szCs w:val="21"/>
                <w:highlight w:val="none"/>
              </w:rPr>
              <w:t>项。</w:t>
            </w:r>
          </w:p>
        </w:tc>
      </w:tr>
      <w:tr w14:paraId="347C9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937AFFA">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14:paraId="0866C35E">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□本项目不收取履约保证金。</w:t>
            </w:r>
          </w:p>
          <w:p w14:paraId="6961B3CE">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☑本项目收取履约保证金，具体规定如下：</w:t>
            </w:r>
          </w:p>
          <w:p w14:paraId="643BCAB0">
            <w:pPr>
              <w:spacing w:line="360" w:lineRule="auto"/>
              <w:contextualSpacing/>
              <w:rPr>
                <w:rFonts w:hint="eastAsia" w:ascii="宋体" w:hAnsi="宋体"/>
                <w:color w:val="auto"/>
                <w:szCs w:val="21"/>
                <w:highlight w:val="none"/>
              </w:rPr>
            </w:pPr>
            <w:r>
              <w:rPr>
                <w:rFonts w:hint="eastAsia" w:ascii="宋体" w:hAnsi="宋体" w:cs="宋体"/>
                <w:color w:val="auto"/>
                <w:szCs w:val="21"/>
                <w:highlight w:val="none"/>
              </w:rPr>
              <w:t>履约保证金金额：按成交金额的</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w:t>
            </w:r>
            <w:r>
              <w:rPr>
                <w:rFonts w:hint="eastAsia" w:ascii="宋体" w:hAnsi="宋体"/>
                <w:color w:val="auto"/>
                <w:szCs w:val="21"/>
                <w:highlight w:val="none"/>
              </w:rPr>
              <w:t>。</w:t>
            </w:r>
          </w:p>
          <w:p w14:paraId="64DBAE82">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履约保证金提交方式：银行转账、支票、汇票、本票或者银行、保险机构出具的保函等非现金方式（参照竞标保证金）。</w:t>
            </w:r>
          </w:p>
          <w:p w14:paraId="5AC292A2">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履约保证金缴纳期限：</w:t>
            </w:r>
            <w:r>
              <w:rPr>
                <w:color w:val="auto"/>
                <w:highlight w:val="none"/>
              </w:rPr>
              <w:t xml:space="preserve"> </w:t>
            </w:r>
            <w:r>
              <w:rPr>
                <w:rFonts w:hint="eastAsia" w:ascii="宋体" w:hAnsi="宋体"/>
                <w:color w:val="auto"/>
                <w:szCs w:val="21"/>
                <w:highlight w:val="none"/>
                <w:u w:val="single"/>
              </w:rPr>
              <w:t>自成交通知书发出之日起 20日内</w:t>
            </w:r>
            <w:r>
              <w:rPr>
                <w:rFonts w:hint="eastAsia" w:ascii="宋体" w:hAnsi="宋体"/>
                <w:color w:val="auto"/>
                <w:szCs w:val="21"/>
                <w:highlight w:val="none"/>
              </w:rPr>
              <w:t>。</w:t>
            </w:r>
          </w:p>
          <w:p w14:paraId="75802FC8">
            <w:pPr>
              <w:spacing w:line="360" w:lineRule="auto"/>
              <w:contextualSpacing/>
              <w:rPr>
                <w:rFonts w:hint="eastAsia"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bookmarkStart w:id="69" w:name="OLE_LINK17"/>
            <w:bookmarkStart w:id="70" w:name="OLE_LINK18"/>
            <w:r>
              <w:rPr>
                <w:rFonts w:hint="eastAsia"/>
                <w:color w:val="auto"/>
                <w:highlight w:val="none"/>
                <w:u w:val="single"/>
              </w:rPr>
              <w:t>合同完工验收合格后，由成交供应商提出申请，审核通过后10个工作日内退付</w:t>
            </w:r>
            <w:r>
              <w:rPr>
                <w:rFonts w:hint="eastAsia" w:ascii="宋体" w:hAnsi="宋体" w:cs="宋体"/>
                <w:color w:val="auto"/>
                <w:szCs w:val="21"/>
                <w:highlight w:val="none"/>
                <w:u w:val="single"/>
              </w:rPr>
              <w:t xml:space="preserve"> </w:t>
            </w:r>
            <w:bookmarkEnd w:id="69"/>
            <w:bookmarkEnd w:id="70"/>
            <w:r>
              <w:rPr>
                <w:rFonts w:hint="eastAsia" w:ascii="宋体" w:hAnsi="宋体" w:cs="宋体"/>
                <w:color w:val="auto"/>
                <w:szCs w:val="21"/>
                <w:highlight w:val="none"/>
                <w:u w:val="single"/>
              </w:rPr>
              <w:t>。</w:t>
            </w:r>
          </w:p>
          <w:p w14:paraId="51B6112D">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履约保证金指定账户：</w:t>
            </w:r>
          </w:p>
          <w:p w14:paraId="50BDDF90">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none"/>
              </w:rPr>
              <w:t xml:space="preserve">梧州水文中心 </w:t>
            </w:r>
          </w:p>
          <w:p w14:paraId="1F366697">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none"/>
              </w:rPr>
              <w:t>中国农业银行梧州灏景支行</w:t>
            </w:r>
          </w:p>
          <w:p w14:paraId="050A6914">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szCs w:val="21"/>
                <w:highlight w:val="none"/>
                <w:u w:val="none"/>
              </w:rPr>
              <w:t xml:space="preserve"> 20312101040004292 </w:t>
            </w:r>
          </w:p>
          <w:p w14:paraId="40C0BCC6">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备注：</w:t>
            </w:r>
          </w:p>
          <w:p w14:paraId="3D16C196">
            <w:pPr>
              <w:spacing w:line="360" w:lineRule="auto"/>
              <w:contextualSpacing/>
              <w:rPr>
                <w:rFonts w:hint="eastAsia" w:ascii="宋体" w:hAnsi="宋体" w:cs="宋体"/>
                <w:b/>
                <w:color w:val="auto"/>
                <w:kern w:val="0"/>
                <w:sz w:val="24"/>
                <w:highlight w:val="none"/>
              </w:rPr>
            </w:pPr>
            <w:r>
              <w:rPr>
                <w:rFonts w:hint="eastAsia" w:ascii="宋体" w:hAnsi="宋体" w:cs="宋体"/>
                <w:b/>
                <w:color w:val="auto"/>
                <w:szCs w:val="21"/>
                <w:highlight w:val="none"/>
              </w:rPr>
              <w:t>1</w:t>
            </w:r>
            <w:r>
              <w:rPr>
                <w:rFonts w:ascii="宋体" w:hAnsi="宋体" w:cs="宋体"/>
                <w:b/>
                <w:color w:val="auto"/>
                <w:szCs w:val="21"/>
                <w:highlight w:val="none"/>
              </w:rPr>
              <w:t>.</w:t>
            </w:r>
            <w:r>
              <w:rPr>
                <w:rFonts w:hint="eastAsia" w:ascii="宋体" w:hAnsi="宋体"/>
                <w:b/>
                <w:color w:val="auto"/>
                <w:szCs w:val="21"/>
                <w:highlight w:val="none"/>
              </w:rPr>
              <w:t xml:space="preserve"> </w:t>
            </w:r>
            <w:bookmarkStart w:id="71" w:name="_Hlk54170335"/>
            <w:r>
              <w:rPr>
                <w:rFonts w:hint="eastAsia" w:ascii="宋体" w:hAnsi="宋体"/>
                <w:b/>
                <w:color w:val="auto"/>
                <w:szCs w:val="21"/>
                <w:highlight w:val="none"/>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宋体" w:hAnsi="宋体" w:cs="宋体"/>
                <w:b/>
                <w:color w:val="auto"/>
                <w:kern w:val="0"/>
                <w:sz w:val="24"/>
                <w:highlight w:val="none"/>
              </w:rPr>
              <w:t>。</w:t>
            </w:r>
            <w:bookmarkEnd w:id="71"/>
          </w:p>
          <w:p w14:paraId="2D0D602D">
            <w:pPr>
              <w:spacing w:line="360" w:lineRule="auto"/>
              <w:contextualSpacing/>
              <w:rPr>
                <w:rFonts w:hint="eastAsia" w:ascii="宋体" w:hAnsi="宋体" w:cs="宋体"/>
                <w:b/>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w:t>
            </w:r>
            <w:r>
              <w:rPr>
                <w:rFonts w:hint="eastAsia" w:ascii="宋体" w:hAnsi="宋体"/>
                <w:b/>
                <w:color w:val="auto"/>
                <w:szCs w:val="21"/>
                <w:highlight w:val="none"/>
              </w:rPr>
              <w:t xml:space="preserve">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ascii="宋体" w:hAnsi="宋体" w:cs="宋体"/>
                <w:b/>
                <w:color w:val="auto"/>
                <w:szCs w:val="21"/>
                <w:highlight w:val="none"/>
              </w:rPr>
              <w:t>3.</w:t>
            </w:r>
            <w:r>
              <w:rPr>
                <w:rFonts w:hint="eastAsia" w:ascii="宋体" w:hAnsi="宋体" w:cs="宋体"/>
                <w:b/>
                <w:color w:val="auto"/>
                <w:szCs w:val="21"/>
                <w:highlight w:val="none"/>
              </w:rPr>
              <w:t>采用银行、保险机构出具的保函的，必须为无条件保函，否则不予签订合同。</w:t>
            </w:r>
          </w:p>
          <w:p w14:paraId="752F592A">
            <w:pPr>
              <w:snapToGrid w:val="0"/>
              <w:spacing w:line="360" w:lineRule="auto"/>
              <w:rPr>
                <w:rFonts w:hint="eastAsia" w:ascii="宋体" w:hAnsi="宋体" w:cs="宋体"/>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供应商为联合体的，由联合体任意一方按规定提交的履约保证金，视为有效履约保证金。</w:t>
            </w:r>
          </w:p>
        </w:tc>
      </w:tr>
      <w:tr w14:paraId="547E0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9C61BD4">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.1</w:t>
            </w:r>
          </w:p>
        </w:tc>
        <w:tc>
          <w:tcPr>
            <w:tcW w:w="7912" w:type="dxa"/>
            <w:vAlign w:val="center"/>
          </w:tcPr>
          <w:p w14:paraId="5B834F79">
            <w:pPr>
              <w:autoSpaceDE w:val="0"/>
              <w:autoSpaceDN w:val="0"/>
              <w:snapToGrid w:val="0"/>
              <w:spacing w:line="360" w:lineRule="auto"/>
              <w:ind w:firstLine="420" w:firstLineChars="200"/>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1CDFE9F9">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w:t>
            </w:r>
            <w:r>
              <w:rPr>
                <w:rFonts w:hint="eastAsia" w:ascii="宋体" w:hAnsi="宋体"/>
                <w:color w:val="auto"/>
                <w:szCs w:val="21"/>
                <w:highlight w:val="none"/>
                <w:lang w:eastAsia="zh-CN"/>
              </w:rPr>
              <w:t>证明材料</w:t>
            </w:r>
            <w:r>
              <w:rPr>
                <w:rFonts w:hint="eastAsia" w:ascii="宋体" w:hAnsi="宋体"/>
                <w:color w:val="auto"/>
                <w:szCs w:val="21"/>
                <w:highlight w:val="none"/>
              </w:rPr>
              <w:t>，应标品牌</w:t>
            </w:r>
            <w:r>
              <w:rPr>
                <w:rFonts w:hint="eastAsia" w:ascii="宋体" w:hAnsi="宋体"/>
                <w:color w:val="auto"/>
                <w:szCs w:val="21"/>
                <w:highlight w:val="none"/>
                <w:lang w:eastAsia="zh-CN"/>
              </w:rPr>
              <w:t>标的</w:t>
            </w:r>
            <w:r>
              <w:rPr>
                <w:rFonts w:hint="eastAsia" w:ascii="宋体" w:hAnsi="宋体"/>
                <w:color w:val="auto"/>
                <w:szCs w:val="21"/>
                <w:highlight w:val="none"/>
              </w:rPr>
              <w:t>驱动式雷达波测流系统、走航式 ADCP 、水平式adcp</w:t>
            </w:r>
            <w:r>
              <w:rPr>
                <w:rFonts w:hint="eastAsia" w:ascii="宋体" w:hAnsi="宋体"/>
                <w:color w:val="auto"/>
                <w:szCs w:val="21"/>
                <w:highlight w:val="none"/>
                <w:lang w:eastAsia="zh-CN"/>
              </w:rPr>
              <w:t>，</w:t>
            </w:r>
            <w:r>
              <w:rPr>
                <w:rFonts w:hint="eastAsia" w:ascii="宋体" w:hAnsi="宋体"/>
                <w:color w:val="auto"/>
                <w:szCs w:val="21"/>
                <w:highlight w:val="none"/>
              </w:rPr>
              <w:t>谈判文件第三章采购需求技术要求中:标注▲的实质性条款,提供第三方权威机构出具的证明文件原件供</w:t>
            </w:r>
            <w:r>
              <w:rPr>
                <w:rFonts w:hint="eastAsia" w:ascii="宋体" w:hAnsi="宋体"/>
                <w:color w:val="auto"/>
                <w:szCs w:val="21"/>
                <w:highlight w:val="none"/>
                <w:lang w:eastAsia="zh-CN"/>
              </w:rPr>
              <w:t>采购人</w:t>
            </w:r>
            <w:r>
              <w:rPr>
                <w:rFonts w:hint="eastAsia" w:ascii="宋体" w:hAnsi="宋体"/>
                <w:color w:val="auto"/>
                <w:szCs w:val="21"/>
                <w:highlight w:val="none"/>
              </w:rPr>
              <w:t>审核,如排名第一的供应商不能提供以上证明材料，视为虚假应标，取消其成交资格，并确定排名第二的成交候选人为成交供应商。排名第二的成交候选人因上述规定的同样原因被取消成交资格时以此顺延。</w:t>
            </w:r>
          </w:p>
          <w:p w14:paraId="01D1462E">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法定代表人负责签订合同的，须携带法定代表人身份证明原件及身份证原件等其他证明材料</w:t>
            </w:r>
            <w:r>
              <w:rPr>
                <w:rFonts w:hint="eastAsia" w:ascii="宋体" w:hAnsi="宋体"/>
                <w:color w:val="auto"/>
                <w:szCs w:val="21"/>
                <w:highlight w:val="none"/>
                <w:lang w:eastAsia="zh-CN"/>
              </w:rPr>
              <w:t>，应标品牌标的</w:t>
            </w:r>
            <w:r>
              <w:rPr>
                <w:rFonts w:hint="eastAsia" w:ascii="宋体" w:hAnsi="宋体"/>
                <w:color w:val="auto"/>
                <w:szCs w:val="21"/>
                <w:highlight w:val="none"/>
              </w:rPr>
              <w:t>驱动式雷达波测流系统、走航式 ADCP、水平式adcp</w:t>
            </w:r>
            <w:r>
              <w:rPr>
                <w:rFonts w:hint="eastAsia" w:ascii="宋体" w:hAnsi="宋体"/>
                <w:color w:val="auto"/>
                <w:szCs w:val="21"/>
                <w:highlight w:val="none"/>
                <w:lang w:eastAsia="zh-CN"/>
              </w:rPr>
              <w:t>，</w:t>
            </w:r>
            <w:bookmarkStart w:id="102" w:name="_GoBack"/>
            <w:bookmarkEnd w:id="102"/>
            <w:r>
              <w:rPr>
                <w:rFonts w:hint="eastAsia" w:ascii="宋体" w:hAnsi="宋体"/>
                <w:color w:val="auto"/>
                <w:szCs w:val="21"/>
                <w:highlight w:val="none"/>
              </w:rPr>
              <w:t>谈判文件第三章采购需求技术要求中:标注▲的实质性条款，提供第三方权威机构出具的证明文件原件供</w:t>
            </w:r>
            <w:r>
              <w:rPr>
                <w:rFonts w:hint="eastAsia" w:ascii="宋体" w:hAnsi="宋体"/>
                <w:color w:val="auto"/>
                <w:szCs w:val="21"/>
                <w:highlight w:val="none"/>
                <w:lang w:eastAsia="zh-CN"/>
              </w:rPr>
              <w:t>采购人</w:t>
            </w:r>
            <w:r>
              <w:rPr>
                <w:rFonts w:hint="eastAsia" w:ascii="宋体" w:hAnsi="宋体"/>
                <w:color w:val="auto"/>
                <w:szCs w:val="21"/>
                <w:highlight w:val="none"/>
              </w:rPr>
              <w:t>审核。如排名第一的供应商不能提供以上证明材料，视为虚假应标，取消其成交资格，并确定排名第二的成交候选人为成交供应商。排名第二的成交候选人因上述规定的同样原因被取消成交资格时以此顺延。</w:t>
            </w:r>
          </w:p>
        </w:tc>
      </w:tr>
      <w:tr w14:paraId="770AB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192332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14:paraId="60C2515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19B64F98">
            <w:pPr>
              <w:pStyle w:val="12"/>
              <w:snapToGrid w:val="0"/>
              <w:spacing w:line="360" w:lineRule="auto"/>
              <w:rPr>
                <w:rFonts w:hint="eastAsia" w:hAnsi="宋体" w:cs="宋体"/>
                <w:color w:val="auto"/>
                <w:kern w:val="2"/>
                <w:sz w:val="21"/>
                <w:highlight w:val="none"/>
              </w:rPr>
            </w:pPr>
            <w:r>
              <w:rPr>
                <w:rFonts w:hint="eastAsia" w:hAnsi="宋体" w:cs="宋体"/>
                <w:color w:val="auto"/>
                <w:kern w:val="2"/>
                <w:sz w:val="21"/>
                <w:highlight w:val="none"/>
              </w:rPr>
              <w:t>质疑联系部门及联系方式：云之龙咨询集团有限公司，联系电话：0774-3859935，通讯地址：（梧州市新兴三路30号神冠豪都B栋1单元1008号房）</w:t>
            </w:r>
          </w:p>
          <w:p w14:paraId="02183DE2">
            <w:pPr>
              <w:pStyle w:val="12"/>
              <w:snapToGrid w:val="0"/>
              <w:spacing w:line="360" w:lineRule="auto"/>
              <w:rPr>
                <w:rFonts w:hint="eastAsia" w:hAnsi="宋体" w:cs="宋体"/>
                <w:color w:val="auto"/>
                <w:kern w:val="2"/>
                <w:sz w:val="21"/>
                <w:highlight w:val="none"/>
              </w:rPr>
            </w:pPr>
            <w:r>
              <w:rPr>
                <w:rFonts w:hint="eastAsia" w:hAnsi="宋体" w:cs="宋体"/>
                <w:color w:val="auto"/>
                <w:kern w:val="2"/>
                <w:sz w:val="21"/>
                <w:highlight w:val="none"/>
              </w:rPr>
              <w:t>业务时间：工作日每天上午8时00分到12时00分，下午3时00分到6时00分。</w:t>
            </w:r>
          </w:p>
        </w:tc>
      </w:tr>
      <w:tr w14:paraId="26D8C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1C4300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.1</w:t>
            </w:r>
          </w:p>
        </w:tc>
        <w:tc>
          <w:tcPr>
            <w:tcW w:w="7912" w:type="dxa"/>
            <w:vAlign w:val="center"/>
          </w:tcPr>
          <w:p w14:paraId="0E72F2E1">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1.采购代理费支付方式：</w:t>
            </w:r>
          </w:p>
          <w:p w14:paraId="6ADC6B17">
            <w:pPr>
              <w:pStyle w:val="7"/>
              <w:rPr>
                <w:color w:val="auto"/>
                <w:highlight w:val="none"/>
                <w:u w:val="single"/>
              </w:rPr>
            </w:pPr>
            <w:r>
              <w:rPr>
                <w:rFonts w:hint="eastAsia" w:ascii="宋体" w:hAnsi="宋体" w:cs="宋体"/>
                <w:color w:val="auto"/>
                <w:highlight w:val="none"/>
              </w:rPr>
              <w:t>☑本项目代理服务费</w:t>
            </w:r>
            <w:r>
              <w:rPr>
                <w:rFonts w:hint="eastAsia"/>
                <w:color w:val="auto"/>
                <w:highlight w:val="none"/>
              </w:rPr>
              <w:t>在采购代理机构发出成交通知书后</w:t>
            </w:r>
            <w:r>
              <w:rPr>
                <w:rFonts w:hint="eastAsia"/>
                <w:color w:val="auto"/>
                <w:highlight w:val="none"/>
                <w:u w:val="single"/>
              </w:rPr>
              <w:t>3</w:t>
            </w:r>
            <w:r>
              <w:rPr>
                <w:rFonts w:hint="eastAsia"/>
                <w:color w:val="auto"/>
                <w:highlight w:val="none"/>
              </w:rPr>
              <w:t>天内由成交供应商支付。</w:t>
            </w:r>
          </w:p>
          <w:p w14:paraId="25054AE4">
            <w:pPr>
              <w:pStyle w:val="12"/>
              <w:snapToGrid w:val="0"/>
              <w:spacing w:line="360" w:lineRule="auto"/>
              <w:rPr>
                <w:rFonts w:hint="eastAsia" w:hAnsi="宋体" w:cs="宋体"/>
                <w:color w:val="auto"/>
                <w:kern w:val="2"/>
                <w:sz w:val="21"/>
                <w:highlight w:val="none"/>
              </w:rPr>
            </w:pPr>
            <w:r>
              <w:rPr>
                <w:rFonts w:hint="eastAsia" w:hAnsi="宋体" w:cs="宋体"/>
                <w:color w:val="auto"/>
                <w:kern w:val="2"/>
                <w:sz w:val="21"/>
                <w:highlight w:val="none"/>
              </w:rPr>
              <w:t>。</w:t>
            </w:r>
          </w:p>
          <w:p w14:paraId="5716D848">
            <w:pPr>
              <w:pStyle w:val="12"/>
              <w:snapToGrid w:val="0"/>
              <w:spacing w:line="360" w:lineRule="auto"/>
              <w:rPr>
                <w:rFonts w:hint="eastAsia" w:hAnsi="宋体" w:cs="宋体"/>
                <w:color w:val="auto"/>
                <w:kern w:val="2"/>
                <w:sz w:val="21"/>
                <w:highlight w:val="none"/>
              </w:rPr>
            </w:pPr>
            <w:r>
              <w:rPr>
                <w:rFonts w:hint="eastAsia" w:hAnsi="宋体" w:cs="宋体"/>
                <w:color w:val="auto"/>
                <w:kern w:val="2"/>
                <w:sz w:val="21"/>
                <w:highlight w:val="none"/>
              </w:rPr>
              <w:t>□采购人支付。</w:t>
            </w:r>
          </w:p>
          <w:p w14:paraId="227418A0">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2.采购代理费收取标准：</w:t>
            </w:r>
          </w:p>
          <w:p w14:paraId="5AE17D20">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☑以成交金额为计费额，按本须知正文第32.1条规定的货物类标准采用差额定率累进法计算出收费基准价格，采购代理收费以收费基准价格收取。</w:t>
            </w:r>
          </w:p>
          <w:p w14:paraId="178A2E03">
            <w:pPr>
              <w:pStyle w:val="12"/>
              <w:snapToGrid w:val="0"/>
              <w:spacing w:line="360" w:lineRule="auto"/>
              <w:rPr>
                <w:rFonts w:hint="eastAsia"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p w14:paraId="2B13E675">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3. 采购代理费收取银行账户</w:t>
            </w:r>
          </w:p>
          <w:p w14:paraId="357CE747">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开户名称：云之龙咨询集团有限公司梧州分公司</w:t>
            </w:r>
          </w:p>
          <w:p w14:paraId="13C1614B">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开户银行：中信银行南宁东葛支行</w:t>
            </w:r>
          </w:p>
          <w:p w14:paraId="7CBE2D32">
            <w:pPr>
              <w:pStyle w:val="12"/>
              <w:snapToGrid w:val="0"/>
              <w:spacing w:line="360" w:lineRule="auto"/>
              <w:rPr>
                <w:rFonts w:hint="eastAsia" w:hAnsi="宋体" w:cs="宋体"/>
                <w:color w:val="auto"/>
                <w:sz w:val="21"/>
                <w:highlight w:val="none"/>
                <w:u w:val="single"/>
              </w:rPr>
            </w:pPr>
            <w:r>
              <w:rPr>
                <w:rFonts w:hint="eastAsia" w:hAnsi="宋体" w:cs="宋体"/>
                <w:color w:val="auto"/>
                <w:sz w:val="21"/>
                <w:highlight w:val="none"/>
              </w:rPr>
              <w:t>银行账号：8113001014500158361</w:t>
            </w:r>
          </w:p>
        </w:tc>
      </w:tr>
      <w:tr w14:paraId="277D9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50222F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14:paraId="1E0456AB">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解释：</w:t>
            </w:r>
            <w:r>
              <w:rPr>
                <w:rFonts w:hAnsi="宋体" w:cs="宋体"/>
                <w:color w:val="auto"/>
                <w:sz w:val="21"/>
                <w:highlight w:val="none"/>
              </w:rPr>
              <w:t>构成本</w:t>
            </w:r>
            <w:r>
              <w:rPr>
                <w:rFonts w:hint="eastAsia" w:hAnsi="宋体" w:cs="宋体"/>
                <w:color w:val="auto"/>
                <w:sz w:val="21"/>
                <w:highlight w:val="none"/>
              </w:rPr>
              <w:t>谈判文件</w:t>
            </w:r>
            <w:r>
              <w:rPr>
                <w:rFonts w:hAnsi="宋体" w:cs="宋体"/>
                <w:color w:val="auto"/>
                <w:sz w:val="21"/>
                <w:highlight w:val="none"/>
              </w:rPr>
              <w:t>的各个组成文件应互为解释，互为说明；除</w:t>
            </w:r>
            <w:r>
              <w:rPr>
                <w:rFonts w:hint="eastAsia" w:hAnsi="宋体" w:cs="宋体"/>
                <w:color w:val="auto"/>
                <w:sz w:val="21"/>
                <w:highlight w:val="none"/>
              </w:rPr>
              <w:t>谈判文件</w:t>
            </w:r>
            <w:r>
              <w:rPr>
                <w:rFonts w:hAnsi="宋体" w:cs="宋体"/>
                <w:color w:val="auto"/>
                <w:sz w:val="21"/>
                <w:highlight w:val="none"/>
              </w:rPr>
              <w:t>中有特别规定外，仅适用于</w:t>
            </w:r>
            <w:r>
              <w:rPr>
                <w:rFonts w:hint="eastAsia" w:hAnsi="宋体" w:cs="宋体"/>
                <w:color w:val="auto"/>
                <w:sz w:val="21"/>
                <w:highlight w:val="none"/>
              </w:rPr>
              <w:t>竞标</w:t>
            </w:r>
            <w:r>
              <w:rPr>
                <w:rFonts w:hAnsi="宋体" w:cs="宋体"/>
                <w:color w:val="auto"/>
                <w:sz w:val="21"/>
                <w:highlight w:val="none"/>
              </w:rPr>
              <w:t>阶段的规定，按</w:t>
            </w:r>
            <w:r>
              <w:rPr>
                <w:rFonts w:hint="eastAsia" w:hAnsi="宋体" w:cs="宋体"/>
                <w:color w:val="auto"/>
                <w:sz w:val="21"/>
                <w:highlight w:val="none"/>
              </w:rPr>
              <w:t>更正公告（澄清公告）</w:t>
            </w:r>
            <w:r>
              <w:rPr>
                <w:rFonts w:hAnsi="宋体" w:cs="宋体"/>
                <w:color w:val="auto"/>
                <w:sz w:val="21"/>
                <w:highlight w:val="none"/>
              </w:rPr>
              <w:t>、</w:t>
            </w:r>
            <w:r>
              <w:rPr>
                <w:rFonts w:hint="eastAsia" w:hAnsi="宋体" w:cs="宋体"/>
                <w:color w:val="auto"/>
                <w:sz w:val="21"/>
                <w:highlight w:val="none"/>
              </w:rPr>
              <w:t>竞争性谈判</w:t>
            </w:r>
            <w:r>
              <w:rPr>
                <w:rFonts w:hAnsi="宋体" w:cs="宋体"/>
                <w:color w:val="auto"/>
                <w:sz w:val="21"/>
                <w:highlight w:val="none"/>
              </w:rPr>
              <w:t>公告、</w:t>
            </w:r>
            <w:r>
              <w:rPr>
                <w:rFonts w:hint="eastAsia" w:hAnsi="宋体" w:cs="宋体"/>
                <w:color w:val="auto"/>
                <w:sz w:val="21"/>
                <w:highlight w:val="none"/>
              </w:rPr>
              <w:t>供应商</w:t>
            </w:r>
            <w:r>
              <w:rPr>
                <w:rFonts w:hAnsi="宋体" w:cs="宋体"/>
                <w:color w:val="auto"/>
                <w:sz w:val="21"/>
                <w:highlight w:val="none"/>
              </w:rPr>
              <w:t>须知</w:t>
            </w:r>
            <w:r>
              <w:rPr>
                <w:rFonts w:hint="eastAsia" w:hAnsi="宋体" w:cs="宋体"/>
                <w:color w:val="auto"/>
                <w:sz w:val="21"/>
                <w:highlight w:val="none"/>
              </w:rPr>
              <w:t>、采购需求</w:t>
            </w:r>
            <w:r>
              <w:rPr>
                <w:rFonts w:hAnsi="宋体" w:cs="宋体"/>
                <w:color w:val="auto"/>
                <w:sz w:val="21"/>
                <w:highlight w:val="none"/>
              </w:rPr>
              <w:t>、</w:t>
            </w:r>
            <w:r>
              <w:rPr>
                <w:rFonts w:hint="eastAsia" w:hAnsi="宋体" w:cs="宋体"/>
                <w:color w:val="auto"/>
                <w:sz w:val="21"/>
                <w:highlight w:val="none"/>
              </w:rPr>
              <w:t>评审程序和评定成交的标准</w:t>
            </w:r>
            <w:r>
              <w:rPr>
                <w:rFonts w:hAnsi="宋体" w:cs="宋体"/>
                <w:color w:val="auto"/>
                <w:sz w:val="21"/>
                <w:highlight w:val="none"/>
              </w:rPr>
              <w:t>、</w:t>
            </w:r>
            <w:r>
              <w:rPr>
                <w:rFonts w:hint="eastAsia" w:hAnsi="宋体" w:cs="宋体"/>
                <w:color w:val="auto"/>
                <w:sz w:val="21"/>
                <w:highlight w:val="none"/>
              </w:rPr>
              <w:t>响应</w:t>
            </w:r>
            <w:r>
              <w:rPr>
                <w:rFonts w:hAnsi="宋体" w:cs="宋体"/>
                <w:color w:val="auto"/>
                <w:sz w:val="21"/>
                <w:highlight w:val="none"/>
              </w:rPr>
              <w:t>文件格式</w:t>
            </w:r>
            <w:r>
              <w:rPr>
                <w:rFonts w:hint="eastAsia" w:hAnsi="宋体" w:cs="宋体"/>
                <w:color w:val="auto"/>
                <w:sz w:val="21"/>
                <w:highlight w:val="none"/>
              </w:rPr>
              <w:t>、合同文本</w:t>
            </w:r>
            <w:r>
              <w:rPr>
                <w:rFonts w:hAnsi="宋体" w:cs="宋体"/>
                <w:color w:val="auto"/>
                <w:sz w:val="21"/>
                <w:highlight w:val="none"/>
              </w:rPr>
              <w:t>的先后顺序解释；同一组成文件中就同一事项的规定或约定不一致的，以编排顺序在后者为准；同一组成文件不同版本之间有不一致的，以形成时间在后者为准；</w:t>
            </w:r>
            <w:r>
              <w:rPr>
                <w:rFonts w:hint="eastAsia" w:hAnsi="宋体" w:cs="宋体"/>
                <w:color w:val="auto"/>
                <w:sz w:val="21"/>
                <w:highlight w:val="none"/>
              </w:rPr>
              <w:t>更正公告（澄清公告）</w:t>
            </w:r>
            <w:r>
              <w:rPr>
                <w:rFonts w:hAnsi="宋体" w:cs="宋体"/>
                <w:color w:val="auto"/>
                <w:sz w:val="21"/>
                <w:highlight w:val="none"/>
              </w:rPr>
              <w:t>与同步更新的</w:t>
            </w:r>
            <w:r>
              <w:rPr>
                <w:rFonts w:hint="eastAsia" w:hAnsi="宋体" w:cs="宋体"/>
                <w:color w:val="auto"/>
                <w:sz w:val="21"/>
                <w:highlight w:val="none"/>
              </w:rPr>
              <w:t>谈判文件</w:t>
            </w:r>
            <w:r>
              <w:rPr>
                <w:rFonts w:hAnsi="宋体" w:cs="宋体"/>
                <w:color w:val="auto"/>
                <w:sz w:val="21"/>
                <w:highlight w:val="none"/>
              </w:rPr>
              <w:t>不一致时以</w:t>
            </w:r>
            <w:r>
              <w:rPr>
                <w:rFonts w:hint="eastAsia" w:hAnsi="宋体" w:cs="宋体"/>
                <w:color w:val="auto"/>
                <w:sz w:val="21"/>
                <w:highlight w:val="none"/>
              </w:rPr>
              <w:t>更正公告（澄清公告）</w:t>
            </w:r>
            <w:r>
              <w:rPr>
                <w:rFonts w:hAnsi="宋体" w:cs="宋体"/>
                <w:color w:val="auto"/>
                <w:sz w:val="21"/>
                <w:highlight w:val="none"/>
              </w:rPr>
              <w:t>为准。按本款前述规定仍不能形成结论的，由</w:t>
            </w:r>
            <w:r>
              <w:rPr>
                <w:rFonts w:hint="eastAsia" w:hAnsi="宋体" w:cs="宋体"/>
                <w:color w:val="auto"/>
                <w:sz w:val="21"/>
                <w:highlight w:val="none"/>
              </w:rPr>
              <w:t>采购</w:t>
            </w:r>
            <w:r>
              <w:rPr>
                <w:rFonts w:hAnsi="宋体" w:cs="宋体"/>
                <w:color w:val="auto"/>
                <w:sz w:val="21"/>
                <w:highlight w:val="none"/>
              </w:rPr>
              <w:t>人</w:t>
            </w:r>
            <w:r>
              <w:rPr>
                <w:rFonts w:hint="eastAsia" w:hAnsi="宋体" w:cs="宋体"/>
                <w:color w:val="auto"/>
                <w:sz w:val="21"/>
                <w:highlight w:val="none"/>
              </w:rPr>
              <w:t>或者采购代理机构</w:t>
            </w:r>
            <w:r>
              <w:rPr>
                <w:rFonts w:hAnsi="宋体" w:cs="宋体"/>
                <w:color w:val="auto"/>
                <w:sz w:val="21"/>
                <w:highlight w:val="none"/>
              </w:rPr>
              <w:t>负责解释。</w:t>
            </w:r>
          </w:p>
        </w:tc>
      </w:tr>
      <w:tr w14:paraId="4A38B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83EA12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vAlign w:val="center"/>
          </w:tcPr>
          <w:p w14:paraId="35B8659A">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7E1E8D06">
            <w:pPr>
              <w:pStyle w:val="12"/>
              <w:snapToGrid w:val="0"/>
              <w:spacing w:line="360" w:lineRule="auto"/>
              <w:rPr>
                <w:rFonts w:hint="eastAsia" w:hAnsi="宋体" w:cs="宋体"/>
                <w:bCs/>
                <w:color w:val="auto"/>
                <w:sz w:val="21"/>
                <w:highlight w:val="none"/>
              </w:rPr>
            </w:pPr>
            <w:r>
              <w:rPr>
                <w:rFonts w:hint="eastAsia" w:hAnsi="宋体" w:cs="宋体"/>
                <w:bCs/>
                <w:color w:val="auto"/>
                <w:sz w:val="21"/>
                <w:highlight w:val="none"/>
              </w:rPr>
              <w:t>2.本谈判文件所称的“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75151557">
            <w:pPr>
              <w:pStyle w:val="12"/>
              <w:snapToGrid w:val="0"/>
              <w:spacing w:line="360" w:lineRule="auto"/>
              <w:rPr>
                <w:rFonts w:hint="eastAsia" w:hAnsi="宋体" w:cs="宋体"/>
                <w:bCs/>
                <w:color w:val="auto"/>
                <w:sz w:val="21"/>
                <w:highlight w:val="none"/>
              </w:rPr>
            </w:pPr>
            <w:r>
              <w:rPr>
                <w:rFonts w:hint="eastAsia" w:hAnsi="宋体" w:cs="宋体"/>
                <w:color w:val="auto"/>
                <w:sz w:val="21"/>
                <w:highlight w:val="none"/>
              </w:rPr>
              <w:t>3.供应商为其他组织或者自然人时，本谈判文件规定的法定代表人指负责人或者自然人。本谈判文件所称负责人是指参加竞标的其他组织</w:t>
            </w:r>
            <w:r>
              <w:rPr>
                <w:rFonts w:hint="eastAsia" w:hAnsi="宋体" w:cs="宋体"/>
                <w:bCs/>
                <w:color w:val="auto"/>
                <w:sz w:val="21"/>
                <w:highlight w:val="none"/>
              </w:rPr>
              <w:t>营业执照或者执业许可证等证照上</w:t>
            </w:r>
            <w:r>
              <w:rPr>
                <w:rFonts w:hint="eastAsia" w:hAnsi="宋体" w:cs="宋体"/>
                <w:color w:val="auto"/>
                <w:sz w:val="21"/>
                <w:highlight w:val="none"/>
              </w:rPr>
              <w:t>的负责人，本谈判文件所称自然人指参与竞标的自然人本人，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44E095AE">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4.本谈判文件中描述供应商的“签字”是指供应商的法定代表人或者委托代理人亲自在文件规定签署处亲笔写上个人的名字的行为，私章、签字章、印鉴、影印等其他形式均不能代替亲笔签字。</w:t>
            </w:r>
          </w:p>
          <w:p w14:paraId="76DAFD6A">
            <w:pPr>
              <w:pStyle w:val="12"/>
              <w:snapToGrid w:val="0"/>
              <w:spacing w:line="360" w:lineRule="auto"/>
              <w:rPr>
                <w:rFonts w:hint="eastAsia" w:hAnsi="宋体" w:cs="宋体"/>
                <w:color w:val="auto"/>
                <w:sz w:val="21"/>
                <w:highlight w:val="none"/>
              </w:rPr>
            </w:pPr>
            <w:r>
              <w:rPr>
                <w:rFonts w:hAnsi="宋体" w:cs="宋体"/>
                <w:color w:val="auto"/>
                <w:sz w:val="21"/>
                <w:highlight w:val="none"/>
              </w:rPr>
              <w:t>5.</w:t>
            </w:r>
            <w:r>
              <w:rPr>
                <w:rFonts w:hint="eastAsia" w:hAnsi="宋体" w:cs="宋体"/>
                <w:color w:val="auto"/>
                <w:sz w:val="21"/>
                <w:highlight w:val="none"/>
              </w:rPr>
              <w:t>本谈判文件所称的“以上”“以下”“以内”“届满”，包括本数；所称的“不满”“超过”“以外”，不包括本数。</w:t>
            </w:r>
          </w:p>
        </w:tc>
      </w:tr>
    </w:tbl>
    <w:p w14:paraId="7CD55A5A">
      <w:pPr>
        <w:spacing w:line="400" w:lineRule="exact"/>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1FF81CD8">
      <w:pPr>
        <w:spacing w:line="400" w:lineRule="exact"/>
        <w:jc w:val="center"/>
        <w:rPr>
          <w:rFonts w:hint="eastAsia" w:ascii="宋体" w:hAnsi="宋体"/>
          <w:b/>
          <w:color w:val="auto"/>
          <w:sz w:val="32"/>
          <w:szCs w:val="32"/>
          <w:highlight w:val="none"/>
        </w:rPr>
      </w:pPr>
    </w:p>
    <w:p w14:paraId="0C773E8C">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一、总则</w:t>
      </w:r>
    </w:p>
    <w:p w14:paraId="55A73D8D">
      <w:pPr>
        <w:spacing w:line="400" w:lineRule="exact"/>
        <w:rPr>
          <w:rFonts w:hint="eastAsia" w:ascii="宋体" w:hAnsi="宋体"/>
          <w:color w:val="auto"/>
          <w:szCs w:val="21"/>
          <w:highlight w:val="none"/>
        </w:rPr>
      </w:pPr>
    </w:p>
    <w:p w14:paraId="0BF1290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 适用范围</w:t>
      </w:r>
    </w:p>
    <w:p w14:paraId="3DBF02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63E0FA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本竞争性谈判文件（以下简称谈判文件）适用于本项目的所有采购程序和环节（法律、法规另有规定的，从其规定）。</w:t>
      </w:r>
    </w:p>
    <w:p w14:paraId="48EC1D4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 定义</w:t>
      </w:r>
    </w:p>
    <w:p w14:paraId="252CB6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3F5357A5">
      <w:pPr>
        <w:spacing w:line="360" w:lineRule="auto"/>
        <w:ind w:firstLine="420" w:firstLineChars="200"/>
        <w:rPr>
          <w:rFonts w:hint="eastAsia" w:ascii="宋体" w:hAnsi="宋体"/>
          <w:b/>
          <w:color w:val="auto"/>
          <w:szCs w:val="21"/>
          <w:highlight w:val="none"/>
        </w:rPr>
      </w:pPr>
      <w:r>
        <w:rPr>
          <w:rFonts w:hint="eastAsia" w:ascii="宋体" w:hAnsi="宋体" w:cs="宋体"/>
          <w:color w:val="auto"/>
          <w:szCs w:val="21"/>
          <w:highlight w:val="none"/>
        </w:rPr>
        <w:t>2.2“采购代理机构”</w:t>
      </w:r>
      <w:r>
        <w:rPr>
          <w:rFonts w:hint="eastAsia" w:ascii="宋体" w:hAnsi="宋体"/>
          <w:b/>
          <w:color w:val="auto"/>
          <w:szCs w:val="21"/>
          <w:highlight w:val="none"/>
        </w:rPr>
        <w:t>是指政府采购集中采购机构和集中采购机构以外的采购代理机构。</w:t>
      </w:r>
    </w:p>
    <w:p w14:paraId="7B5618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30E3A7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14:paraId="28A331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2.5“竞标”是指按照本项目竞争性谈判公告或者邀请函规定的方式供应商获取谈判文件、提交响应文件并希望获得标的的行为。</w:t>
      </w:r>
    </w:p>
    <w:p w14:paraId="17A6E7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2.6“售后服务” 是指包含但不限于供应商须承担的备品备件、包装、运输、装卸、保险、货到就位以及安装、调试、培训、保修和其他类似的义务。</w:t>
      </w:r>
    </w:p>
    <w:p w14:paraId="79100B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2.7“书面形式”是指合同书、信件和数据电文（包括电报、电传、传真、电子数据交换和电子邮件）等可以有形地表现所载内容的形式。</w:t>
      </w:r>
    </w:p>
    <w:p w14:paraId="779951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2.8“响应文件”</w:t>
      </w:r>
      <w:r>
        <w:rPr>
          <w:rFonts w:hint="eastAsia" w:ascii="宋体" w:hAnsi="宋体" w:cs="宋体"/>
          <w:color w:val="auto"/>
          <w:spacing w:val="-6"/>
          <w:szCs w:val="21"/>
          <w:highlight w:val="none"/>
        </w:rPr>
        <w:t>是指：供应商根据本谈判文件要求，编制包含资格证明、报价、商务技术等所有内容的文件。</w:t>
      </w:r>
    </w:p>
    <w:p w14:paraId="4FC599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 “实质性要求”是指采购需求中带“▲”的条款或者不能负偏离的条款或者已经指明不满足按响应文件按无效处理的条款。</w:t>
      </w:r>
    </w:p>
    <w:p w14:paraId="6AA0E9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2.10“正偏离”，是指响应文件对谈判文件“采购需求”中有关条款作出优于条款要求并有利于采购人的响应情形；</w:t>
      </w:r>
    </w:p>
    <w:p w14:paraId="3A1A6D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2.11“负偏离”，是指响应文件对谈判文件“采购需求”中有关条款作出的响应不满足条款要求，导致采购人要求不能得到满足的情形。</w:t>
      </w:r>
    </w:p>
    <w:p w14:paraId="22F4DF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2.12“允许负偏离的条款”是指采购需求中的不属于“实质性要求”的条款。</w:t>
      </w:r>
    </w:p>
    <w:p w14:paraId="2730BC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2.13“首次报价”是指供应商提交的首次响应文件中的竞标报价。</w:t>
      </w:r>
    </w:p>
    <w:p w14:paraId="13C7CE21">
      <w:pPr>
        <w:spacing w:line="360" w:lineRule="auto"/>
        <w:ind w:firstLine="482" w:firstLineChars="200"/>
        <w:contextualSpacing/>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 供应商的资格条件</w:t>
      </w:r>
    </w:p>
    <w:p w14:paraId="733B90AA">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4F29D14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 竞标费用</w:t>
      </w:r>
    </w:p>
    <w:p w14:paraId="124F67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14:paraId="0B40262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37057B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6852EC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bCs/>
          <w:color w:val="auto"/>
          <w:szCs w:val="21"/>
          <w:highlight w:val="none"/>
        </w:rPr>
        <w:t>如接受联合体竞标，</w:t>
      </w:r>
      <w:r>
        <w:rPr>
          <w:rFonts w:hint="eastAsia" w:ascii="宋体" w:hAnsi="宋体" w:cs="宋体"/>
          <w:color w:val="auto"/>
          <w:szCs w:val="21"/>
          <w:highlight w:val="none"/>
        </w:rPr>
        <w:t>联合体竞标要求详见“供应商须知前附表”。</w:t>
      </w:r>
    </w:p>
    <w:p w14:paraId="505709F2">
      <w:pPr>
        <w:spacing w:line="360" w:lineRule="auto"/>
        <w:ind w:firstLine="420" w:firstLineChars="200"/>
        <w:rPr>
          <w:rFonts w:hint="eastAsia" w:ascii="宋体" w:hAnsi="宋体"/>
          <w:bCs/>
          <w:color w:val="auto"/>
          <w:szCs w:val="21"/>
          <w:highlight w:val="none"/>
        </w:rPr>
      </w:pPr>
      <w:bookmarkStart w:id="72" w:name="_Hlk66782192"/>
      <w:r>
        <w:rPr>
          <w:rFonts w:hint="eastAsia" w:ascii="宋体" w:hAnsi="宋体"/>
          <w:bCs/>
          <w:color w:val="auto"/>
          <w:szCs w:val="21"/>
          <w:highlight w:val="none"/>
        </w:rPr>
        <w:t>5.3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72"/>
    </w:p>
    <w:p w14:paraId="3625735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55C59B34">
      <w:pPr>
        <w:pStyle w:val="4"/>
        <w:keepNext w:val="0"/>
        <w:keepLines w:val="0"/>
        <w:spacing w:before="0" w:after="0" w:line="360" w:lineRule="auto"/>
        <w:ind w:left="420" w:leftChars="200"/>
        <w:rPr>
          <w:rFonts w:hint="eastAsia" w:ascii="宋体" w:hAnsi="宋体"/>
          <w:b w:val="0"/>
          <w:color w:val="auto"/>
          <w:sz w:val="21"/>
          <w:szCs w:val="21"/>
          <w:highlight w:val="none"/>
        </w:rPr>
      </w:pPr>
      <w:bookmarkStart w:id="73" w:name="_Toc254970532"/>
      <w:bookmarkStart w:id="74" w:name="_Toc254970673"/>
      <w:r>
        <w:rPr>
          <w:rFonts w:hint="eastAsia" w:ascii="宋体" w:hAnsi="宋体"/>
          <w:b w:val="0"/>
          <w:color w:val="auto"/>
          <w:sz w:val="21"/>
          <w:szCs w:val="21"/>
          <w:highlight w:val="none"/>
        </w:rPr>
        <w:t>6.1本项目不允许转包。</w:t>
      </w:r>
    </w:p>
    <w:p w14:paraId="18DFFD40">
      <w:pPr>
        <w:pStyle w:val="4"/>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的行政许可。</w:t>
      </w:r>
    </w:p>
    <w:p w14:paraId="64032E2E">
      <w:pPr>
        <w:pStyle w:val="4"/>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690F81C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73"/>
      <w:bookmarkEnd w:id="74"/>
    </w:p>
    <w:p w14:paraId="12F3E002">
      <w:pPr>
        <w:spacing w:line="360" w:lineRule="auto"/>
        <w:ind w:firstLine="420" w:firstLineChars="200"/>
        <w:rPr>
          <w:rFonts w:hint="eastAsia" w:ascii="宋体" w:hAnsi="宋体" w:cs="宋体"/>
          <w:color w:val="auto"/>
          <w:szCs w:val="21"/>
          <w:highlight w:val="none"/>
        </w:rPr>
      </w:pPr>
      <w:bookmarkStart w:id="75" w:name="_8.1提供相同品牌产品且通过资格审查、符合性审查的不同投标人参加同一合"/>
      <w:bookmarkEnd w:id="75"/>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"_8.1"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7.1</w:t>
      </w:r>
      <w:r>
        <w:rPr>
          <w:rFonts w:hint="eastAsia" w:ascii="宋体" w:hAnsi="宋体" w:cs="宋体"/>
          <w:color w:val="auto"/>
          <w:szCs w:val="21"/>
          <w:highlight w:val="none"/>
        </w:rPr>
        <w:fldChar w:fldCharType="end"/>
      </w:r>
      <w:r>
        <w:rPr>
          <w:rFonts w:hint="eastAsia" w:ascii="宋体" w:hAnsi="宋体" w:cs="宋体"/>
          <w:color w:val="auto"/>
          <w:szCs w:val="21"/>
          <w:highlight w:val="none"/>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供应商推荐资格，其他响应文件按无效处理。</w:t>
      </w:r>
    </w:p>
    <w:p w14:paraId="30E55F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w:t>
      </w:r>
    </w:p>
    <w:p w14:paraId="6A831E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w:t>
      </w:r>
      <w:r>
        <w:rPr>
          <w:rFonts w:hint="eastAsia" w:ascii="宋体" w:hAnsi="宋体"/>
          <w:color w:val="auto"/>
          <w:szCs w:val="21"/>
          <w:highlight w:val="none"/>
        </w:rPr>
        <w:t xml:space="preserve">如果本谈判文件要求提供供应商或制造商的资格、信誉、荣誉、业绩与企业认证等材料的，资格、信誉、荣誉、业绩与企业认证等必须为供应商或者制造商所拥有或自身获得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p w14:paraId="432C19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7.3供应商应仔细阅读谈判文件的所有内容，按照谈判文件的要求提交响应文件，并对所提供的全部资料的真实性承担法律责任。</w:t>
      </w:r>
    </w:p>
    <w:p w14:paraId="0DCCA9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7FA1D5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7.5在政府采购活动中，采购人员及相关人员与供应商有下列利害关系之一的，应当回避：</w:t>
      </w:r>
    </w:p>
    <w:p w14:paraId="7E82CF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7B59EB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3A835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271DC3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3BE565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6A8128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7FD60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7.6有下列情形之一的视为供应商相互串通竞标，响应文件将被视为无效：</w:t>
      </w:r>
    </w:p>
    <w:p w14:paraId="4E612A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00ACED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051A7C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6426F6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45BADF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2D0AB2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（6）不同供应商的竞标保证金从同一单位或者个人账户转出。</w:t>
      </w:r>
    </w:p>
    <w:p w14:paraId="0E7004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7.7供应商有下列情形之一的，属于恶意串通行为</w:t>
      </w:r>
      <w:bookmarkStart w:id="76" w:name="_Hlk54682620"/>
      <w:r>
        <w:rPr>
          <w:rFonts w:hint="eastAsia" w:ascii="宋体" w:hAnsi="宋体" w:cs="宋体"/>
          <w:color w:val="auto"/>
          <w:szCs w:val="21"/>
          <w:highlight w:val="none"/>
        </w:rPr>
        <w:t>，将报同级监督管理部门</w:t>
      </w:r>
      <w:bookmarkEnd w:id="76"/>
      <w:r>
        <w:rPr>
          <w:rFonts w:hint="eastAsia" w:ascii="宋体" w:hAnsi="宋体" w:cs="宋体"/>
          <w:color w:val="auto"/>
          <w:szCs w:val="21"/>
          <w:highlight w:val="none"/>
        </w:rPr>
        <w:t>：</w:t>
      </w:r>
    </w:p>
    <w:p w14:paraId="7A7A5C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434906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637B73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120EAD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581801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2C081C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4E4327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013DCD88">
      <w:pPr>
        <w:spacing w:line="360" w:lineRule="auto"/>
        <w:ind w:left="1" w:firstLine="417" w:firstLineChars="199"/>
        <w:jc w:val="center"/>
        <w:rPr>
          <w:rFonts w:hint="eastAsia" w:ascii="宋体" w:hAnsi="宋体"/>
          <w:color w:val="auto"/>
          <w:highlight w:val="none"/>
        </w:rPr>
      </w:pPr>
      <w:bookmarkStart w:id="77" w:name="_Toc254970675"/>
      <w:bookmarkStart w:id="78" w:name="_Toc254970534"/>
    </w:p>
    <w:p w14:paraId="3B028989">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二、谈判文件</w:t>
      </w:r>
      <w:bookmarkEnd w:id="77"/>
      <w:bookmarkEnd w:id="78"/>
    </w:p>
    <w:p w14:paraId="6B633046">
      <w:pPr>
        <w:spacing w:line="360" w:lineRule="auto"/>
        <w:jc w:val="center"/>
        <w:rPr>
          <w:rFonts w:hint="eastAsia" w:ascii="宋体" w:hAnsi="宋体"/>
          <w:color w:val="auto"/>
          <w:szCs w:val="21"/>
          <w:highlight w:val="none"/>
        </w:rPr>
      </w:pPr>
    </w:p>
    <w:p w14:paraId="573FDB2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8.谈判文件的构成</w:t>
      </w:r>
    </w:p>
    <w:p w14:paraId="47C6317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（1）竞争性谈判公告；</w:t>
      </w:r>
    </w:p>
    <w:p w14:paraId="1964901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（2）供应商须知； </w:t>
      </w:r>
    </w:p>
    <w:p w14:paraId="41F80DA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（3）采购需求；</w:t>
      </w:r>
    </w:p>
    <w:p w14:paraId="6431B1D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（4）响应文件格式</w:t>
      </w:r>
    </w:p>
    <w:p w14:paraId="617F5E1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（5）合同文本；</w:t>
      </w:r>
    </w:p>
    <w:p w14:paraId="6E4976E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（6）评审程序和评定成交的标准；</w:t>
      </w:r>
    </w:p>
    <w:p w14:paraId="1363D1B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77702F5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供应商应认真阅读谈判文件的采购需求，如供应商对谈判文件有疑问的，如要求采购人作出澄清或者修改的，供应商尽可能在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25D4233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10.谈判文件的澄清和修改</w:t>
      </w:r>
    </w:p>
    <w:p w14:paraId="565811A8">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0BAA2C9B">
      <w:pPr>
        <w:spacing w:line="360" w:lineRule="auto"/>
        <w:rPr>
          <w:rFonts w:hint="eastAsia" w:ascii="宋体" w:hAnsi="宋体"/>
          <w:color w:val="auto"/>
          <w:szCs w:val="21"/>
          <w:highlight w:val="none"/>
        </w:rPr>
      </w:pPr>
    </w:p>
    <w:p w14:paraId="1A7DF03B">
      <w:pPr>
        <w:spacing w:line="360" w:lineRule="auto"/>
        <w:jc w:val="center"/>
        <w:rPr>
          <w:rFonts w:hint="eastAsia" w:ascii="宋体" w:hAnsi="宋体"/>
          <w:b/>
          <w:color w:val="auto"/>
          <w:szCs w:val="21"/>
          <w:highlight w:val="none"/>
        </w:rPr>
      </w:pPr>
      <w:r>
        <w:rPr>
          <w:rFonts w:hint="eastAsia" w:ascii="宋体" w:hAnsi="宋体"/>
          <w:b/>
          <w:color w:val="auto"/>
          <w:sz w:val="32"/>
          <w:szCs w:val="32"/>
          <w:highlight w:val="none"/>
        </w:rPr>
        <w:t>三、响应文件的编制</w:t>
      </w:r>
    </w:p>
    <w:p w14:paraId="6C75CA91">
      <w:pPr>
        <w:spacing w:line="360" w:lineRule="auto"/>
        <w:rPr>
          <w:rFonts w:hint="eastAsia" w:ascii="宋体" w:hAnsi="宋体"/>
          <w:color w:val="auto"/>
          <w:szCs w:val="21"/>
          <w:highlight w:val="none"/>
        </w:rPr>
      </w:pPr>
    </w:p>
    <w:p w14:paraId="7DE9134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7195C6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14:paraId="19DB447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0BDEC3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w:t>
      </w:r>
      <w:r>
        <w:rPr>
          <w:rFonts w:hint="eastAsia" w:ascii="宋体" w:hAnsi="宋体" w:cs="宋体"/>
          <w:color w:val="auto"/>
          <w:szCs w:val="21"/>
          <w:highlight w:val="none"/>
        </w:rPr>
        <w:t>响应文件由资格证明文件、报价文件、商务技术文件三部分组成。</w:t>
      </w:r>
    </w:p>
    <w:p w14:paraId="7C0D541E">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r>
        <w:rPr>
          <w:rFonts w:hint="eastAsia" w:ascii="宋体" w:hAnsi="宋体" w:cs="宋体"/>
          <w:color w:val="auto"/>
          <w:szCs w:val="21"/>
          <w:highlight w:val="none"/>
        </w:rPr>
        <w:t>资格证明文件：详见“供应商须知前附表”</w:t>
      </w:r>
    </w:p>
    <w:p w14:paraId="26610ABF">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2报价文件：详见“供应商须知前附表”</w:t>
      </w:r>
    </w:p>
    <w:p w14:paraId="73E600FF">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59C13F0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659AF9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05696CC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387E6B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供应商没有按照谈判文件要求提供全部资料，或者供应商没有对谈判文件在各方面作出实质性响应可能导致其响应文件按无效处理，是供应商应当考虑的风险。</w:t>
      </w:r>
    </w:p>
    <w:p w14:paraId="64FE487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0A2E1A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15.1竞标报价应按谈判文件中“竞标报价表”格式填写。</w:t>
      </w:r>
    </w:p>
    <w:p w14:paraId="25C8E414">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15.2竞标报价的内容详见“供应商须知前附表”。</w:t>
      </w:r>
    </w:p>
    <w:p w14:paraId="26E2A6AA">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15.3竞标报价要求</w:t>
      </w:r>
    </w:p>
    <w:p w14:paraId="602081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5A18D37A">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0575C3B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不得存在漏项报价；</w:t>
      </w:r>
    </w:p>
    <w:p w14:paraId="11E125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055591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竞标报价（包含首次报价、最后报价）超过所竞标分标规定的采购预算金额或者最高限价的，其响应文件将按无效处理。</w:t>
      </w:r>
    </w:p>
    <w:p w14:paraId="3EAA52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r>
        <w:rPr>
          <w:rFonts w:hint="eastAsia" w:ascii="宋体" w:hAnsi="宋体" w:cs="宋体"/>
          <w:color w:val="auto"/>
          <w:szCs w:val="21"/>
          <w:highlight w:val="none"/>
        </w:rPr>
        <w:t>竞标报价（包含首次报价、最后报价）超过分项采购预算金额或者最高限价的，其响应文件将按无效处理。</w:t>
      </w:r>
    </w:p>
    <w:p w14:paraId="272F9E3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68D637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D2731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r>
        <w:rPr>
          <w:rFonts w:hint="eastAsia" w:ascii="宋体" w:hAnsi="宋体"/>
          <w:color w:val="auto"/>
          <w:szCs w:val="21"/>
          <w:highlight w:val="none"/>
        </w:rPr>
        <w:t>承诺的竞标有效期低于采购文件规定期限的，供应商的响应文件作无效处理。</w:t>
      </w:r>
    </w:p>
    <w:p w14:paraId="63B505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329C580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17.竞标保证金</w:t>
      </w:r>
    </w:p>
    <w:p w14:paraId="32EA76D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17.1供应商须按“供应商须知前附表”的规定提交竞标保证金。</w:t>
      </w:r>
    </w:p>
    <w:p w14:paraId="67DEC018">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17.2竞标保证金的退还</w:t>
      </w:r>
    </w:p>
    <w:p w14:paraId="677C41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olor w:val="auto"/>
          <w:szCs w:val="21"/>
          <w:highlight w:val="none"/>
        </w:rPr>
        <w:t>；</w:t>
      </w:r>
      <w:r>
        <w:rPr>
          <w:rFonts w:hint="eastAsia" w:ascii="宋体" w:hAnsi="宋体" w:cs="宋体"/>
          <w:color w:val="auto"/>
          <w:szCs w:val="21"/>
          <w:highlight w:val="none"/>
        </w:rPr>
        <w:t xml:space="preserve">成交供应商的竞标保证金自签订合同之日起5个工作日内退还。 </w:t>
      </w:r>
    </w:p>
    <w:p w14:paraId="24E2B02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17.3竞标保证金不计息。</w:t>
      </w:r>
    </w:p>
    <w:p w14:paraId="278C4E9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17.4供应商有下列情形之一的，竞标保证金将不予退还： </w:t>
      </w:r>
    </w:p>
    <w:p w14:paraId="4CB0A856">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3036DA23">
      <w:pPr>
        <w:spacing w:line="360" w:lineRule="auto"/>
        <w:ind w:left="420" w:leftChars="200"/>
        <w:rPr>
          <w:rFonts w:hint="eastAsia" w:ascii="宋体" w:hAnsi="宋体" w:cs="宋体"/>
          <w:color w:val="auto"/>
          <w:szCs w:val="21"/>
          <w:highlight w:val="none"/>
        </w:rPr>
      </w:pPr>
      <w:r>
        <w:rPr>
          <w:rFonts w:hint="eastAsia" w:ascii="宋体" w:hAnsi="宋体"/>
          <w:color w:val="auto"/>
          <w:szCs w:val="21"/>
          <w:highlight w:val="none"/>
        </w:rPr>
        <w:t>（2）未按规定提交履约保证金的；</w:t>
      </w:r>
    </w:p>
    <w:p w14:paraId="435B43F6">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1F4B06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（4）除因不可抗力或者谈判文件认可的情形以外，成交供应商不与采购人签订合同的；</w:t>
      </w:r>
    </w:p>
    <w:p w14:paraId="1C4A85F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72030E87">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14:paraId="7A51462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 响应文件编制的要求</w:t>
      </w:r>
    </w:p>
    <w:p w14:paraId="1AFD42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供应商应按照本项目谈判文件规定的格式和顺序和广西政府采购云平台的要求编制并加密。响应文件内容不完整、编排混乱导致响应文件被误读、漏读或者查找不到相关内容的，由此引发的后果由供应商承担。</w:t>
      </w:r>
    </w:p>
    <w:p w14:paraId="00F782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3254F5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w:t>
      </w:r>
      <w:r>
        <w:rPr>
          <w:rFonts w:hint="eastAsia" w:ascii="宋体" w:hAnsi="宋体" w:cs="宋体"/>
          <w:b/>
          <w:bCs/>
          <w:color w:val="auto"/>
          <w:szCs w:val="21"/>
          <w:highlight w:val="none"/>
        </w:rPr>
        <w:t>否则按无效响应处理</w:t>
      </w:r>
      <w:r>
        <w:rPr>
          <w:rFonts w:hint="eastAsia" w:ascii="宋体" w:hAnsi="宋体" w:cs="宋体"/>
          <w:color w:val="auto"/>
          <w:szCs w:val="21"/>
          <w:highlight w:val="none"/>
        </w:rPr>
        <w:t>。</w:t>
      </w:r>
    </w:p>
    <w:p w14:paraId="005E33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w:t>
      </w:r>
      <w:r>
        <w:rPr>
          <w:rFonts w:hint="eastAsia"/>
          <w:b/>
          <w:bCs/>
          <w:color w:val="auto"/>
          <w:highlight w:val="none"/>
        </w:rPr>
        <w:t>并与广西政府采购云平台中获取采购文件的供应商名称一致。</w:t>
      </w:r>
      <w:r>
        <w:rPr>
          <w:rFonts w:hint="eastAsia" w:ascii="宋体" w:hAnsi="宋体" w:cs="宋体"/>
          <w:color w:val="auto"/>
          <w:szCs w:val="21"/>
          <w:highlight w:val="none"/>
        </w:rPr>
        <w:t>供应商为自然人的，标注的供应商名称应与身份证姓名及签名一致，</w:t>
      </w:r>
      <w:r>
        <w:rPr>
          <w:rFonts w:hint="eastAsia" w:ascii="宋体" w:hAnsi="宋体" w:cs="宋体"/>
          <w:b/>
          <w:bCs/>
          <w:color w:val="auto"/>
          <w:szCs w:val="21"/>
          <w:highlight w:val="none"/>
        </w:rPr>
        <w:t>否则其响应文件按无效响应处理</w:t>
      </w:r>
      <w:r>
        <w:rPr>
          <w:rFonts w:hint="eastAsia" w:ascii="宋体" w:hAnsi="宋体" w:cs="宋体"/>
          <w:color w:val="auto"/>
          <w:szCs w:val="21"/>
          <w:highlight w:val="none"/>
        </w:rPr>
        <w:t>。</w:t>
      </w:r>
    </w:p>
    <w:p w14:paraId="38EEF5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424366F7">
      <w:pPr>
        <w:spacing w:line="360" w:lineRule="auto"/>
        <w:ind w:firstLine="482" w:firstLineChars="200"/>
        <w:rPr>
          <w:rFonts w:hint="eastAsia"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2ED1DF95">
      <w:pPr>
        <w:spacing w:line="360" w:lineRule="auto"/>
        <w:ind w:firstLine="420" w:firstLineChars="200"/>
        <w:rPr>
          <w:rFonts w:hint="eastAsia" w:ascii="黑体" w:hAnsi="黑体" w:eastAsia="黑体"/>
          <w:color w:val="auto"/>
          <w:sz w:val="24"/>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”的文件，是否接受电子备份响应文件详见</w:t>
      </w:r>
      <w:r>
        <w:rPr>
          <w:rFonts w:hint="eastAsia" w:hAnsi="宋体"/>
          <w:bCs/>
          <w:color w:val="auto"/>
          <w:szCs w:val="21"/>
          <w:highlight w:val="none"/>
        </w:rPr>
        <w:t>“供应商须知前附表”。</w:t>
      </w:r>
    </w:p>
    <w:p w14:paraId="447B266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437D1E00">
      <w:pPr>
        <w:spacing w:line="360" w:lineRule="auto"/>
        <w:ind w:firstLine="420" w:firstLineChars="200"/>
        <w:rPr>
          <w:rFonts w:hint="eastAsia"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r>
        <w:rPr>
          <w:rFonts w:hint="eastAsia" w:hAnsi="宋体"/>
          <w:b/>
          <w:color w:val="auto"/>
          <w:highlight w:val="none"/>
        </w:rPr>
        <w:t xml:space="preserve"> </w:t>
      </w:r>
    </w:p>
    <w:p w14:paraId="31F4C503">
      <w:pPr>
        <w:spacing w:line="360" w:lineRule="auto"/>
        <w:ind w:firstLine="422" w:firstLineChars="200"/>
        <w:rPr>
          <w:rFonts w:hint="eastAsia" w:ascii="宋体" w:hAnsi="宋体"/>
          <w:b/>
          <w:color w:val="auto"/>
          <w:szCs w:val="20"/>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未在规定时间内提交或者未按照谈判文件要求加密的电子响应文件，广西政府采购云平台将拒收。</w:t>
      </w:r>
    </w:p>
    <w:p w14:paraId="1636C3D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4E047223">
      <w:pPr>
        <w:snapToGrid w:val="0"/>
        <w:spacing w:line="360" w:lineRule="auto"/>
        <w:ind w:firstLine="420"/>
        <w:jc w:val="left"/>
        <w:rPr>
          <w:rFonts w:hint="eastAsia" w:ascii="宋体" w:hAnsi="宋体"/>
          <w:color w:val="auto"/>
          <w:szCs w:val="21"/>
          <w:highlight w:val="none"/>
        </w:rPr>
      </w:pPr>
      <w:bookmarkStart w:id="79" w:name="_Toc254970543"/>
      <w:bookmarkStart w:id="80" w:name="_Toc254970684"/>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79"/>
    <w:bookmarkEnd w:id="80"/>
    <w:p w14:paraId="1B9B90CB">
      <w:pPr>
        <w:pStyle w:val="53"/>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3A0E7AB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22.响应文件的退回</w:t>
      </w:r>
    </w:p>
    <w:p w14:paraId="58857B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13E33EE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0FF0DEBD">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供应商在响应文件提交截止时间后向采购人、采购代理机构书面申请撤回响应文件的，将根据本须知正文第17.4条的规定不予退还其竞标保证金。</w:t>
      </w:r>
    </w:p>
    <w:p w14:paraId="269DC2B1">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四、评审及谈判</w:t>
      </w:r>
    </w:p>
    <w:p w14:paraId="0D42C577">
      <w:pPr>
        <w:spacing w:line="360" w:lineRule="auto"/>
        <w:ind w:left="420" w:firstLine="420"/>
        <w:rPr>
          <w:rFonts w:hint="eastAsia" w:ascii="宋体" w:hAnsi="宋体"/>
          <w:color w:val="auto"/>
          <w:szCs w:val="21"/>
          <w:highlight w:val="none"/>
        </w:rPr>
      </w:pPr>
    </w:p>
    <w:p w14:paraId="559E0C7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24.谈判小组成立</w:t>
      </w:r>
    </w:p>
    <w:p w14:paraId="2B503D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404D26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6AC4B03E">
      <w:pPr>
        <w:spacing w:line="360" w:lineRule="auto"/>
        <w:ind w:firstLine="420" w:firstLineChars="200"/>
        <w:rPr>
          <w:rFonts w:hint="eastAsia" w:hAnsi="宋体"/>
          <w:bCs/>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16AA36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24.4参加过采购项目前期咨询论证的专家，不得参加该采购项目的评审活动。</w:t>
      </w:r>
    </w:p>
    <w:p w14:paraId="1AEC6B22">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 xml:space="preserve"> 首次响应文件的开启和解密</w:t>
      </w:r>
    </w:p>
    <w:p w14:paraId="7AD6BF94">
      <w:pPr>
        <w:spacing w:line="360" w:lineRule="auto"/>
        <w:ind w:firstLine="420"/>
        <w:rPr>
          <w:rFonts w:hint="eastAsia" w:ascii="黑体" w:hAnsi="黑体" w:eastAsia="黑体" w:cs="宋体"/>
          <w:b/>
          <w:bCs/>
          <w:color w:val="auto"/>
          <w:sz w:val="24"/>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间通过电子交易平台组织响应文件开启，供应商的法定代表人或其委托代理人须携带加密时所用的CA锁，按平台提示和谈判文件的规定登录到广西政府采购云平台电子开标大厅签到，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1B8094DE">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 评审程序和评定成交的标准</w:t>
      </w:r>
    </w:p>
    <w:p w14:paraId="2EDBC51E">
      <w:pPr>
        <w:spacing w:line="360" w:lineRule="auto"/>
        <w:ind w:firstLine="420" w:firstLineChars="200"/>
        <w:rPr>
          <w:color w:val="auto"/>
          <w:highlight w:val="none"/>
        </w:rPr>
      </w:pPr>
      <w:r>
        <w:rPr>
          <w:rFonts w:hint="eastAsia"/>
          <w:color w:val="auto"/>
          <w:highlight w:val="none"/>
        </w:rPr>
        <w:t>26.1谈判小组按照“第四章  评审程序和评定成交的标准”规定的评审程序对响应文件进行评审，并按照评定成交的标准推荐成交候选供应商。评审价相同时，成交候选供应商推荐顺序见</w:t>
      </w:r>
      <w:r>
        <w:rPr>
          <w:rFonts w:hint="eastAsia" w:ascii="宋体" w:hAnsi="宋体"/>
          <w:color w:val="auto"/>
          <w:szCs w:val="21"/>
          <w:highlight w:val="none"/>
        </w:rPr>
        <w:t>“供应商须知前附表”。</w:t>
      </w:r>
    </w:p>
    <w:p w14:paraId="4025D9C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6.2 </w:t>
      </w:r>
      <w:r>
        <w:rPr>
          <w:rFonts w:hint="eastAsia" w:ascii="宋体" w:hAnsi="宋体"/>
          <w:color w:val="auto"/>
          <w:szCs w:val="21"/>
          <w:highlight w:val="none"/>
        </w:rPr>
        <w:t>商务/技术要求允许负偏离的条款数详见“供应商须知前附表”。</w:t>
      </w:r>
    </w:p>
    <w:p w14:paraId="072084E2">
      <w:pPr>
        <w:spacing w:line="360" w:lineRule="auto"/>
        <w:ind w:firstLine="420" w:firstLineChars="200"/>
        <w:rPr>
          <w:rFonts w:hint="eastAsia" w:ascii="宋体" w:hAnsi="宋体"/>
          <w:color w:val="auto"/>
          <w:szCs w:val="21"/>
          <w:highlight w:val="none"/>
        </w:rPr>
      </w:pPr>
      <w:r>
        <w:rPr>
          <w:rFonts w:hint="eastAsia" w:ascii="宋体" w:hAnsi="宋体" w:cs="宋体"/>
          <w:color w:val="auto"/>
          <w:highlight w:val="none"/>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05968090">
      <w:pPr>
        <w:spacing w:line="360" w:lineRule="auto"/>
        <w:ind w:firstLine="420" w:firstLineChars="200"/>
        <w:rPr>
          <w:rFonts w:hint="eastAsia" w:hAnsi="宋体"/>
          <w:color w:val="auto"/>
          <w:highlight w:val="none"/>
        </w:rPr>
      </w:pPr>
      <w:r>
        <w:rPr>
          <w:rFonts w:hint="eastAsia" w:ascii="宋体" w:hAnsi="宋体"/>
          <w:color w:val="auto"/>
          <w:highlight w:val="none"/>
        </w:rPr>
        <w:t>2</w:t>
      </w:r>
      <w:r>
        <w:rPr>
          <w:rFonts w:ascii="宋体" w:hAnsi="宋体"/>
          <w:color w:val="auto"/>
          <w:highlight w:val="none"/>
        </w:rPr>
        <w:t>6.</w:t>
      </w:r>
      <w:r>
        <w:rPr>
          <w:rFonts w:hint="eastAsia" w:ascii="宋体" w:hAnsi="宋体"/>
          <w:color w:val="auto"/>
          <w:highlight w:val="none"/>
        </w:rPr>
        <w:t>4</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79CEB919">
      <w:pPr>
        <w:spacing w:line="360" w:lineRule="auto"/>
        <w:ind w:firstLine="420" w:firstLineChars="200"/>
        <w:rPr>
          <w:rFonts w:hint="eastAsia" w:hAnsi="宋体"/>
          <w:color w:val="auto"/>
          <w:highlight w:val="none"/>
        </w:rPr>
      </w:pPr>
      <w:r>
        <w:rPr>
          <w:rFonts w:hint="eastAsia" w:hAnsi="宋体"/>
          <w:color w:val="auto"/>
          <w:highlight w:val="none"/>
        </w:rPr>
        <w:t xml:space="preserve">（1）电子交易平台发生故障而无法登录访问的； </w:t>
      </w:r>
    </w:p>
    <w:p w14:paraId="0A9FFB68">
      <w:pPr>
        <w:spacing w:line="360" w:lineRule="auto"/>
        <w:ind w:firstLine="420" w:firstLineChars="200"/>
        <w:rPr>
          <w:rFonts w:hint="eastAsia" w:hAnsi="宋体"/>
          <w:color w:val="auto"/>
          <w:highlight w:val="none"/>
        </w:rPr>
      </w:pPr>
      <w:r>
        <w:rPr>
          <w:rFonts w:hint="eastAsia" w:hAnsi="宋体"/>
          <w:color w:val="auto"/>
          <w:highlight w:val="none"/>
        </w:rPr>
        <w:t>（2）电子交易平台应用或数据库出现错误，不能进行正常操作的；</w:t>
      </w:r>
    </w:p>
    <w:p w14:paraId="367C7A0E">
      <w:pPr>
        <w:spacing w:line="360" w:lineRule="auto"/>
        <w:ind w:firstLine="420" w:firstLineChars="200"/>
        <w:rPr>
          <w:rFonts w:hint="eastAsia" w:hAnsi="宋体"/>
          <w:color w:val="auto"/>
          <w:highlight w:val="none"/>
        </w:rPr>
      </w:pPr>
      <w:r>
        <w:rPr>
          <w:rFonts w:hint="eastAsia" w:hAnsi="宋体"/>
          <w:color w:val="auto"/>
          <w:highlight w:val="none"/>
        </w:rPr>
        <w:t>（3）电子交易平台发现严重安全漏洞，有潜在泄密危险的；</w:t>
      </w:r>
    </w:p>
    <w:p w14:paraId="60634A8B">
      <w:pPr>
        <w:spacing w:line="360" w:lineRule="auto"/>
        <w:ind w:firstLine="420" w:firstLineChars="200"/>
        <w:rPr>
          <w:rFonts w:hint="eastAsia" w:hAnsi="宋体"/>
          <w:color w:val="auto"/>
          <w:highlight w:val="none"/>
        </w:rPr>
      </w:pPr>
      <w:r>
        <w:rPr>
          <w:rFonts w:hint="eastAsia" w:hAnsi="宋体"/>
          <w:color w:val="auto"/>
          <w:highlight w:val="none"/>
        </w:rPr>
        <w:t xml:space="preserve">（4）病毒发作导致不能进行正常操作的； </w:t>
      </w:r>
    </w:p>
    <w:p w14:paraId="5C2FA012">
      <w:pPr>
        <w:spacing w:line="360" w:lineRule="auto"/>
        <w:ind w:firstLine="420" w:firstLineChars="200"/>
        <w:rPr>
          <w:rFonts w:hint="eastAsia" w:hAnsi="宋体"/>
          <w:color w:val="auto"/>
          <w:highlight w:val="none"/>
        </w:rPr>
      </w:pPr>
      <w:r>
        <w:rPr>
          <w:rFonts w:hint="eastAsia" w:hAnsi="宋体"/>
          <w:color w:val="auto"/>
          <w:highlight w:val="none"/>
        </w:rPr>
        <w:t>（5）其他无法保证电子交易的公平、公正和安全的情况。</w:t>
      </w:r>
    </w:p>
    <w:p w14:paraId="2A1CA9C2">
      <w:pPr>
        <w:spacing w:line="360" w:lineRule="auto"/>
        <w:ind w:firstLine="420" w:firstLineChars="200"/>
        <w:rPr>
          <w:rFonts w:hint="eastAsia" w:hAnsi="宋体"/>
          <w:color w:val="auto"/>
          <w:highlight w:val="none"/>
        </w:rPr>
      </w:pPr>
      <w:r>
        <w:rPr>
          <w:rFonts w:hint="eastAsia" w:ascii="宋体" w:hAnsi="宋体"/>
          <w:color w:val="auto"/>
          <w:highlight w:val="none"/>
        </w:rPr>
        <w:t>26.</w:t>
      </w:r>
      <w:r>
        <w:rPr>
          <w:rFonts w:ascii="宋体" w:hAnsi="宋体"/>
          <w:color w:val="auto"/>
          <w:highlight w:val="none"/>
        </w:rPr>
        <w:t>5</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28A93B70">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7F5A07D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采购</w:t>
      </w:r>
      <w:r>
        <w:rPr>
          <w:rFonts w:hint="eastAsia" w:ascii="宋体" w:hAnsi="宋体" w:cs="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3BEC6A66">
      <w:pPr>
        <w:pStyle w:val="7"/>
        <w:spacing w:line="360" w:lineRule="auto"/>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27</w:t>
      </w:r>
      <w:r>
        <w:rPr>
          <w:rFonts w:hint="eastAsia" w:ascii="宋体" w:hAnsi="宋体" w:cs="宋体"/>
          <w:color w:val="auto"/>
          <w:kern w:val="0"/>
          <w:szCs w:val="21"/>
          <w:highlight w:val="none"/>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color w:val="auto"/>
          <w:szCs w:val="21"/>
          <w:highlight w:val="none"/>
        </w:rPr>
        <w:t>成交供应商享受《政府采购促进中小企业发展管理办法》（财库〔2020〕46号）规定的中小企业扶持政策的，采购人、采购代理机构应当随成交结果公开成交供应商的《中小企业声明函》。</w:t>
      </w:r>
    </w:p>
    <w:p w14:paraId="77BA9F0C">
      <w:pPr>
        <w:pStyle w:val="7"/>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27.3出现下列情形之一的，采购人或者采购代理机构应当终止竞争性谈判采购活动，发布项目终止公告并说明原因，重新开展采购活动：</w:t>
      </w:r>
    </w:p>
    <w:p w14:paraId="4D7480F3">
      <w:pPr>
        <w:pStyle w:val="7"/>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（1）因情况变化，不再符合规定的竞争性谈判采购方式适用情形的；</w:t>
      </w:r>
    </w:p>
    <w:p w14:paraId="0983D235">
      <w:pPr>
        <w:pStyle w:val="7"/>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（2）出现影响采购公正的违法、违规行为的；</w:t>
      </w:r>
    </w:p>
    <w:p w14:paraId="2123EC42">
      <w:pPr>
        <w:pStyle w:val="7"/>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（3）在采购过程中符合竞争要求的供应商或者报价未超过采购预算的供应商不足3家的，但“第四章 评审程序和评定成交的标准”第3.7条规定的情形除外。</w:t>
      </w:r>
    </w:p>
    <w:p w14:paraId="7A2B71DF">
      <w:pPr>
        <w:pStyle w:val="7"/>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27.4在采购活动中因重大变故，采购任务取消的，采购人或者采购代理机构应当终止采购活动，通知所有参加采购活动的供应商，并将项目实施情况和采购任务取消原因报送本级财政部门。</w:t>
      </w:r>
    </w:p>
    <w:p w14:paraId="6FBC664E">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29ADA690">
      <w:pPr>
        <w:pStyle w:val="7"/>
        <w:spacing w:line="360" w:lineRule="auto"/>
        <w:ind w:firstLine="420" w:firstLineChars="200"/>
        <w:rPr>
          <w:color w:val="auto"/>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 “供应商须知前附表”。成交供应商未按规定提交履约保证金的，视为拒绝</w:t>
      </w:r>
      <w:r>
        <w:rPr>
          <w:rFonts w:ascii="宋体" w:hAnsi="宋体" w:cs="宋体"/>
          <w:color w:val="auto"/>
          <w:szCs w:val="21"/>
          <w:highlight w:val="none"/>
        </w:rPr>
        <w:t>与采购人</w:t>
      </w:r>
      <w:r>
        <w:rPr>
          <w:rFonts w:hint="eastAsia" w:ascii="宋体" w:hAnsi="宋体" w:cs="宋体"/>
          <w:color w:val="auto"/>
          <w:szCs w:val="21"/>
          <w:highlight w:val="none"/>
        </w:rPr>
        <w:t>签订合同。</w:t>
      </w:r>
    </w:p>
    <w:p w14:paraId="05DBAF45">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.2在履约保证金退还日期前，若成交供应商的开户名称、开户银行、账号有变动的，请以书面形式通知履约保证金收取单位，否则由此产生的后果由成交供应商自负。</w:t>
      </w:r>
    </w:p>
    <w:p w14:paraId="57DF8C15">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360DED4D">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4F557D7C">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1DBBE813">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4CC2D534">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6979FD7C">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7FE76D6">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29.5采购人或成交供应商不得单方面向合同另一方提出任何谈判文件没有约定的条件或不合理的要求，作为签订合同的条件；也不得协商另行订立背离谈判文件和合同实质性内容的协议。</w:t>
      </w:r>
    </w:p>
    <w:p w14:paraId="48219BBA">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4C5FF9F3">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1904AEC7">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63B1D7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8A1F685">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387B0D35">
      <w:pPr>
        <w:pStyle w:val="5"/>
        <w:spacing w:after="120" w:line="360" w:lineRule="auto"/>
        <w:rPr>
          <w:rFonts w:hint="eastAsia" w:ascii="宋体" w:hAnsi="宋体"/>
          <w:color w:val="auto"/>
          <w:szCs w:val="21"/>
          <w:highlight w:val="none"/>
        </w:rPr>
      </w:pPr>
      <w:r>
        <w:rPr>
          <w:rFonts w:ascii="宋体" w:hAnsi="宋体" w:cs="宋体"/>
          <w:color w:val="auto"/>
          <w:highlight w:val="none"/>
        </w:rPr>
        <w:t>31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p>
    <w:p w14:paraId="63B66944">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color w:val="auto"/>
          <w:highlight w:val="none"/>
          <w:shd w:val="clear" w:color="auto" w:fill="FFFFFF"/>
        </w:rPr>
        <w:t>接收质疑函的方式、联系部门、联系电话和通讯地址等信息</w:t>
      </w:r>
      <w:r>
        <w:rPr>
          <w:rFonts w:hint="eastAsia" w:ascii="宋体" w:hAnsi="宋体" w:cs="宋体"/>
          <w:color w:val="auto"/>
          <w:szCs w:val="21"/>
          <w:highlight w:val="none"/>
        </w:rPr>
        <w:t>详见“供应商须知前附表”</w:t>
      </w:r>
      <w:r>
        <w:rPr>
          <w:rFonts w:hint="eastAsia" w:ascii="宋体" w:hAnsi="宋体" w:cs="宋体"/>
          <w:color w:val="auto"/>
          <w:highlight w:val="none"/>
        </w:rPr>
        <w:t>。具体质疑起算时间如下：</w:t>
      </w:r>
    </w:p>
    <w:p w14:paraId="67F14CB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（1）对可以质疑的谈判文件提出质疑的，为获取谈判文件之日；</w:t>
      </w:r>
    </w:p>
    <w:p w14:paraId="2F17E6D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4300677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018EA032">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57A44EB7">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.4供应商提出质疑应当提交质疑函和必要的证明材料，针对同一采购程序环节的质疑必须在法定质疑期内一次性提出。质疑函应当包括下列内容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556CB74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46C0A45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676E881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16686B7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3EEFB78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0D5FB2B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2B57208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4888521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30C1C47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49A3AE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7BD39D6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004AED5D">
      <w:pPr>
        <w:spacing w:line="360" w:lineRule="auto"/>
        <w:ind w:firstLine="420" w:firstLineChars="200"/>
        <w:rPr>
          <w:rFonts w:hint="eastAsia" w:ascii="宋体" w:hAnsi="宋体" w:cs="宋体"/>
          <w:b/>
          <w:bCs/>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580B40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其他内容</w:t>
      </w:r>
    </w:p>
    <w:p w14:paraId="4586F63D">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.1代理服务收取标准详见“供应商须知前附表”，供应商为联合体的，可以由联合体中的一方或者多方共同交纳代理服务费：</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E54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65A162E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7B5BB1C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07BFD6D2">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65A0DA5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66E4B08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3E48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E1662A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7BD3B5D9">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03F4387A">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4B27508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682A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DACC0D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100万～500万元</w:t>
            </w:r>
          </w:p>
        </w:tc>
        <w:tc>
          <w:tcPr>
            <w:tcW w:w="1659" w:type="dxa"/>
          </w:tcPr>
          <w:p w14:paraId="176F75AA">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2A01C80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2162D8FC">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67E8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254488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500万～1000万元</w:t>
            </w:r>
          </w:p>
        </w:tc>
        <w:tc>
          <w:tcPr>
            <w:tcW w:w="1659" w:type="dxa"/>
          </w:tcPr>
          <w:p w14:paraId="066F189F">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6F103A5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5C9C013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16B4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7CFA27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1000万～5000万元</w:t>
            </w:r>
          </w:p>
        </w:tc>
        <w:tc>
          <w:tcPr>
            <w:tcW w:w="1659" w:type="dxa"/>
          </w:tcPr>
          <w:p w14:paraId="53993567">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37A29FC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74D7D287">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6C85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751691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79392F7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21DF6E4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13959519">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1330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D4971C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1亿～5亿元</w:t>
            </w:r>
          </w:p>
        </w:tc>
        <w:tc>
          <w:tcPr>
            <w:tcW w:w="1659" w:type="dxa"/>
          </w:tcPr>
          <w:p w14:paraId="659F939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35EF25E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328E2BB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400D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8BB517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5亿～10亿元</w:t>
            </w:r>
          </w:p>
        </w:tc>
        <w:tc>
          <w:tcPr>
            <w:tcW w:w="1659" w:type="dxa"/>
          </w:tcPr>
          <w:p w14:paraId="25306CAA">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4DC57EF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2CA48EF7">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685D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E26049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10亿～50亿元</w:t>
            </w:r>
          </w:p>
        </w:tc>
        <w:tc>
          <w:tcPr>
            <w:tcW w:w="1659" w:type="dxa"/>
          </w:tcPr>
          <w:p w14:paraId="738A55B0">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1D063C6C">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1348BBE7">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06B2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B14E48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50亿～100亿元</w:t>
            </w:r>
          </w:p>
        </w:tc>
        <w:tc>
          <w:tcPr>
            <w:tcW w:w="1659" w:type="dxa"/>
          </w:tcPr>
          <w:p w14:paraId="4B8FF8D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6D4A3C39">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53F55B08">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78FB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89D4E8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45DB051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7E5EE7B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19EB752D">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52362CCD">
      <w:pPr>
        <w:spacing w:line="360" w:lineRule="auto"/>
        <w:ind w:firstLine="420" w:firstLineChars="200"/>
        <w:contextualSpacing/>
        <w:rPr>
          <w:rFonts w:hint="eastAsia" w:ascii="宋体" w:hAnsi="宋体" w:cs="宋体"/>
          <w:color w:val="auto"/>
          <w:highlight w:val="none"/>
        </w:rPr>
      </w:pPr>
      <w:r>
        <w:rPr>
          <w:rFonts w:ascii="宋体" w:hAnsi="宋体" w:cs="宋体"/>
          <w:color w:val="auto"/>
          <w:highlight w:val="none"/>
        </w:rPr>
        <w:t xml:space="preserve">注： </w:t>
      </w:r>
    </w:p>
    <w:p w14:paraId="03619536">
      <w:pPr>
        <w:spacing w:line="360" w:lineRule="auto"/>
        <w:ind w:firstLine="420" w:firstLineChars="200"/>
        <w:contextualSpacing/>
        <w:rPr>
          <w:rFonts w:hint="eastAsia"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51A5D8D6">
      <w:pPr>
        <w:spacing w:line="360" w:lineRule="auto"/>
        <w:ind w:firstLine="420" w:firstLineChars="200"/>
        <w:contextualSpacing/>
        <w:rPr>
          <w:rFonts w:hint="eastAsia"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627C67A0">
      <w:pPr>
        <w:spacing w:line="360" w:lineRule="auto"/>
        <w:ind w:firstLine="420" w:firstLineChars="200"/>
        <w:contextualSpacing/>
        <w:rPr>
          <w:rFonts w:hint="eastAsia"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货物采购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59A055D1">
      <w:pPr>
        <w:spacing w:line="360" w:lineRule="auto"/>
        <w:ind w:firstLine="420" w:firstLineChars="200"/>
        <w:contextualSpacing/>
        <w:rPr>
          <w:rFonts w:hint="eastAsia" w:ascii="宋体" w:hAnsi="宋体" w:cs="宋体"/>
          <w:color w:val="auto"/>
          <w:highlight w:val="none"/>
        </w:rPr>
      </w:pPr>
      <w:r>
        <w:rPr>
          <w:rFonts w:ascii="宋体" w:hAnsi="宋体" w:cs="宋体"/>
          <w:color w:val="auto"/>
          <w:highlight w:val="none"/>
        </w:rPr>
        <w:t>100 万元 ×l.5 %＝ 1.5 万元</w:t>
      </w:r>
    </w:p>
    <w:p w14:paraId="770913F4">
      <w:pPr>
        <w:spacing w:line="360" w:lineRule="auto"/>
        <w:ind w:firstLine="420" w:firstLineChars="200"/>
        <w:contextualSpacing/>
        <w:rPr>
          <w:rFonts w:hint="eastAsia" w:ascii="宋体" w:hAnsi="宋体" w:cs="宋体"/>
          <w:color w:val="auto"/>
          <w:highlight w:val="none"/>
        </w:rPr>
      </w:pPr>
      <w:r>
        <w:rPr>
          <w:rFonts w:ascii="宋体" w:hAnsi="宋体" w:cs="宋体"/>
          <w:color w:val="auto"/>
          <w:highlight w:val="none"/>
        </w:rPr>
        <w:t>（ 150 － 100 ）万元 ×1.1%＝ 0.55 万元</w:t>
      </w:r>
    </w:p>
    <w:p w14:paraId="324F8076">
      <w:pPr>
        <w:spacing w:line="360" w:lineRule="auto"/>
        <w:ind w:firstLine="420" w:firstLineChars="200"/>
        <w:contextualSpacing/>
        <w:rPr>
          <w:rFonts w:hint="eastAsia" w:ascii="宋体" w:hAnsi="宋体" w:cs="宋体"/>
          <w:color w:val="auto"/>
          <w:highlight w:val="none"/>
        </w:rPr>
      </w:pPr>
      <w:r>
        <w:rPr>
          <w:rFonts w:ascii="宋体" w:hAnsi="宋体" w:cs="宋体"/>
          <w:color w:val="auto"/>
          <w:highlight w:val="none"/>
        </w:rPr>
        <w:t>合计收费＝ 1.5 ＋ 0.55＝ 2.05 （万元）</w:t>
      </w:r>
    </w:p>
    <w:p w14:paraId="2EFFFC6B">
      <w:pPr>
        <w:spacing w:line="360" w:lineRule="auto"/>
        <w:ind w:firstLine="482" w:firstLineChars="200"/>
        <w:contextualSpacing/>
        <w:rPr>
          <w:rFonts w:hint="eastAsia" w:ascii="黑体" w:hAnsi="黑体" w:eastAsia="黑体" w:cs="宋体"/>
          <w:b/>
          <w:bCs/>
          <w:color w:val="auto"/>
          <w:sz w:val="24"/>
          <w:highlight w:val="none"/>
        </w:rPr>
      </w:pPr>
      <w:r>
        <w:rPr>
          <w:rFonts w:ascii="黑体" w:hAnsi="黑体" w:eastAsia="黑体" w:cs="宋体"/>
          <w:b/>
          <w:bCs/>
          <w:color w:val="auto"/>
          <w:sz w:val="24"/>
          <w:highlight w:val="none"/>
        </w:rPr>
        <w:t>33. 需要补充的其他内容</w:t>
      </w:r>
    </w:p>
    <w:p w14:paraId="2D836EA3">
      <w:pPr>
        <w:pStyle w:val="12"/>
        <w:spacing w:line="360" w:lineRule="auto"/>
        <w:ind w:firstLine="420" w:firstLineChars="200"/>
        <w:contextualSpacing/>
        <w:rPr>
          <w:rFonts w:hint="eastAsia" w:hAnsi="宋体"/>
          <w:color w:val="auto"/>
          <w:sz w:val="21"/>
          <w:highlight w:val="none"/>
        </w:rPr>
      </w:pPr>
      <w:r>
        <w:rPr>
          <w:rFonts w:hAnsi="宋体"/>
          <w:color w:val="auto"/>
          <w:sz w:val="21"/>
          <w:highlight w:val="none"/>
        </w:rPr>
        <w:t>33.1</w:t>
      </w:r>
      <w:r>
        <w:rPr>
          <w:rFonts w:hint="eastAsia" w:hAnsi="宋体" w:cs="宋体"/>
          <w:color w:val="auto"/>
          <w:sz w:val="21"/>
          <w:highlight w:val="none"/>
        </w:rPr>
        <w:t>本谈判文件解释规则详见</w:t>
      </w:r>
      <w:r>
        <w:rPr>
          <w:rFonts w:hint="eastAsia" w:hAnsi="宋体"/>
          <w:color w:val="auto"/>
          <w:sz w:val="21"/>
          <w:highlight w:val="none"/>
        </w:rPr>
        <w:t>“供应商须知前附表”。</w:t>
      </w:r>
    </w:p>
    <w:p w14:paraId="26382DEC">
      <w:pPr>
        <w:spacing w:line="360" w:lineRule="auto"/>
        <w:ind w:firstLine="420" w:firstLineChars="200"/>
        <w:contextualSpacing/>
        <w:rPr>
          <w:rFonts w:hint="eastAsia" w:hAnsi="宋体"/>
          <w:color w:val="auto"/>
          <w:highlight w:val="none"/>
        </w:rPr>
      </w:pPr>
      <w:r>
        <w:rPr>
          <w:rFonts w:ascii="宋体" w:hAnsi="宋体" w:cs="宋体"/>
          <w:color w:val="auto"/>
          <w:kern w:val="0"/>
          <w:szCs w:val="21"/>
          <w:highlight w:val="none"/>
        </w:rPr>
        <w:t>33.2</w:t>
      </w:r>
      <w:r>
        <w:rPr>
          <w:rFonts w:hint="eastAsia" w:ascii="宋体" w:hAnsi="宋体" w:cs="宋体"/>
          <w:color w:val="auto"/>
          <w:kern w:val="0"/>
          <w:szCs w:val="21"/>
          <w:highlight w:val="none"/>
        </w:rPr>
        <w:t xml:space="preserve"> 其他事</w:t>
      </w:r>
      <w:r>
        <w:rPr>
          <w:rFonts w:hint="eastAsia" w:hAnsi="宋体"/>
          <w:color w:val="auto"/>
          <w:highlight w:val="none"/>
        </w:rPr>
        <w:t>项详见“供应商须知前附表”。</w:t>
      </w:r>
    </w:p>
    <w:p w14:paraId="54466DE1">
      <w:pPr>
        <w:pStyle w:val="12"/>
        <w:spacing w:line="360" w:lineRule="auto"/>
        <w:ind w:firstLine="400" w:firstLineChars="200"/>
        <w:contextualSpacing/>
        <w:rPr>
          <w:rFonts w:hint="eastAsia" w:hAnsi="宋体"/>
          <w:color w:val="auto"/>
          <w:sz w:val="21"/>
          <w:highlight w:val="none"/>
        </w:rPr>
      </w:pPr>
      <w:r>
        <w:rPr>
          <w:rFonts w:hint="eastAsia" w:hAnsi="宋体"/>
          <w:color w:val="auto"/>
          <w:highlight w:val="none"/>
        </w:rPr>
        <w:t>3</w:t>
      </w:r>
      <w:r>
        <w:rPr>
          <w:rFonts w:hAnsi="宋体"/>
          <w:color w:val="auto"/>
          <w:highlight w:val="none"/>
        </w:rPr>
        <w:t>3.3</w:t>
      </w:r>
      <w:bookmarkStart w:id="81" w:name="_Hlk65857140"/>
      <w:r>
        <w:rPr>
          <w:rFonts w:hint="eastAsia" w:hAnsi="宋体"/>
          <w:color w:val="auto"/>
          <w:sz w:val="21"/>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2CF244F4">
      <w:pPr>
        <w:pStyle w:val="12"/>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654C13EA">
      <w:pPr>
        <w:pStyle w:val="12"/>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32A4D897">
      <w:pPr>
        <w:pStyle w:val="12"/>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915F7DD">
      <w:pPr>
        <w:pStyle w:val="12"/>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5AD2BF69">
      <w:pPr>
        <w:spacing w:line="360" w:lineRule="auto"/>
        <w:ind w:firstLine="420" w:firstLineChars="200"/>
        <w:contextualSpacing/>
        <w:rPr>
          <w:rFonts w:hint="eastAsia" w:ascii="宋体" w:hAnsi="宋体" w:cs="宋体"/>
          <w:color w:val="auto"/>
          <w:highlight w:val="none"/>
        </w:rPr>
      </w:pPr>
      <w:r>
        <w:rPr>
          <w:rFonts w:hint="eastAsia" w:hAnsi="宋体"/>
          <w:color w:val="auto"/>
          <w:highlight w:val="none"/>
        </w:rPr>
        <w:t>依据本谈判文件规定享受扶持政策获得政府采购合同的，小微企业不得将合同分包给大中型企业，中型企业不得将合同分包给大型企业。</w:t>
      </w:r>
      <w:bookmarkEnd w:id="81"/>
    </w:p>
    <w:p w14:paraId="62060F29">
      <w:pPr>
        <w:pStyle w:val="9"/>
        <w:ind w:left="1" w:firstLine="3" w:firstLineChars="1"/>
        <w:rPr>
          <w:rFonts w:ascii="宋体"/>
          <w:b/>
          <w:bCs/>
          <w:color w:val="auto"/>
          <w:sz w:val="18"/>
          <w:szCs w:val="18"/>
          <w:highlight w:val="none"/>
        </w:rPr>
      </w:pPr>
      <w:r>
        <w:rPr>
          <w:rFonts w:ascii="黑体" w:hAnsi="黑体" w:eastAsia="黑体" w:cs="黑体"/>
          <w:bCs/>
          <w:color w:val="auto"/>
          <w:sz w:val="32"/>
          <w:szCs w:val="32"/>
          <w:highlight w:val="none"/>
        </w:rPr>
        <w:br w:type="page"/>
      </w:r>
    </w:p>
    <w:p w14:paraId="1D8086F1">
      <w:pPr>
        <w:pStyle w:val="12"/>
        <w:snapToGrid w:val="0"/>
        <w:spacing w:before="120" w:after="120"/>
        <w:rPr>
          <w:rFonts w:hint="eastAsia" w:hAnsi="宋体"/>
          <w:color w:val="auto"/>
          <w:highlight w:val="none"/>
        </w:rPr>
      </w:pPr>
    </w:p>
    <w:p w14:paraId="66C5865E">
      <w:pPr>
        <w:jc w:val="left"/>
        <w:rPr>
          <w:rFonts w:hint="eastAsia" w:hAnsi="宋体"/>
          <w:b/>
          <w:color w:val="auto"/>
          <w:sz w:val="32"/>
          <w:szCs w:val="32"/>
          <w:highlight w:val="none"/>
        </w:rPr>
      </w:pPr>
    </w:p>
    <w:p w14:paraId="42C0B48B">
      <w:pPr>
        <w:pStyle w:val="2"/>
        <w:jc w:val="center"/>
        <w:rPr>
          <w:color w:val="auto"/>
          <w:highlight w:val="none"/>
        </w:rPr>
      </w:pPr>
      <w:bookmarkStart w:id="82" w:name="_Toc74322010"/>
      <w:r>
        <w:rPr>
          <w:rFonts w:hint="eastAsia"/>
          <w:color w:val="auto"/>
          <w:highlight w:val="none"/>
        </w:rPr>
        <w:t>第三章 采购需求</w:t>
      </w:r>
      <w:bookmarkEnd w:id="82"/>
    </w:p>
    <w:p w14:paraId="75DAFDA7">
      <w:pPr>
        <w:spacing w:line="44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采购项目技术规格、参数及要求</w:t>
      </w:r>
    </w:p>
    <w:p w14:paraId="6D41E29B">
      <w:pPr>
        <w:spacing w:line="440" w:lineRule="exact"/>
        <w:jc w:val="left"/>
        <w:rPr>
          <w:rFonts w:hint="eastAsia" w:ascii="宋体" w:hAnsi="宋体" w:cs="宋体"/>
          <w:color w:val="auto"/>
          <w:szCs w:val="21"/>
          <w:highlight w:val="none"/>
        </w:rPr>
      </w:pPr>
    </w:p>
    <w:p w14:paraId="139F46BA">
      <w:pPr>
        <w:spacing w:line="360" w:lineRule="auto"/>
        <w:jc w:val="left"/>
        <w:rPr>
          <w:color w:val="auto"/>
          <w:highlight w:val="none"/>
        </w:rPr>
      </w:pPr>
      <w:r>
        <w:rPr>
          <w:rFonts w:hint="eastAsia" w:ascii="宋体" w:hAnsi="宋体" w:cs="宋体"/>
          <w:color w:val="auto"/>
          <w:szCs w:val="21"/>
          <w:highlight w:val="none"/>
        </w:rPr>
        <w:t>说明：</w:t>
      </w:r>
    </w:p>
    <w:p w14:paraId="60690F22">
      <w:pPr>
        <w:spacing w:line="360" w:lineRule="auto"/>
        <w:ind w:firstLine="420" w:firstLineChars="200"/>
        <w:jc w:val="left"/>
        <w:rPr>
          <w:rFonts w:hint="eastAsia" w:ascii="宋体" w:hAnsi="宋体" w:cs="宋体"/>
          <w:color w:val="auto"/>
          <w:szCs w:val="21"/>
          <w:highlight w:val="none"/>
        </w:rPr>
      </w:pPr>
      <w:r>
        <w:rPr>
          <w:rFonts w:hint="eastAsia"/>
          <w:color w:val="auto"/>
          <w:highlight w:val="none"/>
        </w:rPr>
        <w:t>1. 为落实政府采购政策需满足的要求</w:t>
      </w:r>
    </w:p>
    <w:p w14:paraId="397662B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（1）本竞争性谈判采购文件所称中小企业必须符合《政府采购促进中小企业发展管理办法》（财库〔2020〕46号）的规定。</w:t>
      </w:r>
    </w:p>
    <w:p w14:paraId="0DB5FEB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签章），否则响应文件按无效处理。如本项目包含的货物属于品目清单内非标注“★”的产品时，应优先采购，具体详见“第四章 评审程序和评定成交的标准”。</w:t>
      </w:r>
    </w:p>
    <w:p w14:paraId="19FA86F5">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color w:val="auto"/>
          <w:highlight w:val="none"/>
        </w:rPr>
        <w:t>根据《关于调整网络安全专用产品安全管理有关事项的公告》（</w:t>
      </w:r>
      <w:r>
        <w:rPr>
          <w:color w:val="auto"/>
          <w:highlight w:val="none"/>
        </w:rPr>
        <w:t>2023</w:t>
      </w:r>
      <w:r>
        <w:rPr>
          <w:rFonts w:hint="eastAsia"/>
          <w:color w:val="auto"/>
          <w:highlight w:val="none"/>
        </w:rPr>
        <w:t>年第</w:t>
      </w:r>
      <w:r>
        <w:rPr>
          <w:color w:val="auto"/>
          <w:highlight w:val="none"/>
        </w:rPr>
        <w:t>1</w:t>
      </w:r>
      <w:r>
        <w:rPr>
          <w:rFonts w:hint="eastAsia"/>
          <w:color w:val="auto"/>
          <w:highlight w:val="none"/>
        </w:rPr>
        <w:t>号）规定，本项目采购需求中的产品如果包括《网络关键设备和网络安全专用产品目录》的网络安全专用产品，供应商在响应文件中应主动列明供货范围中属于网络安全专用产品的响应产品，并在响应文件（商务及技术文件）中提供由中国网信网（</w:t>
      </w:r>
      <w:r>
        <w:rPr>
          <w:color w:val="auto"/>
          <w:highlight w:val="none"/>
        </w:rPr>
        <w:t>http://www.cac.gov.cn/index.htm</w:t>
      </w:r>
      <w:r>
        <w:rPr>
          <w:rFonts w:hint="eastAsia"/>
          <w:color w:val="auto"/>
          <w:highlight w:val="none"/>
        </w:rPr>
        <w:t>）最新发布的《网络关键设备和网络安全专用产品安全认证和安全检测结果》截图证明材料，不在《网络关键设备和网络安全专用产品安全认证和安全检测结果》中或不在有效期内的，</w:t>
      </w:r>
      <w:r>
        <w:rPr>
          <w:rFonts w:hint="eastAsia"/>
          <w:b/>
          <w:bCs/>
          <w:color w:val="auto"/>
          <w:highlight w:val="none"/>
        </w:rPr>
        <w:t>响应文件按无效处理</w:t>
      </w:r>
      <w:r>
        <w:rPr>
          <w:rFonts w:hint="eastAsia"/>
          <w:color w:val="auto"/>
          <w:highlight w:val="none"/>
        </w:rPr>
        <w:t>。如属于《网络关键设备和网络安全专用产品目录》中</w:t>
      </w:r>
      <w:r>
        <w:rPr>
          <w:color w:val="auto"/>
          <w:highlight w:val="none"/>
        </w:rPr>
        <w:t>“</w:t>
      </w:r>
      <w:r>
        <w:rPr>
          <w:rFonts w:hint="eastAsia"/>
          <w:color w:val="auto"/>
          <w:highlight w:val="none"/>
        </w:rPr>
        <w:t>二、网络安全专用产品</w:t>
      </w:r>
      <w:r>
        <w:rPr>
          <w:color w:val="auto"/>
          <w:highlight w:val="none"/>
        </w:rPr>
        <w:t>”</w:t>
      </w:r>
      <w:r>
        <w:rPr>
          <w:rFonts w:hint="eastAsia"/>
          <w:color w:val="auto"/>
          <w:highlight w:val="none"/>
        </w:rPr>
        <w:t>内</w:t>
      </w:r>
      <w:r>
        <w:rPr>
          <w:color w:val="auto"/>
          <w:highlight w:val="none"/>
        </w:rPr>
        <w:t>“</w:t>
      </w:r>
      <w:r>
        <w:rPr>
          <w:rFonts w:hint="eastAsia"/>
          <w:color w:val="auto"/>
          <w:highlight w:val="none"/>
        </w:rPr>
        <w:t>产品类别</w:t>
      </w:r>
      <w:r>
        <w:rPr>
          <w:color w:val="auto"/>
          <w:highlight w:val="none"/>
        </w:rPr>
        <w:t>”</w:t>
      </w:r>
      <w:r>
        <w:rPr>
          <w:rFonts w:hint="eastAsia"/>
          <w:color w:val="auto"/>
          <w:highlight w:val="none"/>
        </w:rPr>
        <w:t>中的所描述的产品，但不属于所列</w:t>
      </w:r>
      <w:r>
        <w:rPr>
          <w:color w:val="auto"/>
          <w:highlight w:val="none"/>
        </w:rPr>
        <w:t>“</w:t>
      </w:r>
      <w:r>
        <w:rPr>
          <w:rFonts w:hint="eastAsia"/>
          <w:color w:val="auto"/>
          <w:highlight w:val="none"/>
        </w:rPr>
        <w:t>产品描述</w:t>
      </w:r>
      <w:r>
        <w:rPr>
          <w:color w:val="auto"/>
          <w:highlight w:val="none"/>
        </w:rPr>
        <w:t>”</w:t>
      </w:r>
      <w:r>
        <w:rPr>
          <w:rFonts w:hint="eastAsia"/>
          <w:color w:val="auto"/>
          <w:highlight w:val="none"/>
        </w:rPr>
        <w:t>情形的，应提供相应的说明及证明材料。</w:t>
      </w:r>
    </w:p>
    <w:p w14:paraId="3B1826DE">
      <w:pPr>
        <w:spacing w:line="360" w:lineRule="auto"/>
        <w:ind w:firstLine="426" w:firstLineChars="202"/>
        <w:jc w:val="left"/>
        <w:rPr>
          <w:rFonts w:hint="eastAsia" w:ascii="宋体" w:hAnsi="宋体" w:cs="宋体"/>
          <w:b/>
          <w:bCs/>
          <w:color w:val="auto"/>
          <w:szCs w:val="21"/>
          <w:highlight w:val="none"/>
        </w:rPr>
      </w:pPr>
      <w:r>
        <w:rPr>
          <w:rFonts w:hint="eastAsia" w:ascii="宋体" w:hAnsi="宋体" w:cs="宋体"/>
          <w:b/>
          <w:bCs/>
          <w:color w:val="auto"/>
          <w:szCs w:val="21"/>
          <w:highlight w:val="none"/>
        </w:rPr>
        <w:t>2. “实质性要求”是指采购需求中带“▲”的条款或者不能负偏离的条款或者已经指明不满足按响应文件按无效处理的条款。</w:t>
      </w:r>
    </w:p>
    <w:p w14:paraId="2897DF87">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3.采购需求中出现的品牌、型号或者生产供应商仅起参考作用，不属于指定品牌、型号或者生产供应商的情形。供应商可参照或者选用其他相当的品牌、型号或者生产供应商替代。</w:t>
      </w:r>
    </w:p>
    <w:p w14:paraId="6566FF74">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4. 供应商应根据自身实际情况如实响应谈判文件，对谈判文件提出的要求和条件作出明确响应，</w:t>
      </w:r>
      <w:r>
        <w:rPr>
          <w:rFonts w:hint="eastAsia" w:ascii="宋体" w:hAnsi="宋体" w:cs="宋体"/>
          <w:b/>
          <w:bCs/>
          <w:color w:val="auto"/>
          <w:szCs w:val="21"/>
          <w:highlight w:val="none"/>
        </w:rPr>
        <w:t>否则将作无效响应处理</w:t>
      </w:r>
      <w:r>
        <w:rPr>
          <w:rFonts w:hint="eastAsia" w:ascii="宋体" w:hAnsi="宋体" w:cs="宋体"/>
          <w:color w:val="auto"/>
          <w:szCs w:val="21"/>
          <w:highlight w:val="none"/>
        </w:rPr>
        <w:t>。对于重要技术条款或技术参数应当在响应文件中提供技术支持资料，技术支持资料以谈判文件中规定的形式为准，否则将视为无效技术支持资料。</w:t>
      </w:r>
    </w:p>
    <w:p w14:paraId="3B62F4EF">
      <w:pPr>
        <w:spacing w:line="360" w:lineRule="auto"/>
        <w:ind w:firstLine="424" w:firstLineChars="202"/>
        <w:jc w:val="left"/>
        <w:rPr>
          <w:rFonts w:hint="eastAsia" w:ascii="宋体" w:hAnsi="宋体"/>
          <w:color w:val="auto"/>
          <w:szCs w:val="21"/>
          <w:highlight w:val="none"/>
        </w:rPr>
      </w:pPr>
      <w:r>
        <w:rPr>
          <w:rFonts w:hint="eastAsia" w:ascii="宋体" w:hAnsi="宋体" w:cs="宋体"/>
          <w:color w:val="auto"/>
          <w:szCs w:val="21"/>
          <w:highlight w:val="none"/>
        </w:rPr>
        <w:t>5.</w:t>
      </w:r>
      <w:r>
        <w:rPr>
          <w:rFonts w:hint="eastAsia"/>
          <w:color w:val="auto"/>
          <w:highlight w:val="none"/>
        </w:rPr>
        <w:t>供应商必须自行为其竞标产品侵犯他人的知识产权或者专利成果的行为承担相应法律责任。</w:t>
      </w:r>
    </w:p>
    <w:p w14:paraId="5E5B4EF6">
      <w:pPr>
        <w:spacing w:line="360" w:lineRule="auto"/>
        <w:ind w:firstLine="420" w:firstLineChars="200"/>
        <w:jc w:val="left"/>
        <w:rPr>
          <w:rFonts w:hint="eastAsia" w:ascii="宋体" w:hAnsi="宋体" w:cs="Arial"/>
          <w:bCs/>
          <w:color w:val="auto"/>
          <w:szCs w:val="21"/>
          <w:highlight w:val="none"/>
          <w:u w:val="single"/>
        </w:rPr>
      </w:pPr>
      <w:bookmarkStart w:id="83" w:name="_Hlk48036094"/>
      <w:r>
        <w:rPr>
          <w:rFonts w:hint="eastAsia" w:ascii="宋体" w:hAnsi="宋体" w:cs="宋体"/>
          <w:color w:val="auto"/>
          <w:szCs w:val="21"/>
          <w:highlight w:val="none"/>
        </w:rPr>
        <w:t>6.所属行业依照《中小企业划型标准规定》（工信部联企业〔2011〕300号）及《国民经济行业分类》（GB/T4754-2017）的有关规定执行。本项目所有标的所属行业为“工业”。</w:t>
      </w:r>
    </w:p>
    <w:p w14:paraId="6FF120E9">
      <w:pPr>
        <w:spacing w:line="360" w:lineRule="auto"/>
        <w:ind w:firstLine="308" w:firstLineChars="147"/>
        <w:jc w:val="left"/>
        <w:rPr>
          <w:rFonts w:hint="eastAsia" w:ascii="宋体" w:hAnsi="宋体" w:cs="Arial"/>
          <w:bCs/>
          <w:color w:val="auto"/>
          <w:szCs w:val="21"/>
          <w:highlight w:val="none"/>
          <w:u w:val="single"/>
        </w:rPr>
      </w:pPr>
      <w:r>
        <w:rPr>
          <w:rFonts w:hint="eastAsia" w:ascii="宋体" w:hAnsi="宋体" w:cs="Arial"/>
          <w:bCs/>
          <w:color w:val="auto"/>
          <w:szCs w:val="21"/>
          <w:highlight w:val="none"/>
          <w:u w:val="single"/>
        </w:rPr>
        <w:t xml:space="preserve">1 </w:t>
      </w:r>
      <w:r>
        <w:rPr>
          <w:rFonts w:hint="eastAsia" w:ascii="宋体" w:hAnsi="宋体"/>
          <w:b/>
          <w:color w:val="auto"/>
          <w:szCs w:val="21"/>
          <w:highlight w:val="none"/>
        </w:rPr>
        <w:t>分标      采购预算：</w:t>
      </w:r>
      <w:r>
        <w:rPr>
          <w:rFonts w:hint="eastAsia" w:ascii="宋体" w:hAnsi="宋体" w:cs="Arial"/>
          <w:bCs/>
          <w:color w:val="auto"/>
          <w:szCs w:val="21"/>
          <w:highlight w:val="none"/>
          <w:u w:val="single"/>
        </w:rPr>
        <w:t xml:space="preserve">2102700.00元 </w:t>
      </w:r>
    </w:p>
    <w:tbl>
      <w:tblPr>
        <w:tblStyle w:val="21"/>
        <w:tblW w:w="89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867"/>
        <w:gridCol w:w="21"/>
        <w:gridCol w:w="729"/>
        <w:gridCol w:w="6899"/>
      </w:tblGrid>
      <w:tr w14:paraId="58992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26" w:type="dxa"/>
            <w:vAlign w:val="center"/>
          </w:tcPr>
          <w:p w14:paraId="108879EB">
            <w:pPr>
              <w:tabs>
                <w:tab w:val="left" w:pos="180"/>
                <w:tab w:val="left" w:pos="1620"/>
              </w:tabs>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888" w:type="dxa"/>
            <w:gridSpan w:val="2"/>
            <w:vAlign w:val="center"/>
          </w:tcPr>
          <w:p w14:paraId="5EB9D5CE">
            <w:pPr>
              <w:tabs>
                <w:tab w:val="left" w:pos="180"/>
                <w:tab w:val="left" w:pos="1620"/>
              </w:tabs>
              <w:jc w:val="center"/>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729" w:type="dxa"/>
            <w:vAlign w:val="center"/>
          </w:tcPr>
          <w:p w14:paraId="1A4C2AD6">
            <w:pPr>
              <w:tabs>
                <w:tab w:val="left" w:pos="180"/>
                <w:tab w:val="left" w:pos="1620"/>
              </w:tabs>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6899" w:type="dxa"/>
            <w:vAlign w:val="center"/>
          </w:tcPr>
          <w:p w14:paraId="771415E7">
            <w:pPr>
              <w:tabs>
                <w:tab w:val="left" w:pos="180"/>
                <w:tab w:val="left" w:pos="1620"/>
              </w:tabs>
              <w:jc w:val="center"/>
              <w:rPr>
                <w:rFonts w:hint="eastAsia" w:ascii="宋体" w:hAnsi="宋体" w:cs="宋体"/>
                <w:color w:val="auto"/>
                <w:szCs w:val="21"/>
                <w:highlight w:val="none"/>
              </w:rPr>
            </w:pPr>
            <w:r>
              <w:rPr>
                <w:rFonts w:hint="eastAsia" w:ascii="宋体" w:hAnsi="宋体" w:cs="宋体"/>
                <w:color w:val="auto"/>
                <w:szCs w:val="21"/>
                <w:highlight w:val="none"/>
              </w:rPr>
              <w:t>技术要求</w:t>
            </w:r>
          </w:p>
        </w:tc>
      </w:tr>
      <w:tr w14:paraId="624AE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0693A291">
            <w:pPr>
              <w:numPr>
                <w:ilvl w:val="0"/>
                <w:numId w:val="1"/>
              </w:numPr>
              <w:tabs>
                <w:tab w:val="left" w:pos="180"/>
                <w:tab w:val="left" w:pos="1620"/>
              </w:tabs>
              <w:jc w:val="center"/>
              <w:rPr>
                <w:rFonts w:hint="eastAsia" w:ascii="宋体" w:hAnsi="宋体" w:cs="宋体"/>
                <w:color w:val="auto"/>
                <w:szCs w:val="21"/>
                <w:highlight w:val="none"/>
              </w:rPr>
            </w:pPr>
          </w:p>
        </w:tc>
        <w:tc>
          <w:tcPr>
            <w:tcW w:w="888" w:type="dxa"/>
            <w:gridSpan w:val="2"/>
            <w:vAlign w:val="center"/>
          </w:tcPr>
          <w:p w14:paraId="68D0472D">
            <w:pPr>
              <w:pStyle w:val="63"/>
              <w:spacing w:line="360" w:lineRule="auto"/>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智能一体化遥测终端</w:t>
            </w:r>
          </w:p>
        </w:tc>
        <w:tc>
          <w:tcPr>
            <w:tcW w:w="729" w:type="dxa"/>
            <w:vAlign w:val="center"/>
          </w:tcPr>
          <w:p w14:paraId="19477386">
            <w:pPr>
              <w:pStyle w:val="63"/>
              <w:spacing w:line="360" w:lineRule="auto"/>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2台</w:t>
            </w:r>
          </w:p>
        </w:tc>
        <w:tc>
          <w:tcPr>
            <w:tcW w:w="6899" w:type="dxa"/>
          </w:tcPr>
          <w:p w14:paraId="65279DEA">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功能：将水文测站的水位、流量、降水量等水文要素统一汇聚至智能一体化遥测终端，由智能一体化遥测终端将各水文测站信息统一发送至水文分中心。设备通过智能通讯管理、智能设备管理功能，构建二级管控体系，实现水文自动测验高效指挥、指令畅达，实现水文要素设施设备的全面管控，支持基于标准传输通讯规约的水文全要素接入、传输，实现自动测验设备的标准接入、集中管理。</w:t>
            </w:r>
          </w:p>
          <w:p w14:paraId="3BE209BA">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2.主要参数</w:t>
            </w:r>
          </w:p>
          <w:p w14:paraId="699BF7BD">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2.1工作方式：定时自报，阈值加报；</w:t>
            </w:r>
          </w:p>
          <w:p w14:paraId="1F7BFF54">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2.2总线速率：300bps-57600bps；</w:t>
            </w:r>
          </w:p>
          <w:p w14:paraId="72FF020B">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2.3处理器：参照或相当于ARM4核A53,1GHz；</w:t>
            </w:r>
          </w:p>
          <w:p w14:paraId="3BFE599B">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2.4固定以太网接口：3*GE电，10/100/1000Mbit自适应2*GEcombo；</w:t>
            </w:r>
          </w:p>
          <w:p w14:paraId="27C061A8">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2.5存储：内置2G，支持扩展，标配128GB，最大支持256GB；</w:t>
            </w:r>
          </w:p>
          <w:p w14:paraId="1A6F3569">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2.6 APP功能：软件基于边缘计算架构，开放软硬件资源，支持多容器管理，APP 随需部署，包括雨水情APP、远程测控APP、数据分析APP、蒸发数据APP、数据传输APP、数据加解密APP、数据组包解包APP、通信APP 等。</w:t>
            </w:r>
          </w:p>
          <w:p w14:paraId="3760CCA5">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2.7通信：支持以太网、2G/3G/4G/5G 移动通信、卫星（北斗二号、北斗三号、天通、海事卫星）等多种通信信道，三种通信信道间自动切换。支持Wi-Fi、蓝牙、NB-LOT 无线通信，GPS定位功能等。</w:t>
            </w:r>
          </w:p>
          <w:p w14:paraId="1797A512">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2.8供电电压范围：9.6V DC～60V DC；</w:t>
            </w:r>
          </w:p>
          <w:p w14:paraId="4D97128A">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2.9通讯协议：Modbus；</w:t>
            </w:r>
          </w:p>
          <w:p w14:paraId="37AF1D83">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2.10接口：RS232/RS485x8，2 个RJ45，4DI/4DO，2 个4~20mA，2 kV 级浪涌保护；</w:t>
            </w:r>
          </w:p>
          <w:p w14:paraId="6AB1318A">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2.11电源：支持电网、太阳能电池板、蓄电池（铅酸、锂电）三种；</w:t>
            </w:r>
          </w:p>
          <w:p w14:paraId="2AC65CB1">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2.12防雷保护：电网输入端带模块化防雷保护器，额定工作电压220V，最大持续工作电压：385，标称放电电流：20KA，最大放电电流：40KA，响应时间：＜25ms。</w:t>
            </w:r>
          </w:p>
          <w:p w14:paraId="074E845E">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3.现场数据检测终端</w:t>
            </w:r>
          </w:p>
          <w:p w14:paraId="7964B41D">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3.1处理器：参照或相当于酷睿2 U9 285H水平 基准频率2.9GHz 加速频率5.4GHz</w:t>
            </w:r>
          </w:p>
          <w:p w14:paraId="275EB15A">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3.2内存：≥32GB</w:t>
            </w:r>
          </w:p>
          <w:p w14:paraId="76C68410">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3.3硬盘：≥1TB</w:t>
            </w:r>
          </w:p>
          <w:p w14:paraId="38C546C2">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3.4屏幕：分辨率2880*1800 、刷新率120Hz 14英寸</w:t>
            </w:r>
          </w:p>
          <w:p w14:paraId="03385E84">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3.5无线网卡：双天线Wi-Fi7</w:t>
            </w:r>
          </w:p>
          <w:p w14:paraId="248E9FDB">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3.6随身包一套</w:t>
            </w:r>
          </w:p>
          <w:p w14:paraId="0E976D5B">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3.7预装正版操作系统和办公软件</w:t>
            </w:r>
          </w:p>
        </w:tc>
      </w:tr>
      <w:tr w14:paraId="4C0BC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6EEE36C9">
            <w:pPr>
              <w:numPr>
                <w:ilvl w:val="0"/>
                <w:numId w:val="1"/>
              </w:numPr>
              <w:tabs>
                <w:tab w:val="left" w:pos="180"/>
                <w:tab w:val="left" w:pos="1620"/>
              </w:tabs>
              <w:jc w:val="center"/>
              <w:rPr>
                <w:rFonts w:hint="eastAsia" w:ascii="宋体" w:hAnsi="宋体" w:cs="宋体"/>
                <w:color w:val="auto"/>
                <w:szCs w:val="21"/>
                <w:highlight w:val="none"/>
              </w:rPr>
            </w:pPr>
          </w:p>
        </w:tc>
        <w:tc>
          <w:tcPr>
            <w:tcW w:w="888" w:type="dxa"/>
            <w:gridSpan w:val="2"/>
            <w:vAlign w:val="center"/>
          </w:tcPr>
          <w:p w14:paraId="43B8AD30">
            <w:pPr>
              <w:pStyle w:val="63"/>
              <w:spacing w:line="360" w:lineRule="auto"/>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发电机</w:t>
            </w:r>
          </w:p>
        </w:tc>
        <w:tc>
          <w:tcPr>
            <w:tcW w:w="729" w:type="dxa"/>
            <w:vAlign w:val="center"/>
          </w:tcPr>
          <w:p w14:paraId="1ED8E122">
            <w:pPr>
              <w:pStyle w:val="63"/>
              <w:spacing w:line="360" w:lineRule="auto"/>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1台</w:t>
            </w:r>
          </w:p>
        </w:tc>
        <w:tc>
          <w:tcPr>
            <w:tcW w:w="6899" w:type="dxa"/>
          </w:tcPr>
          <w:p w14:paraId="01418EE7">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1.发电机（柴油）额定功率：10kW；</w:t>
            </w:r>
          </w:p>
          <w:p w14:paraId="4B13D436">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2.额定电压：220v单相/380v三相；</w:t>
            </w:r>
          </w:p>
          <w:p w14:paraId="52C10079">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3.油箱：不小于16L；</w:t>
            </w:r>
          </w:p>
          <w:p w14:paraId="513BF3A1">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4.启动方式：电动/手拉；</w:t>
            </w:r>
          </w:p>
          <w:p w14:paraId="03FE40E2">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5.频率：50Hz。</w:t>
            </w:r>
          </w:p>
        </w:tc>
      </w:tr>
      <w:tr w14:paraId="481FA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7AB6607B">
            <w:pPr>
              <w:numPr>
                <w:ilvl w:val="0"/>
                <w:numId w:val="1"/>
              </w:numPr>
              <w:tabs>
                <w:tab w:val="left" w:pos="180"/>
                <w:tab w:val="left" w:pos="1620"/>
              </w:tabs>
              <w:jc w:val="center"/>
              <w:rPr>
                <w:rFonts w:hint="eastAsia" w:ascii="宋体" w:hAnsi="宋体" w:cs="宋体"/>
                <w:color w:val="auto"/>
                <w:szCs w:val="21"/>
                <w:highlight w:val="none"/>
              </w:rPr>
            </w:pPr>
          </w:p>
        </w:tc>
        <w:tc>
          <w:tcPr>
            <w:tcW w:w="888" w:type="dxa"/>
            <w:gridSpan w:val="2"/>
            <w:vAlign w:val="center"/>
          </w:tcPr>
          <w:p w14:paraId="41A04106">
            <w:pPr>
              <w:pStyle w:val="63"/>
              <w:spacing w:line="360" w:lineRule="auto"/>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探照灯</w:t>
            </w:r>
          </w:p>
        </w:tc>
        <w:tc>
          <w:tcPr>
            <w:tcW w:w="729" w:type="dxa"/>
            <w:vAlign w:val="center"/>
          </w:tcPr>
          <w:p w14:paraId="3BEB6436">
            <w:pPr>
              <w:pStyle w:val="63"/>
              <w:spacing w:line="360" w:lineRule="auto"/>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2个</w:t>
            </w:r>
          </w:p>
        </w:tc>
        <w:tc>
          <w:tcPr>
            <w:tcW w:w="6899" w:type="dxa"/>
          </w:tcPr>
          <w:p w14:paraId="50704E13">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1.功率：220V/600W；</w:t>
            </w:r>
          </w:p>
          <w:p w14:paraId="7F6FFC4D">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2.光源颜色：暖白光；</w:t>
            </w:r>
          </w:p>
          <w:p w14:paraId="062F082B">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3.材质：压铸铝+钢化玻璃；</w:t>
            </w:r>
          </w:p>
          <w:p w14:paraId="55590634">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4.灯具光束扩散：8°～40°；</w:t>
            </w:r>
          </w:p>
          <w:p w14:paraId="534FD5A7">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5.防护等级：IP66；</w:t>
            </w:r>
          </w:p>
          <w:p w14:paraId="38C43C90">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6.投光距离：800-2000m；</w:t>
            </w:r>
          </w:p>
          <w:p w14:paraId="5B54326F">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7.自动云台，可遥控转向、抬头。</w:t>
            </w:r>
          </w:p>
        </w:tc>
      </w:tr>
      <w:tr w14:paraId="38EB5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01A965C3">
            <w:pPr>
              <w:numPr>
                <w:ilvl w:val="0"/>
                <w:numId w:val="1"/>
              </w:numPr>
              <w:tabs>
                <w:tab w:val="left" w:pos="180"/>
                <w:tab w:val="left" w:pos="1620"/>
              </w:tabs>
              <w:jc w:val="center"/>
              <w:rPr>
                <w:rFonts w:hint="eastAsia" w:ascii="宋体" w:hAnsi="宋体" w:cs="宋体"/>
                <w:color w:val="auto"/>
                <w:szCs w:val="21"/>
                <w:highlight w:val="none"/>
              </w:rPr>
            </w:pPr>
          </w:p>
        </w:tc>
        <w:tc>
          <w:tcPr>
            <w:tcW w:w="888" w:type="dxa"/>
            <w:gridSpan w:val="2"/>
            <w:vAlign w:val="center"/>
          </w:tcPr>
          <w:p w14:paraId="5AB1917A">
            <w:pPr>
              <w:pStyle w:val="63"/>
              <w:spacing w:line="360" w:lineRule="auto"/>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雷达水位计</w:t>
            </w:r>
          </w:p>
        </w:tc>
        <w:tc>
          <w:tcPr>
            <w:tcW w:w="729" w:type="dxa"/>
            <w:vAlign w:val="center"/>
          </w:tcPr>
          <w:p w14:paraId="6926D288">
            <w:pPr>
              <w:pStyle w:val="63"/>
              <w:spacing w:line="360" w:lineRule="auto"/>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1个</w:t>
            </w:r>
          </w:p>
        </w:tc>
        <w:tc>
          <w:tcPr>
            <w:tcW w:w="6899" w:type="dxa"/>
          </w:tcPr>
          <w:p w14:paraId="11678F37">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1.主要技术参数</w:t>
            </w:r>
          </w:p>
          <w:p w14:paraId="4CEDE25C">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1.1测量量程：0～30m；</w:t>
            </w:r>
          </w:p>
          <w:p w14:paraId="5D11B1CC">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1.2测量精度：±2mm.；</w:t>
            </w:r>
          </w:p>
          <w:p w14:paraId="0ADEB8CD">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1.3分辨率：1mm；</w:t>
            </w:r>
          </w:p>
          <w:p w14:paraId="1D645436">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1.4发射频率：26GHz；</w:t>
            </w:r>
          </w:p>
          <w:p w14:paraId="2CFF56E3">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1.5供电电压：12VDC</w:t>
            </w:r>
          </w:p>
          <w:p w14:paraId="5AB50FF0">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1.6防护等级：IP67；</w:t>
            </w:r>
          </w:p>
          <w:p w14:paraId="6F316358">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1.7功耗：工作电流&lt;200mA，待机&lt;20mA；</w:t>
            </w:r>
          </w:p>
          <w:p w14:paraId="54BD1C28">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1.8通讯接口： RS485接口，MODBUS-RTU协议；</w:t>
            </w:r>
          </w:p>
          <w:p w14:paraId="75EE07AA">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2.配套：安装管线及软件</w:t>
            </w:r>
          </w:p>
          <w:p w14:paraId="47A8FC7E">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3.通信传输要求：符合</w:t>
            </w:r>
            <w:r>
              <w:rPr>
                <w:rFonts w:hint="eastAsia" w:ascii="宋体" w:hAnsi="宋体" w:cs="宋体"/>
                <w:color w:val="auto"/>
                <w:szCs w:val="21"/>
                <w:highlight w:val="none"/>
              </w:rPr>
              <w:t>《水文监测数据通信规约》（</w:t>
            </w:r>
            <w:r>
              <w:rPr>
                <w:rFonts w:ascii="宋体" w:hAnsi="宋体" w:cs="宋体"/>
                <w:color w:val="auto"/>
                <w:szCs w:val="21"/>
                <w:highlight w:val="none"/>
              </w:rPr>
              <w:t>SL651-2014）标准</w:t>
            </w:r>
            <w:r>
              <w:rPr>
                <w:rFonts w:hint="eastAsia" w:ascii="宋体" w:hAnsi="宋体" w:cs="宋体"/>
                <w:color w:val="auto"/>
                <w:sz w:val="21"/>
                <w:szCs w:val="21"/>
                <w:highlight w:val="none"/>
              </w:rPr>
              <w:t>。</w:t>
            </w:r>
          </w:p>
        </w:tc>
      </w:tr>
      <w:tr w14:paraId="09D64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36AE121F">
            <w:pPr>
              <w:numPr>
                <w:ilvl w:val="0"/>
                <w:numId w:val="1"/>
              </w:numPr>
              <w:tabs>
                <w:tab w:val="left" w:pos="180"/>
                <w:tab w:val="left" w:pos="1620"/>
              </w:tabs>
              <w:jc w:val="center"/>
              <w:rPr>
                <w:rFonts w:hint="eastAsia" w:ascii="宋体" w:hAnsi="宋体" w:cs="宋体"/>
                <w:color w:val="auto"/>
                <w:szCs w:val="21"/>
                <w:highlight w:val="none"/>
              </w:rPr>
            </w:pPr>
          </w:p>
        </w:tc>
        <w:tc>
          <w:tcPr>
            <w:tcW w:w="888" w:type="dxa"/>
            <w:gridSpan w:val="2"/>
            <w:vAlign w:val="center"/>
          </w:tcPr>
          <w:p w14:paraId="4EF9F146">
            <w:pPr>
              <w:pStyle w:val="63"/>
              <w:spacing w:line="360" w:lineRule="auto"/>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气泡水位计</w:t>
            </w:r>
          </w:p>
        </w:tc>
        <w:tc>
          <w:tcPr>
            <w:tcW w:w="729" w:type="dxa"/>
            <w:vAlign w:val="center"/>
          </w:tcPr>
          <w:p w14:paraId="65A9E53E">
            <w:pPr>
              <w:pStyle w:val="63"/>
              <w:spacing w:line="360" w:lineRule="auto"/>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1台</w:t>
            </w:r>
          </w:p>
        </w:tc>
        <w:tc>
          <w:tcPr>
            <w:tcW w:w="6899" w:type="dxa"/>
          </w:tcPr>
          <w:p w14:paraId="41CC5B0F">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1.测量范围： 0～50m；</w:t>
            </w:r>
          </w:p>
          <w:p w14:paraId="57CE18A1">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2.压力量程： 0～200kPa;</w:t>
            </w:r>
          </w:p>
          <w:p w14:paraId="1893AB96">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3.气管直径： 6mm；</w:t>
            </w:r>
          </w:p>
          <w:p w14:paraId="742A5DD3">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4.测量精度： 0.05%F.S.；</w:t>
            </w:r>
          </w:p>
          <w:p w14:paraId="185E5AAC">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5.分辨率： 1mm；</w:t>
            </w:r>
          </w:p>
          <w:p w14:paraId="76C92510">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6.供电电压： 12VDC</w:t>
            </w:r>
          </w:p>
          <w:p w14:paraId="1D9FD9F0">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7.水位变化率： &lt;60cm/min；</w:t>
            </w:r>
          </w:p>
          <w:p w14:paraId="1878A13C">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8.本地存储：可存储不少 10 万组测量数据；</w:t>
            </w:r>
          </w:p>
          <w:p w14:paraId="66CE347D">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9.电源保护：防反接，过压过流和防浪涌保护；</w:t>
            </w:r>
          </w:p>
          <w:p w14:paraId="0FC09A5F">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10.功耗：待机&lt;12mW, 采集： &lt;192mW(气泵除外)；</w:t>
            </w:r>
          </w:p>
          <w:p w14:paraId="6AEEE4C2">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11.通讯接口： RS485 接口， MODBUS-RTU 协议；</w:t>
            </w:r>
          </w:p>
          <w:p w14:paraId="69CAD3CB">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12.防护等级：水下部分 IP68，主机部分 IP54；</w:t>
            </w:r>
          </w:p>
          <w:p w14:paraId="252C138D">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13.安装方式：气泵及控制器在历史最高洪水位的岸上立杆安装，</w:t>
            </w:r>
          </w:p>
          <w:p w14:paraId="26F6C4EB">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14.气容探头沿河岸支架垂直安装；</w:t>
            </w:r>
          </w:p>
          <w:p w14:paraId="63ED23CA">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15.配套：配套软件</w:t>
            </w:r>
          </w:p>
          <w:p w14:paraId="1B82F3F9">
            <w:pPr>
              <w:pStyle w:val="63"/>
              <w:spacing w:line="360" w:lineRule="auto"/>
              <w:ind w:firstLine="0"/>
              <w:jc w:val="left"/>
              <w:rPr>
                <w:color w:val="auto"/>
                <w:highlight w:val="none"/>
              </w:rPr>
            </w:pPr>
            <w:r>
              <w:rPr>
                <w:rFonts w:ascii="宋体" w:hAnsi="宋体" w:cs="宋体"/>
                <w:color w:val="auto"/>
                <w:sz w:val="21"/>
                <w:szCs w:val="21"/>
                <w:highlight w:val="none"/>
              </w:rPr>
              <w:t>16.</w:t>
            </w:r>
            <w:r>
              <w:rPr>
                <w:rFonts w:hint="eastAsia" w:ascii="宋体" w:hAnsi="宋体" w:cs="宋体"/>
                <w:color w:val="auto"/>
                <w:sz w:val="21"/>
                <w:szCs w:val="21"/>
                <w:highlight w:val="none"/>
              </w:rPr>
              <w:t>数据终端</w:t>
            </w:r>
          </w:p>
        </w:tc>
      </w:tr>
      <w:tr w14:paraId="14B46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7C700B38">
            <w:pPr>
              <w:numPr>
                <w:ilvl w:val="0"/>
                <w:numId w:val="1"/>
              </w:numPr>
              <w:tabs>
                <w:tab w:val="left" w:pos="180"/>
                <w:tab w:val="left" w:pos="1620"/>
              </w:tabs>
              <w:jc w:val="center"/>
              <w:rPr>
                <w:rFonts w:hint="eastAsia" w:ascii="宋体" w:hAnsi="宋体" w:cs="宋体"/>
                <w:color w:val="auto"/>
                <w:szCs w:val="21"/>
                <w:highlight w:val="none"/>
              </w:rPr>
            </w:pPr>
          </w:p>
        </w:tc>
        <w:tc>
          <w:tcPr>
            <w:tcW w:w="888" w:type="dxa"/>
            <w:gridSpan w:val="2"/>
            <w:vAlign w:val="center"/>
          </w:tcPr>
          <w:p w14:paraId="716B5336">
            <w:pPr>
              <w:pStyle w:val="63"/>
              <w:spacing w:line="360" w:lineRule="auto"/>
              <w:ind w:firstLine="0"/>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视频水位识别系统</w:t>
            </w:r>
          </w:p>
        </w:tc>
        <w:tc>
          <w:tcPr>
            <w:tcW w:w="729" w:type="dxa"/>
            <w:vAlign w:val="center"/>
          </w:tcPr>
          <w:p w14:paraId="3D641FCD">
            <w:pPr>
              <w:pStyle w:val="63"/>
              <w:spacing w:line="360" w:lineRule="auto"/>
              <w:ind w:firstLine="0"/>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2套</w:t>
            </w:r>
          </w:p>
        </w:tc>
        <w:tc>
          <w:tcPr>
            <w:tcW w:w="6899" w:type="dxa"/>
          </w:tcPr>
          <w:p w14:paraId="4524C594">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视频水位识别系统和智能水位图像识别系统主要包括前端设备、传输网络、平台软件和显示终端，采用定时抓拍和自主抓拍图像两种形式，定时或根据需要上传水尺图片；系统构成主要有前端设备（主要包括网络高速摄像机、RTU、DTU、太阳能板、蓄电池和水尺）、传输网络、平台软件和显示终端组成；要求接入广西水文中心及采购人已有的水尺识别平台，与平台对接。</w:t>
            </w:r>
          </w:p>
          <w:p w14:paraId="2EBC8AE5">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智能水尺图像识别系统的性能需求如下所示：</w:t>
            </w:r>
          </w:p>
          <w:p w14:paraId="12293BA6">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1.功能要求</w:t>
            </w:r>
          </w:p>
          <w:p w14:paraId="52E21B95">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1.1智能选取水尺拍照，并精准识别水尺刻度；</w:t>
            </w:r>
          </w:p>
          <w:p w14:paraId="4748F985">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1.2支持短水尺、长水尺、分段水尺、水泥水尺、红蓝色水尺等多类型水尺；</w:t>
            </w:r>
          </w:p>
          <w:p w14:paraId="55994DB7">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1.3智能水位滤波处理，消除波浪影响；</w:t>
            </w:r>
          </w:p>
          <w:p w14:paraId="75473C9F">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1.4支持多场景水尺监测，暗光、逆光等极端光线下仍能具有稳定性；</w:t>
            </w:r>
          </w:p>
          <w:p w14:paraId="48ED831E">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1.5具备多种图像识别算法，确保图像识别精度高；</w:t>
            </w:r>
          </w:p>
          <w:p w14:paraId="5ACBEA57">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1.6支持智能水位校核；</w:t>
            </w:r>
          </w:p>
          <w:p w14:paraId="5BEA00A4">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1.7中心远程全监管，实现现场零操作。</w:t>
            </w:r>
          </w:p>
          <w:p w14:paraId="3B278924">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2.现场采集传输系统功能</w:t>
            </w:r>
          </w:p>
          <w:p w14:paraId="76C503B0">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2.1接收中心站唤醒指令，实时加电采集测验河段视频信息，并压缩上传至中心站。</w:t>
            </w:r>
          </w:p>
          <w:p w14:paraId="7F2B806D">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2.2根据中心站指令自动对准相应水尺，每隔5分钟自动拍摄1张1027×768分辨率以上的照片，并压缩上传至中心站，每次共拍5张，本地可循环存储30天内的照片数据。</w:t>
            </w:r>
          </w:p>
          <w:p w14:paraId="42EAE1CA">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2.3自动或根据中心站指令关闭不必要的电源。</w:t>
            </w:r>
          </w:p>
          <w:p w14:paraId="47E4D687">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2.4通信信道支持国内所有4G/3G/2G无线网络（EVDO/WCDMA/TD-SCDMA等无线网络）。通信传输必须采用ONVIF协议或 GB28181-2011所规定协议。</w:t>
            </w:r>
          </w:p>
          <w:p w14:paraId="3106D235">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2.5网络带宽自适应技术，根据网络带宽自动调整视频帧率，单卡传输最高可达25帧/秒，平均延时小于3秒。</w:t>
            </w:r>
          </w:p>
          <w:p w14:paraId="6DBB1AEF">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2.6支持阶梯水尺自动巡航识别，最大支持30根水尺，须使用标准桩式水尺，支持识别水尺编号；</w:t>
            </w:r>
          </w:p>
          <w:p w14:paraId="3E05414E">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2.7支持对特制水尺、斜式水尺、方块水尺自动识别水位读数的功能；</w:t>
            </w:r>
          </w:p>
          <w:p w14:paraId="6AA71830">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2.8防尘等级不低于IP66，防雷、防突波和防浪涌保护不低于TVS4000V。</w:t>
            </w:r>
          </w:p>
          <w:p w14:paraId="2757D4E3">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2.9电源支持市电配太阳能及太阳能单独供电，电池容量满足无浮充条件下仅用蓄电池供电时保障设备连续正常供电不少于30天，且容量不少于100AH，配置防水埋地式电池箱，配套太阳能板确保电池亏空后连续5个晴天内充满。</w:t>
            </w:r>
          </w:p>
          <w:p w14:paraId="6F8ECE12">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2.10工作温度/湿度：-20℃～65℃，＜90%RH无冷凝。</w:t>
            </w:r>
          </w:p>
          <w:p w14:paraId="54847EED">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2.11保存温度：-40℃～65℃</w:t>
            </w:r>
          </w:p>
          <w:p w14:paraId="7A0623A2">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2.12适用环境：全天候</w:t>
            </w:r>
          </w:p>
          <w:p w14:paraId="58920060">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3.技术指标</w:t>
            </w:r>
          </w:p>
          <w:p w14:paraId="74254CE5">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3.1系统主要技术指标</w:t>
            </w:r>
          </w:p>
          <w:p w14:paraId="5603EE38">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3.1.1测量误差：水尺测量距离≤100m，测量落差0~40m，检测精度±2 cm；</w:t>
            </w:r>
          </w:p>
          <w:p w14:paraId="6FD6AC17">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3.2室外网络高清智能球型摄像机</w:t>
            </w:r>
          </w:p>
          <w:p w14:paraId="7CCB0CBB">
            <w:pPr>
              <w:pStyle w:val="63"/>
              <w:spacing w:line="360" w:lineRule="auto"/>
              <w:ind w:firstLine="0"/>
              <w:jc w:val="left"/>
              <w:rPr>
                <w:color w:val="auto"/>
                <w:highlight w:val="none"/>
              </w:rPr>
            </w:pPr>
            <w:r>
              <w:rPr>
                <w:rFonts w:hint="eastAsia" w:ascii="宋体" w:hAnsi="宋体" w:cs="宋体"/>
                <w:color w:val="auto"/>
                <w:sz w:val="21"/>
                <w:szCs w:val="21"/>
                <w:highlight w:val="none"/>
              </w:rPr>
              <w:t>3.2.1远程唤醒：支持远程唤醒，唤醒后打开监控系统</w:t>
            </w:r>
          </w:p>
        </w:tc>
      </w:tr>
      <w:tr w14:paraId="4CC5D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672E4A26">
            <w:pPr>
              <w:numPr>
                <w:ilvl w:val="0"/>
                <w:numId w:val="1"/>
              </w:numPr>
              <w:tabs>
                <w:tab w:val="left" w:pos="180"/>
                <w:tab w:val="left" w:pos="1620"/>
              </w:tabs>
              <w:jc w:val="center"/>
              <w:rPr>
                <w:rFonts w:hint="eastAsia" w:ascii="宋体" w:hAnsi="宋体" w:cs="宋体"/>
                <w:color w:val="auto"/>
                <w:szCs w:val="21"/>
                <w:highlight w:val="none"/>
              </w:rPr>
            </w:pPr>
          </w:p>
        </w:tc>
        <w:tc>
          <w:tcPr>
            <w:tcW w:w="888" w:type="dxa"/>
            <w:gridSpan w:val="2"/>
            <w:vAlign w:val="center"/>
          </w:tcPr>
          <w:p w14:paraId="75DF6EC4">
            <w:pPr>
              <w:pStyle w:val="63"/>
              <w:spacing w:line="360" w:lineRule="auto"/>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通讯终端（含太阳能板、蓄电池等供电系统）</w:t>
            </w:r>
          </w:p>
        </w:tc>
        <w:tc>
          <w:tcPr>
            <w:tcW w:w="729" w:type="dxa"/>
            <w:vAlign w:val="center"/>
          </w:tcPr>
          <w:p w14:paraId="17A942AD">
            <w:pPr>
              <w:pStyle w:val="63"/>
              <w:spacing w:line="360" w:lineRule="auto"/>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2套</w:t>
            </w:r>
          </w:p>
        </w:tc>
        <w:tc>
          <w:tcPr>
            <w:tcW w:w="6899" w:type="dxa"/>
          </w:tcPr>
          <w:p w14:paraId="536FA8DC">
            <w:pPr>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 xml:space="preserve">一、通信终端（含太阳能板、蓄电池等供电系统） </w:t>
            </w:r>
          </w:p>
          <w:p w14:paraId="7DADDABB">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1.功能要求</w:t>
            </w:r>
          </w:p>
          <w:p w14:paraId="11AD3DD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负责对现场信号、工业设备的监测和控制，实现中央监控或调度系统对前端设备的遥测、遥控、遥信和遥调等功能。</w:t>
            </w:r>
          </w:p>
          <w:p w14:paraId="3E29DEA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2.技术指标</w:t>
            </w:r>
          </w:p>
          <w:p w14:paraId="674EC6EA">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2.1可采集压力、水位、超声波流量、雨量、图像、人工置数、蓄电池电压、开关量干接点信号等运行工况参数。</w:t>
            </w:r>
          </w:p>
          <w:p w14:paraId="5431E59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2.2支持2G/3G/4G/5G、北斗三号卫星等多种通讯设备，支持移动、联通、电信全网全频，并实现主备通信模式自动切换。</w:t>
            </w:r>
          </w:p>
          <w:p w14:paraId="1941788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2.3工作方式：随机增量加报、限时增量加报、定时自报、召测方式，具有信息发送失败自动补发功能，可通过2G/3G/4G/5G  /三代北斗卫星等提取RTU存储的历史数据。</w:t>
            </w:r>
          </w:p>
          <w:p w14:paraId="7FB955A9">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2.4可通过2G/3G/4G/5G /北斗三号卫星等方式远程修改定时报间隔、流量（压力、水位）加报门限、流量（压力、水位）加报时间间隔、流量（压力、水位）加报门限、流量（压力、水位）基值等参数。</w:t>
            </w:r>
          </w:p>
          <w:p w14:paraId="0418425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2.5传感器接口：支持接口RS485、格雷码、4-20mA传感器。</w:t>
            </w:r>
          </w:p>
          <w:p w14:paraId="31B4ABB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2.6固态存储：可至少存储3年的流量、压力、水位等历史数据，且存储的数据断电后不会丢失，数据存储符合《水文资料整编规范》 SL247-2012要求。</w:t>
            </w:r>
          </w:p>
          <w:p w14:paraId="7B2D3FBB">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2.7设备符合《水文自动测报系统设备遥测终端机》（SL180-2015）和《水文监测数据通信规约》（SL651-2014）标准。</w:t>
            </w:r>
          </w:p>
          <w:p w14:paraId="11F2F37B">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2.8具有实时时钟，最大月误差不大于2min，能够自动校时，能响应中心站校时命令。</w:t>
            </w:r>
          </w:p>
          <w:p w14:paraId="55C1652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2.9电源供电电源：10～30VDC；</w:t>
            </w:r>
          </w:p>
          <w:p w14:paraId="7751C72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2.10静态功耗：≤3mA（12VDC，自报式工作模式）；</w:t>
            </w:r>
          </w:p>
          <w:p w14:paraId="1752226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2.11静态功耗：≤15mA（12VDC，自报兼查询—应答混合模式）；</w:t>
            </w:r>
          </w:p>
          <w:p w14:paraId="44FE6704">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2.12工作电流：≤100mA（12VDC）;</w:t>
            </w:r>
          </w:p>
          <w:p w14:paraId="6EC2D4A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2.13标配按键和液晶显示屏;</w:t>
            </w:r>
          </w:p>
          <w:p w14:paraId="4363E59A">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2.14模拟量输入：≥4路隔离4～20mA信号输入，准确度≤0.5%;</w:t>
            </w:r>
          </w:p>
          <w:p w14:paraId="6A6C18F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2.15开关量（干接点）输入：≥6路隔离开关量（干接点）输入;</w:t>
            </w:r>
          </w:p>
          <w:p w14:paraId="5005A0C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2.16脉冲量输入：≥2路，准确度≤0.01%</w:t>
            </w:r>
          </w:p>
          <w:p w14:paraId="02F5DA39">
            <w:pPr>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二、太阳能板</w:t>
            </w:r>
          </w:p>
          <w:p w14:paraId="2CC16DB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1.峰值功率（Pmax）:不小于60W；</w:t>
            </w:r>
          </w:p>
          <w:p w14:paraId="139AB10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2.峰值电压（Vmp）:不小于18V；</w:t>
            </w:r>
          </w:p>
          <w:p w14:paraId="3085C56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3.层压太阳能电池板/组件；</w:t>
            </w:r>
          </w:p>
          <w:p w14:paraId="16F2462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4.材质：单晶硅；</w:t>
            </w:r>
          </w:p>
          <w:p w14:paraId="6779075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5.最大功率： 不小于60（W）；</w:t>
            </w:r>
          </w:p>
          <w:p w14:paraId="291AE2DB">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6.工作电流： 不小于1.14（A）；</w:t>
            </w:r>
          </w:p>
          <w:p w14:paraId="077DAE0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7.工作电压： 不小于17.56（V）；</w:t>
            </w:r>
          </w:p>
          <w:p w14:paraId="7B89D41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8.封装形式：高透钢化玻璃层压；</w:t>
            </w:r>
          </w:p>
          <w:p w14:paraId="7199CA1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9.太阳能板支架：不锈钢或镀锌钢材，强度满足8级以上的风力，向阳角度可调。</w:t>
            </w:r>
          </w:p>
          <w:p w14:paraId="33EA0768">
            <w:pPr>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三、充电控制器</w:t>
            </w:r>
          </w:p>
          <w:p w14:paraId="342AE5CB">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1.具备防电源线反接、反冲保护；</w:t>
            </w:r>
          </w:p>
          <w:p w14:paraId="6CBE5B6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2.具备过载、过充、过放、短路保护功能；</w:t>
            </w:r>
          </w:p>
          <w:p w14:paraId="5DC4B91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3.最大充电电流（50℃）：6A/10A；</w:t>
            </w:r>
          </w:p>
          <w:p w14:paraId="5EFE4069">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4.最大负载电流（50℃）：6A/10A；</w:t>
            </w:r>
          </w:p>
          <w:p w14:paraId="5AF9E2C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5.系统电压：12/24Vdc；</w:t>
            </w:r>
          </w:p>
          <w:p w14:paraId="3F7E801B">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6.最大自损耗：4mA；</w:t>
            </w:r>
          </w:p>
          <w:p w14:paraId="73055709">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7.最终充电电压：13.7V(出厂可调)；</w:t>
            </w:r>
          </w:p>
          <w:p w14:paraId="2EE8DC3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8.过放保护值：11.1V(出厂可调)；</w:t>
            </w:r>
          </w:p>
          <w:p w14:paraId="3654419B">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9.过放恢复值：12.6V(出厂可调)；</w:t>
            </w:r>
          </w:p>
          <w:p w14:paraId="5965B02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10.温度补偿：-3mV/K/Cell(出厂可调)；</w:t>
            </w:r>
          </w:p>
          <w:p w14:paraId="2D247229">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11.工作环境温度：-25℃ ～ 50℃；</w:t>
            </w:r>
          </w:p>
          <w:p w14:paraId="6A3C512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12.接线端子截面积：≥mm²；</w:t>
            </w:r>
          </w:p>
          <w:p w14:paraId="27014EB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13.防护等级：IP22；</w:t>
            </w:r>
          </w:p>
          <w:p w14:paraId="783548E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14.与太阳能板、蓄电池相匹配。</w:t>
            </w:r>
          </w:p>
          <w:p w14:paraId="2F3B7767">
            <w:pPr>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四、蓄电池</w:t>
            </w:r>
          </w:p>
          <w:p w14:paraId="1760730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1.外包装采用燃材ABS槽壳符合UL94V-0标准；</w:t>
            </w:r>
          </w:p>
          <w:p w14:paraId="6A298764">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2.具有耐震耐冲击；</w:t>
            </w:r>
          </w:p>
          <w:p w14:paraId="563BFBD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3.具有过放电与过充电功能；</w:t>
            </w:r>
          </w:p>
          <w:p w14:paraId="5639524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4.耐大电流性好；</w:t>
            </w:r>
          </w:p>
          <w:p w14:paraId="701557B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5.酸性免维护可充电蓄电池；</w:t>
            </w:r>
          </w:p>
          <w:p w14:paraId="7DD2C19F">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6.蓄电池组容量≥65Ah，能保证在连续阴雨的天气下供遥测设备工作25天以上；</w:t>
            </w:r>
          </w:p>
          <w:p w14:paraId="195AEF2B">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7.正常使用下无电解液漏出，无电池膨胀及破裂；</w:t>
            </w:r>
          </w:p>
          <w:p w14:paraId="5096089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8、放电电压平稳，放电平台平缓；</w:t>
            </w:r>
          </w:p>
          <w:p w14:paraId="26D40C4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9.安全充电状态的电池完全固定，以3mm 的振幅，16.7Hz 的频率振动以小时；</w:t>
            </w:r>
          </w:p>
          <w:p w14:paraId="2FE8CD7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10.无漏液，无电池膨胀及破裂，开路电压正常；</w:t>
            </w:r>
          </w:p>
          <w:p w14:paraId="7ADEB4AA">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11.安全充电状态的电池从20cm 高处自然落至1cm 厚的硬木板上3次无液漏；</w:t>
            </w:r>
          </w:p>
        </w:tc>
      </w:tr>
      <w:tr w14:paraId="3E14C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5D375FAB">
            <w:pPr>
              <w:numPr>
                <w:ilvl w:val="0"/>
                <w:numId w:val="1"/>
              </w:numPr>
              <w:tabs>
                <w:tab w:val="left" w:pos="180"/>
                <w:tab w:val="left" w:pos="1620"/>
              </w:tabs>
              <w:jc w:val="center"/>
              <w:rPr>
                <w:rFonts w:hint="eastAsia" w:ascii="宋体" w:hAnsi="宋体" w:cs="宋体"/>
                <w:color w:val="auto"/>
                <w:szCs w:val="21"/>
                <w:highlight w:val="none"/>
              </w:rPr>
            </w:pPr>
          </w:p>
        </w:tc>
        <w:tc>
          <w:tcPr>
            <w:tcW w:w="888" w:type="dxa"/>
            <w:gridSpan w:val="2"/>
            <w:vAlign w:val="center"/>
          </w:tcPr>
          <w:p w14:paraId="305E0979">
            <w:pPr>
              <w:pStyle w:val="63"/>
              <w:spacing w:line="360" w:lineRule="auto"/>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视频监控系统</w:t>
            </w:r>
          </w:p>
        </w:tc>
        <w:tc>
          <w:tcPr>
            <w:tcW w:w="729" w:type="dxa"/>
            <w:vAlign w:val="center"/>
          </w:tcPr>
          <w:p w14:paraId="229E4572">
            <w:pPr>
              <w:pStyle w:val="63"/>
              <w:spacing w:line="360" w:lineRule="auto"/>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3套</w:t>
            </w:r>
          </w:p>
        </w:tc>
        <w:tc>
          <w:tcPr>
            <w:tcW w:w="6899" w:type="dxa"/>
          </w:tcPr>
          <w:p w14:paraId="2CDADBC4">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视频监控系统</w:t>
            </w:r>
          </w:p>
          <w:p w14:paraId="632DAE44">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监控球机3台：支持1/2.8＂400万32倍光学变焦镜头，采用补光阵列，低功耗，白光补光30m，红外补光150m；支持区域入侵侦测，越界侦测，进入区域侦测和离开区域侦测等智能侦测；采用补光阵列，低功耗，白光补光30m，红外补光150m；内置加热玻璃，有效除雾；支持最大2688×1520@30fps高清画面输出；支持超低照度，0.005Lux/F1.5(彩色)，0.001Lux/F1.5(黑白)，0 Lux with IR；支持32倍光学变倍，16倍数字变倍；支持三码流技术，每路码流可独立配置分辨率及帧率；支持3D数字降噪，支持120 dB宽动态支持多播功能开放型网络视频接口，ISAPIGB/T28181，OTAP；支持两进一出报警，一进一出音频，最大支持512GBMicroSD卡存储IP66，抗干扰能力强，适用于电磁环境，符合GB/T17626.2/3/4/5/6四级标准支持智能仪表聚焦算法传感器类型：参照或相当于1/2.8＂ progressive scan CMOS；最低照度：彩色：0.005Lux @ (F1.5，AGC ON),黑白：0.001Lux @ (F1.5，AGC ON)；0 lux with IR；宽动态：120dB超宽动态；焦距：5.9-188.8mm，32倍光学变倍；视场角：水平视场角60.2°-2.3°(广角-望远)；垂直视场角：35.2°to1.3°(广角-望远)；对角线视场角：67.4°to2.6°(广角-望远)；</w:t>
            </w:r>
          </w:p>
          <w:p w14:paraId="6A834C27">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白光照射距离：30m；</w:t>
            </w:r>
          </w:p>
          <w:p w14:paraId="4A0D721F">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红外照射距离：150m；</w:t>
            </w:r>
          </w:p>
          <w:p w14:paraId="00DFF611">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运动精度：深度传感磁编，保证定位精度至0.1°，不偏移 </w:t>
            </w:r>
          </w:p>
          <w:p w14:paraId="2AEFA5BF">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水平范围：360°</w:t>
            </w:r>
          </w:p>
          <w:p w14:paraId="46B65360">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垂直范围：-15°-90°(自动翻转)</w:t>
            </w:r>
          </w:p>
          <w:p w14:paraId="5BA957B0">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水平速度：水平键控速度：0.1°-160°/s,速度可设;水平预置点速度：240°/s</w:t>
            </w:r>
          </w:p>
          <w:p w14:paraId="0A95D9F3">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垂直速度：垂直键控速度：0.1°-120°/s,速度可设;垂直预置点速度：200°/s；</w:t>
            </w:r>
          </w:p>
          <w:p w14:paraId="31D6FF0B">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主码流帧率分辨率：50Hz: 25fps (2688×1520，2560×1440,1920×1080,1280×960,1280×720)</w:t>
            </w:r>
          </w:p>
          <w:p w14:paraId="20031294">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60Hz: 30fps (2688×1520，2560×1440,1920×1080,1280×960,1280×720)；</w:t>
            </w:r>
          </w:p>
          <w:p w14:paraId="30EC797B">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视频压缩标准：H.265;H.264;MJPEG ；</w:t>
            </w:r>
          </w:p>
          <w:p w14:paraId="7AFD229F">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SD卡扩展：支持MicroSD/MicroSDHC/MicroSDXC卡，最大支持512 GB ；</w:t>
            </w:r>
          </w:p>
          <w:p w14:paraId="5C261DC7">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网络接口：RJ45网口，自适应10M/100M网络数据 ；</w:t>
            </w:r>
          </w:p>
          <w:p w14:paraId="3D514A6A">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报警输入：2路报警输入；</w:t>
            </w:r>
          </w:p>
          <w:p w14:paraId="72A0864B">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报警输出：1路报警输出；</w:t>
            </w:r>
          </w:p>
          <w:p w14:paraId="134CD785">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音频输入：1路音频输入，音频峰值：2-2.4V[p-p]，输入阻抗：1 kΩ±10%；</w:t>
            </w:r>
          </w:p>
          <w:p w14:paraId="05F4CEEE">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音频输出：1路音频输出，线性电平，阻抗:600Ω ；</w:t>
            </w:r>
          </w:p>
          <w:p w14:paraId="1BB32A20">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供电方式：DC36V±25%；</w:t>
            </w:r>
          </w:p>
          <w:p w14:paraId="4363C0CD">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电源接口类型：甩线；</w:t>
            </w:r>
          </w:p>
          <w:p w14:paraId="64E854A2">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电流及功耗：最大功耗：42W；</w:t>
            </w:r>
          </w:p>
          <w:p w14:paraId="4003B4BA">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工作温湿度：-30℃-65℃;湿度小于90%；</w:t>
            </w:r>
          </w:p>
          <w:p w14:paraId="6939104B">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除雾：加热玻璃除雾；</w:t>
            </w:r>
          </w:p>
          <w:p w14:paraId="4D330D73">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防护：IP66；抗干扰能力强，适用于电磁环境，符合GB/T17626.2/3/4/5/6四级标准；</w:t>
            </w:r>
          </w:p>
          <w:p w14:paraId="3A97C673">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要求可接入采购人已有的视频汇聚平台，与平台对接。</w:t>
            </w:r>
          </w:p>
          <w:p w14:paraId="6BA5032A">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2.硬盘录像机1台</w:t>
            </w:r>
          </w:p>
          <w:p w14:paraId="347756D9">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2.1支持多址设定：可将2个网口设置不同网段的IP地址。</w:t>
            </w:r>
          </w:p>
          <w:p w14:paraId="614B8E95">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2.2可接入1T、2T、3T、4T、6T、8T容量的SATA接口硬盘；可接入AI硬盘。</w:t>
            </w:r>
          </w:p>
          <w:p w14:paraId="2AA9DC79">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2.3码流分辨率：4096×2160（25帧/秒）、3840×2160(25帧/秒)、3072×2048(25帧/秒)、2560×2048(25帧/秒)、2048×1536(25帧/秒)、1920×1080(25帧/秒)、1280×720(25帧/秒)、704×576(25帧/秒）。</w:t>
            </w:r>
          </w:p>
          <w:p w14:paraId="517BC87A">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2.4技术要求：启用SVC解码，可同时正放或倒放5路400W分辨率H.265、H.264编码的视频图像，解码总资源为≥6个1920×1080格式的视频图像。</w:t>
            </w:r>
          </w:p>
          <w:p w14:paraId="14C6C4D8">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2.5显示输出分辨率具有1024×768/60Hz、1280×720/60Hz、1280×1024/60Hz、1600×1200/60Hz、1920×1080/60Hz、2560×1440/60Hz、4K(4096x2160)/30Hz，4K (3840×2160)/30Hz设置选项</w:t>
            </w:r>
          </w:p>
          <w:p w14:paraId="287A41C0">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2.6可同时显示输出≥6路H.265、H.264编码、25fps、1920×1080格式的视频图像，或≥8路H.265、H.264编码、15fps、1920×1080格式的视频图像。</w:t>
            </w:r>
          </w:p>
          <w:p w14:paraId="75392DD3">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2.7可通过拖动时间标尺单击回放时间轴对指定时间点的录像进行回放；可通过鼠标滚轴的放大缩小调整时间轴精度，最小1秒，最大1天。</w:t>
            </w:r>
          </w:p>
          <w:p w14:paraId="6F0F6C17">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2.8支持接入带有越界报警、区域入侵、进入区域、离开区域、人员聚集、快速移动、徘徊报警、场景变更报警、虚焦报警、人脸识别报警功能的网络摄像机，当触发报警时可联动录像、抓拍、报警输出。</w:t>
            </w:r>
          </w:p>
          <w:p w14:paraId="6CFA1E0B">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2.9可显示设备在线状态、IP、端口信息，支持设备过滤，可过滤在线、离线设备，显示异常设备；支持设备模糊检索，直接对输入字符过滤，并动态调整资源树。</w:t>
            </w:r>
          </w:p>
          <w:p w14:paraId="525F8A79">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2.10配备2块≥4T监控专用硬盘。</w:t>
            </w:r>
          </w:p>
          <w:p w14:paraId="3650352D">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2.11要求可接入采购人已有的视频汇聚平台，与平台对接。</w:t>
            </w:r>
          </w:p>
        </w:tc>
      </w:tr>
      <w:tr w14:paraId="6DE80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3DC09BEF">
            <w:pPr>
              <w:numPr>
                <w:ilvl w:val="0"/>
                <w:numId w:val="1"/>
              </w:numPr>
              <w:tabs>
                <w:tab w:val="left" w:pos="180"/>
                <w:tab w:val="left" w:pos="1620"/>
              </w:tabs>
              <w:jc w:val="center"/>
              <w:rPr>
                <w:rFonts w:hint="eastAsia" w:ascii="宋体" w:hAnsi="宋体" w:cs="宋体"/>
                <w:color w:val="auto"/>
                <w:szCs w:val="21"/>
                <w:highlight w:val="none"/>
              </w:rPr>
            </w:pPr>
          </w:p>
        </w:tc>
        <w:tc>
          <w:tcPr>
            <w:tcW w:w="888" w:type="dxa"/>
            <w:gridSpan w:val="2"/>
            <w:vAlign w:val="center"/>
          </w:tcPr>
          <w:p w14:paraId="212AEFDA">
            <w:pPr>
              <w:pStyle w:val="63"/>
              <w:spacing w:line="360" w:lineRule="auto"/>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驱动式雷达波测流系统</w:t>
            </w:r>
          </w:p>
        </w:tc>
        <w:tc>
          <w:tcPr>
            <w:tcW w:w="729" w:type="dxa"/>
            <w:vAlign w:val="center"/>
          </w:tcPr>
          <w:p w14:paraId="07403160">
            <w:pPr>
              <w:pStyle w:val="63"/>
              <w:spacing w:line="360" w:lineRule="auto"/>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1套</w:t>
            </w:r>
          </w:p>
        </w:tc>
        <w:tc>
          <w:tcPr>
            <w:tcW w:w="6899" w:type="dxa"/>
          </w:tcPr>
          <w:p w14:paraId="44B2E5AC">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具有水平角和垂直角改正、流速平均、信号强度检测、串口通信控制等功能，适合水面流速自动遥测应用，且全天候，大、中、小雨及暴雨天均可正常测流。</w:t>
            </w:r>
          </w:p>
          <w:p w14:paraId="1E21E15C">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技术参数：</w:t>
            </w:r>
          </w:p>
          <w:p w14:paraId="14CF5327">
            <w:pPr>
              <w:pStyle w:val="63"/>
              <w:spacing w:line="360" w:lineRule="auto"/>
              <w:ind w:firstLine="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雷达流速仪</w:t>
            </w:r>
          </w:p>
          <w:p w14:paraId="70B5B2A4">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1.测量原理：雷达多普勒效应</w:t>
            </w:r>
          </w:p>
          <w:p w14:paraId="0593359E">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2.雷达波频率：24-34.7GHz</w:t>
            </w:r>
          </w:p>
          <w:p w14:paraId="7B7CA192">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color w:val="auto"/>
                <w:sz w:val="21"/>
                <w:szCs w:val="21"/>
                <w:highlight w:val="none"/>
              </w:rPr>
              <w:t>▲3.流速测量范围：0.1～20m/s</w:t>
            </w:r>
            <w:r>
              <w:rPr>
                <w:rFonts w:hint="eastAsia" w:ascii="宋体" w:hAnsi="宋体" w:cs="宋体"/>
                <w:b/>
                <w:bCs/>
                <w:color w:val="auto"/>
                <w:sz w:val="21"/>
                <w:szCs w:val="21"/>
                <w:highlight w:val="none"/>
              </w:rPr>
              <w:t>（响应文件中提供国家认可的检测机构出具的检测报告复印件并加盖供应商公章）</w:t>
            </w:r>
          </w:p>
          <w:p w14:paraId="774F6090">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4.设备距水面距离：0.5m～130m</w:t>
            </w:r>
          </w:p>
          <w:p w14:paraId="3B385E56">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5.俯仰角范围：30~70°</w:t>
            </w:r>
          </w:p>
          <w:p w14:paraId="7C87E3FA">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6.分辨率：1mm/s</w:t>
            </w:r>
          </w:p>
          <w:p w14:paraId="0441ECC1">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7.流速方向识别：+/-</w:t>
            </w:r>
          </w:p>
          <w:p w14:paraId="70245033">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8.必须最小波高：≤3mm</w:t>
            </w:r>
          </w:p>
          <w:p w14:paraId="3C25952F">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 雷达开角：≤12º</w:t>
            </w:r>
          </w:p>
          <w:p w14:paraId="08D91235">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10.单次测量持续时间：5～240sec</w:t>
            </w:r>
          </w:p>
          <w:p w14:paraId="0A9C1E79">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11.工作模式：支持历时、间隔等多重设置工作模式；</w:t>
            </w:r>
          </w:p>
          <w:p w14:paraId="2249C9AC">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12.输出接口：RS-485、SDI-12；</w:t>
            </w:r>
          </w:p>
          <w:p w14:paraId="03CA8A6E">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13.输出要素：平均流速、瞬时流速以及回波质量等要素；</w:t>
            </w:r>
          </w:p>
          <w:p w14:paraId="0C2D4141">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14.供电范围：6V～30V</w:t>
            </w:r>
          </w:p>
          <w:p w14:paraId="3F2D234B">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15.工作环境：在雷电和降雨环境中无明显雨衰和降雨干扰现象，数据无异常突变，不需要外接风速风向仪或雨量计对仪器数据进行后处理；</w:t>
            </w:r>
          </w:p>
          <w:p w14:paraId="41AFD56E">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color w:val="auto"/>
                <w:sz w:val="21"/>
                <w:szCs w:val="21"/>
                <w:highlight w:val="none"/>
              </w:rPr>
              <w:t xml:space="preserve">▲16.雷达流速仪流速测量误差≤1% </w:t>
            </w:r>
            <w:r>
              <w:rPr>
                <w:rFonts w:hint="eastAsia" w:ascii="宋体" w:hAnsi="宋体" w:cs="宋体"/>
                <w:b/>
                <w:bCs/>
                <w:color w:val="auto"/>
                <w:sz w:val="21"/>
                <w:szCs w:val="21"/>
                <w:highlight w:val="none"/>
              </w:rPr>
              <w:t>（响应文件中提供国家认可的检测机构出具的检测报告复印件并加盖供应商公章）</w:t>
            </w:r>
          </w:p>
          <w:p w14:paraId="119BA6FE">
            <w:pPr>
              <w:pStyle w:val="63"/>
              <w:spacing w:line="360" w:lineRule="auto"/>
              <w:ind w:firstLine="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缆道行车</w:t>
            </w:r>
          </w:p>
          <w:p w14:paraId="1B62236F">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1.无线传输距离：≥1600米（可视、开阔情况）</w:t>
            </w:r>
          </w:p>
          <w:p w14:paraId="1EF625E7">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2.工作电源：14V~18V</w:t>
            </w:r>
          </w:p>
          <w:p w14:paraId="6418DAD2">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3.工作温度:- 5℃~85℃</w:t>
            </w:r>
          </w:p>
          <w:p w14:paraId="288F8434">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4.最大功耗：≤20W</w:t>
            </w:r>
          </w:p>
          <w:p w14:paraId="24CF9788">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5.待机功耗：≤1W</w:t>
            </w:r>
          </w:p>
          <w:p w14:paraId="4AF511AD">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▲6.结构：4轮悬挂，水平双轨道</w:t>
            </w:r>
          </w:p>
          <w:p w14:paraId="36B3E873">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7.驱动轮数量：≥2个</w:t>
            </w:r>
          </w:p>
          <w:p w14:paraId="2EE94C02">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8.防水等级：IP67</w:t>
            </w:r>
          </w:p>
          <w:p w14:paraId="1B853837">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color w:val="auto"/>
                <w:sz w:val="21"/>
                <w:szCs w:val="21"/>
                <w:highlight w:val="none"/>
              </w:rPr>
              <w:t>▲9.缆道行车定位精度＜0.05m</w:t>
            </w:r>
            <w:r>
              <w:rPr>
                <w:rFonts w:hint="eastAsia" w:ascii="宋体" w:hAnsi="宋体" w:cs="宋体"/>
                <w:b/>
                <w:bCs/>
                <w:color w:val="auto"/>
                <w:sz w:val="21"/>
                <w:szCs w:val="21"/>
                <w:highlight w:val="none"/>
              </w:rPr>
              <w:t>（响应文件中提供国家认可的检测机构出具的检测报告复印件并加盖供应商公章）</w:t>
            </w:r>
          </w:p>
          <w:p w14:paraId="296B7FA0">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系统控制与数据采集传输终端</w:t>
            </w:r>
          </w:p>
          <w:p w14:paraId="1C0BE00A">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color w:val="auto"/>
                <w:sz w:val="21"/>
                <w:szCs w:val="21"/>
                <w:highlight w:val="none"/>
              </w:rPr>
              <w:t>▲1.需满足《水文监测数据通讯规约》（SL651-2014）规约符合性测试以及《水文自动测报系统设备 遥测终端机》（SL180-2015）标准。要求系统水位能直接读取现场水位计水位数值。</w:t>
            </w:r>
            <w:r>
              <w:rPr>
                <w:rFonts w:hint="eastAsia" w:ascii="宋体" w:hAnsi="宋体" w:cs="宋体"/>
                <w:b/>
                <w:bCs/>
                <w:color w:val="auto"/>
                <w:sz w:val="21"/>
                <w:szCs w:val="21"/>
                <w:highlight w:val="none"/>
              </w:rPr>
              <w:t>（响应文件中提供国家认可的检测机构出具的检测报告复印件并加盖供应商公章）</w:t>
            </w:r>
          </w:p>
          <w:p w14:paraId="0E9E9AFB">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2.要求采集流速、回波强度、水位、电压等数据；</w:t>
            </w:r>
          </w:p>
          <w:p w14:paraId="75AC3D43">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3.具有流量数据处理、大断面数据保存功能，根据现场采集的水位、流速数据，计算过水面积、断面流速和流量数据；</w:t>
            </w:r>
          </w:p>
          <w:p w14:paraId="6BB72860">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4.随时接收远程或本地指令，改变或报告遥测站工作状态；依照中心站指令，采样并发回最新水文参数；</w:t>
            </w:r>
          </w:p>
          <w:p w14:paraId="6C94E096">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5.具有远程软件升级和参数设置功能；具有远程修改大断面数据，以及流速率定公式系数功能；具有本地数据提取和远程下载功能；</w:t>
            </w:r>
          </w:p>
          <w:p w14:paraId="2678C21F">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具有电源智能管理系统，当RTU检测到水位值小于设定值时，电源智能管理系统将当前水位值判断需要开启的测流仪器，若测流仪器工作位置无水时，能自动识别，并置于休眠状态;待检测到相应水位值后，将自动被唤醒，恢复正常工作模式；</w:t>
            </w:r>
          </w:p>
          <w:p w14:paraId="01BBDAD5">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7.具有断电（交流）、设备箱开启、设备故障、流速超过设定阈值等情况时，能通过RTU端以短信报警方式通知维修人员处理功能；</w:t>
            </w:r>
          </w:p>
          <w:p w14:paraId="1EC6E05E">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8.工作电源：220VAC或12VDC太阳能</w:t>
            </w:r>
          </w:p>
          <w:p w14:paraId="4E9A3876">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9.输出充电电源：16.8VDC（3A MAX）</w:t>
            </w:r>
          </w:p>
          <w:p w14:paraId="0D74EE32">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10.工作温度：-5℃~+85℃</w:t>
            </w:r>
          </w:p>
          <w:p w14:paraId="59E2BA25">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11.最大功耗：≤60W</w:t>
            </w:r>
          </w:p>
          <w:p w14:paraId="6A0C104E">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12.待机功耗：1W</w:t>
            </w:r>
          </w:p>
          <w:p w14:paraId="6BDA6BA2">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13.操控方式：多点式电容控制屏/网络平台远端控制</w:t>
            </w:r>
          </w:p>
          <w:p w14:paraId="356003E3">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14.防浪涌：通信接口需满足试验等级3级测试，其他接口需满足试验等级2级测试</w:t>
            </w:r>
          </w:p>
          <w:p w14:paraId="3F81F3CE">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15.电源稳定性误差率：≤0.05%</w:t>
            </w:r>
          </w:p>
          <w:p w14:paraId="77730597">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▲16.防护等级≥IP68</w:t>
            </w:r>
          </w:p>
          <w:p w14:paraId="12AA774E">
            <w:pPr>
              <w:pStyle w:val="39"/>
              <w:spacing w:line="360" w:lineRule="auto"/>
              <w:rPr>
                <w:rFonts w:hint="eastAsia" w:ascii="宋体" w:hAnsi="宋体" w:cs="宋体"/>
                <w:color w:val="auto"/>
                <w:sz w:val="21"/>
                <w:szCs w:val="21"/>
                <w:highlight w:val="none"/>
              </w:rPr>
            </w:pPr>
            <w:r>
              <w:rPr>
                <w:rFonts w:hint="eastAsia" w:ascii="宋体" w:hAnsi="宋体" w:cs="宋体"/>
                <w:color w:val="auto"/>
                <w:kern w:val="2"/>
                <w:sz w:val="21"/>
                <w:szCs w:val="21"/>
                <w:highlight w:val="none"/>
              </w:rPr>
              <w:t>▲17.数据下载：支持现场和远程两种方式下载</w:t>
            </w:r>
            <w:r>
              <w:rPr>
                <w:rFonts w:hint="eastAsia" w:ascii="宋体" w:hAnsi="宋体" w:cs="宋体"/>
                <w:color w:val="auto"/>
                <w:sz w:val="21"/>
                <w:szCs w:val="21"/>
                <w:highlight w:val="none"/>
              </w:rPr>
              <w:t>；</w:t>
            </w:r>
          </w:p>
          <w:p w14:paraId="30AFB225">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软件平台</w:t>
            </w:r>
          </w:p>
          <w:p w14:paraId="5F5201DE">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color w:val="auto"/>
                <w:sz w:val="21"/>
                <w:szCs w:val="21"/>
                <w:highlight w:val="none"/>
              </w:rPr>
              <w:t>1.采用网页版设计，用户端无需安装任何软件，通过浏览器输入网址访问到后处理的监测平台；</w:t>
            </w:r>
            <w:r>
              <w:rPr>
                <w:rFonts w:hint="eastAsia" w:ascii="宋体" w:hAnsi="宋体" w:cs="宋体"/>
                <w:b/>
                <w:bCs/>
                <w:color w:val="auto"/>
                <w:sz w:val="21"/>
                <w:szCs w:val="21"/>
                <w:highlight w:val="none"/>
              </w:rPr>
              <w:t>（在响应文件中提供该功能软件截图证明并加盖供应商公章，截图要能清晰显示具备该功能）</w:t>
            </w:r>
          </w:p>
          <w:p w14:paraId="681E85FA">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系统按照《实时水雨情数据库表结构与标识符标准》（SL323-2011）（以下简称“水雨情数据库表”）要求，能实时将接收到的各测站点水位、雨量、蒸发、流量、报警图片等数据整理写入规定的水情数据库中，同时按照雨水情数据库表的要求建立一个水文测验数据库，用于水文测验数据的管理；</w:t>
            </w:r>
          </w:p>
          <w:p w14:paraId="7606A9F9">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3.可进行仪器运行参数设置、测流控制、数据采集、存储、查询、统计、分析、绘 图、制表、流量率定关系式的快速建立；</w:t>
            </w:r>
          </w:p>
          <w:p w14:paraId="78B3B3B5">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color w:val="auto"/>
                <w:sz w:val="21"/>
                <w:szCs w:val="21"/>
                <w:highlight w:val="none"/>
              </w:rPr>
              <w:t>4.能生成并显示时段数据，处理后生成的日数据、周数据和月数据应包含平均值、最大值、最大值出现时间、最小值、最小值出现时间等信息；</w:t>
            </w:r>
            <w:r>
              <w:rPr>
                <w:rFonts w:hint="eastAsia" w:ascii="宋体" w:hAnsi="宋体" w:cs="宋体"/>
                <w:b/>
                <w:bCs/>
                <w:color w:val="auto"/>
                <w:sz w:val="21"/>
                <w:szCs w:val="21"/>
                <w:highlight w:val="none"/>
              </w:rPr>
              <w:t>（在响应文件中提供该功能软件截图证明并加盖供应商公章，截图要能清晰显示具备该功能）</w:t>
            </w:r>
          </w:p>
          <w:p w14:paraId="21022982">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color w:val="auto"/>
                <w:sz w:val="21"/>
                <w:szCs w:val="21"/>
                <w:highlight w:val="none"/>
              </w:rPr>
              <w:t>▲5.提供流量率定参数设置，能够输入高、中、低三种不同水位的率定公式，同时能判定并自动切换；</w:t>
            </w:r>
            <w:r>
              <w:rPr>
                <w:rFonts w:hint="eastAsia" w:ascii="宋体" w:hAnsi="宋体" w:cs="宋体"/>
                <w:b/>
                <w:bCs/>
                <w:color w:val="auto"/>
                <w:sz w:val="21"/>
                <w:szCs w:val="21"/>
                <w:highlight w:val="none"/>
              </w:rPr>
              <w:t>（在响应文件中提供该功能软件截图证明并加盖供应商公章，截图要能清晰显示具备该功能）</w:t>
            </w:r>
          </w:p>
          <w:p w14:paraId="6AFF125A">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6.可以根据水文站、市级、省级等各个级别的用户设置各自的权限范围进行各级的数据的整编分析、管理；</w:t>
            </w:r>
          </w:p>
          <w:p w14:paraId="566FF464">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7.支持移动终端查询和修改数据，现场获取到数据后，可直接将数据上传至平台；</w:t>
            </w:r>
          </w:p>
          <w:p w14:paraId="1FFF772C">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8.可以通过网站提供的报表输出，导出各种符合水文规范要求的水位月报表、流量月报表、日平均水位表、日平均流量表等符合水文规范要求的报表，与南方片整编软件兼容接驳,支持 ASCII 码的文本文件、Excel 等格式的输出。</w:t>
            </w:r>
            <w:r>
              <w:rPr>
                <w:rFonts w:hint="eastAsia" w:ascii="宋体" w:hAnsi="宋体" w:cs="宋体"/>
                <w:b/>
                <w:bCs/>
                <w:color w:val="auto"/>
                <w:sz w:val="21"/>
                <w:szCs w:val="21"/>
                <w:highlight w:val="none"/>
              </w:rPr>
              <w:t>（在响应文件中提供该功能软件截图证明并加盖供应商公章，截图要能清晰显示具备该功能）</w:t>
            </w:r>
          </w:p>
          <w:p w14:paraId="268B9A78">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▲9.平台带导入实测流量成果表后可以自动对在线数据进行比测率定，生成关系式以及导出相关三线检定表等。</w:t>
            </w:r>
            <w:r>
              <w:rPr>
                <w:rFonts w:hint="eastAsia" w:ascii="宋体" w:hAnsi="宋体" w:cs="宋体"/>
                <w:b/>
                <w:bCs/>
                <w:color w:val="auto"/>
                <w:sz w:val="21"/>
                <w:szCs w:val="21"/>
                <w:highlight w:val="none"/>
              </w:rPr>
              <w:t>（在响应文件中提供该功能软件截图证明并加盖供应商公章，截图要能清晰显示具备该功能）</w:t>
            </w:r>
          </w:p>
          <w:p w14:paraId="54B1AC02">
            <w:pPr>
              <w:pStyle w:val="39"/>
              <w:spacing w:line="360" w:lineRule="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▲10.所有数据能自动进入广西流量在线监测系统平台显示数据成果、并实现测站查询、远程控制修改测流参数、设备参数等功能,原始数据下载。</w:t>
            </w:r>
            <w:r>
              <w:rPr>
                <w:rFonts w:hint="eastAsia" w:ascii="宋体" w:hAnsi="宋体" w:cs="宋体"/>
                <w:b/>
                <w:bCs/>
                <w:color w:val="auto"/>
                <w:kern w:val="2"/>
                <w:sz w:val="21"/>
                <w:szCs w:val="21"/>
                <w:highlight w:val="none"/>
              </w:rPr>
              <w:t>(在响应文件中提供平台操作截图并加盖供应商公章)</w:t>
            </w:r>
          </w:p>
          <w:p w14:paraId="3F20AE54">
            <w:pPr>
              <w:pStyle w:val="63"/>
              <w:spacing w:line="360" w:lineRule="auto"/>
              <w:ind w:firstLine="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现场数据监测仪</w:t>
            </w:r>
          </w:p>
          <w:p w14:paraId="63CCB20B">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1.参照或相当于酷睿2代U7</w:t>
            </w:r>
          </w:p>
          <w:p w14:paraId="3ED72E8E">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2.储存：≥2TB SSD</w:t>
            </w:r>
          </w:p>
          <w:p w14:paraId="6021E044">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3.内存：≥32GB DDR5</w:t>
            </w:r>
          </w:p>
          <w:p w14:paraId="0EA57303">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4.屏幕：14英寸 IPS 刷新率144Hz</w:t>
            </w:r>
          </w:p>
          <w:p w14:paraId="7C39F98D">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5.鼠标、随身包</w:t>
            </w:r>
          </w:p>
          <w:p w14:paraId="572790A8">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6.预装专业版操作系统，正版办公软件</w:t>
            </w:r>
          </w:p>
          <w:p w14:paraId="23E54F61">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配置清单：</w:t>
            </w:r>
          </w:p>
          <w:p w14:paraId="2F23079E">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雷达流速仪1台，缆道行车1套，系统控制与数据采集传输终端1套(含</w:t>
            </w:r>
            <w:r>
              <w:rPr>
                <w:rFonts w:hint="eastAsia" w:ascii="宋体" w:hAnsi="宋体" w:cs="宋体"/>
                <w:color w:val="auto"/>
                <w:sz w:val="21"/>
                <w:szCs w:val="21"/>
                <w:highlight w:val="none"/>
                <w:lang w:val="en-US" w:eastAsia="zh-CN"/>
              </w:rPr>
              <w:t>太</w:t>
            </w:r>
            <w:r>
              <w:rPr>
                <w:rFonts w:hint="eastAsia" w:ascii="宋体" w:hAnsi="宋体" w:cs="宋体"/>
                <w:color w:val="auto"/>
                <w:sz w:val="21"/>
                <w:szCs w:val="21"/>
                <w:highlight w:val="none"/>
              </w:rPr>
              <w:t>阳能板、蓄电池组1套，软件1套)，现场数据监测仪1套.</w:t>
            </w:r>
          </w:p>
        </w:tc>
      </w:tr>
      <w:tr w14:paraId="3BAB4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7983D1AD">
            <w:pPr>
              <w:numPr>
                <w:ilvl w:val="0"/>
                <w:numId w:val="1"/>
              </w:numPr>
              <w:tabs>
                <w:tab w:val="left" w:pos="180"/>
                <w:tab w:val="left" w:pos="1620"/>
              </w:tabs>
              <w:jc w:val="center"/>
              <w:rPr>
                <w:rFonts w:hint="eastAsia" w:ascii="宋体" w:hAnsi="宋体" w:cs="宋体"/>
                <w:color w:val="auto"/>
                <w:szCs w:val="21"/>
                <w:highlight w:val="none"/>
              </w:rPr>
            </w:pPr>
          </w:p>
        </w:tc>
        <w:tc>
          <w:tcPr>
            <w:tcW w:w="888" w:type="dxa"/>
            <w:gridSpan w:val="2"/>
            <w:vAlign w:val="center"/>
          </w:tcPr>
          <w:p w14:paraId="510FD2DB">
            <w:pPr>
              <w:pStyle w:val="63"/>
              <w:spacing w:line="360" w:lineRule="auto"/>
              <w:ind w:firstLine="0"/>
              <w:jc w:val="center"/>
              <w:rPr>
                <w:rFonts w:hint="eastAsia" w:ascii="宋体" w:hAnsi="宋体" w:cs="宋体"/>
                <w:color w:val="auto"/>
                <w:sz w:val="21"/>
                <w:szCs w:val="21"/>
                <w:highlight w:val="none"/>
              </w:rPr>
            </w:pPr>
            <w:r>
              <w:rPr>
                <w:rFonts w:hint="eastAsia" w:ascii="宋体" w:hAnsi="宋体" w:cs="宋体"/>
                <w:b/>
                <w:color w:val="auto"/>
                <w:sz w:val="21"/>
                <w:szCs w:val="21"/>
                <w:highlight w:val="none"/>
              </w:rPr>
              <w:t>水平式adcp</w:t>
            </w:r>
          </w:p>
        </w:tc>
        <w:tc>
          <w:tcPr>
            <w:tcW w:w="729" w:type="dxa"/>
            <w:vAlign w:val="center"/>
          </w:tcPr>
          <w:p w14:paraId="671902E2">
            <w:pPr>
              <w:pStyle w:val="63"/>
              <w:spacing w:line="360" w:lineRule="auto"/>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2套</w:t>
            </w:r>
          </w:p>
        </w:tc>
        <w:tc>
          <w:tcPr>
            <w:tcW w:w="6899" w:type="dxa"/>
          </w:tcPr>
          <w:p w14:paraId="45908473">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一、声学多普勒流速仪主机</w:t>
            </w:r>
          </w:p>
          <w:p w14:paraId="5435FC47">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1.测量原理：声学多普勒原理；</w:t>
            </w:r>
          </w:p>
          <w:p w14:paraId="6F481F63">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2.工作频率：≤600 KHz </w:t>
            </w:r>
            <w:r>
              <w:rPr>
                <w:rFonts w:ascii="宋体" w:hAnsi="宋体" w:cs="宋体"/>
                <w:color w:val="auto"/>
                <w:sz w:val="21"/>
                <w:szCs w:val="21"/>
                <w:highlight w:val="none"/>
              </w:rPr>
              <w:t>;</w:t>
            </w:r>
            <w:r>
              <w:rPr>
                <w:rFonts w:hint="eastAsia" w:ascii="宋体" w:hAnsi="宋体" w:cs="宋体"/>
                <w:color w:val="auto"/>
                <w:sz w:val="21"/>
                <w:szCs w:val="21"/>
                <w:highlight w:val="none"/>
              </w:rPr>
              <w:t>3.水平声束波束宽：≤1.5º；</w:t>
            </w:r>
          </w:p>
          <w:p w14:paraId="3CE91798">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4.最多单元个数：≥200个；</w:t>
            </w:r>
          </w:p>
          <w:p w14:paraId="553AFB28">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5.剖面测量范围：≥90m；</w:t>
            </w:r>
          </w:p>
          <w:p w14:paraId="52C21EAC">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6.流速量程：≥±5m/s； </w:t>
            </w:r>
          </w:p>
          <w:p w14:paraId="7C1F90F6">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7.流速测量精度：读数的±0.5%或±2mm/s； </w:t>
            </w:r>
          </w:p>
          <w:p w14:paraId="62091D75">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8.流速分辨率：1mm/s；</w:t>
            </w:r>
          </w:p>
          <w:p w14:paraId="12BC0785">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9.通讯：支持RS-232或RS422；</w:t>
            </w:r>
          </w:p>
          <w:p w14:paraId="52793003">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10.水位测量范围：0.1～10m；</w:t>
            </w:r>
          </w:p>
          <w:p w14:paraId="0E33D3DC">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11.水位测量精度：±0.1%，±3mm；</w:t>
            </w:r>
          </w:p>
          <w:p w14:paraId="7553608E">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12.水位分辨率：0.1mm；</w:t>
            </w:r>
          </w:p>
          <w:p w14:paraId="1AAC2C49">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▲13.外壳防护等级≥IP68。</w:t>
            </w:r>
            <w:r>
              <w:rPr>
                <w:rFonts w:hint="eastAsia" w:ascii="宋体" w:hAnsi="宋体" w:cs="宋体"/>
                <w:b/>
                <w:bCs/>
                <w:color w:val="auto"/>
                <w:sz w:val="21"/>
                <w:szCs w:val="21"/>
                <w:highlight w:val="none"/>
              </w:rPr>
              <w:t>（响应文件中提供国家认可的检测机构出具的检测报告复印件并加盖供应商公章）</w:t>
            </w:r>
          </w:p>
          <w:p w14:paraId="5A2BBA5E">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color w:val="auto"/>
                <w:sz w:val="21"/>
                <w:szCs w:val="21"/>
                <w:highlight w:val="none"/>
              </w:rPr>
              <w:t>▲14.与标准式转子式流速仪现场比测，比测误差小于5%。</w:t>
            </w:r>
            <w:r>
              <w:rPr>
                <w:rFonts w:hint="eastAsia" w:ascii="宋体" w:hAnsi="宋体" w:cs="宋体"/>
                <w:b/>
                <w:bCs/>
                <w:color w:val="auto"/>
                <w:sz w:val="21"/>
                <w:szCs w:val="21"/>
                <w:highlight w:val="none"/>
              </w:rPr>
              <w:t>（响应文件中提供国家认可的检测机构出具的检测报告复印件并加盖供应商公章）</w:t>
            </w:r>
          </w:p>
          <w:p w14:paraId="5A999DC9">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color w:val="auto"/>
                <w:sz w:val="21"/>
                <w:szCs w:val="21"/>
                <w:highlight w:val="none"/>
              </w:rPr>
              <w:t>▲15.基本功能:样品配套系统具有设定、 校对、断电保护、来电恢复、故障报警功能,以及时间、参数显示功能，包括年、月、日和时、分以及测量值。</w:t>
            </w:r>
            <w:r>
              <w:rPr>
                <w:rFonts w:hint="eastAsia" w:ascii="宋体" w:hAnsi="宋体" w:cs="宋体"/>
                <w:b/>
                <w:bCs/>
                <w:color w:val="auto"/>
                <w:sz w:val="21"/>
                <w:szCs w:val="21"/>
                <w:highlight w:val="none"/>
              </w:rPr>
              <w:t>（响应文件中提供国家认可的检测机构出具的检测报告复印件并加盖供应商公章）</w:t>
            </w:r>
          </w:p>
          <w:p w14:paraId="5247089A">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二、遥测终端（RTU）</w:t>
            </w:r>
          </w:p>
          <w:p w14:paraId="0A21DAF5">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 遥测终端机集采集与传输功能于一体，实现水文/水资源数据的采集、存储、显示、控制、报警及传输等综合功能。</w:t>
            </w:r>
          </w:p>
          <w:p w14:paraId="4FD9A8C4">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▲2.需满足《水文监测数据通讯规约》（SL651-2014）、《水资源监测数据传输规约》（SL/T 427-2021）规约符合性测试以及《水文自动测报系统设备 遥测终端机》（SL180-2015）标准。</w:t>
            </w:r>
            <w:r>
              <w:rPr>
                <w:rFonts w:hint="eastAsia" w:ascii="宋体" w:hAnsi="宋体" w:cs="宋体"/>
                <w:b/>
                <w:bCs/>
                <w:color w:val="auto"/>
                <w:sz w:val="21"/>
                <w:szCs w:val="21"/>
                <w:highlight w:val="none"/>
              </w:rPr>
              <w:t>须在响应文件中提供测试结果扫描件并加盖供应商公章</w:t>
            </w:r>
            <w:r>
              <w:rPr>
                <w:rFonts w:hint="eastAsia" w:ascii="宋体" w:hAnsi="宋体" w:cs="宋体"/>
                <w:color w:val="auto"/>
                <w:sz w:val="21"/>
                <w:szCs w:val="21"/>
                <w:highlight w:val="none"/>
              </w:rPr>
              <w:t>；</w:t>
            </w:r>
          </w:p>
          <w:p w14:paraId="6C2C5725">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3.宽温设计，耐高低温，耐强电磁干扰。</w:t>
            </w:r>
          </w:p>
          <w:p w14:paraId="7C180E83">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4.接口丰富、标准易用：提供3路RS232通讯接口、2路RS485通讯接口、1路RS422通讯接口、2路翻斗式雨量脉冲输入接口、2路模拟量输入接口、2路继电器输出接口(最大3A)、1路继电器输出接口(最大8A)、1路蓄电池输入接口(最大10A)、1路太阳能输入接口(最大10A)。 </w:t>
            </w:r>
          </w:p>
          <w:p w14:paraId="41F1C355">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5.数据存储空间：提供SD数据卡接口，最大可支持256G的数据卡接入。 </w:t>
            </w:r>
          </w:p>
          <w:p w14:paraId="72DF6493">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6.多种通信方式：GPRS/CDMA/3G/4G为主传输通道；兼容北斗卫星等通信方式。</w:t>
            </w:r>
          </w:p>
          <w:p w14:paraId="7F224D4A">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7.低功耗设计：支持多种工作模式，降低功耗。</w:t>
            </w:r>
          </w:p>
          <w:p w14:paraId="61FC13AE">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8.本地配置方式：支持4.3寸触摸屏和蓝牙连接配置方式。</w:t>
            </w:r>
          </w:p>
          <w:p w14:paraId="1E8BE789">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9.远程管理功能：支持远程程序升级。</w:t>
            </w:r>
          </w:p>
          <w:p w14:paraId="783E26C4">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10.供电范围：DC9～24V（标准电源：12VDC）</w:t>
            </w:r>
          </w:p>
          <w:p w14:paraId="03622FA8">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11.最大充电电压：18VDC</w:t>
            </w:r>
          </w:p>
          <w:p w14:paraId="68CAFCA5">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12.最大充电电流：10A</w:t>
            </w:r>
          </w:p>
          <w:p w14:paraId="4E4B441F">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13.最大充电功率：180W</w:t>
            </w:r>
          </w:p>
          <w:p w14:paraId="38812E9B">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14.温度：工作温度：-5～+75ºC；储存温度：-5～+85ºC</w:t>
            </w:r>
          </w:p>
          <w:p w14:paraId="4EE5C5E0">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▲15。电源稳定性误差率：≤0.05%</w:t>
            </w:r>
            <w:r>
              <w:rPr>
                <w:rFonts w:hint="eastAsia" w:ascii="宋体" w:hAnsi="宋体" w:cs="宋体"/>
                <w:b/>
                <w:bCs/>
                <w:color w:val="auto"/>
                <w:sz w:val="21"/>
                <w:szCs w:val="21"/>
                <w:highlight w:val="none"/>
              </w:rPr>
              <w:t>（响应文件中提供国家认可的检测机构出具的检测报告复印件并加盖供应商公章）</w:t>
            </w:r>
          </w:p>
          <w:p w14:paraId="5FE50CD9">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▲16。防护等级≥IP68 </w:t>
            </w:r>
            <w:r>
              <w:rPr>
                <w:rFonts w:hint="eastAsia" w:ascii="宋体" w:hAnsi="宋体" w:cs="宋体"/>
                <w:b/>
                <w:bCs/>
                <w:color w:val="auto"/>
                <w:sz w:val="21"/>
                <w:szCs w:val="21"/>
                <w:highlight w:val="none"/>
              </w:rPr>
              <w:t>（响应文件中提供国家认可的检测机构出具的检测报告复印件并加盖供应商公章）</w:t>
            </w:r>
          </w:p>
          <w:p w14:paraId="712ABEF0">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17.RTU设备支持一站多发，支持不少于3个中心站通信方式。</w:t>
            </w:r>
          </w:p>
          <w:p w14:paraId="0FEC02CA">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color w:val="auto"/>
                <w:sz w:val="21"/>
                <w:szCs w:val="21"/>
                <w:highlight w:val="none"/>
              </w:rPr>
              <w:t>▲18.数据接入采购人梧州水文中心综合在线监测平台（和时通品牌）、并实现测站查询、远程控制修改测流参数、设备参数等功能,原始数据下载。</w:t>
            </w:r>
            <w:r>
              <w:rPr>
                <w:rFonts w:hint="eastAsia" w:ascii="宋体" w:hAnsi="宋体" w:cs="宋体"/>
                <w:b/>
                <w:bCs/>
                <w:color w:val="auto"/>
                <w:sz w:val="21"/>
                <w:szCs w:val="21"/>
                <w:highlight w:val="none"/>
              </w:rPr>
              <w:t>承诺设备安装试运行后30天内数据接入采购人在线监测平台，响应文件中</w:t>
            </w:r>
            <w:r>
              <w:rPr>
                <w:rFonts w:hint="eastAsia"/>
                <w:b/>
                <w:bCs/>
                <w:color w:val="auto"/>
                <w:sz w:val="21"/>
                <w:szCs w:val="21"/>
                <w:highlight w:val="none"/>
              </w:rPr>
              <w:t>另行</w:t>
            </w:r>
            <w:r>
              <w:rPr>
                <w:rFonts w:hint="eastAsia" w:ascii="宋体" w:hAnsi="宋体" w:cs="宋体"/>
                <w:b/>
                <w:bCs/>
                <w:color w:val="auto"/>
                <w:sz w:val="21"/>
                <w:szCs w:val="21"/>
                <w:highlight w:val="none"/>
              </w:rPr>
              <w:t>提供承诺函</w:t>
            </w:r>
            <w:r>
              <w:rPr>
                <w:rFonts w:hint="eastAsia"/>
                <w:b/>
                <w:bCs/>
                <w:color w:val="auto"/>
                <w:sz w:val="21"/>
                <w:szCs w:val="21"/>
                <w:highlight w:val="none"/>
              </w:rPr>
              <w:t>原件（格式自拟）</w:t>
            </w:r>
            <w:r>
              <w:rPr>
                <w:rFonts w:hint="eastAsia" w:ascii="宋体" w:hAnsi="宋体" w:cs="宋体"/>
                <w:b/>
                <w:bCs/>
                <w:color w:val="auto"/>
                <w:sz w:val="21"/>
                <w:szCs w:val="21"/>
                <w:highlight w:val="none"/>
              </w:rPr>
              <w:t>并加盖供应商公章。</w:t>
            </w:r>
          </w:p>
          <w:p w14:paraId="6C33ADC3">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三、配套软件及数据终端</w:t>
            </w:r>
          </w:p>
          <w:p w14:paraId="159DFC64">
            <w:pPr>
              <w:pStyle w:val="39"/>
              <w:rPr>
                <w:rFonts w:hint="eastAsia" w:ascii="宋体" w:hAnsi="宋体" w:cs="宋体"/>
                <w:b/>
                <w:bCs/>
                <w:color w:val="auto"/>
                <w:sz w:val="21"/>
                <w:szCs w:val="21"/>
                <w:highlight w:val="none"/>
              </w:rPr>
            </w:pPr>
            <w:r>
              <w:rPr>
                <w:rFonts w:hint="eastAsia"/>
                <w:color w:val="auto"/>
                <w:sz w:val="21"/>
                <w:szCs w:val="21"/>
                <w:highlight w:val="none"/>
              </w:rPr>
              <w:t>（一）配套软件</w:t>
            </w:r>
          </w:p>
          <w:p w14:paraId="68E84731">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color w:val="auto"/>
                <w:sz w:val="21"/>
                <w:szCs w:val="21"/>
                <w:highlight w:val="none"/>
              </w:rPr>
              <w:t>1.配套调试软件，具有串口参数设定，用户参数设定、流量设定、断面设定等功能，通过直连设备可以测试不同距离的流速以及回波强度情况。</w:t>
            </w:r>
            <w:r>
              <w:rPr>
                <w:rFonts w:hint="eastAsia" w:ascii="宋体" w:hAnsi="宋体" w:cs="宋体"/>
                <w:b/>
                <w:bCs/>
                <w:color w:val="auto"/>
                <w:sz w:val="21"/>
                <w:szCs w:val="21"/>
                <w:highlight w:val="none"/>
              </w:rPr>
              <w:t>（在响应文件中提供该功能软件截图证明并加盖供应商公章，截图要能清晰显示具备该功能）</w:t>
            </w:r>
          </w:p>
          <w:p w14:paraId="32000BDA">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2.具有信息报警等功能（要求能对数据的准确性和及时性作为实时判定，发现数据异常或来数不及时，能及时提醒相关人员作好检查和设备的维护工作），通知方式包括网页显示、短信通知、邮件通知等。</w:t>
            </w:r>
          </w:p>
          <w:p w14:paraId="46D376FF">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要求能采集20至128个剖面层X轴方向流速、Y轴方向流速、pitch、roll、垂直波束水位、压力水位、仪器供电电压、温度、标准差、数据采集器状态、电压等数据，同时可以采集至少20组单元数据，每组单元数据包含VX,VY,AMPX,AMPY,STE X,STE Y等六种数据。</w:t>
            </w:r>
            <w:r>
              <w:rPr>
                <w:rFonts w:hint="eastAsia" w:ascii="宋体" w:hAnsi="宋体" w:cs="宋体"/>
                <w:b/>
                <w:bCs/>
                <w:color w:val="auto"/>
                <w:sz w:val="21"/>
                <w:szCs w:val="21"/>
                <w:highlight w:val="none"/>
              </w:rPr>
              <w:t>（在响应文件中提供该功能软件截图证明并加盖供应商公章，截图要能清晰显示具备该功能）</w:t>
            </w:r>
          </w:p>
          <w:p w14:paraId="3988F572">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4.支持多大断面图录入功能，可支持无限个大断面数据，并根据时间编号。</w:t>
            </w:r>
          </w:p>
          <w:p w14:paraId="563CE3F7">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5.内置至少三种以上流速率定模型，可直接计算指标流速为断面平均流速，最后可以直接根据H-ADCP传感器采集到的实时水位、剖面流速以及断面图数据和各种率定公式直接核算输出日期、时间、断面平均流速、过水面积、流量。 </w:t>
            </w:r>
          </w:p>
          <w:p w14:paraId="7902547E">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6.可进行仪器运行参数设置、测流控制、数据采集、存储、查询、统计、分析、绘图、制表、流量率定关系式录入。</w:t>
            </w:r>
          </w:p>
          <w:p w14:paraId="697056D7">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color w:val="auto"/>
                <w:sz w:val="21"/>
                <w:szCs w:val="21"/>
                <w:highlight w:val="none"/>
              </w:rPr>
              <w:t>▲7.可以导出各种符合水文规范要求的《水位月报表》《流量月报表》《日平均水位表》《日平均流量表》等符合水文规范要求的报表</w:t>
            </w:r>
            <w:r>
              <w:rPr>
                <w:rFonts w:hint="eastAsia" w:ascii="宋体" w:hAnsi="宋体" w:cs="宋体"/>
                <w:b/>
                <w:bCs/>
                <w:color w:val="auto"/>
                <w:sz w:val="21"/>
                <w:szCs w:val="21"/>
                <w:highlight w:val="none"/>
              </w:rPr>
              <w:t>（在响应文件中提供该功能软件截图证明并加盖供应商公章，截图要能清晰显示具备该功能）</w:t>
            </w:r>
          </w:p>
          <w:p w14:paraId="15C053B2">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8.支持移动终端查询和修改数据，现场获取到数据后，可直接将数据上传至平台。</w:t>
            </w:r>
          </w:p>
          <w:p w14:paraId="0E57821F">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9.支持引入外部的水位数据参与H-ADCP的流量计算。</w:t>
            </w:r>
          </w:p>
          <w:p w14:paraId="4E27AA6A">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10.能生成并显示时段数据，处理后生成的日数据、周数据和月数据应包含平均值、最大值、最大值出现时间、最小值、最小值出现时间等信息。</w:t>
            </w:r>
          </w:p>
          <w:p w14:paraId="62C18577">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11.能够提供单站或多站逐时水位、流量过程图及逐日平均水位和流量数据表。</w:t>
            </w:r>
          </w:p>
          <w:p w14:paraId="352A01B8">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color w:val="auto"/>
                <w:sz w:val="21"/>
                <w:szCs w:val="21"/>
                <w:highlight w:val="none"/>
              </w:rPr>
              <w:t>▲12.平台带有自动率定功能，导入实测流量成果表后可以自动对在线数据进行比测率定，生成关系式以及导出相关三线检定表等。</w:t>
            </w:r>
            <w:r>
              <w:rPr>
                <w:rFonts w:hint="eastAsia" w:ascii="宋体" w:hAnsi="宋体" w:cs="宋体"/>
                <w:b/>
                <w:bCs/>
                <w:color w:val="auto"/>
                <w:sz w:val="21"/>
                <w:szCs w:val="21"/>
                <w:highlight w:val="none"/>
              </w:rPr>
              <w:t>（在响应文件中提供该功能软件截图证明并加盖供应商公章，截图要能清晰显示具备该功能）</w:t>
            </w:r>
          </w:p>
          <w:p w14:paraId="2790C15E">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▲13.所有数据能自动进入广西流量在线监测系统平台显示数据成果。 </w:t>
            </w:r>
            <w:r>
              <w:rPr>
                <w:rFonts w:hint="eastAsia" w:ascii="宋体" w:hAnsi="宋体" w:cs="宋体"/>
                <w:b/>
                <w:bCs/>
                <w:color w:val="auto"/>
                <w:sz w:val="21"/>
                <w:szCs w:val="21"/>
                <w:highlight w:val="none"/>
              </w:rPr>
              <w:t>(在响应文件中提供平台操作截图并加盖供应商公章)</w:t>
            </w:r>
          </w:p>
          <w:p w14:paraId="7756FE99">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（二）数据终端</w:t>
            </w:r>
          </w:p>
          <w:p w14:paraId="5F723069">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1.处理器： 参照或相当于U9-285HX技术水平</w:t>
            </w:r>
          </w:p>
          <w:p w14:paraId="3AB81DA9">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2.显示器：约16英寸， 240H屏幕</w:t>
            </w:r>
          </w:p>
          <w:p w14:paraId="4456BD5A">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3.内  存：</w:t>
            </w:r>
            <w:r>
              <w:rPr>
                <w:rFonts w:hint="eastAsia"/>
                <w:color w:val="auto"/>
                <w:szCs w:val="21"/>
                <w:highlight w:val="none"/>
              </w:rPr>
              <w:t>≥</w:t>
            </w:r>
            <w:r>
              <w:rPr>
                <w:rFonts w:hint="eastAsia" w:ascii="宋体" w:hAnsi="宋体" w:cs="宋体"/>
                <w:color w:val="auto"/>
                <w:szCs w:val="21"/>
                <w:highlight w:val="none"/>
              </w:rPr>
              <w:t>32G DDR5</w:t>
            </w:r>
          </w:p>
          <w:p w14:paraId="4EAB012F">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4.显  卡： 参照或相当于RTX4070 8G</w:t>
            </w:r>
          </w:p>
          <w:p w14:paraId="11593999">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5.硬  盘：</w:t>
            </w:r>
            <w:r>
              <w:rPr>
                <w:rFonts w:hint="eastAsia"/>
                <w:color w:val="auto"/>
                <w:szCs w:val="21"/>
                <w:highlight w:val="none"/>
              </w:rPr>
              <w:t>≥</w:t>
            </w:r>
            <w:r>
              <w:rPr>
                <w:rFonts w:hint="eastAsia" w:ascii="宋体" w:hAnsi="宋体" w:cs="宋体"/>
                <w:color w:val="auto"/>
                <w:szCs w:val="21"/>
                <w:highlight w:val="none"/>
              </w:rPr>
              <w:t>2T固态硬盘</w:t>
            </w:r>
          </w:p>
          <w:p w14:paraId="27036E09">
            <w:pPr>
              <w:pStyle w:val="63"/>
              <w:spacing w:line="360" w:lineRule="auto"/>
              <w:ind w:firstLine="0"/>
              <w:rPr>
                <w:rFonts w:hint="eastAsia" w:ascii="宋体" w:hAnsi="宋体" w:cs="宋体"/>
                <w:color w:val="auto"/>
                <w:sz w:val="21"/>
                <w:szCs w:val="21"/>
                <w:highlight w:val="none"/>
              </w:rPr>
            </w:pPr>
            <w:r>
              <w:rPr>
                <w:rFonts w:hint="eastAsia" w:ascii="宋体" w:hAnsi="宋体" w:cs="宋体"/>
                <w:color w:val="auto"/>
                <w:sz w:val="21"/>
                <w:szCs w:val="21"/>
                <w:highlight w:val="none"/>
              </w:rPr>
              <w:t>6.固态移动数据存储器：容量</w:t>
            </w:r>
            <w:r>
              <w:rPr>
                <w:rFonts w:hint="eastAsia"/>
                <w:color w:val="auto"/>
                <w:sz w:val="21"/>
                <w:szCs w:val="21"/>
                <w:highlight w:val="none"/>
              </w:rPr>
              <w:t>≥</w:t>
            </w:r>
            <w:r>
              <w:rPr>
                <w:rFonts w:hint="eastAsia" w:ascii="宋体" w:hAnsi="宋体" w:cs="宋体"/>
                <w:color w:val="auto"/>
                <w:sz w:val="21"/>
                <w:szCs w:val="21"/>
                <w:highlight w:val="none"/>
              </w:rPr>
              <w:t>4TB，传输速度1000-2000MB/s</w:t>
            </w:r>
          </w:p>
          <w:p w14:paraId="49A125BD">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7.键盘鼠标、双肩随身包</w:t>
            </w:r>
          </w:p>
          <w:p w14:paraId="46318EAA">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配置清单</w:t>
            </w:r>
          </w:p>
          <w:p w14:paraId="4C1AD006">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声学多普勒流速仪主机（含电缆线、安装支架）、遥测终端机（含太阳能板、蓄电池组等）数据监控管理软件，数据处理器</w:t>
            </w:r>
          </w:p>
        </w:tc>
      </w:tr>
      <w:tr w14:paraId="0BB21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34D0B102">
            <w:pPr>
              <w:numPr>
                <w:ilvl w:val="0"/>
                <w:numId w:val="1"/>
              </w:numPr>
              <w:tabs>
                <w:tab w:val="left" w:pos="180"/>
                <w:tab w:val="left" w:pos="1620"/>
              </w:tabs>
              <w:jc w:val="center"/>
              <w:rPr>
                <w:rFonts w:hint="eastAsia" w:ascii="宋体" w:hAnsi="宋体" w:cs="宋体"/>
                <w:color w:val="auto"/>
                <w:szCs w:val="21"/>
                <w:highlight w:val="none"/>
              </w:rPr>
            </w:pPr>
          </w:p>
        </w:tc>
        <w:tc>
          <w:tcPr>
            <w:tcW w:w="888" w:type="dxa"/>
            <w:gridSpan w:val="2"/>
            <w:vAlign w:val="center"/>
          </w:tcPr>
          <w:p w14:paraId="45236EEC">
            <w:pPr>
              <w:pStyle w:val="63"/>
              <w:spacing w:line="360" w:lineRule="auto"/>
              <w:ind w:firstLine="0"/>
              <w:jc w:val="center"/>
              <w:rPr>
                <w:rFonts w:hint="eastAsia" w:ascii="宋体" w:hAnsi="宋体" w:cs="宋体"/>
                <w:color w:val="auto"/>
                <w:sz w:val="21"/>
                <w:szCs w:val="21"/>
                <w:highlight w:val="none"/>
              </w:rPr>
            </w:pPr>
            <w:r>
              <w:rPr>
                <w:rFonts w:hint="eastAsia" w:ascii="宋体" w:hAnsi="宋体" w:cs="宋体"/>
                <w:b/>
                <w:color w:val="auto"/>
                <w:sz w:val="21"/>
                <w:szCs w:val="21"/>
                <w:highlight w:val="none"/>
              </w:rPr>
              <w:t>走航式ADCP</w:t>
            </w:r>
          </w:p>
        </w:tc>
        <w:tc>
          <w:tcPr>
            <w:tcW w:w="729" w:type="dxa"/>
            <w:vAlign w:val="center"/>
          </w:tcPr>
          <w:p w14:paraId="7B631B5D">
            <w:pPr>
              <w:pStyle w:val="63"/>
              <w:spacing w:line="360" w:lineRule="auto"/>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1套</w:t>
            </w:r>
          </w:p>
        </w:tc>
        <w:tc>
          <w:tcPr>
            <w:tcW w:w="6899" w:type="dxa"/>
          </w:tcPr>
          <w:p w14:paraId="241DB181">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一、主机</w:t>
            </w:r>
          </w:p>
          <w:p w14:paraId="222F58F0">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1.设备主要零部件均为国内生产，产品设计、组装、研发均在国内完成。测量结果满足《声学多普勒流量测验规范》要求。</w:t>
            </w:r>
          </w:p>
          <w:p w14:paraId="0D73B613">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▲2.频率：1200kHz，中央测深600kHz；</w:t>
            </w:r>
          </w:p>
          <w:p w14:paraId="2B1CA3F0">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▲3.波束：3-5波束，带中央测深波束；</w:t>
            </w:r>
          </w:p>
          <w:p w14:paraId="04C9E809">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4.波束倾角：波束倾角≤20°；</w:t>
            </w:r>
          </w:p>
          <w:p w14:paraId="50D75D70">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5.测速范围：±5m/s（典型），±20m/s（最大）；</w:t>
            </w:r>
          </w:p>
          <w:p w14:paraId="7128660E">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6.流速剖面量程：最大量程≥35m；</w:t>
            </w:r>
          </w:p>
          <w:p w14:paraId="35E01528">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7.单元层数：≥260；</w:t>
            </w:r>
          </w:p>
          <w:p w14:paraId="709872EC">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8.单元层厚度：0.06~2m；</w:t>
            </w:r>
          </w:p>
          <w:p w14:paraId="237DCE4F">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9.测流精度：0.25%±0.2cm/s；</w:t>
            </w:r>
          </w:p>
          <w:p w14:paraId="2C6068DE">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10.底跟踪量程：最大量程≥45m；</w:t>
            </w:r>
          </w:p>
          <w:p w14:paraId="09A3E105">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11.中央测深量程：最大量程≥110m；</w:t>
            </w:r>
          </w:p>
          <w:p w14:paraId="6EFC4485">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12.输入电压：9-18VDC（标准12V）；</w:t>
            </w:r>
          </w:p>
          <w:p w14:paraId="5EDD9C00">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13.功耗：平均功耗≤3.2W；</w:t>
            </w:r>
          </w:p>
          <w:p w14:paraId="76B6853D">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14.接口：支持RS-232和RS-422；</w:t>
            </w:r>
          </w:p>
          <w:p w14:paraId="53225BD0">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▲15.内部存储容量：标配不低于16G；</w:t>
            </w:r>
          </w:p>
          <w:p w14:paraId="68290EB4">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16.耐压工作水深：200m；</w:t>
            </w:r>
          </w:p>
          <w:p w14:paraId="71172D0D">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color w:val="auto"/>
                <w:sz w:val="21"/>
                <w:szCs w:val="21"/>
                <w:highlight w:val="none"/>
              </w:rPr>
              <w:t>▲17.支持内置和外接GPS罗经，用户无需额外支付任何费用。GPS罗经数据由仪器主机内部计算，无需借助外部软件完成，所有数据通过电台或蓝牙远程传输。</w:t>
            </w:r>
            <w:r>
              <w:rPr>
                <w:rFonts w:hint="eastAsia" w:ascii="宋体" w:hAnsi="宋体" w:cs="宋体"/>
                <w:b/>
                <w:bCs/>
                <w:color w:val="auto"/>
                <w:sz w:val="21"/>
                <w:szCs w:val="21"/>
                <w:highlight w:val="none"/>
              </w:rPr>
              <w:t>（在响应文件中提供该功能软件截图证明并加盖供应商公章，截图要能清晰显示具备该功能）</w:t>
            </w:r>
          </w:p>
          <w:p w14:paraId="21284A34">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▲18.主机生产日期为2024年后。</w:t>
            </w:r>
          </w:p>
          <w:p w14:paraId="21B377BF">
            <w:pPr>
              <w:pStyle w:val="39"/>
              <w:rPr>
                <w:rFonts w:hint="eastAsia" w:ascii="宋体" w:hAnsi="宋体" w:cs="宋体"/>
                <w:color w:val="auto"/>
                <w:sz w:val="21"/>
                <w:szCs w:val="21"/>
                <w:highlight w:val="none"/>
              </w:rPr>
            </w:pPr>
            <w:r>
              <w:rPr>
                <w:rFonts w:hint="eastAsia" w:ascii="宋体" w:hAnsi="宋体" w:cs="宋体"/>
                <w:color w:val="auto"/>
                <w:sz w:val="21"/>
                <w:szCs w:val="21"/>
                <w:highlight w:val="none"/>
              </w:rPr>
              <w:t>▲19.配置外接GPS接收器</w:t>
            </w:r>
          </w:p>
          <w:p w14:paraId="7D059F78">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 xml:space="preserve">二、内置传感器 </w:t>
            </w:r>
          </w:p>
          <w:p w14:paraId="024319BF">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1.温度：范围／精度／分辨率：-10℃~+60℃／±0.1℃／0.01℃。</w:t>
            </w:r>
          </w:p>
          <w:p w14:paraId="7C734CC5">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▲2.航向：范围／精度／分辨率：0°~360°／±0.5°／0.01°，</w:t>
            </w:r>
            <w:r>
              <w:rPr>
                <w:rFonts w:hint="eastAsia" w:ascii="宋体" w:hAnsi="宋体" w:cs="宋体"/>
                <w:b/>
                <w:bCs/>
                <w:color w:val="auto"/>
                <w:sz w:val="21"/>
                <w:szCs w:val="21"/>
                <w:highlight w:val="none"/>
              </w:rPr>
              <w:t>在响应文件中提供官网查询资料、产品彩页、技术白皮书等任意一种证明材料并加盖供应商公章；</w:t>
            </w:r>
          </w:p>
          <w:p w14:paraId="6E55286F">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color w:val="auto"/>
                <w:sz w:val="21"/>
                <w:szCs w:val="21"/>
                <w:highlight w:val="none"/>
              </w:rPr>
              <w:t>▲3.纵倾横摇：范围／精度／分辨率：±30°／±0.2°／0.01°，</w:t>
            </w:r>
            <w:r>
              <w:rPr>
                <w:rFonts w:hint="eastAsia" w:ascii="宋体" w:hAnsi="宋体" w:cs="宋体"/>
                <w:b/>
                <w:bCs/>
                <w:color w:val="auto"/>
                <w:sz w:val="21"/>
                <w:szCs w:val="21"/>
                <w:highlight w:val="none"/>
              </w:rPr>
              <w:t>在响应文件中提供官网查询资料、产品彩页、技术白皮书等任意一种证明材料并加盖供应商公章；</w:t>
            </w:r>
          </w:p>
          <w:p w14:paraId="53FD28BA">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三、内置测流软件</w:t>
            </w:r>
          </w:p>
          <w:p w14:paraId="321051E5">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1.支持打印功能：选中界面上图形或者表格进行打印；</w:t>
            </w:r>
          </w:p>
          <w:p w14:paraId="37228E5E">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2.支持界面布局功能：随意拖动子窗体显示或隐藏，点击默认布局可恢复初始界面布局；</w:t>
            </w:r>
          </w:p>
          <w:p w14:paraId="43BC6D43">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3.支持姿态校准功能：用于校准下位机姿态传感器的罗经，纵倾，横摇；</w:t>
            </w:r>
          </w:p>
          <w:p w14:paraId="2EB87743">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4.自容模式：下发自容命令，从下位机下载数据并保存；</w:t>
            </w:r>
          </w:p>
          <w:p w14:paraId="75C40999">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5.剖面平均表可显示的功能：显示当前测次起始呯到当前呯中每个单元层的深度，平均速度大小，平均速度方向和有效呯数；</w:t>
            </w:r>
          </w:p>
          <w:p w14:paraId="7CB11EA0">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6.支持数据可分段功能：截取有效数据段显示并保存；</w:t>
            </w:r>
          </w:p>
          <w:p w14:paraId="31F0DDA2">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7.支持大地坐标转换</w:t>
            </w:r>
          </w:p>
          <w:p w14:paraId="00734CEC">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▲8.支持DXF底图导入功能</w:t>
            </w:r>
          </w:p>
          <w:p w14:paraId="625AAEA2">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9.流量成果表支持的功能：手动修改站点信息，水位导入，并以Excel或PDF格式导出测量记载表；</w:t>
            </w:r>
          </w:p>
          <w:p w14:paraId="4BEA5FD5">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▲10.支持自定义数据航迹距离、直线距离、水深、船速、经度、纬度、平均速率、平均流向等数据成果表导出；</w:t>
            </w:r>
          </w:p>
          <w:p w14:paraId="796B51A8">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11.支持实时影像功能，可以BMP抓图、JPG抓图、录像并可以控制云台；</w:t>
            </w:r>
          </w:p>
          <w:p w14:paraId="25288DB9">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四、折叠三体船</w:t>
            </w:r>
          </w:p>
          <w:p w14:paraId="1FD1B712">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1.船体材料：高密度轻型聚乙烯材料；</w:t>
            </w:r>
          </w:p>
          <w:p w14:paraId="4B68DE3E">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2.船体尺寸：≤1200mm×860mm；</w:t>
            </w:r>
          </w:p>
          <w:p w14:paraId="1122CCEA">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3.舱内空间：250mm×200mm×150mm；</w:t>
            </w:r>
          </w:p>
          <w:p w14:paraId="7F1BDF0E">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▲4。船体支持ADCP、GPS、无线电台等设备安装配套使用的孔位、基座、安装支架以及密封防水的线缆连接通道。</w:t>
            </w:r>
          </w:p>
          <w:p w14:paraId="6B49292C">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五、一体化电台 （内置DGPS）</w:t>
            </w:r>
          </w:p>
          <w:p w14:paraId="70BD7E62">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1.电台内置充电锂电池，无需外置电源，可为ADCP主机供电。</w:t>
            </w:r>
          </w:p>
          <w:p w14:paraId="30A66A1E">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2.输出电压：9-18VDC； </w:t>
            </w:r>
          </w:p>
          <w:p w14:paraId="7B41C5C1">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3.电台工作频率：902MHz-928MHz；</w:t>
            </w:r>
          </w:p>
          <w:p w14:paraId="254C7A8C">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4.电台传输距离：≥1000m；</w:t>
            </w:r>
          </w:p>
          <w:p w14:paraId="02060309">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5.防水等级：IP67；</w:t>
            </w:r>
          </w:p>
          <w:p w14:paraId="3BAF3042">
            <w:pPr>
              <w:pStyle w:val="39"/>
              <w:rPr>
                <w:rFonts w:hint="eastAsia" w:ascii="宋体" w:hAnsi="宋体" w:cs="宋体"/>
                <w:color w:val="auto"/>
                <w:sz w:val="21"/>
                <w:szCs w:val="21"/>
                <w:highlight w:val="none"/>
              </w:rPr>
            </w:pPr>
            <w:r>
              <w:rPr>
                <w:rFonts w:hint="eastAsia" w:ascii="宋体" w:hAnsi="宋体" w:cs="宋体"/>
                <w:color w:val="auto"/>
                <w:sz w:val="21"/>
                <w:szCs w:val="21"/>
                <w:highlight w:val="none"/>
              </w:rPr>
              <w:t>6.支持外接GPS接收</w:t>
            </w:r>
          </w:p>
          <w:p w14:paraId="4ADB3277">
            <w:pPr>
              <w:pStyle w:val="63"/>
              <w:spacing w:line="360" w:lineRule="auto"/>
              <w:ind w:firstLine="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六、其他</w:t>
            </w:r>
          </w:p>
          <w:p w14:paraId="562BCB95">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1.移动流量数据处理系统1台（专业版系统操作系统、 参照或相当于RTX4070TI 8G独立显卡、≥32GB DDR5内存、 参照或相当于 i9 14900hx技术处理器、≥2TB SSD、16寸，240H屏幕；鼠标、双肩随身包一套）</w:t>
            </w:r>
          </w:p>
          <w:p w14:paraId="692DF07D">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2.应急断面定位测量系统（ 参照或相当于irtkv300配置） </w:t>
            </w:r>
          </w:p>
          <w:p w14:paraId="226FD1B0">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a内置eSIM网络芯片（含3年上网流量），无需插卡即可联网;</w:t>
            </w:r>
          </w:p>
          <w:p w14:paraId="36CC2474">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b支持Wi-Fi通信和蓝牙通信，支持手簿NFC闪连实现智能化操作;</w:t>
            </w:r>
          </w:p>
          <w:p w14:paraId="509F55F9">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c内置移动CORS服务，无需设置IP、端口、用户码、密码等参数（含三年费用）</w:t>
            </w:r>
          </w:p>
        </w:tc>
      </w:tr>
      <w:tr w14:paraId="1713F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4A3CBF33">
            <w:pPr>
              <w:numPr>
                <w:ilvl w:val="0"/>
                <w:numId w:val="1"/>
              </w:numPr>
              <w:tabs>
                <w:tab w:val="left" w:pos="180"/>
                <w:tab w:val="left" w:pos="1620"/>
              </w:tabs>
              <w:jc w:val="center"/>
              <w:rPr>
                <w:rFonts w:hint="eastAsia" w:ascii="宋体" w:hAnsi="宋体" w:cs="宋体"/>
                <w:color w:val="auto"/>
                <w:szCs w:val="21"/>
                <w:highlight w:val="none"/>
              </w:rPr>
            </w:pPr>
          </w:p>
        </w:tc>
        <w:tc>
          <w:tcPr>
            <w:tcW w:w="888" w:type="dxa"/>
            <w:gridSpan w:val="2"/>
            <w:vAlign w:val="center"/>
          </w:tcPr>
          <w:p w14:paraId="177FF3BA">
            <w:pPr>
              <w:pStyle w:val="63"/>
              <w:spacing w:line="360" w:lineRule="auto"/>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视频测流系统（含服务器和流量计算平台）</w:t>
            </w:r>
          </w:p>
        </w:tc>
        <w:tc>
          <w:tcPr>
            <w:tcW w:w="729" w:type="dxa"/>
            <w:vAlign w:val="center"/>
          </w:tcPr>
          <w:p w14:paraId="22B5E523">
            <w:pPr>
              <w:pStyle w:val="63"/>
              <w:spacing w:line="360" w:lineRule="auto"/>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1套</w:t>
            </w:r>
          </w:p>
        </w:tc>
        <w:tc>
          <w:tcPr>
            <w:tcW w:w="6899" w:type="dxa"/>
          </w:tcPr>
          <w:p w14:paraId="37243CE4">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一、技术指标</w:t>
            </w:r>
          </w:p>
          <w:p w14:paraId="0440D41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1.适用河宽：0~200m</w:t>
            </w:r>
          </w:p>
          <w:p w14:paraId="46163BD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2.流速测量范围：0.05～20m/s</w:t>
            </w:r>
          </w:p>
          <w:p w14:paraId="5E02A91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3.流速测量分辨率：0.001m/s</w:t>
            </w:r>
          </w:p>
          <w:p w14:paraId="271E504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4.流速测量准确度：0.05m/s；±5%</w:t>
            </w:r>
          </w:p>
          <w:p w14:paraId="50FA2A4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5.流量计算误差：满足《河流流量测验规范》GB 50179-2015和《图像识别法河流流量测验规范》T-CHES 99-20236.测量频次：60min/次（支持设置）</w:t>
            </w:r>
          </w:p>
          <w:p w14:paraId="2834BD03">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二、硬件参数</w:t>
            </w:r>
          </w:p>
          <w:p w14:paraId="0A43E00E">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1.视觉影像采集终端1</w:t>
            </w:r>
          </w:p>
          <w:p w14:paraId="68F722E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1.1流速测量范围：0.05~0.5m/s</w:t>
            </w:r>
          </w:p>
          <w:p w14:paraId="6C0292A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1.2不低于400w像素，不低于1/1.8 英寸 CMOS</w:t>
            </w:r>
          </w:p>
          <w:p w14:paraId="39C17E0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1.3照度：不低于彩色：0.001Lux @ (F1.6，AGC ON)；黑白：0.0001Lux @(F1.6 AGG ON)；</w:t>
            </w:r>
          </w:p>
          <w:p w14:paraId="4F0D3041">
            <w:pPr>
              <w:spacing w:line="360" w:lineRule="auto"/>
              <w:rPr>
                <w:rFonts w:hint="eastAsia" w:ascii="宋体" w:hAnsi="宋体" w:cs="宋体"/>
                <w:b/>
                <w:bCs/>
                <w:color w:val="auto"/>
                <w:szCs w:val="21"/>
                <w:highlight w:val="none"/>
              </w:rPr>
            </w:pPr>
            <w:r>
              <w:rPr>
                <w:rFonts w:hint="eastAsia" w:ascii="宋体" w:hAnsi="宋体" w:cs="宋体"/>
                <w:color w:val="auto"/>
                <w:szCs w:val="21"/>
                <w:highlight w:val="none"/>
              </w:rPr>
              <w:t>▲1.4光学变倍：不低于44倍</w:t>
            </w:r>
            <w:r>
              <w:rPr>
                <w:rFonts w:hint="eastAsia" w:ascii="宋体" w:hAnsi="宋体" w:cs="宋体"/>
                <w:b/>
                <w:bCs/>
                <w:color w:val="auto"/>
                <w:szCs w:val="21"/>
                <w:highlight w:val="none"/>
              </w:rPr>
              <w:t>（响应文件中提供国家认可的检测机构出具的检测报告复印件并加盖供应商公章）</w:t>
            </w:r>
          </w:p>
          <w:p w14:paraId="480119A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1.5数字变倍：不低于16倍</w:t>
            </w:r>
          </w:p>
          <w:p w14:paraId="6D423F62">
            <w:pPr>
              <w:spacing w:line="360" w:lineRule="auto"/>
              <w:rPr>
                <w:rFonts w:hint="eastAsia" w:ascii="宋体" w:hAnsi="宋体" w:cs="宋体"/>
                <w:b/>
                <w:bCs/>
                <w:color w:val="auto"/>
                <w:szCs w:val="21"/>
                <w:highlight w:val="none"/>
              </w:rPr>
            </w:pPr>
            <w:r>
              <w:rPr>
                <w:rFonts w:hint="eastAsia" w:ascii="宋体" w:hAnsi="宋体" w:cs="宋体"/>
                <w:color w:val="auto"/>
                <w:szCs w:val="21"/>
                <w:highlight w:val="none"/>
              </w:rPr>
              <w:t>▲1.6内置高精度陀螺仪，精度可达0.1，俯仰横滚角度实时OSD显示</w:t>
            </w:r>
            <w:r>
              <w:rPr>
                <w:rFonts w:hint="eastAsia" w:ascii="宋体" w:hAnsi="宋体" w:cs="宋体"/>
                <w:b/>
                <w:bCs/>
                <w:color w:val="auto"/>
                <w:szCs w:val="21"/>
                <w:highlight w:val="none"/>
              </w:rPr>
              <w:t>（响应文件中提供国家认可的检测机构出具的检测报告复印件并加盖供应商公章）</w:t>
            </w:r>
          </w:p>
          <w:p w14:paraId="21868E6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1.7支持红外/白光灯补光，具有不少于12颗红外/白光补光灯</w:t>
            </w:r>
          </w:p>
          <w:p w14:paraId="4211222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1.8补光距离不低于1</w:t>
            </w:r>
            <w:r>
              <w:rPr>
                <w:rFonts w:ascii="宋体" w:hAnsi="宋体" w:cs="宋体"/>
                <w:color w:val="auto"/>
                <w:szCs w:val="21"/>
                <w:highlight w:val="none"/>
              </w:rPr>
              <w:t>5</w:t>
            </w:r>
            <w:r>
              <w:rPr>
                <w:rFonts w:hint="eastAsia" w:ascii="宋体" w:hAnsi="宋体" w:cs="宋体"/>
                <w:color w:val="auto"/>
                <w:szCs w:val="21"/>
                <w:highlight w:val="none"/>
              </w:rPr>
              <w:t>0m</w:t>
            </w:r>
          </w:p>
          <w:p w14:paraId="26577F1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1.9畸变矫正功能检查：支持设置畸变矫正，全焦段无畸变</w:t>
            </w:r>
          </w:p>
          <w:p w14:paraId="231C56DE">
            <w:pPr>
              <w:spacing w:line="360" w:lineRule="auto"/>
              <w:rPr>
                <w:rFonts w:hint="eastAsia" w:ascii="宋体" w:hAnsi="宋体" w:cs="宋体"/>
                <w:b/>
                <w:bCs/>
                <w:color w:val="auto"/>
                <w:szCs w:val="21"/>
                <w:highlight w:val="none"/>
              </w:rPr>
            </w:pPr>
            <w:r>
              <w:rPr>
                <w:rFonts w:hint="eastAsia" w:ascii="宋体" w:hAnsi="宋体" w:cs="宋体"/>
                <w:color w:val="auto"/>
                <w:szCs w:val="21"/>
                <w:highlight w:val="none"/>
              </w:rPr>
              <w:t>▲1.10云台定位准确度：≤0.1°</w:t>
            </w:r>
            <w:r>
              <w:rPr>
                <w:rFonts w:hint="eastAsia" w:ascii="宋体" w:hAnsi="宋体" w:cs="宋体"/>
                <w:b/>
                <w:bCs/>
                <w:color w:val="auto"/>
                <w:szCs w:val="21"/>
                <w:highlight w:val="none"/>
              </w:rPr>
              <w:t>（响应文件中提供国家认可的检测机构出具的检测报告复印件并加盖供应商公章）</w:t>
            </w:r>
          </w:p>
          <w:p w14:paraId="05B28DAA">
            <w:pPr>
              <w:spacing w:line="360" w:lineRule="auto"/>
              <w:rPr>
                <w:rFonts w:hint="eastAsia" w:ascii="宋体" w:hAnsi="宋体" w:cs="宋体"/>
                <w:b/>
                <w:bCs/>
                <w:color w:val="auto"/>
                <w:szCs w:val="21"/>
                <w:highlight w:val="none"/>
              </w:rPr>
            </w:pPr>
            <w:r>
              <w:rPr>
                <w:rFonts w:hint="eastAsia" w:ascii="宋体" w:hAnsi="宋体" w:cs="宋体"/>
                <w:color w:val="auto"/>
                <w:szCs w:val="21"/>
                <w:highlight w:val="none"/>
              </w:rPr>
              <w:t>1.11水平旋转范围：支持水平360°连续旋转</w:t>
            </w:r>
          </w:p>
          <w:p w14:paraId="2DF1681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▲1.12垂直旋转范围：-40°~90°</w:t>
            </w:r>
            <w:r>
              <w:rPr>
                <w:rFonts w:hint="eastAsia" w:ascii="宋体" w:hAnsi="宋体" w:cs="宋体"/>
                <w:b/>
                <w:bCs/>
                <w:color w:val="auto"/>
                <w:szCs w:val="21"/>
                <w:highlight w:val="none"/>
              </w:rPr>
              <w:t>（响应文件中提供国家认可的检测机构出具的检测报告复印件并加盖供应商公章）</w:t>
            </w:r>
          </w:p>
          <w:p w14:paraId="2133BA3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1.1</w:t>
            </w:r>
            <w:r>
              <w:rPr>
                <w:rFonts w:ascii="宋体" w:hAnsi="宋体" w:cs="宋体"/>
                <w:color w:val="auto"/>
                <w:szCs w:val="21"/>
                <w:highlight w:val="none"/>
              </w:rPr>
              <w:t>3</w:t>
            </w:r>
            <w:r>
              <w:rPr>
                <w:rFonts w:hint="eastAsia" w:ascii="宋体" w:hAnsi="宋体" w:cs="宋体"/>
                <w:color w:val="auto"/>
                <w:szCs w:val="21"/>
                <w:highlight w:val="none"/>
              </w:rPr>
              <w:t>防护等级：≥IP66</w:t>
            </w:r>
          </w:p>
          <w:p w14:paraId="587C7540">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2.视觉影像采集终端2</w:t>
            </w:r>
          </w:p>
          <w:p w14:paraId="39AAEFD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2.1流速测量范围：0.5~20m/s</w:t>
            </w:r>
          </w:p>
          <w:p w14:paraId="6DBFF1E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2.2不低于800w像素，</w:t>
            </w:r>
            <w:r>
              <w:rPr>
                <w:rFonts w:hint="eastAsia"/>
                <w:color w:val="auto"/>
                <w:highlight w:val="none"/>
              </w:rPr>
              <w:t xml:space="preserve"> 参照或相当于</w:t>
            </w:r>
            <w:r>
              <w:rPr>
                <w:rFonts w:hint="eastAsia" w:ascii="宋体" w:hAnsi="宋体" w:cs="宋体"/>
                <w:color w:val="auto"/>
                <w:szCs w:val="21"/>
                <w:highlight w:val="none"/>
              </w:rPr>
              <w:t>1/1.8 progressive scan CMOS；</w:t>
            </w:r>
          </w:p>
          <w:p w14:paraId="77B0333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2.3最低照度：彩色：0.002Lux @ (F1.2，AGC ON)；黑白：0.0002Lux @(F1.2 AGG ON)；0 Lux with IR；</w:t>
            </w:r>
          </w:p>
          <w:p w14:paraId="3DA9880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2.4宽动态：支持宽动态范围达120dB；</w:t>
            </w:r>
          </w:p>
          <w:p w14:paraId="2BD4D75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2.5补光距离：不低于50m；</w:t>
            </w:r>
          </w:p>
          <w:p w14:paraId="1F566AD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2.6视频压缩：H.265/H.264/MJPEG；</w:t>
            </w:r>
          </w:p>
          <w:p w14:paraId="514E91F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2.7支持GB/T28181和SDK接入；</w:t>
            </w:r>
          </w:p>
          <w:p w14:paraId="4E42062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2.8防护等级：IP67。</w:t>
            </w:r>
          </w:p>
          <w:p w14:paraId="55F3993B">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3.智能边缘计算网关</w:t>
            </w:r>
          </w:p>
          <w:p w14:paraId="7D4A3EB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3.1 CPU：核心不低于4C4T</w:t>
            </w:r>
          </w:p>
          <w:p w14:paraId="24546A2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3.2睿频频率：不低于3.4 GHz</w:t>
            </w:r>
          </w:p>
          <w:p w14:paraId="5579A0F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3.3 GPU：动态频率不低于750 MHz</w:t>
            </w:r>
          </w:p>
          <w:p w14:paraId="3620865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3.4内存：不小于16 GB，不低于DDR4-2666MHz</w:t>
            </w:r>
          </w:p>
          <w:p w14:paraId="18CF497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3.5存储：不小于4T</w:t>
            </w:r>
          </w:p>
          <w:p w14:paraId="6342567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3.6支持市电及太阳能供电系统；</w:t>
            </w:r>
          </w:p>
          <w:p w14:paraId="02FBCCDB">
            <w:pPr>
              <w:spacing w:line="360" w:lineRule="auto"/>
              <w:rPr>
                <w:rFonts w:hint="eastAsia" w:ascii="宋体" w:hAnsi="宋体" w:cs="宋体"/>
                <w:b/>
                <w:bCs/>
                <w:color w:val="auto"/>
                <w:szCs w:val="21"/>
                <w:highlight w:val="none"/>
              </w:rPr>
            </w:pPr>
            <w:r>
              <w:rPr>
                <w:rFonts w:hint="eastAsia" w:ascii="宋体" w:hAnsi="宋体" w:cs="宋体"/>
                <w:color w:val="auto"/>
                <w:szCs w:val="21"/>
                <w:highlight w:val="none"/>
              </w:rPr>
              <w:t>▲3.7终端机满足《水文自动测报系统设备遥测终端机SL180-2015》</w:t>
            </w:r>
            <w:r>
              <w:rPr>
                <w:rFonts w:hint="eastAsia" w:ascii="宋体" w:hAnsi="宋体" w:cs="宋体"/>
                <w:b/>
                <w:bCs/>
                <w:color w:val="auto"/>
                <w:szCs w:val="21"/>
                <w:highlight w:val="none"/>
              </w:rPr>
              <w:t>（响应文件中提供国家认可的检测机构出具的检测报告复印件并加盖供应商公章）</w:t>
            </w:r>
          </w:p>
          <w:p w14:paraId="10EE94D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▲3.8数据传输遵循《水文监测数据通信规约 SL651-2014》</w:t>
            </w:r>
            <w:r>
              <w:rPr>
                <w:rFonts w:hint="eastAsia" w:ascii="宋体" w:hAnsi="宋体" w:cs="宋体"/>
                <w:b/>
                <w:bCs/>
                <w:color w:val="auto"/>
                <w:szCs w:val="21"/>
                <w:highlight w:val="none"/>
              </w:rPr>
              <w:t>（响应文件中提供国家认可的检测机构出具的检测报告复印件并加盖供应商公章）</w:t>
            </w:r>
          </w:p>
          <w:p w14:paraId="2BD01D0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3.9数据传输符合《SZY206-2016水资源监测数据传输规约》</w:t>
            </w:r>
          </w:p>
          <w:p w14:paraId="69F64CC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3.10支持远程控制、远程管理；</w:t>
            </w:r>
          </w:p>
          <w:p w14:paraId="28EBD00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3.11支持有线网络、4G及北斗通讯；</w:t>
            </w:r>
          </w:p>
          <w:p w14:paraId="7998415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3.12支持一站多发，可同时向4个上级平台上报数据；</w:t>
            </w:r>
          </w:p>
          <w:p w14:paraId="610F3AD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3.13支持网络恢复后的自动补发。</w:t>
            </w:r>
          </w:p>
          <w:p w14:paraId="2050FF6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▲3.14数据接入广西流量在线监测系统。</w:t>
            </w:r>
          </w:p>
          <w:p w14:paraId="5E620BB2">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三、平台功能</w:t>
            </w:r>
          </w:p>
          <w:p w14:paraId="7267953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视觉测流系统是测站水位、流速、流量监测数据展示终端和分析平台，系统支持私有化部署，系统功能包括GIS一张图、站点管理、实时视频展示、历史数据回溯、手动加测、流量超限预警、设备离线报警等功能。</w:t>
            </w:r>
          </w:p>
          <w:p w14:paraId="0AD51C6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1.支持GIS一张图，展示站点位置、最新的数据、设备状态及告警信息，支持自定义水位、流速、流量告警阈值；</w:t>
            </w:r>
          </w:p>
          <w:p w14:paraId="2CAE793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2.实时测流数据监测：支持实时视频查看，实时测流数据展示；</w:t>
            </w:r>
          </w:p>
          <w:p w14:paraId="3C6C69B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3.支持成果数据管理：支持年/月水量数据统计，单次测验数据按照《图像识别法河流流量测验规范》T-CHES 99-2023中要求的数据格式导出，支持批量流量成果数据导出，批量测速线数据导出；</w:t>
            </w:r>
          </w:p>
          <w:p w14:paraId="261FDF8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4.历史数据分析：支持历史测次的视频回溯查看和下载，历史测次的表面流速数据展示，历史测次的断面图展示；</w:t>
            </w:r>
          </w:p>
          <w:p w14:paraId="2FCE2BC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5.支持断面数据管理：支持断面数据导入、导出，历史断面管理和对比分析，在线更新断面数据到设备端；</w:t>
            </w:r>
          </w:p>
          <w:p w14:paraId="1372824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6.支持手动加测：选取需要加测时间和对应时间水位数据，支持选择某个断面进行加测，可根据需要进行调整视频时长；</w:t>
            </w:r>
          </w:p>
          <w:p w14:paraId="2AFCC9D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7.支持站点基本信息管理，展示站点详细信息，支持站点基本信息修改、河流水系、水位信息等；</w:t>
            </w:r>
          </w:p>
          <w:p w14:paraId="3ED8141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支持设备管理，支持设置不同水位级下休眠，支持补光灯常开、常闭、即开即用三种工作模式；支持北斗模块设置、外接水位计设置；测流设备支持多设备同时计算，支持根据水位/时间路由规则选择对应的设备输出结果；</w:t>
            </w:r>
          </w:p>
          <w:p w14:paraId="0287D88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9.成果数据支持《水文监测数据通信规约 SL651-2014</w:t>
            </w:r>
            <w:r>
              <w:rPr>
                <w:rFonts w:hint="eastAsia" w:ascii="宋体" w:hAnsi="宋体" w:cs="宋体"/>
                <w:color w:val="auto"/>
                <w:szCs w:val="21"/>
                <w:highlight w:val="none"/>
              </w:rPr>
              <w:tab/>
            </w:r>
            <w:r>
              <w:rPr>
                <w:rFonts w:hint="eastAsia" w:ascii="宋体" w:hAnsi="宋体" w:cs="宋体"/>
                <w:color w:val="auto"/>
                <w:szCs w:val="21"/>
                <w:highlight w:val="none"/>
              </w:rPr>
              <w:t>成果数据支持《水文监测数据通信规约 SL651-2014》、《SZY206-2016水资源监测数据传输规约》向第三方平台传输，支持数据自动补发功能；《SZY206-2016水资源监测数据传输规约》向第三方平台传输，支持数据自动补发功能；</w:t>
            </w:r>
          </w:p>
          <w:p w14:paraId="3089830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10.支持权限分配及用户管理。</w:t>
            </w:r>
          </w:p>
          <w:p w14:paraId="2674D6A0">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四、平台支撑设施</w:t>
            </w:r>
          </w:p>
          <w:p w14:paraId="6B5A873F">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（一）网络查询平台</w:t>
            </w:r>
          </w:p>
          <w:p w14:paraId="0B0374E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1．平台1台，1U/4盘位，前置硬盘；</w:t>
            </w:r>
          </w:p>
          <w:p w14:paraId="1EA85C8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≥32GB DDR4内存，4个内存插槽，容量最高支持至64G；</w:t>
            </w:r>
          </w:p>
          <w:p w14:paraId="3BF2204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 4个千兆网卡；</w:t>
            </w:r>
          </w:p>
          <w:p w14:paraId="52CDF67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4.最大可支持1个PCIE 3.0插槽；</w:t>
            </w:r>
          </w:p>
          <w:p w14:paraId="42756B4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 2*USB3.0（后置）、2*USB2.0（前置）接口；</w:t>
            </w:r>
          </w:p>
          <w:p w14:paraId="2DA07AA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6.1*64GB SSD系统盘，4T企业级数据盘，共支持4个3.5/2.5寸SATA硬盘，支持热插拔；</w:t>
            </w:r>
          </w:p>
          <w:p w14:paraId="008E0A9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color w:val="auto"/>
                <w:highlight w:val="none"/>
              </w:rPr>
              <w:t xml:space="preserve"> 参照或相当于</w:t>
            </w:r>
            <w:r>
              <w:rPr>
                <w:rFonts w:hint="eastAsia" w:ascii="宋体" w:hAnsi="宋体" w:cs="宋体"/>
                <w:color w:val="auto"/>
                <w:szCs w:val="21"/>
                <w:highlight w:val="none"/>
              </w:rPr>
              <w:t>Linux嵌入式操作系统，Centos 7.6 64位</w:t>
            </w:r>
          </w:p>
          <w:p w14:paraId="64385BD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9.功率：电源额定：250W；整机峰值：200W；整机平均：180W</w:t>
            </w:r>
          </w:p>
          <w:p w14:paraId="7833AEA1">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（二）数据存储</w:t>
            </w:r>
          </w:p>
          <w:p w14:paraId="4BACD78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1.4U/24盘位集中存储；24块硬盘满配；</w:t>
            </w:r>
          </w:p>
          <w:p w14:paraId="40D53D5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2.支持流式存储和文件存储两种存储方式；</w:t>
            </w:r>
          </w:p>
          <w:p w14:paraId="4FA02B7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3.流式存储方式：接入带宽1024Mbps，同时512Mbps转发（直存）；文件存储方式：接入带宽600Mbps同时转发600Mbps（直存）；</w:t>
            </w:r>
          </w:p>
          <w:p w14:paraId="4EB173A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4.出厂自带</w:t>
            </w:r>
            <w:r>
              <w:rPr>
                <w:rFonts w:hint="eastAsia"/>
                <w:color w:val="auto"/>
                <w:highlight w:val="none"/>
              </w:rPr>
              <w:t xml:space="preserve"> 参照或相当于</w:t>
            </w:r>
            <w:r>
              <w:rPr>
                <w:rFonts w:hint="eastAsia" w:ascii="宋体" w:hAnsi="宋体" w:cs="宋体"/>
                <w:color w:val="auto"/>
                <w:szCs w:val="21"/>
                <w:highlight w:val="none"/>
              </w:rPr>
              <w:t>Linux操作系统；</w:t>
            </w:r>
          </w:p>
          <w:p w14:paraId="08AE1F8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5.2核4线程处理器，内存≥8GB；</w:t>
            </w:r>
          </w:p>
          <w:p w14:paraId="1AFBC2A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6.标配1*128GB SSD系统盘，4T企业级数据盘，共支持4个3.5/2.5寸SATA硬盘，支持热插拔；最大支持24块3.5寸或者2.5寸硬盘；</w:t>
            </w:r>
          </w:p>
          <w:p w14:paraId="47664C6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7.支持Onvif、GB/T28181、SDK；</w:t>
            </w:r>
          </w:p>
          <w:p w14:paraId="3A8D711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8.使用软RAID系统，支持RAID0、1、3、5、6、10、50、60；</w:t>
            </w:r>
          </w:p>
          <w:p w14:paraId="5F396F1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9.4个RJ45千兆网口；</w:t>
            </w:r>
          </w:p>
          <w:p w14:paraId="3968252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10.采用800W电源；</w:t>
            </w:r>
          </w:p>
          <w:p w14:paraId="6B66AB9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11.兼容硬盘：4TB、6TB、8TB企业级；</w:t>
            </w:r>
          </w:p>
          <w:p w14:paraId="5CD209A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12.功率：电源额定：800W，整机峰值：500W，整机平均：300W</w:t>
            </w:r>
          </w:p>
          <w:p w14:paraId="00C89234">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五、数据终端</w:t>
            </w:r>
          </w:p>
          <w:p w14:paraId="299D7C2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参照或相当于i7 14700技术水平, 360mm 水冷 控温</w:t>
            </w:r>
          </w:p>
          <w:p w14:paraId="19B0C4E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内存≥32G DDR5  混合硬盘≥4T</w:t>
            </w:r>
          </w:p>
          <w:p w14:paraId="2D7EA4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3.显卡  参照或相当于RTX4070 16GB</w:t>
            </w:r>
          </w:p>
          <w:p w14:paraId="6E66808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4.显示器 尺寸大于23英寸，刷新率240Hz,IPS</w:t>
            </w:r>
          </w:p>
          <w:p w14:paraId="6D5DD28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5.键盘鼠标一套</w:t>
            </w:r>
          </w:p>
          <w:p w14:paraId="4361B97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6.电源＞1000W</w:t>
            </w:r>
          </w:p>
        </w:tc>
      </w:tr>
      <w:tr w14:paraId="451CA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736D779A">
            <w:pPr>
              <w:numPr>
                <w:ilvl w:val="0"/>
                <w:numId w:val="1"/>
              </w:numPr>
              <w:tabs>
                <w:tab w:val="left" w:pos="180"/>
                <w:tab w:val="left" w:pos="1620"/>
              </w:tabs>
              <w:jc w:val="center"/>
              <w:rPr>
                <w:rFonts w:hint="eastAsia" w:ascii="宋体" w:hAnsi="宋体" w:cs="宋体"/>
                <w:color w:val="auto"/>
                <w:szCs w:val="21"/>
                <w:highlight w:val="none"/>
              </w:rPr>
            </w:pPr>
          </w:p>
        </w:tc>
        <w:tc>
          <w:tcPr>
            <w:tcW w:w="888" w:type="dxa"/>
            <w:gridSpan w:val="2"/>
            <w:vAlign w:val="center"/>
          </w:tcPr>
          <w:p w14:paraId="49925032">
            <w:pPr>
              <w:pStyle w:val="63"/>
              <w:spacing w:line="360" w:lineRule="auto"/>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Adcp缆道控制系统</w:t>
            </w:r>
          </w:p>
        </w:tc>
        <w:tc>
          <w:tcPr>
            <w:tcW w:w="729" w:type="dxa"/>
            <w:vAlign w:val="center"/>
          </w:tcPr>
          <w:p w14:paraId="0D1B74BF">
            <w:pPr>
              <w:pStyle w:val="63"/>
              <w:spacing w:line="360" w:lineRule="auto"/>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2套</w:t>
            </w:r>
          </w:p>
        </w:tc>
        <w:tc>
          <w:tcPr>
            <w:tcW w:w="6899" w:type="dxa"/>
          </w:tcPr>
          <w:p w14:paraId="715A6A0C">
            <w:pPr>
              <w:pStyle w:val="63"/>
              <w:spacing w:line="360" w:lineRule="auto"/>
              <w:ind w:firstLine="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缆道控制系统</w:t>
            </w:r>
          </w:p>
          <w:p w14:paraId="34A3441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1.功能要求：自动采集水位，根据水位变化启动测流，实时采集水深、垂线流速、水位、起点距等数据，并计算流量，具有流速仪测流功能。所有原始数据，包括流量成果，通过4G 或宽带发送到远程服务器，登录流量测验平台或通过手机查看测流数据。</w:t>
            </w:r>
          </w:p>
          <w:p w14:paraId="76774E2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2.主要参数：</w:t>
            </w:r>
          </w:p>
          <w:p w14:paraId="59FE831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ADCP缆道控制系统由ADCP数据采集器、铅鱼升降驱动器、行车运行驱动器、测流控制器、手操器和流量测验平台软件、绞车等组成。</w:t>
            </w:r>
          </w:p>
          <w:p w14:paraId="13F8D21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2.1 ADCP数据采集器</w:t>
            </w:r>
          </w:p>
          <w:p w14:paraId="4B9FAA8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铅鱼入水深度计，精度±1cm；</w:t>
            </w:r>
          </w:p>
          <w:p w14:paraId="475E849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铅鱼高度计:测高范围0.5～20m；</w:t>
            </w:r>
          </w:p>
          <w:p w14:paraId="10108200">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铅鱼重量：75Kg；适用水深H≤40m； 适用流速V≤6m/s；适用河床质：砂质、小砾石、卵石、浅层淤泥；带流速仪接口。</w:t>
            </w:r>
          </w:p>
          <w:p w14:paraId="6457ECE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还包括数据采集板、北斗RTK定、高速数传电台等。</w:t>
            </w:r>
          </w:p>
          <w:p w14:paraId="1C27340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2.2铅鱼升降驱动器</w:t>
            </w:r>
          </w:p>
          <w:p w14:paraId="2703C48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电机：功率2</w:t>
            </w:r>
            <w:r>
              <w:rPr>
                <w:rFonts w:ascii="宋体" w:hAnsi="宋体" w:cs="宋体"/>
                <w:color w:val="auto"/>
                <w:szCs w:val="21"/>
                <w:highlight w:val="none"/>
              </w:rPr>
              <w:t>200</w:t>
            </w:r>
            <w:r>
              <w:rPr>
                <w:rFonts w:hint="eastAsia" w:ascii="宋体" w:hAnsi="宋体" w:cs="宋体"/>
                <w:color w:val="auto"/>
                <w:szCs w:val="21"/>
                <w:highlight w:val="none"/>
              </w:rPr>
              <w:t>W, 提放速度0～0.5m/s，提放行程12m</w:t>
            </w:r>
          </w:p>
          <w:p w14:paraId="5697AD5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电源：2</w:t>
            </w:r>
            <w:r>
              <w:rPr>
                <w:rFonts w:ascii="宋体" w:hAnsi="宋体" w:cs="宋体"/>
                <w:color w:val="auto"/>
                <w:szCs w:val="21"/>
                <w:highlight w:val="none"/>
              </w:rPr>
              <w:t>20V</w:t>
            </w:r>
          </w:p>
          <w:p w14:paraId="13E28A5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控制器：与测流控制器通讯，控制电机驱动铅鱼运行</w:t>
            </w:r>
          </w:p>
          <w:p w14:paraId="74E24FB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2.3行车运行驱动器</w:t>
            </w:r>
          </w:p>
          <w:p w14:paraId="291857E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电机：功率2</w:t>
            </w:r>
            <w:r>
              <w:rPr>
                <w:rFonts w:ascii="宋体" w:hAnsi="宋体" w:cs="宋体"/>
                <w:color w:val="auto"/>
                <w:szCs w:val="21"/>
                <w:highlight w:val="none"/>
              </w:rPr>
              <w:t>200</w:t>
            </w:r>
            <w:r>
              <w:rPr>
                <w:rFonts w:hint="eastAsia" w:ascii="宋体" w:hAnsi="宋体" w:cs="宋体"/>
                <w:color w:val="auto"/>
                <w:szCs w:val="21"/>
                <w:highlight w:val="none"/>
              </w:rPr>
              <w:t>W，行走速度0～1m/s</w:t>
            </w:r>
          </w:p>
          <w:p w14:paraId="25F1E71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电源：2</w:t>
            </w:r>
            <w:r>
              <w:rPr>
                <w:rFonts w:ascii="宋体" w:hAnsi="宋体" w:cs="宋体"/>
                <w:color w:val="auto"/>
                <w:szCs w:val="21"/>
                <w:highlight w:val="none"/>
              </w:rPr>
              <w:t>20V</w:t>
            </w:r>
            <w:r>
              <w:rPr>
                <w:rFonts w:hint="eastAsia" w:ascii="宋体" w:hAnsi="宋体" w:cs="宋体"/>
                <w:color w:val="auto"/>
                <w:szCs w:val="21"/>
                <w:highlight w:val="none"/>
              </w:rPr>
              <w:t xml:space="preserve"> </w:t>
            </w:r>
          </w:p>
          <w:p w14:paraId="4C3BBFA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控制器：与测流控制器通讯，控制电机驱动行车运行，具有流速仪测流功能。</w:t>
            </w:r>
          </w:p>
          <w:p w14:paraId="2B33BF5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2.4测流控制器</w:t>
            </w:r>
          </w:p>
          <w:p w14:paraId="7B40080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测流控制器定时采集高密度水位（5分钟或6分钟）数据。根据预置的测流模式（定时测流间隔、加测水位变幅）启动测流：指挥行车到相应垂线，指挥铅鱼入水采集垂线流速和水深。测速历时完成后自动升起，行走到下一条垂线位置继续测流，直至完成全部垂线。测流控制器把采集到的行车运动数据、铅鱼运动数据和ADCP测流数据通过4G/5G模块实时发送到远程服务器，也可通过电台发送给现场的无线手操器。</w:t>
            </w:r>
          </w:p>
          <w:p w14:paraId="6280E0D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2.5手操器和流量测验平台软件</w:t>
            </w:r>
          </w:p>
          <w:p w14:paraId="053D778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470MHz短传电台，通讯距离1000m；彩色触摸屏+五个铅鱼运动控制键。</w:t>
            </w:r>
          </w:p>
          <w:p w14:paraId="221F92C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2.6彩色图形输出系统</w:t>
            </w:r>
          </w:p>
          <w:p w14:paraId="304F4F4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2.6.1支持纸张A4，B5，信封A5；</w:t>
            </w:r>
          </w:p>
          <w:p w14:paraId="6DA17FA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2.6.2打印功能：自动双面彩色黑白打印，打印分辨率1200*1200dpi，支持U盘直接打印</w:t>
            </w:r>
          </w:p>
          <w:p w14:paraId="67AC201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2.6.3复印功能：自动彩色黑白双面复印，复印分辨率600*600 dpi，缩放范围：25至400%（1%的增量），具有缩放复印，分套复印，2合1复印，4合1复印，ID复印，消除黑框等。</w:t>
            </w:r>
          </w:p>
          <w:p w14:paraId="5157B8C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2.6.4扫描功能：</w:t>
            </w:r>
            <w:r>
              <w:rPr>
                <w:rFonts w:hint="eastAsia" w:ascii="宋体" w:hAnsi="宋体"/>
                <w:color w:val="auto"/>
                <w:szCs w:val="21"/>
                <w:highlight w:val="none"/>
              </w:rPr>
              <w:t>平板式+馈纸式，</w:t>
            </w:r>
            <w:r>
              <w:rPr>
                <w:rFonts w:hint="eastAsia" w:ascii="宋体" w:hAnsi="宋体" w:cs="宋体"/>
                <w:color w:val="auto"/>
                <w:szCs w:val="21"/>
                <w:highlight w:val="none"/>
              </w:rPr>
              <w:t>扫描方式CIS，支持网络扫描、支付扫描至U盘，存储格式：PDF，JPEG，TIFF</w:t>
            </w:r>
          </w:p>
          <w:p w14:paraId="2D59248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2.6.5网络功能：支持有线/无线打印</w:t>
            </w:r>
          </w:p>
          <w:p w14:paraId="4FDC292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2.6.6菜单显示：5.0英寸触摸屏</w:t>
            </w:r>
          </w:p>
          <w:p w14:paraId="4C22FD7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2.6.7内存：≥1GB</w:t>
            </w:r>
          </w:p>
          <w:p w14:paraId="7563226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2.6.8能效等级：1级</w:t>
            </w:r>
          </w:p>
          <w:p w14:paraId="772B0D7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2.7外业数据处理设备</w:t>
            </w:r>
          </w:p>
          <w:p w14:paraId="49B0CF2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2.7.1屏幕：约13.3寸(FHD、支持2880*1800)；</w:t>
            </w:r>
          </w:p>
          <w:p w14:paraId="1F089A5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2.7.2处理器形式：13代酷睿或同等及以上档次；</w:t>
            </w:r>
          </w:p>
          <w:p w14:paraId="2815966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2.7.3内存：≥32G；硬盘：≥1TB；</w:t>
            </w:r>
          </w:p>
          <w:p w14:paraId="5F38D4D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2.7.4通信接口：雷电/USB4接口、USB-C接口数量2个、HDMI2.0接口；</w:t>
            </w:r>
          </w:p>
          <w:p w14:paraId="224A6F5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2.7.5屏幕分辨率：1920*1200；</w:t>
            </w:r>
          </w:p>
          <w:p w14:paraId="1C9DFC4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无线网上：双天线Wi-Fi6</w:t>
            </w:r>
          </w:p>
          <w:p w14:paraId="73E4E97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系统：支持专业版系统、预装正版办公软件。</w:t>
            </w:r>
          </w:p>
          <w:p w14:paraId="2FDC7B3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2.8图像采集设备</w:t>
            </w:r>
          </w:p>
          <w:p w14:paraId="38703E8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具有馈纸式高速自动连续双面彩色扫描，最大幅面A4，扫描速度26ppm / 52ipm（200/300dpi 黑白/灰度/彩色），分辨率600 dpi。</w:t>
            </w:r>
          </w:p>
        </w:tc>
      </w:tr>
      <w:tr w14:paraId="1122D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5"/>
            <w:tcBorders>
              <w:top w:val="single" w:color="auto" w:sz="4" w:space="0"/>
              <w:left w:val="single" w:color="auto" w:sz="4" w:space="0"/>
              <w:bottom w:val="single" w:color="auto" w:sz="4" w:space="0"/>
              <w:right w:val="single" w:color="auto" w:sz="4" w:space="0"/>
            </w:tcBorders>
            <w:vAlign w:val="center"/>
          </w:tcPr>
          <w:p w14:paraId="7797AF09">
            <w:pPr>
              <w:spacing w:line="360" w:lineRule="auto"/>
              <w:rPr>
                <w:rFonts w:hint="eastAsia" w:ascii="宋体" w:hAnsi="宋体" w:cs="宋体"/>
                <w:color w:val="auto"/>
                <w:szCs w:val="21"/>
                <w:highlight w:val="none"/>
              </w:rPr>
            </w:pPr>
            <w:bookmarkStart w:id="84" w:name="_Hlk206761944"/>
            <w:r>
              <w:rPr>
                <w:rFonts w:hint="eastAsia" w:ascii="宋体" w:hAnsi="宋体" w:cs="宋体"/>
                <w:color w:val="auto"/>
                <w:szCs w:val="21"/>
                <w:highlight w:val="none"/>
              </w:rPr>
              <w:t>▲</w:t>
            </w:r>
            <w:r>
              <w:rPr>
                <w:rFonts w:hint="eastAsia" w:ascii="宋体" w:hAnsi="宋体" w:cs="宋体"/>
                <w:b/>
                <w:bCs/>
                <w:color w:val="auto"/>
                <w:szCs w:val="21"/>
                <w:highlight w:val="none"/>
              </w:rPr>
              <w:t>一、商务要求</w:t>
            </w:r>
          </w:p>
        </w:tc>
      </w:tr>
      <w:tr w14:paraId="16EE1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7FD47DF2">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交付的时间和地点</w:t>
            </w:r>
          </w:p>
        </w:tc>
        <w:tc>
          <w:tcPr>
            <w:tcW w:w="7649" w:type="dxa"/>
            <w:gridSpan w:val="3"/>
            <w:tcBorders>
              <w:top w:val="single" w:color="auto" w:sz="4" w:space="0"/>
              <w:left w:val="single" w:color="auto" w:sz="4" w:space="0"/>
              <w:bottom w:val="single" w:color="auto" w:sz="4" w:space="0"/>
              <w:right w:val="single" w:color="auto" w:sz="4" w:space="0"/>
            </w:tcBorders>
            <w:vAlign w:val="center"/>
          </w:tcPr>
          <w:p w14:paraId="15F0A1A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交付的时间：</w:t>
            </w:r>
            <w:r>
              <w:rPr>
                <w:rFonts w:hint="eastAsia" w:ascii="宋体" w:hAnsi="宋体"/>
                <w:color w:val="auto"/>
                <w:szCs w:val="21"/>
                <w:highlight w:val="none"/>
              </w:rPr>
              <w:t>自合同签订之日起300个日历日内完成交货并安装调试完毕</w:t>
            </w:r>
            <w:r>
              <w:rPr>
                <w:rFonts w:hint="eastAsia" w:ascii="宋体" w:hAnsi="宋体" w:cs="宋体"/>
                <w:color w:val="auto"/>
                <w:szCs w:val="21"/>
                <w:highlight w:val="none"/>
              </w:rPr>
              <w:t>。</w:t>
            </w:r>
          </w:p>
          <w:p w14:paraId="4B765D8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交付的地点：广西梧州市采购人指定地点。</w:t>
            </w:r>
          </w:p>
        </w:tc>
      </w:tr>
      <w:tr w14:paraId="7CD5F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46CAF1F2">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合同签订时间</w:t>
            </w:r>
          </w:p>
        </w:tc>
        <w:tc>
          <w:tcPr>
            <w:tcW w:w="7649" w:type="dxa"/>
            <w:gridSpan w:val="3"/>
            <w:tcBorders>
              <w:top w:val="single" w:color="auto" w:sz="4" w:space="0"/>
              <w:left w:val="single" w:color="auto" w:sz="4" w:space="0"/>
              <w:bottom w:val="single" w:color="auto" w:sz="4" w:space="0"/>
              <w:right w:val="single" w:color="auto" w:sz="4" w:space="0"/>
            </w:tcBorders>
            <w:vAlign w:val="center"/>
          </w:tcPr>
          <w:p w14:paraId="72B09F2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自成交通知书发出之日起25日内。</w:t>
            </w:r>
          </w:p>
        </w:tc>
      </w:tr>
      <w:tr w14:paraId="5E8DE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36F7FE6F">
            <w:pPr>
              <w:spacing w:line="360" w:lineRule="auto"/>
              <w:rPr>
                <w:rFonts w:hint="eastAsia" w:ascii="宋体" w:hAnsi="宋体" w:cs="宋体"/>
                <w:b/>
                <w:color w:val="auto"/>
                <w:szCs w:val="21"/>
                <w:highlight w:val="none"/>
              </w:rPr>
            </w:pPr>
            <w:bookmarkStart w:id="85" w:name="_Hlk206279305"/>
            <w:r>
              <w:rPr>
                <w:rFonts w:hint="eastAsia" w:ascii="宋体" w:hAnsi="宋体" w:cs="宋体"/>
                <w:color w:val="auto"/>
                <w:szCs w:val="21"/>
                <w:highlight w:val="none"/>
              </w:rPr>
              <w:t>付款条件</w:t>
            </w:r>
          </w:p>
        </w:tc>
        <w:tc>
          <w:tcPr>
            <w:tcW w:w="7649" w:type="dxa"/>
            <w:gridSpan w:val="3"/>
            <w:tcBorders>
              <w:top w:val="single" w:color="auto" w:sz="4" w:space="0"/>
              <w:left w:val="single" w:color="auto" w:sz="4" w:space="0"/>
              <w:bottom w:val="single" w:color="auto" w:sz="4" w:space="0"/>
              <w:right w:val="single" w:color="auto" w:sz="4" w:space="0"/>
            </w:tcBorders>
            <w:vAlign w:val="center"/>
          </w:tcPr>
          <w:p w14:paraId="707254B9">
            <w:pPr>
              <w:widowControl/>
              <w:spacing w:line="360" w:lineRule="auto"/>
              <w:jc w:val="left"/>
              <w:rPr>
                <w:rFonts w:hint="eastAsia" w:ascii="宋体" w:hAnsi="宋体" w:cs="宋体"/>
                <w:color w:val="auto"/>
                <w:szCs w:val="21"/>
                <w:highlight w:val="none"/>
              </w:rPr>
            </w:pPr>
            <w:bookmarkStart w:id="86" w:name="OLE_LINK31"/>
            <w:bookmarkStart w:id="87" w:name="OLE_LINK11"/>
            <w:bookmarkStart w:id="88" w:name="OLE_LINK12"/>
            <w:bookmarkStart w:id="89" w:name="OLE_LINK32"/>
            <w:r>
              <w:rPr>
                <w:rFonts w:ascii="宋体" w:hAnsi="宋体" w:cs="宋体"/>
                <w:color w:val="auto"/>
                <w:szCs w:val="21"/>
                <w:highlight w:val="none"/>
              </w:rPr>
              <w:t>1.第一次付款：签订合同后10日内支付合同金额的50%款项(待资金下达到位后方可支付)；</w:t>
            </w:r>
          </w:p>
          <w:p w14:paraId="55A76364">
            <w:pPr>
              <w:widowControl/>
              <w:spacing w:line="360" w:lineRule="auto"/>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第二次付款：设备到货并开箱验货完成后支付合同金额的</w:t>
            </w:r>
            <w:r>
              <w:rPr>
                <w:rFonts w:ascii="宋体" w:hAnsi="宋体" w:cs="宋体"/>
                <w:color w:val="auto"/>
                <w:szCs w:val="21"/>
                <w:highlight w:val="none"/>
              </w:rPr>
              <w:t>35%款项；</w:t>
            </w:r>
          </w:p>
          <w:p w14:paraId="10FCB7FB">
            <w:pPr>
              <w:widowControl/>
              <w:spacing w:line="360" w:lineRule="auto"/>
              <w:jc w:val="left"/>
              <w:rPr>
                <w:rFonts w:hint="eastAsia" w:ascii="宋体" w:hAnsi="宋体" w:cs="宋体"/>
                <w:color w:val="auto"/>
                <w:szCs w:val="21"/>
                <w:highlight w:val="none"/>
              </w:rPr>
            </w:pPr>
            <w:r>
              <w:rPr>
                <w:rFonts w:ascii="宋体" w:hAnsi="宋体" w:cs="宋体"/>
                <w:color w:val="auto"/>
                <w:szCs w:val="21"/>
                <w:highlight w:val="none"/>
              </w:rPr>
              <w:t>3.第三次付款：</w:t>
            </w:r>
            <w:r>
              <w:rPr>
                <w:rFonts w:hint="eastAsia" w:ascii="宋体" w:hAnsi="宋体" w:cs="宋体"/>
                <w:color w:val="auto"/>
                <w:szCs w:val="21"/>
                <w:highlight w:val="none"/>
              </w:rPr>
              <w:t>合同完工验收合格后视</w:t>
            </w:r>
            <w:r>
              <w:rPr>
                <w:rFonts w:ascii="宋体" w:hAnsi="宋体" w:cs="宋体"/>
                <w:color w:val="auto"/>
                <w:szCs w:val="21"/>
                <w:highlight w:val="none"/>
              </w:rPr>
              <w:t>2025</w:t>
            </w:r>
            <w:r>
              <w:rPr>
                <w:rFonts w:hint="eastAsia" w:ascii="宋体" w:hAnsi="宋体" w:cs="宋体"/>
                <w:color w:val="auto"/>
                <w:szCs w:val="21"/>
                <w:highlight w:val="none"/>
              </w:rPr>
              <w:t>年度上级资金下达情况支付合同款的15%，剩余合同款在</w:t>
            </w:r>
            <w:r>
              <w:rPr>
                <w:rFonts w:ascii="宋体" w:hAnsi="宋体" w:cs="宋体"/>
                <w:color w:val="auto"/>
                <w:szCs w:val="21"/>
                <w:highlight w:val="none"/>
              </w:rPr>
              <w:t>2026</w:t>
            </w:r>
            <w:r>
              <w:rPr>
                <w:rFonts w:hint="eastAsia" w:ascii="宋体" w:hAnsi="宋体" w:cs="宋体"/>
                <w:color w:val="auto"/>
                <w:szCs w:val="21"/>
                <w:highlight w:val="none"/>
              </w:rPr>
              <w:t>年下达资金后支付（无息）。</w:t>
            </w:r>
          </w:p>
          <w:p w14:paraId="0D1CB941">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注：成交供应商在达到付款条件后提出付款申请，报监理单位或采购人审核，同时提供正式发票给采购人。采购人收到付款申请及发票后</w:t>
            </w:r>
            <w:r>
              <w:rPr>
                <w:rFonts w:ascii="宋体" w:hAnsi="宋体" w:cs="宋体"/>
                <w:color w:val="auto"/>
                <w:szCs w:val="21"/>
                <w:highlight w:val="none"/>
              </w:rPr>
              <w:t>10个工作日内付款。</w:t>
            </w:r>
            <w:bookmarkEnd w:id="86"/>
            <w:bookmarkEnd w:id="87"/>
            <w:bookmarkEnd w:id="88"/>
            <w:bookmarkEnd w:id="89"/>
          </w:p>
        </w:tc>
      </w:tr>
      <w:bookmarkEnd w:id="85"/>
      <w:tr w14:paraId="38DA3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03E1CC41">
            <w:pPr>
              <w:widowControl/>
              <w:spacing w:line="360" w:lineRule="auto"/>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质保期</w:t>
            </w:r>
          </w:p>
        </w:tc>
        <w:tc>
          <w:tcPr>
            <w:tcW w:w="7649" w:type="dxa"/>
            <w:gridSpan w:val="3"/>
            <w:tcBorders>
              <w:top w:val="single" w:color="auto" w:sz="4" w:space="0"/>
              <w:left w:val="single" w:color="auto" w:sz="4" w:space="0"/>
              <w:bottom w:val="single" w:color="auto" w:sz="4" w:space="0"/>
              <w:right w:val="single" w:color="auto" w:sz="4" w:space="0"/>
            </w:tcBorders>
            <w:vAlign w:val="center"/>
          </w:tcPr>
          <w:p w14:paraId="08657F88">
            <w:pPr>
              <w:widowControl/>
              <w:spacing w:line="360" w:lineRule="auto"/>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质保期不得少于2年。</w:t>
            </w:r>
            <w:r>
              <w:rPr>
                <w:rFonts w:hint="eastAsia"/>
                <w:color w:val="auto"/>
                <w:highlight w:val="none"/>
              </w:rPr>
              <w:t>分项中另有要求的从其规定。</w:t>
            </w:r>
          </w:p>
        </w:tc>
      </w:tr>
      <w:tr w14:paraId="3931E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261A70B9">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售后服务</w:t>
            </w:r>
          </w:p>
        </w:tc>
        <w:tc>
          <w:tcPr>
            <w:tcW w:w="7649" w:type="dxa"/>
            <w:gridSpan w:val="3"/>
            <w:tcBorders>
              <w:top w:val="single" w:color="auto" w:sz="4" w:space="0"/>
              <w:left w:val="single" w:color="auto" w:sz="4" w:space="0"/>
              <w:bottom w:val="single" w:color="auto" w:sz="4" w:space="0"/>
              <w:right w:val="single" w:color="auto" w:sz="4" w:space="0"/>
            </w:tcBorders>
            <w:vAlign w:val="center"/>
          </w:tcPr>
          <w:p w14:paraId="5F634059">
            <w:pPr>
              <w:spacing w:line="360" w:lineRule="auto"/>
              <w:rPr>
                <w:color w:val="auto"/>
                <w:highlight w:val="none"/>
              </w:rPr>
            </w:pPr>
            <w:r>
              <w:rPr>
                <w:rFonts w:hint="eastAsia"/>
                <w:color w:val="auto"/>
                <w:highlight w:val="none"/>
              </w:rPr>
              <w:t>1.成交供应商负责送货到采购人现场，在采购人要求的时间内按合同提供的整套设备的并安装调试；货物到位后的安装、调试、培训，均由成交供应商负责提供。</w:t>
            </w:r>
          </w:p>
          <w:p w14:paraId="7DA879AF">
            <w:pPr>
              <w:spacing w:line="360" w:lineRule="auto"/>
              <w:rPr>
                <w:color w:val="auto"/>
                <w:highlight w:val="none"/>
              </w:rPr>
            </w:pPr>
            <w:r>
              <w:rPr>
                <w:rFonts w:hint="eastAsia"/>
                <w:color w:val="auto"/>
                <w:highlight w:val="none"/>
              </w:rPr>
              <w:t>2.货物到货后，设备到货后，成交供应商和采购人应在现场进行清点核对，清点核对过程中如果发现因包装或运输不当引起的货物外观或内部的损坏，成交供应商承担所有责任。</w:t>
            </w:r>
          </w:p>
          <w:p w14:paraId="4351293B">
            <w:pPr>
              <w:spacing w:line="360" w:lineRule="auto"/>
              <w:rPr>
                <w:color w:val="auto"/>
                <w:highlight w:val="none"/>
              </w:rPr>
            </w:pPr>
            <w:r>
              <w:rPr>
                <w:rFonts w:hint="eastAsia"/>
                <w:color w:val="auto"/>
                <w:highlight w:val="none"/>
              </w:rPr>
              <w:t>3.成交供应商交货时须</w:t>
            </w:r>
            <w:r>
              <w:rPr>
                <w:rFonts w:hint="eastAsia" w:ascii="宋体" w:hAnsi="宋体" w:cs="宋体"/>
                <w:color w:val="auto"/>
                <w:szCs w:val="21"/>
                <w:highlight w:val="none"/>
              </w:rPr>
              <w:t>提供证明材料的原件给</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核验，同时</w:t>
            </w:r>
            <w:r>
              <w:rPr>
                <w:rFonts w:hint="eastAsia"/>
                <w:color w:val="auto"/>
                <w:highlight w:val="none"/>
              </w:rPr>
              <w:t>提供产品说明书、保修卡、合格证产品目录、图纸、操作手册、试用说明、维护手册、出厂日期或服务指南等供货商品的配套资料。</w:t>
            </w:r>
          </w:p>
          <w:p w14:paraId="1BA7A39D">
            <w:pPr>
              <w:spacing w:line="360" w:lineRule="auto"/>
              <w:rPr>
                <w:color w:val="auto"/>
                <w:highlight w:val="none"/>
              </w:rPr>
            </w:pPr>
            <w:r>
              <w:rPr>
                <w:rFonts w:hint="eastAsia"/>
                <w:color w:val="auto"/>
                <w:highlight w:val="none"/>
              </w:rPr>
              <w:t>4.响应时间：成交供应商接到通知后应在24小时内到采购人指定现场，按国家及行业标准进行及时处理，若未能在48小时内完成问题处理的，由成交供应商负责必须提供备用机。</w:t>
            </w:r>
          </w:p>
          <w:p w14:paraId="093C7616">
            <w:pPr>
              <w:spacing w:line="360" w:lineRule="auto"/>
              <w:rPr>
                <w:color w:val="auto"/>
                <w:highlight w:val="none"/>
              </w:rPr>
            </w:pPr>
            <w:r>
              <w:rPr>
                <w:rFonts w:hint="eastAsia"/>
                <w:color w:val="auto"/>
                <w:highlight w:val="none"/>
              </w:rPr>
              <w:t>5.技术培训要求：在采购人当地，成交供应商应配置专业技术人员提供现场技术培训，保证使用人员正常操作设备的各种功能。</w:t>
            </w:r>
          </w:p>
          <w:p w14:paraId="6F8AD85F">
            <w:pPr>
              <w:spacing w:line="360" w:lineRule="auto"/>
              <w:rPr>
                <w:color w:val="auto"/>
                <w:highlight w:val="none"/>
              </w:rPr>
            </w:pPr>
            <w:r>
              <w:rPr>
                <w:rFonts w:hint="eastAsia"/>
                <w:color w:val="auto"/>
                <w:highlight w:val="none"/>
              </w:rPr>
              <w:t>6.成交供应商的响应设备，在质保期如有质量监督部门要求对产品进行检测、检验时，必须派出厂方代表协助检查，无论产品有无质量问题，成交供应商均应承担全部费用及相应的责任。</w:t>
            </w:r>
          </w:p>
          <w:p w14:paraId="3C9B9F0F">
            <w:pPr>
              <w:spacing w:line="360" w:lineRule="auto"/>
              <w:rPr>
                <w:rFonts w:hint="eastAsia" w:ascii="宋体" w:hAnsi="宋体" w:cs="宋体"/>
                <w:color w:val="auto"/>
                <w:szCs w:val="21"/>
                <w:highlight w:val="none"/>
              </w:rPr>
            </w:pPr>
            <w:bookmarkStart w:id="90" w:name="OLE_LINK23"/>
            <w:r>
              <w:rPr>
                <w:rFonts w:hint="eastAsia"/>
                <w:color w:val="auto"/>
                <w:highlight w:val="none"/>
              </w:rPr>
              <w:t>7.</w:t>
            </w:r>
            <w:r>
              <w:rPr>
                <w:color w:val="auto"/>
                <w:highlight w:val="none"/>
              </w:rPr>
              <w:t>质保期内产品质量问题</w:t>
            </w:r>
            <w:r>
              <w:rPr>
                <w:rFonts w:hint="eastAsia"/>
                <w:color w:val="auto"/>
                <w:highlight w:val="none"/>
              </w:rPr>
              <w:t>成交供应商</w:t>
            </w:r>
            <w:r>
              <w:rPr>
                <w:color w:val="auto"/>
                <w:highlight w:val="none"/>
              </w:rPr>
              <w:t>承担一切与产品</w:t>
            </w:r>
            <w:r>
              <w:rPr>
                <w:rFonts w:hint="eastAsia"/>
                <w:color w:val="auto"/>
                <w:highlight w:val="none"/>
              </w:rPr>
              <w:t>维修</w:t>
            </w:r>
            <w:r>
              <w:rPr>
                <w:color w:val="auto"/>
                <w:highlight w:val="none"/>
              </w:rPr>
              <w:t>、运输等费用。</w:t>
            </w:r>
            <w:bookmarkEnd w:id="90"/>
          </w:p>
        </w:tc>
      </w:tr>
      <w:tr w14:paraId="6F6AC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4A91C0E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验收标准（质量要求）</w:t>
            </w:r>
          </w:p>
        </w:tc>
        <w:tc>
          <w:tcPr>
            <w:tcW w:w="7649" w:type="dxa"/>
            <w:gridSpan w:val="3"/>
            <w:tcBorders>
              <w:top w:val="single" w:color="auto" w:sz="4" w:space="0"/>
              <w:left w:val="single" w:color="auto" w:sz="4" w:space="0"/>
              <w:bottom w:val="single" w:color="auto" w:sz="4" w:space="0"/>
              <w:right w:val="single" w:color="auto" w:sz="4" w:space="0"/>
            </w:tcBorders>
            <w:vAlign w:val="center"/>
          </w:tcPr>
          <w:p w14:paraId="54A2045B">
            <w:pPr>
              <w:spacing w:line="360" w:lineRule="auto"/>
              <w:rPr>
                <w:color w:val="auto"/>
                <w:highlight w:val="none"/>
              </w:rPr>
            </w:pPr>
            <w:r>
              <w:rPr>
                <w:rFonts w:hint="eastAsia"/>
                <w:color w:val="auto"/>
                <w:highlight w:val="none"/>
              </w:rPr>
              <w:t>1.质量标准：成交供应商提供的产品应是全新原装整套的产品，符合国家各项有关质量标准和设备制造厂家合格产品的出厂质量标准。</w:t>
            </w:r>
          </w:p>
          <w:p w14:paraId="668DF7DD">
            <w:pPr>
              <w:spacing w:line="360" w:lineRule="auto"/>
              <w:rPr>
                <w:color w:val="auto"/>
                <w:highlight w:val="none"/>
              </w:rPr>
            </w:pPr>
            <w:r>
              <w:rPr>
                <w:rFonts w:hint="eastAsia"/>
                <w:color w:val="auto"/>
                <w:highlight w:val="none"/>
              </w:rPr>
              <w:t>2.成交供应商在采购文件规定的交货期内派遣专业人员完成所有设备的安装、调试，并提供完备的技术或服务资料、装箱单和合格证等。安装调试完毕后，采购人将根据采购文件要求、响应文件承诺及国家相关标准对产品进行逐项验收，成交供应商必须予以配合。验收合格后由采购人签署确认验收合格文件，核验不合格的，采购人有权依法解除合同执行并全部退货，同时报相关监督管理部门处理，由此造成采购人经济损失的由成交供应商负责承担全部赔偿责任。</w:t>
            </w:r>
          </w:p>
        </w:tc>
      </w:tr>
      <w:tr w14:paraId="2F317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6F4EF74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履约验收其他事项</w:t>
            </w:r>
          </w:p>
        </w:tc>
        <w:tc>
          <w:tcPr>
            <w:tcW w:w="7649" w:type="dxa"/>
            <w:gridSpan w:val="3"/>
            <w:tcBorders>
              <w:top w:val="single" w:color="auto" w:sz="4" w:space="0"/>
              <w:left w:val="single" w:color="auto" w:sz="4" w:space="0"/>
              <w:bottom w:val="single" w:color="auto" w:sz="4" w:space="0"/>
              <w:right w:val="single" w:color="auto" w:sz="4" w:space="0"/>
            </w:tcBorders>
            <w:vAlign w:val="center"/>
          </w:tcPr>
          <w:p w14:paraId="4371C319">
            <w:pPr>
              <w:pStyle w:val="7"/>
              <w:spacing w:line="360" w:lineRule="auto"/>
              <w:jc w:val="both"/>
              <w:rPr>
                <w:rFonts w:hint="eastAsia" w:ascii="宋体" w:hAnsi="宋体"/>
                <w:color w:val="auto"/>
                <w:highlight w:val="none"/>
              </w:rPr>
            </w:pPr>
            <w:r>
              <w:rPr>
                <w:rFonts w:hint="eastAsia" w:ascii="宋体" w:hAnsi="宋体"/>
                <w:color w:val="auto"/>
                <w:highlight w:val="none"/>
              </w:rPr>
              <w:t>1.验收过程中所产生的一切费用均由成交供应商承担，供应商在响应报价时应综合考虑相关费用。</w:t>
            </w:r>
          </w:p>
          <w:p w14:paraId="7E56819A">
            <w:pPr>
              <w:adjustRightInd w:val="0"/>
              <w:snapToGrid w:val="0"/>
              <w:spacing w:line="360" w:lineRule="auto"/>
              <w:rPr>
                <w:rFonts w:hint="eastAsia" w:ascii="宋体" w:hAnsi="宋体"/>
                <w:color w:val="auto"/>
                <w:highlight w:val="none"/>
              </w:rPr>
            </w:pPr>
            <w:r>
              <w:rPr>
                <w:rFonts w:hint="eastAsia" w:ascii="宋体" w:hAnsi="宋体"/>
                <w:color w:val="auto"/>
                <w:highlight w:val="none"/>
              </w:rPr>
              <w:t>2.由于成交供应商的原因造成采购人不能按时验收合格并正常使用的，由此造成的损失由成交供应商承担。</w:t>
            </w:r>
          </w:p>
          <w:p w14:paraId="57B6E3E2">
            <w:pPr>
              <w:spacing w:line="360" w:lineRule="auto"/>
              <w:rPr>
                <w:rFonts w:hint="eastAsia" w:ascii="宋体" w:hAnsi="宋体"/>
                <w:color w:val="auto"/>
                <w:highlight w:val="none"/>
              </w:rPr>
            </w:pPr>
            <w:r>
              <w:rPr>
                <w:rFonts w:hint="eastAsia" w:ascii="宋体" w:hAnsi="宋体"/>
                <w:color w:val="auto"/>
                <w:highlight w:val="none"/>
              </w:rPr>
              <w:t>3.其他未尽事宜按照《关于印发广西壮族自治区政府采购项目履约验收管理办法的通知》[桂财采〔2015〕22号]、《财政部关于进一步加强政府采购需求和履约验收管理的指导意见》[财库〔2016〕205号]规定以及合同条款执行。</w:t>
            </w:r>
          </w:p>
          <w:p w14:paraId="1E514785">
            <w:pPr>
              <w:spacing w:line="360" w:lineRule="auto"/>
              <w:rPr>
                <w:color w:val="auto"/>
                <w:highlight w:val="none"/>
              </w:rPr>
            </w:pPr>
            <w:r>
              <w:rPr>
                <w:rFonts w:hint="eastAsia" w:ascii="宋体" w:hAnsi="宋体" w:cs="宋体"/>
                <w:color w:val="auto"/>
                <w:szCs w:val="21"/>
                <w:highlight w:val="none"/>
              </w:rPr>
              <w:t>4.采购人可以自行验收，也可以委托第三方机构组织验收。</w:t>
            </w:r>
          </w:p>
        </w:tc>
      </w:tr>
      <w:tr w14:paraId="10D93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5"/>
            <w:tcBorders>
              <w:top w:val="single" w:color="auto" w:sz="4" w:space="0"/>
              <w:left w:val="single" w:color="auto" w:sz="4" w:space="0"/>
              <w:bottom w:val="single" w:color="auto" w:sz="4" w:space="0"/>
              <w:right w:val="single" w:color="auto" w:sz="4" w:space="0"/>
            </w:tcBorders>
            <w:vAlign w:val="center"/>
          </w:tcPr>
          <w:p w14:paraId="1841013D">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二、与实现项目目标相关的其他要求</w:t>
            </w:r>
          </w:p>
        </w:tc>
      </w:tr>
      <w:tr w14:paraId="68D11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5"/>
            <w:tcBorders>
              <w:top w:val="single" w:color="auto" w:sz="4" w:space="0"/>
              <w:left w:val="single" w:color="auto" w:sz="4" w:space="0"/>
              <w:bottom w:val="single" w:color="auto" w:sz="4" w:space="0"/>
              <w:right w:val="single" w:color="auto" w:sz="4" w:space="0"/>
            </w:tcBorders>
            <w:vAlign w:val="center"/>
          </w:tcPr>
          <w:p w14:paraId="7732897B">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（一）进口产品说明</w:t>
            </w:r>
          </w:p>
        </w:tc>
      </w:tr>
      <w:tr w14:paraId="1310E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4" w:type="dxa"/>
            <w:gridSpan w:val="3"/>
            <w:tcBorders>
              <w:top w:val="single" w:color="auto" w:sz="4" w:space="0"/>
              <w:left w:val="single" w:color="auto" w:sz="4" w:space="0"/>
              <w:bottom w:val="single" w:color="auto" w:sz="4" w:space="0"/>
              <w:right w:val="single" w:color="auto" w:sz="4" w:space="0"/>
            </w:tcBorders>
            <w:vAlign w:val="center"/>
          </w:tcPr>
          <w:p w14:paraId="39AFA098">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进口产品说明</w:t>
            </w:r>
          </w:p>
        </w:tc>
        <w:tc>
          <w:tcPr>
            <w:tcW w:w="7628" w:type="dxa"/>
            <w:gridSpan w:val="2"/>
            <w:tcBorders>
              <w:top w:val="single" w:color="auto" w:sz="4" w:space="0"/>
              <w:left w:val="single" w:color="auto" w:sz="4" w:space="0"/>
              <w:bottom w:val="single" w:color="auto" w:sz="4" w:space="0"/>
              <w:right w:val="single" w:color="auto" w:sz="4" w:space="0"/>
            </w:tcBorders>
            <w:vAlign w:val="center"/>
          </w:tcPr>
          <w:p w14:paraId="21B0B4B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本项目货物不接受进口产品（即通过中国海关报关验放进入中国境内且产自关境外的产品）参与竞标，</w:t>
            </w:r>
            <w:r>
              <w:rPr>
                <w:rFonts w:hint="eastAsia" w:ascii="宋体" w:hAnsi="宋体" w:cs="宋体"/>
                <w:b/>
                <w:bCs/>
                <w:color w:val="auto"/>
                <w:szCs w:val="21"/>
                <w:highlight w:val="none"/>
              </w:rPr>
              <w:t>如有进口产品参与竞标的，其响应文件作无效处理。</w:t>
            </w:r>
          </w:p>
        </w:tc>
      </w:tr>
      <w:tr w14:paraId="48A20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5"/>
            <w:tcBorders>
              <w:top w:val="single" w:color="auto" w:sz="4" w:space="0"/>
              <w:left w:val="single" w:color="auto" w:sz="4" w:space="0"/>
              <w:bottom w:val="single" w:color="auto" w:sz="4" w:space="0"/>
              <w:right w:val="single" w:color="auto" w:sz="4" w:space="0"/>
            </w:tcBorders>
            <w:vAlign w:val="center"/>
          </w:tcPr>
          <w:p w14:paraId="09F2F4B2">
            <w:pPr>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（二）核心产品</w:t>
            </w:r>
          </w:p>
        </w:tc>
      </w:tr>
      <w:tr w14:paraId="7F5D3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4" w:type="dxa"/>
            <w:gridSpan w:val="3"/>
            <w:tcBorders>
              <w:top w:val="single" w:color="auto" w:sz="4" w:space="0"/>
              <w:left w:val="single" w:color="auto" w:sz="4" w:space="0"/>
              <w:bottom w:val="single" w:color="auto" w:sz="4" w:space="0"/>
              <w:right w:val="single" w:color="auto" w:sz="4" w:space="0"/>
            </w:tcBorders>
            <w:vAlign w:val="center"/>
          </w:tcPr>
          <w:p w14:paraId="0B042510">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核心产品</w:t>
            </w:r>
          </w:p>
        </w:tc>
        <w:tc>
          <w:tcPr>
            <w:tcW w:w="7628" w:type="dxa"/>
            <w:gridSpan w:val="2"/>
            <w:tcBorders>
              <w:top w:val="single" w:color="auto" w:sz="4" w:space="0"/>
              <w:left w:val="single" w:color="auto" w:sz="4" w:space="0"/>
              <w:bottom w:val="single" w:color="auto" w:sz="4" w:space="0"/>
              <w:right w:val="single" w:color="auto" w:sz="4" w:space="0"/>
            </w:tcBorders>
            <w:vAlign w:val="center"/>
          </w:tcPr>
          <w:p w14:paraId="390E945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本分标核心产品为“水平式</w:t>
            </w:r>
            <w:r>
              <w:rPr>
                <w:rFonts w:hint="eastAsia" w:ascii="宋体" w:hAnsi="宋体" w:cs="宋体"/>
                <w:b/>
                <w:color w:val="auto"/>
                <w:szCs w:val="21"/>
                <w:highlight w:val="none"/>
              </w:rPr>
              <w:t>adcp</w:t>
            </w:r>
            <w:r>
              <w:rPr>
                <w:rFonts w:hint="eastAsia" w:ascii="宋体" w:hAnsi="宋体" w:cs="宋体"/>
                <w:color w:val="auto"/>
                <w:szCs w:val="21"/>
                <w:highlight w:val="none"/>
              </w:rPr>
              <w:t xml:space="preserve"> ”。</w:t>
            </w:r>
          </w:p>
        </w:tc>
      </w:tr>
      <w:bookmarkEnd w:id="84"/>
    </w:tbl>
    <w:p w14:paraId="36693053">
      <w:pPr>
        <w:spacing w:line="360" w:lineRule="auto"/>
        <w:ind w:firstLine="310" w:firstLineChars="147"/>
        <w:jc w:val="left"/>
        <w:rPr>
          <w:rFonts w:hint="eastAsia" w:ascii="宋体" w:hAnsi="宋体"/>
          <w:b/>
          <w:color w:val="auto"/>
          <w:szCs w:val="21"/>
          <w:highlight w:val="none"/>
        </w:rPr>
      </w:pPr>
    </w:p>
    <w:bookmarkEnd w:id="83"/>
    <w:p w14:paraId="7C6FBA4A">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14:paraId="654A966D">
      <w:pPr>
        <w:spacing w:line="428" w:lineRule="exact"/>
        <w:ind w:left="119"/>
        <w:rPr>
          <w:rFonts w:hint="eastAsia" w:ascii="Arial Unicode MS" w:hAnsi="Arial Unicode MS" w:eastAsia="Arial Unicode MS" w:cs="Arial Unicode MS"/>
          <w:color w:val="auto"/>
          <w:sz w:val="32"/>
          <w:szCs w:val="32"/>
          <w:highlight w:val="none"/>
        </w:rPr>
      </w:pPr>
      <w:r>
        <w:rPr>
          <w:rFonts w:hint="eastAsia" w:ascii="黑体" w:hAnsi="黑体" w:eastAsia="黑体" w:cs="黑体"/>
          <w:color w:val="auto"/>
          <w:sz w:val="32"/>
          <w:szCs w:val="32"/>
          <w:highlight w:val="none"/>
        </w:rPr>
        <w:t>附件：</w:t>
      </w:r>
    </w:p>
    <w:p w14:paraId="7979C303">
      <w:pPr>
        <w:spacing w:before="7"/>
        <w:rPr>
          <w:rFonts w:hint="eastAsia" w:ascii="Arial Unicode MS" w:hAnsi="Arial Unicode MS" w:eastAsia="Arial Unicode MS" w:cs="Arial Unicode MS"/>
          <w:color w:val="auto"/>
          <w:sz w:val="17"/>
          <w:szCs w:val="17"/>
          <w:highlight w:val="none"/>
        </w:rPr>
      </w:pPr>
    </w:p>
    <w:p w14:paraId="4F3B4E1D">
      <w:pPr>
        <w:spacing w:line="528" w:lineRule="exact"/>
        <w:ind w:left="1871"/>
        <w:rPr>
          <w:rFonts w:hint="eastAsia" w:ascii="Arial Unicode MS" w:hAnsi="Arial Unicode MS" w:eastAsia="Arial Unicode MS" w:cs="Arial Unicode MS"/>
          <w:color w:val="auto"/>
          <w:sz w:val="40"/>
          <w:szCs w:val="40"/>
          <w:highlight w:val="none"/>
        </w:rPr>
      </w:pPr>
      <w:r>
        <w:rPr>
          <w:rFonts w:hint="eastAsia" w:ascii="方正小标宋简体" w:hAnsi="方正小标宋简体" w:eastAsia="方正小标宋简体" w:cs="方正小标宋简体"/>
          <w:color w:val="auto"/>
          <w:sz w:val="44"/>
          <w:szCs w:val="44"/>
          <w:highlight w:val="none"/>
        </w:rPr>
        <w:t>节能产品政府采购品目清单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22"/>
        <w:gridCol w:w="1496"/>
        <w:gridCol w:w="1481"/>
        <w:gridCol w:w="3452"/>
      </w:tblGrid>
      <w:tr w14:paraId="7A23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1308A79">
            <w:pPr>
              <w:jc w:val="center"/>
              <w:rPr>
                <w:rFonts w:ascii="Calibri" w:hAnsi="Calibri"/>
                <w:color w:val="auto"/>
                <w:szCs w:val="22"/>
                <w:highlight w:val="none"/>
              </w:rPr>
            </w:pPr>
            <w:r>
              <w:rPr>
                <w:rFonts w:hint="eastAsia" w:ascii="宋体" w:hAnsi="宋体" w:cs="宋体"/>
                <w:b/>
                <w:bCs/>
                <w:color w:val="auto"/>
                <w:w w:val="99"/>
                <w:highlight w:val="none"/>
              </w:rPr>
              <w:t>品目序号</w:t>
            </w:r>
          </w:p>
        </w:tc>
        <w:tc>
          <w:tcPr>
            <w:tcW w:w="4399" w:type="dxa"/>
            <w:gridSpan w:val="3"/>
            <w:tcBorders>
              <w:top w:val="single" w:color="000000" w:sz="4" w:space="0"/>
              <w:left w:val="single" w:color="000000" w:sz="4" w:space="0"/>
              <w:bottom w:val="single" w:color="000000" w:sz="4" w:space="0"/>
              <w:right w:val="single" w:color="000000" w:sz="4" w:space="0"/>
            </w:tcBorders>
            <w:vAlign w:val="center"/>
          </w:tcPr>
          <w:p w14:paraId="2E3D18ED">
            <w:pPr>
              <w:jc w:val="center"/>
              <w:rPr>
                <w:rFonts w:ascii="Calibri" w:hAnsi="Calibri"/>
                <w:color w:val="auto"/>
                <w:szCs w:val="22"/>
                <w:highlight w:val="none"/>
              </w:rPr>
            </w:pPr>
            <w:r>
              <w:rPr>
                <w:rFonts w:hint="eastAsia" w:ascii="宋体" w:hAnsi="宋体" w:cs="宋体"/>
                <w:b/>
                <w:bCs/>
                <w:color w:val="auto"/>
                <w:w w:val="99"/>
                <w:highlight w:val="none"/>
              </w:rPr>
              <w:t>名称</w:t>
            </w:r>
          </w:p>
        </w:tc>
        <w:tc>
          <w:tcPr>
            <w:tcW w:w="3452" w:type="dxa"/>
            <w:tcBorders>
              <w:top w:val="single" w:color="000000" w:sz="4" w:space="0"/>
              <w:left w:val="single" w:color="000000" w:sz="4" w:space="0"/>
              <w:bottom w:val="single" w:color="000000" w:sz="4" w:space="0"/>
              <w:right w:val="single" w:color="000000" w:sz="4" w:space="0"/>
            </w:tcBorders>
            <w:vAlign w:val="center"/>
          </w:tcPr>
          <w:p w14:paraId="78F2152F">
            <w:pPr>
              <w:jc w:val="center"/>
              <w:rPr>
                <w:rFonts w:ascii="Calibri" w:hAnsi="Calibri"/>
                <w:color w:val="auto"/>
                <w:szCs w:val="22"/>
                <w:highlight w:val="none"/>
              </w:rPr>
            </w:pPr>
            <w:r>
              <w:rPr>
                <w:rFonts w:hint="eastAsia" w:ascii="宋体" w:hAnsi="宋体" w:cs="宋体"/>
                <w:b/>
                <w:bCs/>
                <w:color w:val="auto"/>
                <w:w w:val="99"/>
                <w:highlight w:val="none"/>
              </w:rPr>
              <w:t>依据的标准</w:t>
            </w:r>
          </w:p>
        </w:tc>
      </w:tr>
      <w:tr w14:paraId="7A95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4569D368">
            <w:pPr>
              <w:jc w:val="center"/>
              <w:rPr>
                <w:rFonts w:hint="eastAsia" w:ascii="宋体" w:hAnsi="宋体"/>
                <w:color w:val="auto"/>
                <w:szCs w:val="21"/>
                <w:highlight w:val="none"/>
              </w:rPr>
            </w:pPr>
            <w:r>
              <w:rPr>
                <w:rFonts w:hint="eastAsia" w:ascii="宋体" w:hAnsi="宋体"/>
                <w:color w:val="auto"/>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07E00757">
            <w:pPr>
              <w:jc w:val="center"/>
              <w:rPr>
                <w:rFonts w:hint="eastAsia" w:ascii="宋体" w:hAnsi="宋体"/>
                <w:color w:val="auto"/>
                <w:szCs w:val="21"/>
                <w:highlight w:val="none"/>
              </w:rPr>
            </w:pPr>
            <w:r>
              <w:rPr>
                <w:rFonts w:hint="eastAsia" w:ascii="宋体" w:hAnsi="宋体" w:cs="仿宋_GB2312"/>
                <w:color w:val="auto"/>
                <w:szCs w:val="21"/>
                <w:highlight w:val="none"/>
              </w:rPr>
              <w:t>A02010100</w:t>
            </w:r>
            <w:r>
              <w:rPr>
                <w:rFonts w:hint="eastAsia" w:ascii="宋体" w:hAnsi="宋体" w:cs="宋体"/>
                <w:color w:val="auto"/>
                <w:w w:val="99"/>
                <w:szCs w:val="21"/>
                <w:highlight w:val="none"/>
              </w:rPr>
              <w:t>计算机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38863DD1">
            <w:pPr>
              <w:pStyle w:val="58"/>
              <w:spacing w:before="93"/>
              <w:ind w:left="7" w:right="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A02010105</w:t>
            </w:r>
            <w:r>
              <w:rPr>
                <w:rFonts w:hint="eastAsia" w:ascii="宋体" w:hAnsi="宋体" w:cs="宋体"/>
                <w:color w:val="auto"/>
                <w:w w:val="99"/>
                <w:kern w:val="2"/>
                <w:sz w:val="21"/>
                <w:szCs w:val="21"/>
                <w:highlight w:val="none"/>
              </w:rPr>
              <w:t>台式计算机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10FE5106">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0776FB58">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34C4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602594A">
            <w:pPr>
              <w:widowControl/>
              <w:jc w:val="left"/>
              <w:rPr>
                <w:rFonts w:hint="eastAsia"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63284E69">
            <w:pPr>
              <w:widowControl/>
              <w:jc w:val="left"/>
              <w:rPr>
                <w:rFonts w:hint="eastAsia"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C550CE1">
            <w:pPr>
              <w:pStyle w:val="58"/>
              <w:spacing w:before="44"/>
              <w:ind w:left="7" w:right="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A02010108</w:t>
            </w:r>
            <w:r>
              <w:rPr>
                <w:rFonts w:hint="eastAsia" w:ascii="宋体" w:hAnsi="宋体" w:cs="宋体"/>
                <w:color w:val="auto"/>
                <w:w w:val="99"/>
                <w:kern w:val="2"/>
                <w:sz w:val="21"/>
                <w:szCs w:val="21"/>
                <w:highlight w:val="none"/>
              </w:rPr>
              <w:t>便携式计算机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05DBDB73">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5E7E77BC">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2A72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67ECAE6B">
            <w:pPr>
              <w:widowControl/>
              <w:jc w:val="left"/>
              <w:rPr>
                <w:rFonts w:hint="eastAsia"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DEC393A">
            <w:pPr>
              <w:widowControl/>
              <w:jc w:val="left"/>
              <w:rPr>
                <w:rFonts w:hint="eastAsia"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A5C57A9">
            <w:pPr>
              <w:pStyle w:val="58"/>
              <w:spacing w:before="64"/>
              <w:ind w:left="7" w:right="5"/>
              <w:jc w:val="center"/>
              <w:rPr>
                <w:rFonts w:hint="eastAsia"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w:t>
            </w:r>
            <w:r>
              <w:rPr>
                <w:rFonts w:hint="eastAsia" w:ascii="宋体" w:hAnsi="宋体" w:cs="仿宋_GB2312"/>
                <w:color w:val="auto"/>
                <w:kern w:val="2"/>
                <w:sz w:val="21"/>
                <w:szCs w:val="21"/>
                <w:highlight w:val="none"/>
                <w:lang w:eastAsia="zh-CN"/>
              </w:rPr>
              <w:t>A02010109平板式计算机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739BD651">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3C79DF28">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4F34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122BAAA3">
            <w:pPr>
              <w:jc w:val="center"/>
              <w:rPr>
                <w:rFonts w:hint="eastAsia" w:ascii="宋体" w:hAnsi="宋体"/>
                <w:color w:val="auto"/>
                <w:szCs w:val="21"/>
                <w:highlight w:val="none"/>
              </w:rPr>
            </w:pPr>
            <w:r>
              <w:rPr>
                <w:rFonts w:hint="eastAsia" w:ascii="宋体" w:hAnsi="宋体"/>
                <w:color w:val="auto"/>
                <w:szCs w:val="21"/>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303DE8D6">
            <w:pPr>
              <w:pStyle w:val="58"/>
              <w:ind w:left="7"/>
              <w:jc w:val="center"/>
              <w:rPr>
                <w:rFonts w:hint="eastAsia" w:ascii="宋体" w:hAnsi="宋体" w:cs="宋体"/>
                <w:color w:val="auto"/>
                <w:kern w:val="2"/>
                <w:sz w:val="21"/>
                <w:szCs w:val="21"/>
                <w:highlight w:val="none"/>
              </w:rPr>
            </w:pPr>
            <w:r>
              <w:rPr>
                <w:rFonts w:hint="eastAsia" w:ascii="宋体" w:hAnsi="宋体" w:cs="仿宋_GB2312"/>
                <w:color w:val="auto"/>
                <w:kern w:val="2"/>
                <w:sz w:val="21"/>
                <w:szCs w:val="21"/>
                <w:highlight w:val="none"/>
              </w:rPr>
              <w:t>A02020000</w:t>
            </w:r>
            <w:r>
              <w:rPr>
                <w:rFonts w:hint="eastAsia" w:ascii="宋体" w:hAnsi="宋体" w:cs="宋体"/>
                <w:color w:val="auto"/>
                <w:w w:val="99"/>
                <w:kern w:val="2"/>
                <w:sz w:val="21"/>
                <w:szCs w:val="21"/>
                <w:highlight w:val="none"/>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521A275E">
            <w:pPr>
              <w:jc w:val="center"/>
              <w:rPr>
                <w:rFonts w:hint="eastAsia" w:ascii="宋体" w:hAnsi="宋体"/>
                <w:color w:val="auto"/>
                <w:szCs w:val="21"/>
                <w:highlight w:val="none"/>
              </w:rPr>
            </w:pPr>
            <w:r>
              <w:rPr>
                <w:rFonts w:hint="eastAsia" w:ascii="宋体" w:hAnsi="宋体" w:cs="宋体"/>
                <w:color w:val="auto"/>
                <w:spacing w:val="1"/>
                <w:w w:val="99"/>
                <w:szCs w:val="21"/>
                <w:highlight w:val="none"/>
              </w:rPr>
              <w:t>A02021000</w:t>
            </w:r>
            <w:r>
              <w:rPr>
                <w:rFonts w:hint="eastAsia" w:ascii="宋体" w:hAnsi="宋体" w:cs="Arial"/>
                <w:color w:val="auto"/>
                <w:szCs w:val="21"/>
                <w:highlight w:val="none"/>
                <w:shd w:val="clear" w:color="auto" w:fill="FFFFFF"/>
              </w:rPr>
              <w:t>打印机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506521E1">
            <w:pPr>
              <w:jc w:val="center"/>
              <w:rPr>
                <w:rFonts w:hint="eastAsia" w:ascii="宋体" w:hAnsi="宋体"/>
                <w:color w:val="auto"/>
                <w:szCs w:val="21"/>
                <w:highlight w:val="none"/>
              </w:rPr>
            </w:pPr>
            <w:r>
              <w:rPr>
                <w:rFonts w:hint="eastAsia" w:ascii="宋体" w:hAnsi="宋体"/>
                <w:color w:val="auto"/>
                <w:szCs w:val="21"/>
                <w:highlight w:val="none"/>
              </w:rPr>
              <w:t>A02021001 A3黑白打印机</w:t>
            </w:r>
          </w:p>
        </w:tc>
        <w:tc>
          <w:tcPr>
            <w:tcW w:w="3452" w:type="dxa"/>
            <w:tcBorders>
              <w:top w:val="single" w:color="000000" w:sz="4" w:space="0"/>
              <w:left w:val="single" w:color="000000" w:sz="4" w:space="0"/>
              <w:bottom w:val="single" w:color="000000" w:sz="4" w:space="0"/>
              <w:right w:val="single" w:color="000000" w:sz="4" w:space="0"/>
            </w:tcBorders>
          </w:tcPr>
          <w:p w14:paraId="52D1A1AF">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12BD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2F303D33">
            <w:pPr>
              <w:widowControl/>
              <w:jc w:val="left"/>
              <w:rPr>
                <w:rFonts w:hint="eastAsia"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68A88832">
            <w:pPr>
              <w:widowControl/>
              <w:jc w:val="left"/>
              <w:rPr>
                <w:rFonts w:hint="eastAsia"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247DC89F">
            <w:pPr>
              <w:widowControl/>
              <w:jc w:val="left"/>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886492B">
            <w:pPr>
              <w:jc w:val="center"/>
              <w:rPr>
                <w:rFonts w:hint="eastAsia" w:ascii="宋体" w:hAnsi="宋体"/>
                <w:color w:val="auto"/>
                <w:szCs w:val="21"/>
                <w:highlight w:val="none"/>
              </w:rPr>
            </w:pPr>
            <w:r>
              <w:rPr>
                <w:rFonts w:hint="eastAsia" w:ascii="宋体" w:hAnsi="宋体"/>
                <w:color w:val="auto"/>
                <w:szCs w:val="21"/>
                <w:highlight w:val="none"/>
              </w:rPr>
              <w:t>A02021002 A3彩色打印机</w:t>
            </w:r>
          </w:p>
        </w:tc>
        <w:tc>
          <w:tcPr>
            <w:tcW w:w="3452" w:type="dxa"/>
            <w:tcBorders>
              <w:top w:val="single" w:color="000000" w:sz="4" w:space="0"/>
              <w:left w:val="single" w:color="000000" w:sz="4" w:space="0"/>
              <w:bottom w:val="single" w:color="000000" w:sz="4" w:space="0"/>
              <w:right w:val="single" w:color="000000" w:sz="4" w:space="0"/>
            </w:tcBorders>
          </w:tcPr>
          <w:p w14:paraId="22B19C16">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3F0D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161F35F4">
            <w:pPr>
              <w:widowControl/>
              <w:jc w:val="left"/>
              <w:rPr>
                <w:rFonts w:hint="eastAsia"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4665802C">
            <w:pPr>
              <w:widowControl/>
              <w:jc w:val="left"/>
              <w:rPr>
                <w:rFonts w:hint="eastAsia"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3EF2EA1B">
            <w:pPr>
              <w:widowControl/>
              <w:jc w:val="left"/>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80BEAA6">
            <w:pPr>
              <w:jc w:val="center"/>
              <w:rPr>
                <w:rFonts w:hint="eastAsia" w:ascii="宋体" w:hAnsi="宋体"/>
                <w:color w:val="auto"/>
                <w:szCs w:val="21"/>
                <w:highlight w:val="none"/>
              </w:rPr>
            </w:pPr>
            <w:r>
              <w:rPr>
                <w:rFonts w:hint="eastAsia" w:ascii="宋体" w:hAnsi="宋体"/>
                <w:color w:val="auto"/>
                <w:szCs w:val="21"/>
                <w:highlight w:val="none"/>
              </w:rPr>
              <w:t>A02021003 A4黑白打印机</w:t>
            </w:r>
          </w:p>
        </w:tc>
        <w:tc>
          <w:tcPr>
            <w:tcW w:w="3452" w:type="dxa"/>
            <w:tcBorders>
              <w:top w:val="single" w:color="000000" w:sz="4" w:space="0"/>
              <w:left w:val="single" w:color="000000" w:sz="4" w:space="0"/>
              <w:bottom w:val="single" w:color="000000" w:sz="4" w:space="0"/>
              <w:right w:val="single" w:color="000000" w:sz="4" w:space="0"/>
            </w:tcBorders>
          </w:tcPr>
          <w:p w14:paraId="4C3597CE">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7A38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0520F9F5">
            <w:pPr>
              <w:widowControl/>
              <w:jc w:val="left"/>
              <w:rPr>
                <w:rFonts w:hint="eastAsia"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D21DDFB">
            <w:pPr>
              <w:widowControl/>
              <w:jc w:val="left"/>
              <w:rPr>
                <w:rFonts w:hint="eastAsia"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774DC5F0">
            <w:pPr>
              <w:widowControl/>
              <w:jc w:val="left"/>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7DAF8DA2">
            <w:pPr>
              <w:jc w:val="center"/>
              <w:rPr>
                <w:rFonts w:hint="eastAsia" w:ascii="宋体" w:hAnsi="宋体"/>
                <w:color w:val="auto"/>
                <w:szCs w:val="21"/>
                <w:highlight w:val="none"/>
              </w:rPr>
            </w:pPr>
            <w:r>
              <w:rPr>
                <w:rFonts w:hint="eastAsia" w:ascii="宋体" w:hAnsi="宋体"/>
                <w:color w:val="auto"/>
                <w:szCs w:val="21"/>
                <w:highlight w:val="none"/>
              </w:rPr>
              <w:t>A02021004 A4彩色打印机</w:t>
            </w:r>
          </w:p>
        </w:tc>
        <w:tc>
          <w:tcPr>
            <w:tcW w:w="3452" w:type="dxa"/>
            <w:tcBorders>
              <w:top w:val="single" w:color="000000" w:sz="4" w:space="0"/>
              <w:left w:val="single" w:color="000000" w:sz="4" w:space="0"/>
              <w:bottom w:val="single" w:color="000000" w:sz="4" w:space="0"/>
              <w:right w:val="single" w:color="000000" w:sz="4" w:space="0"/>
            </w:tcBorders>
          </w:tcPr>
          <w:p w14:paraId="52D96D05">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0AD3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5CBC3D82">
            <w:pPr>
              <w:widowControl/>
              <w:jc w:val="left"/>
              <w:rPr>
                <w:rFonts w:hint="eastAsia"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C908243">
            <w:pPr>
              <w:widowControl/>
              <w:jc w:val="left"/>
              <w:rPr>
                <w:rFonts w:hint="eastAsia"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0EE21C9C">
            <w:pPr>
              <w:widowControl/>
              <w:jc w:val="left"/>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13703F1A">
            <w:pPr>
              <w:jc w:val="center"/>
              <w:rPr>
                <w:rFonts w:hint="eastAsia" w:ascii="宋体" w:hAnsi="宋体"/>
                <w:color w:val="auto"/>
                <w:szCs w:val="21"/>
                <w:highlight w:val="none"/>
              </w:rPr>
            </w:pPr>
            <w:r>
              <w:rPr>
                <w:rFonts w:hint="eastAsia" w:ascii="宋体" w:hAnsi="宋体"/>
                <w:color w:val="auto"/>
                <w:szCs w:val="21"/>
                <w:highlight w:val="none"/>
              </w:rPr>
              <w:t>A02021005 3D打印机</w:t>
            </w:r>
          </w:p>
        </w:tc>
        <w:tc>
          <w:tcPr>
            <w:tcW w:w="3452" w:type="dxa"/>
            <w:tcBorders>
              <w:top w:val="single" w:color="000000" w:sz="4" w:space="0"/>
              <w:left w:val="single" w:color="000000" w:sz="4" w:space="0"/>
              <w:bottom w:val="single" w:color="000000" w:sz="4" w:space="0"/>
              <w:right w:val="single" w:color="000000" w:sz="4" w:space="0"/>
            </w:tcBorders>
          </w:tcPr>
          <w:p w14:paraId="54318549">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6FE4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62A1C980">
            <w:pPr>
              <w:widowControl/>
              <w:jc w:val="left"/>
              <w:rPr>
                <w:rFonts w:hint="eastAsia"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3BC308D">
            <w:pPr>
              <w:widowControl/>
              <w:jc w:val="left"/>
              <w:rPr>
                <w:rFonts w:hint="eastAsia"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159F977F">
            <w:pPr>
              <w:widowControl/>
              <w:jc w:val="left"/>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683A9CC">
            <w:pPr>
              <w:jc w:val="center"/>
              <w:rPr>
                <w:rFonts w:hint="eastAsia" w:ascii="宋体" w:hAnsi="宋体"/>
                <w:color w:val="auto"/>
                <w:szCs w:val="21"/>
                <w:highlight w:val="none"/>
              </w:rPr>
            </w:pPr>
            <w:r>
              <w:rPr>
                <w:rFonts w:hint="eastAsia" w:ascii="宋体" w:hAnsi="宋体"/>
                <w:color w:val="auto"/>
                <w:szCs w:val="21"/>
                <w:highlight w:val="none"/>
              </w:rPr>
              <w:t>A02021006票据打印机</w:t>
            </w:r>
          </w:p>
        </w:tc>
        <w:tc>
          <w:tcPr>
            <w:tcW w:w="3452" w:type="dxa"/>
            <w:tcBorders>
              <w:top w:val="single" w:color="000000" w:sz="4" w:space="0"/>
              <w:left w:val="single" w:color="000000" w:sz="4" w:space="0"/>
              <w:bottom w:val="single" w:color="000000" w:sz="4" w:space="0"/>
              <w:right w:val="single" w:color="000000" w:sz="4" w:space="0"/>
            </w:tcBorders>
          </w:tcPr>
          <w:p w14:paraId="2415B59A">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46E8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30210893">
            <w:pPr>
              <w:widowControl/>
              <w:jc w:val="left"/>
              <w:rPr>
                <w:rFonts w:hint="eastAsia"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E52CE55">
            <w:pPr>
              <w:widowControl/>
              <w:jc w:val="left"/>
              <w:rPr>
                <w:rFonts w:hint="eastAsia"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49C29867">
            <w:pPr>
              <w:widowControl/>
              <w:jc w:val="left"/>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495D7545">
            <w:pPr>
              <w:jc w:val="center"/>
              <w:rPr>
                <w:rFonts w:hint="eastAsia" w:ascii="宋体" w:hAnsi="宋体"/>
                <w:color w:val="auto"/>
                <w:szCs w:val="21"/>
                <w:highlight w:val="none"/>
              </w:rPr>
            </w:pPr>
            <w:r>
              <w:rPr>
                <w:rFonts w:hint="eastAsia" w:ascii="宋体" w:hAnsi="宋体"/>
                <w:color w:val="auto"/>
                <w:szCs w:val="21"/>
                <w:highlight w:val="none"/>
              </w:rPr>
              <w:t>A02021007条码打印机</w:t>
            </w:r>
          </w:p>
        </w:tc>
        <w:tc>
          <w:tcPr>
            <w:tcW w:w="3452" w:type="dxa"/>
            <w:tcBorders>
              <w:top w:val="single" w:color="000000" w:sz="4" w:space="0"/>
              <w:left w:val="single" w:color="000000" w:sz="4" w:space="0"/>
              <w:bottom w:val="single" w:color="000000" w:sz="4" w:space="0"/>
              <w:right w:val="single" w:color="000000" w:sz="4" w:space="0"/>
            </w:tcBorders>
          </w:tcPr>
          <w:p w14:paraId="2168A758">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0757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63B03172">
            <w:pPr>
              <w:widowControl/>
              <w:jc w:val="left"/>
              <w:rPr>
                <w:rFonts w:hint="eastAsia"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965C88A">
            <w:pPr>
              <w:widowControl/>
              <w:jc w:val="left"/>
              <w:rPr>
                <w:rFonts w:hint="eastAsia"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50CB4613">
            <w:pPr>
              <w:widowControl/>
              <w:jc w:val="left"/>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14C2F21">
            <w:pPr>
              <w:jc w:val="center"/>
              <w:rPr>
                <w:rFonts w:hint="eastAsia" w:ascii="宋体" w:hAnsi="宋体"/>
                <w:color w:val="auto"/>
                <w:szCs w:val="21"/>
                <w:highlight w:val="none"/>
              </w:rPr>
            </w:pPr>
            <w:r>
              <w:rPr>
                <w:rFonts w:hint="eastAsia" w:ascii="宋体" w:hAnsi="宋体"/>
                <w:color w:val="auto"/>
                <w:szCs w:val="21"/>
                <w:highlight w:val="none"/>
              </w:rPr>
              <w:t>A02021008地址打印机</w:t>
            </w:r>
          </w:p>
        </w:tc>
        <w:tc>
          <w:tcPr>
            <w:tcW w:w="3452" w:type="dxa"/>
            <w:tcBorders>
              <w:top w:val="single" w:color="000000" w:sz="4" w:space="0"/>
              <w:left w:val="single" w:color="000000" w:sz="4" w:space="0"/>
              <w:bottom w:val="single" w:color="000000" w:sz="4" w:space="0"/>
              <w:right w:val="single" w:color="000000" w:sz="4" w:space="0"/>
            </w:tcBorders>
          </w:tcPr>
          <w:p w14:paraId="02B8D1DE">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6517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5414763E">
            <w:pPr>
              <w:widowControl/>
              <w:jc w:val="left"/>
              <w:rPr>
                <w:rFonts w:hint="eastAsia"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00919A8">
            <w:pPr>
              <w:widowControl/>
              <w:jc w:val="left"/>
              <w:rPr>
                <w:rFonts w:hint="eastAsia"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682A1739">
            <w:pPr>
              <w:widowControl/>
              <w:jc w:val="left"/>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1C9D3B4">
            <w:pPr>
              <w:jc w:val="center"/>
              <w:rPr>
                <w:rFonts w:hint="eastAsia" w:ascii="宋体" w:hAnsi="宋体"/>
                <w:color w:val="auto"/>
                <w:szCs w:val="21"/>
                <w:highlight w:val="none"/>
              </w:rPr>
            </w:pPr>
            <w:r>
              <w:rPr>
                <w:rFonts w:hint="eastAsia" w:ascii="宋体" w:hAnsi="宋体"/>
                <w:color w:val="auto"/>
                <w:szCs w:val="21"/>
                <w:highlight w:val="none"/>
              </w:rPr>
              <w:t>A02021099其他打印机</w:t>
            </w:r>
          </w:p>
        </w:tc>
        <w:tc>
          <w:tcPr>
            <w:tcW w:w="3452" w:type="dxa"/>
            <w:tcBorders>
              <w:top w:val="single" w:color="000000" w:sz="4" w:space="0"/>
              <w:left w:val="single" w:color="000000" w:sz="4" w:space="0"/>
              <w:bottom w:val="single" w:color="000000" w:sz="4" w:space="0"/>
              <w:right w:val="single" w:color="000000" w:sz="4" w:space="0"/>
            </w:tcBorders>
          </w:tcPr>
          <w:p w14:paraId="26CB6CBF">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1CD9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54579FE1">
            <w:pPr>
              <w:widowControl/>
              <w:jc w:val="left"/>
              <w:rPr>
                <w:rFonts w:hint="eastAsia"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409D5241">
            <w:pPr>
              <w:widowControl/>
              <w:jc w:val="left"/>
              <w:rPr>
                <w:rFonts w:hint="eastAsia"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6E696772">
            <w:pPr>
              <w:jc w:val="center"/>
              <w:rPr>
                <w:rFonts w:hint="eastAsia" w:ascii="宋体" w:hAnsi="宋体"/>
                <w:color w:val="auto"/>
                <w:szCs w:val="21"/>
                <w:highlight w:val="none"/>
              </w:rPr>
            </w:pPr>
            <w:r>
              <w:rPr>
                <w:rFonts w:hint="eastAsia" w:ascii="宋体" w:hAnsi="宋体"/>
                <w:color w:val="auto"/>
                <w:szCs w:val="21"/>
                <w:highlight w:val="none"/>
              </w:rPr>
              <w:t>A02021100输入输出设备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5CB26677">
            <w:pPr>
              <w:jc w:val="center"/>
              <w:rPr>
                <w:rFonts w:hint="eastAsia" w:ascii="宋体" w:hAnsi="宋体"/>
                <w:color w:val="auto"/>
                <w:szCs w:val="21"/>
                <w:highlight w:val="none"/>
              </w:rPr>
            </w:pPr>
            <w:r>
              <w:rPr>
                <w:rFonts w:hint="eastAsia" w:ascii="宋体" w:hAnsi="宋体" w:cs="宋体"/>
                <w:color w:val="auto"/>
                <w:w w:val="99"/>
                <w:szCs w:val="21"/>
                <w:highlight w:val="none"/>
              </w:rPr>
              <w:t>★</w:t>
            </w:r>
            <w:r>
              <w:rPr>
                <w:rFonts w:hint="eastAsia" w:ascii="宋体" w:hAnsi="宋体"/>
                <w:color w:val="auto"/>
                <w:szCs w:val="21"/>
                <w:highlight w:val="none"/>
              </w:rPr>
              <w:t>A02021104液晶显示器</w:t>
            </w:r>
          </w:p>
        </w:tc>
        <w:tc>
          <w:tcPr>
            <w:tcW w:w="3452" w:type="dxa"/>
            <w:tcBorders>
              <w:top w:val="single" w:color="000000" w:sz="4" w:space="0"/>
              <w:left w:val="single" w:color="000000" w:sz="4" w:space="0"/>
              <w:bottom w:val="single" w:color="000000" w:sz="4" w:space="0"/>
              <w:right w:val="single" w:color="000000" w:sz="4" w:space="0"/>
            </w:tcBorders>
            <w:vAlign w:val="center"/>
          </w:tcPr>
          <w:p w14:paraId="4311CC5B">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《计算机显示器能效限定值及能效等级》（GB21520）</w:t>
            </w:r>
          </w:p>
        </w:tc>
      </w:tr>
      <w:tr w14:paraId="0F3B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61E2ABB3">
            <w:pPr>
              <w:widowControl/>
              <w:jc w:val="left"/>
              <w:rPr>
                <w:rFonts w:hint="eastAsia"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4FE1E651">
            <w:pPr>
              <w:widowControl/>
              <w:jc w:val="left"/>
              <w:rPr>
                <w:rFonts w:hint="eastAsia"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284D87AC">
            <w:pPr>
              <w:widowControl/>
              <w:jc w:val="left"/>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415A8795">
            <w:pPr>
              <w:jc w:val="center"/>
              <w:rPr>
                <w:rFonts w:hint="eastAsia" w:ascii="宋体" w:hAnsi="宋体"/>
                <w:color w:val="auto"/>
                <w:szCs w:val="21"/>
                <w:highlight w:val="none"/>
              </w:rPr>
            </w:pPr>
            <w:r>
              <w:rPr>
                <w:rFonts w:hint="eastAsia" w:ascii="宋体" w:hAnsi="宋体"/>
                <w:color w:val="auto"/>
                <w:szCs w:val="21"/>
                <w:highlight w:val="none"/>
              </w:rPr>
              <w:t>A02021118扫描仪</w:t>
            </w:r>
          </w:p>
        </w:tc>
        <w:tc>
          <w:tcPr>
            <w:tcW w:w="3452" w:type="dxa"/>
            <w:tcBorders>
              <w:top w:val="single" w:color="000000" w:sz="4" w:space="0"/>
              <w:left w:val="single" w:color="000000" w:sz="4" w:space="0"/>
              <w:bottom w:val="single" w:color="000000" w:sz="4" w:space="0"/>
              <w:right w:val="single" w:color="000000" w:sz="4" w:space="0"/>
            </w:tcBorders>
            <w:vAlign w:val="center"/>
          </w:tcPr>
          <w:p w14:paraId="49103E83">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参照《复印机、打印机和传真机能效限定值及能效等级》（GB21521）中打印速度为15页/分的针式打印机相关要求</w:t>
            </w:r>
          </w:p>
        </w:tc>
      </w:tr>
      <w:tr w14:paraId="2EA7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702FB80">
            <w:pPr>
              <w:jc w:val="center"/>
              <w:rPr>
                <w:rFonts w:hint="eastAsia" w:ascii="宋体" w:hAnsi="宋体"/>
                <w:color w:val="auto"/>
                <w:szCs w:val="21"/>
                <w:highlight w:val="none"/>
              </w:rPr>
            </w:pPr>
            <w:r>
              <w:rPr>
                <w:rFonts w:hint="eastAsia" w:ascii="宋体" w:hAnsi="宋体"/>
                <w:color w:val="auto"/>
                <w:w w:val="99"/>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78774772">
            <w:pPr>
              <w:jc w:val="center"/>
              <w:rPr>
                <w:rFonts w:hint="eastAsia" w:ascii="宋体" w:hAnsi="宋体"/>
                <w:color w:val="auto"/>
                <w:szCs w:val="21"/>
                <w:highlight w:val="none"/>
              </w:rPr>
            </w:pPr>
            <w:r>
              <w:rPr>
                <w:rFonts w:hint="eastAsia" w:ascii="宋体" w:hAnsi="宋体"/>
                <w:color w:val="auto"/>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14:paraId="12FCDA7A">
            <w:pPr>
              <w:jc w:val="center"/>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95629C1">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vAlign w:val="center"/>
          </w:tcPr>
          <w:p w14:paraId="498C83C4">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《投影机能效限定值及能效等级》（GB32028）</w:t>
            </w:r>
          </w:p>
        </w:tc>
      </w:tr>
      <w:tr w14:paraId="0381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5AE95A2">
            <w:pPr>
              <w:jc w:val="center"/>
              <w:rPr>
                <w:rFonts w:hint="eastAsia" w:ascii="宋体" w:hAnsi="宋体"/>
                <w:color w:val="auto"/>
                <w:szCs w:val="21"/>
                <w:highlight w:val="none"/>
              </w:rPr>
            </w:pPr>
            <w:r>
              <w:rPr>
                <w:rFonts w:hint="eastAsia" w:ascii="宋体" w:hAnsi="宋体"/>
                <w:color w:val="auto"/>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45AF5852">
            <w:pPr>
              <w:pStyle w:val="58"/>
              <w:spacing w:before="66"/>
              <w:ind w:left="7"/>
              <w:jc w:val="center"/>
              <w:rPr>
                <w:rFonts w:hint="eastAsia" w:ascii="宋体" w:hAnsi="宋体" w:cs="宋体"/>
                <w:color w:val="auto"/>
                <w:kern w:val="2"/>
                <w:sz w:val="21"/>
                <w:szCs w:val="21"/>
                <w:highlight w:val="none"/>
              </w:rPr>
            </w:pPr>
            <w:r>
              <w:rPr>
                <w:rFonts w:hint="eastAsia" w:ascii="宋体" w:hAnsi="宋体" w:cs="仿宋_GB2312"/>
                <w:color w:val="auto"/>
                <w:kern w:val="2"/>
                <w:sz w:val="21"/>
                <w:szCs w:val="21"/>
                <w:highlight w:val="none"/>
              </w:rPr>
              <w:t>A02020400</w:t>
            </w:r>
            <w:r>
              <w:rPr>
                <w:rFonts w:hint="eastAsia" w:ascii="宋体" w:hAnsi="宋体" w:cs="宋体"/>
                <w:color w:val="auto"/>
                <w:w w:val="99"/>
                <w:kern w:val="2"/>
                <w:sz w:val="21"/>
                <w:szCs w:val="21"/>
                <w:highlight w:val="none"/>
              </w:rPr>
              <w:t>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72DC0DFD">
            <w:pPr>
              <w:jc w:val="center"/>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7F1198B2">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vAlign w:val="center"/>
          </w:tcPr>
          <w:p w14:paraId="611BD32E">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327B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B6E66DB">
            <w:pPr>
              <w:pStyle w:val="58"/>
              <w:spacing w:before="160"/>
              <w:ind w:right="1"/>
              <w:jc w:val="center"/>
              <w:rPr>
                <w:rFonts w:hint="eastAsia" w:ascii="宋体" w:hAnsi="宋体" w:cs="宋体"/>
                <w:color w:val="auto"/>
                <w:kern w:val="2"/>
                <w:sz w:val="21"/>
                <w:szCs w:val="21"/>
                <w:highlight w:val="none"/>
              </w:rPr>
            </w:pPr>
            <w:r>
              <w:rPr>
                <w:rFonts w:hint="eastAsia" w:ascii="宋体" w:hAnsi="宋体"/>
                <w:color w:val="auto"/>
                <w:w w:val="99"/>
                <w:kern w:val="2"/>
                <w:sz w:val="21"/>
                <w:szCs w:val="21"/>
                <w:highlight w:val="none"/>
              </w:rPr>
              <w:t>5</w:t>
            </w:r>
          </w:p>
        </w:tc>
        <w:tc>
          <w:tcPr>
            <w:tcW w:w="1422" w:type="dxa"/>
            <w:tcBorders>
              <w:top w:val="single" w:color="000000" w:sz="4" w:space="0"/>
              <w:left w:val="single" w:color="000000" w:sz="4" w:space="0"/>
              <w:bottom w:val="single" w:color="000000" w:sz="4" w:space="0"/>
              <w:right w:val="single" w:color="000000" w:sz="4" w:space="0"/>
            </w:tcBorders>
            <w:vAlign w:val="center"/>
          </w:tcPr>
          <w:p w14:paraId="756C9DF9">
            <w:pPr>
              <w:pStyle w:val="58"/>
              <w:spacing w:before="160"/>
              <w:ind w:left="7"/>
              <w:jc w:val="center"/>
              <w:rPr>
                <w:rFonts w:hint="eastAsia" w:ascii="宋体" w:hAnsi="宋体" w:cs="宋体"/>
                <w:color w:val="auto"/>
                <w:kern w:val="2"/>
                <w:sz w:val="21"/>
                <w:szCs w:val="21"/>
                <w:highlight w:val="none"/>
              </w:rPr>
            </w:pPr>
            <w:r>
              <w:rPr>
                <w:rFonts w:hint="eastAsia" w:ascii="宋体" w:hAnsi="宋体" w:cs="仿宋_GB2312"/>
                <w:color w:val="auto"/>
                <w:kern w:val="2"/>
                <w:sz w:val="21"/>
                <w:szCs w:val="21"/>
                <w:highlight w:val="none"/>
              </w:rPr>
              <w:t>A02051900</w:t>
            </w:r>
            <w:r>
              <w:rPr>
                <w:rFonts w:hint="eastAsia" w:ascii="宋体" w:hAnsi="宋体" w:cs="宋体"/>
                <w:color w:val="auto"/>
                <w:w w:val="99"/>
                <w:kern w:val="2"/>
                <w:sz w:val="21"/>
                <w:szCs w:val="21"/>
                <w:highlight w:val="none"/>
              </w:rPr>
              <w:t>泵</w:t>
            </w:r>
          </w:p>
        </w:tc>
        <w:tc>
          <w:tcPr>
            <w:tcW w:w="1496" w:type="dxa"/>
            <w:tcBorders>
              <w:top w:val="single" w:color="000000" w:sz="4" w:space="0"/>
              <w:left w:val="single" w:color="000000" w:sz="4" w:space="0"/>
              <w:bottom w:val="single" w:color="000000" w:sz="4" w:space="0"/>
              <w:right w:val="single" w:color="000000" w:sz="4" w:space="0"/>
            </w:tcBorders>
            <w:vAlign w:val="center"/>
          </w:tcPr>
          <w:p w14:paraId="62F53F0F">
            <w:pPr>
              <w:pStyle w:val="58"/>
              <w:spacing w:before="160"/>
              <w:ind w:left="7"/>
              <w:jc w:val="center"/>
              <w:rPr>
                <w:rFonts w:hint="eastAsia"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05</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901离心泵</w:t>
            </w:r>
          </w:p>
        </w:tc>
        <w:tc>
          <w:tcPr>
            <w:tcW w:w="1481" w:type="dxa"/>
            <w:tcBorders>
              <w:top w:val="single" w:color="000000" w:sz="4" w:space="0"/>
              <w:left w:val="single" w:color="000000" w:sz="4" w:space="0"/>
              <w:bottom w:val="single" w:color="000000" w:sz="4" w:space="0"/>
              <w:right w:val="single" w:color="000000" w:sz="4" w:space="0"/>
            </w:tcBorders>
            <w:vAlign w:val="center"/>
          </w:tcPr>
          <w:p w14:paraId="758107F9">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721BE061">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《清水离心泵能效限定值及节能评价值》（GB19762）</w:t>
            </w:r>
          </w:p>
        </w:tc>
      </w:tr>
      <w:tr w14:paraId="5A34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5250987E">
            <w:pPr>
              <w:jc w:val="center"/>
              <w:rPr>
                <w:rFonts w:hint="eastAsia" w:ascii="宋体" w:hAnsi="宋体"/>
                <w:color w:val="auto"/>
                <w:szCs w:val="21"/>
                <w:highlight w:val="none"/>
              </w:rPr>
            </w:pPr>
            <w:r>
              <w:rPr>
                <w:rFonts w:hint="eastAsia" w:ascii="宋体" w:hAnsi="宋体"/>
                <w:color w:val="auto"/>
                <w:szCs w:val="21"/>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78F6FE53">
            <w:pPr>
              <w:pStyle w:val="58"/>
              <w:jc w:val="center"/>
              <w:rPr>
                <w:rFonts w:hint="eastAsia" w:ascii="宋体" w:hAnsi="宋体" w:cs="宋体"/>
                <w:color w:val="auto"/>
                <w:kern w:val="2"/>
                <w:sz w:val="21"/>
                <w:szCs w:val="21"/>
                <w:highlight w:val="none"/>
              </w:rPr>
            </w:pPr>
            <w:r>
              <w:rPr>
                <w:rFonts w:hint="eastAsia" w:ascii="宋体" w:hAnsi="宋体" w:cs="仿宋_GB2312"/>
                <w:color w:val="auto"/>
                <w:kern w:val="2"/>
                <w:sz w:val="21"/>
                <w:szCs w:val="21"/>
                <w:highlight w:val="none"/>
              </w:rPr>
              <w:t>A02052300</w:t>
            </w:r>
            <w:r>
              <w:rPr>
                <w:rFonts w:hint="eastAsia" w:ascii="宋体" w:hAnsi="宋体" w:cs="宋体"/>
                <w:color w:val="auto"/>
                <w:w w:val="99"/>
                <w:kern w:val="2"/>
                <w:sz w:val="21"/>
                <w:szCs w:val="21"/>
                <w:highlight w:val="none"/>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687AD37">
            <w:pPr>
              <w:pStyle w:val="58"/>
              <w:spacing w:line="276" w:lineRule="auto"/>
              <w:ind w:right="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52</w:t>
            </w:r>
            <w:r>
              <w:rPr>
                <w:rFonts w:hint="eastAsia" w:ascii="宋体" w:hAnsi="宋体" w:cs="宋体"/>
                <w:color w:val="auto"/>
                <w:spacing w:val="1"/>
                <w:w w:val="99"/>
                <w:kern w:val="2"/>
                <w:sz w:val="21"/>
                <w:szCs w:val="21"/>
                <w:highlight w:val="none"/>
              </w:rPr>
              <w:t>3</w:t>
            </w:r>
            <w:r>
              <w:rPr>
                <w:rFonts w:hint="eastAsia" w:ascii="宋体" w:hAnsi="宋体" w:cs="宋体"/>
                <w:color w:val="auto"/>
                <w:w w:val="99"/>
                <w:kern w:val="2"/>
                <w:sz w:val="21"/>
                <w:szCs w:val="21"/>
                <w:highlight w:val="none"/>
              </w:rPr>
              <w:t>01制冷压缩机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0E0CE296">
            <w:pPr>
              <w:pStyle w:val="58"/>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冷水机组</w:t>
            </w:r>
          </w:p>
        </w:tc>
        <w:tc>
          <w:tcPr>
            <w:tcW w:w="3452" w:type="dxa"/>
            <w:tcBorders>
              <w:top w:val="single" w:color="000000" w:sz="4" w:space="0"/>
              <w:left w:val="single" w:color="000000" w:sz="4" w:space="0"/>
              <w:bottom w:val="single" w:color="000000" w:sz="4" w:space="0"/>
              <w:right w:val="single" w:color="000000" w:sz="4" w:space="0"/>
            </w:tcBorders>
          </w:tcPr>
          <w:p w14:paraId="1F5D5289">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《冷水机组能效限定值及能效等级》（GB19577），《低环境温度空气源热泵（冷水）机组能效限定值及能效等级》（GB37480）</w:t>
            </w:r>
          </w:p>
        </w:tc>
      </w:tr>
      <w:tr w14:paraId="54D0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1B04792E">
            <w:pPr>
              <w:widowControl/>
              <w:jc w:val="left"/>
              <w:rPr>
                <w:rFonts w:hint="eastAsia"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5A99009">
            <w:pPr>
              <w:widowControl/>
              <w:jc w:val="left"/>
              <w:rPr>
                <w:rFonts w:hint="eastAsia"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25077732">
            <w:pPr>
              <w:widowControl/>
              <w:jc w:val="left"/>
              <w:rPr>
                <w:rFonts w:hint="eastAsia"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A748F68">
            <w:pPr>
              <w:jc w:val="center"/>
              <w:rPr>
                <w:rFonts w:hint="eastAsia" w:ascii="宋体" w:hAnsi="宋体"/>
                <w:color w:val="auto"/>
                <w:szCs w:val="21"/>
                <w:highlight w:val="none"/>
              </w:rPr>
            </w:pPr>
            <w:r>
              <w:rPr>
                <w:rFonts w:hint="eastAsia" w:ascii="宋体" w:hAnsi="宋体"/>
                <w:color w:val="auto"/>
                <w:szCs w:val="21"/>
                <w:highlight w:val="none"/>
              </w:rPr>
              <w:t>溴化锂吸收式冷水机组</w:t>
            </w:r>
          </w:p>
        </w:tc>
        <w:tc>
          <w:tcPr>
            <w:tcW w:w="3452" w:type="dxa"/>
            <w:tcBorders>
              <w:top w:val="single" w:color="000000" w:sz="4" w:space="0"/>
              <w:left w:val="single" w:color="000000" w:sz="4" w:space="0"/>
              <w:bottom w:val="single" w:color="000000" w:sz="4" w:space="0"/>
              <w:right w:val="single" w:color="000000" w:sz="4" w:space="0"/>
            </w:tcBorders>
            <w:vAlign w:val="center"/>
          </w:tcPr>
          <w:p w14:paraId="54AE653E">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《溴化锂吸收式冷水机组能效限</w:t>
            </w:r>
          </w:p>
          <w:p w14:paraId="416EDAE8">
            <w:pPr>
              <w:spacing w:before="131" w:line="276" w:lineRule="auto"/>
              <w:ind w:right="4"/>
              <w:rPr>
                <w:rFonts w:hint="eastAsia" w:ascii="宋体" w:hAnsi="宋体" w:cs="宋体"/>
                <w:color w:val="auto"/>
                <w:spacing w:val="10"/>
                <w:szCs w:val="21"/>
                <w:highlight w:val="none"/>
              </w:rPr>
            </w:pPr>
            <w:r>
              <w:rPr>
                <w:rFonts w:hint="eastAsia" w:ascii="宋体" w:hAnsi="宋体" w:cs="宋体"/>
                <w:color w:val="auto"/>
                <w:spacing w:val="10"/>
                <w:szCs w:val="21"/>
                <w:highlight w:val="none"/>
              </w:rPr>
              <w:t>定值及能效等级》（GB29540）</w:t>
            </w:r>
          </w:p>
        </w:tc>
      </w:tr>
      <w:tr w14:paraId="387F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6B1D57CD">
            <w:pPr>
              <w:widowControl/>
              <w:jc w:val="left"/>
              <w:rPr>
                <w:rFonts w:hint="eastAsia"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FBE3D6B">
            <w:pPr>
              <w:widowControl/>
              <w:jc w:val="left"/>
              <w:rPr>
                <w:rFonts w:hint="eastAsia"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20472C15">
            <w:pPr>
              <w:pStyle w:val="58"/>
              <w:spacing w:line="276" w:lineRule="auto"/>
              <w:ind w:right="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★A02052305空调机组</w:t>
            </w:r>
          </w:p>
        </w:tc>
        <w:tc>
          <w:tcPr>
            <w:tcW w:w="1481" w:type="dxa"/>
            <w:tcBorders>
              <w:top w:val="single" w:color="000000" w:sz="4" w:space="0"/>
              <w:left w:val="single" w:color="000000" w:sz="4" w:space="0"/>
              <w:bottom w:val="single" w:color="000000" w:sz="4" w:space="0"/>
              <w:right w:val="single" w:color="000000" w:sz="4" w:space="0"/>
            </w:tcBorders>
            <w:vAlign w:val="center"/>
          </w:tcPr>
          <w:p w14:paraId="6572DEEB">
            <w:pPr>
              <w:pStyle w:val="58"/>
              <w:spacing w:before="4" w:line="276" w:lineRule="auto"/>
              <w:ind w:left="7" w:right="7"/>
              <w:jc w:val="center"/>
              <w:rPr>
                <w:rFonts w:hint="eastAsia"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多联式空调（热泵）机组（制冷量&gt;14000W）</w:t>
            </w:r>
          </w:p>
        </w:tc>
        <w:tc>
          <w:tcPr>
            <w:tcW w:w="3452" w:type="dxa"/>
            <w:tcBorders>
              <w:top w:val="single" w:color="000000" w:sz="4" w:space="0"/>
              <w:left w:val="single" w:color="000000" w:sz="4" w:space="0"/>
              <w:bottom w:val="single" w:color="000000" w:sz="4" w:space="0"/>
              <w:right w:val="single" w:color="000000" w:sz="4" w:space="0"/>
            </w:tcBorders>
          </w:tcPr>
          <w:p w14:paraId="02DECD8B">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《多联式空调（热泵）机组能效限定值及能源效率等级》（GB21454）</w:t>
            </w:r>
          </w:p>
        </w:tc>
      </w:tr>
      <w:tr w14:paraId="64E0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213687B2">
            <w:pPr>
              <w:widowControl/>
              <w:jc w:val="left"/>
              <w:rPr>
                <w:rFonts w:hint="eastAsia"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44007315">
            <w:pPr>
              <w:widowControl/>
              <w:jc w:val="left"/>
              <w:rPr>
                <w:rFonts w:hint="eastAsia"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604BC80A">
            <w:pPr>
              <w:widowControl/>
              <w:jc w:val="left"/>
              <w:rPr>
                <w:rFonts w:hint="eastAsia"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5646188C">
            <w:pPr>
              <w:jc w:val="center"/>
              <w:rPr>
                <w:rFonts w:hint="eastAsia" w:ascii="宋体" w:hAnsi="宋体"/>
                <w:color w:val="auto"/>
                <w:szCs w:val="21"/>
                <w:highlight w:val="none"/>
              </w:rPr>
            </w:pPr>
            <w:r>
              <w:rPr>
                <w:rFonts w:hint="eastAsia" w:ascii="宋体" w:hAnsi="宋体" w:cs="宋体"/>
                <w:color w:val="auto"/>
                <w:w w:val="99"/>
                <w:szCs w:val="21"/>
                <w:highlight w:val="none"/>
              </w:rPr>
              <w:t>单元式空气调节机</w:t>
            </w:r>
          </w:p>
        </w:tc>
        <w:tc>
          <w:tcPr>
            <w:tcW w:w="3452" w:type="dxa"/>
            <w:tcBorders>
              <w:top w:val="single" w:color="000000" w:sz="4" w:space="0"/>
              <w:left w:val="single" w:color="000000" w:sz="4" w:space="0"/>
              <w:bottom w:val="single" w:color="000000" w:sz="4" w:space="0"/>
              <w:right w:val="single" w:color="000000" w:sz="4" w:space="0"/>
            </w:tcBorders>
          </w:tcPr>
          <w:p w14:paraId="5A28A8CC">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《单元式空气调节机能效限定值及能效等级》（GB19576）《风管送风式空调机组能效限定值及能效等级》（GB37479）</w:t>
            </w:r>
          </w:p>
        </w:tc>
      </w:tr>
      <w:tr w14:paraId="1470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113D496B">
            <w:pPr>
              <w:widowControl/>
              <w:jc w:val="left"/>
              <w:rPr>
                <w:rFonts w:hint="eastAsia"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7364F21">
            <w:pPr>
              <w:widowControl/>
              <w:jc w:val="left"/>
              <w:rPr>
                <w:rFonts w:hint="eastAsia"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7986AD34">
            <w:pPr>
              <w:pStyle w:val="58"/>
              <w:spacing w:before="83"/>
              <w:ind w:left="7"/>
              <w:jc w:val="center"/>
              <w:rPr>
                <w:rFonts w:hint="eastAsia"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★A02052309专用制冷、空调设备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3EAFACC9">
            <w:pPr>
              <w:pStyle w:val="58"/>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机房空调</w:t>
            </w:r>
          </w:p>
        </w:tc>
        <w:tc>
          <w:tcPr>
            <w:tcW w:w="3452" w:type="dxa"/>
            <w:tcBorders>
              <w:top w:val="single" w:color="000000" w:sz="4" w:space="0"/>
              <w:left w:val="single" w:color="000000" w:sz="4" w:space="0"/>
              <w:bottom w:val="single" w:color="000000" w:sz="4" w:space="0"/>
              <w:right w:val="single" w:color="000000" w:sz="4" w:space="0"/>
            </w:tcBorders>
          </w:tcPr>
          <w:p w14:paraId="74846F76">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w:t>
            </w:r>
          </w:p>
          <w:p w14:paraId="17B4F6E8">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及能效等级》（GB19576）</w:t>
            </w:r>
          </w:p>
        </w:tc>
      </w:tr>
      <w:tr w14:paraId="3619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BF2950A">
            <w:pPr>
              <w:widowControl/>
              <w:jc w:val="left"/>
              <w:rPr>
                <w:rFonts w:hint="eastAsia"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44C7B86">
            <w:pPr>
              <w:widowControl/>
              <w:jc w:val="left"/>
              <w:rPr>
                <w:rFonts w:hint="eastAsia"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752B83D1">
            <w:pPr>
              <w:pStyle w:val="58"/>
              <w:spacing w:line="254" w:lineRule="exact"/>
              <w:ind w:left="7"/>
              <w:jc w:val="center"/>
              <w:rPr>
                <w:rFonts w:hint="eastAsia"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A02052399其他制冷</w:t>
            </w:r>
          </w:p>
          <w:p w14:paraId="216CD559">
            <w:pPr>
              <w:pStyle w:val="58"/>
              <w:spacing w:line="254" w:lineRule="exact"/>
              <w:ind w:left="7"/>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空调设备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67418AE0">
            <w:pPr>
              <w:widowControl/>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rPr>
              <w:t>冷却塔</w:t>
            </w:r>
          </w:p>
        </w:tc>
        <w:tc>
          <w:tcPr>
            <w:tcW w:w="3452" w:type="dxa"/>
            <w:tcBorders>
              <w:top w:val="single" w:color="000000" w:sz="4" w:space="0"/>
              <w:left w:val="single" w:color="000000" w:sz="4" w:space="0"/>
              <w:bottom w:val="single" w:color="000000" w:sz="4" w:space="0"/>
              <w:right w:val="single" w:color="000000" w:sz="4" w:space="0"/>
            </w:tcBorders>
          </w:tcPr>
          <w:p w14:paraId="5879A185">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《机械通风冷却塔第1部分：中小型开式冷却塔》（GB/T7190.1）</w:t>
            </w:r>
          </w:p>
          <w:p w14:paraId="4D36459B">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《机械通风冷却塔第2部分：大型开式冷却塔》（GB/T7190.2）</w:t>
            </w:r>
          </w:p>
        </w:tc>
      </w:tr>
      <w:tr w14:paraId="33B1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CFDDC9F">
            <w:pPr>
              <w:pStyle w:val="58"/>
              <w:ind w:right="1"/>
              <w:jc w:val="center"/>
              <w:rPr>
                <w:rFonts w:hint="eastAsia" w:ascii="宋体" w:hAnsi="宋体" w:cs="宋体"/>
                <w:color w:val="auto"/>
                <w:kern w:val="2"/>
                <w:sz w:val="21"/>
                <w:szCs w:val="21"/>
                <w:highlight w:val="none"/>
              </w:rPr>
            </w:pPr>
            <w:r>
              <w:rPr>
                <w:rFonts w:hint="eastAsia" w:ascii="宋体" w:hAnsi="宋体"/>
                <w:color w:val="auto"/>
                <w:w w:val="99"/>
                <w:kern w:val="2"/>
                <w:sz w:val="21"/>
                <w:szCs w:val="21"/>
                <w:highlight w:val="none"/>
              </w:rPr>
              <w:t>7</w:t>
            </w:r>
          </w:p>
        </w:tc>
        <w:tc>
          <w:tcPr>
            <w:tcW w:w="1422" w:type="dxa"/>
            <w:tcBorders>
              <w:top w:val="single" w:color="000000" w:sz="4" w:space="0"/>
              <w:left w:val="single" w:color="000000" w:sz="4" w:space="0"/>
              <w:bottom w:val="single" w:color="000000" w:sz="4" w:space="0"/>
              <w:right w:val="single" w:color="000000" w:sz="4" w:space="0"/>
            </w:tcBorders>
            <w:vAlign w:val="center"/>
          </w:tcPr>
          <w:p w14:paraId="3205B699">
            <w:pPr>
              <w:pStyle w:val="58"/>
              <w:jc w:val="center"/>
              <w:rPr>
                <w:rFonts w:hint="eastAsia" w:ascii="宋体" w:hAnsi="宋体" w:cs="宋体"/>
                <w:color w:val="auto"/>
                <w:kern w:val="2"/>
                <w:sz w:val="21"/>
                <w:szCs w:val="21"/>
                <w:highlight w:val="none"/>
              </w:rPr>
            </w:pPr>
            <w:r>
              <w:rPr>
                <w:rFonts w:hint="eastAsia" w:ascii="宋体" w:hAnsi="宋体" w:cs="仿宋_GB2312"/>
                <w:color w:val="auto"/>
                <w:kern w:val="2"/>
                <w:sz w:val="21"/>
                <w:szCs w:val="21"/>
                <w:highlight w:val="none"/>
              </w:rPr>
              <w:t>A02060100</w:t>
            </w:r>
            <w:r>
              <w:rPr>
                <w:rFonts w:hint="eastAsia" w:ascii="宋体" w:hAnsi="宋体" w:cs="宋体"/>
                <w:color w:val="auto"/>
                <w:w w:val="99"/>
                <w:kern w:val="2"/>
                <w:sz w:val="21"/>
                <w:szCs w:val="21"/>
                <w:highlight w:val="none"/>
              </w:rPr>
              <w:t>电机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203AE8B8">
            <w:pPr>
              <w:jc w:val="center"/>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EFEAC38">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5B219DDC">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《中小型三相异步电动机能效限定值及能效等级》（GB18613）</w:t>
            </w:r>
          </w:p>
        </w:tc>
      </w:tr>
      <w:tr w14:paraId="0583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9DD141B">
            <w:pPr>
              <w:pStyle w:val="58"/>
              <w:ind w:right="1"/>
              <w:jc w:val="center"/>
              <w:rPr>
                <w:rFonts w:hint="eastAsia" w:ascii="宋体" w:hAnsi="宋体" w:cs="宋体"/>
                <w:color w:val="auto"/>
                <w:kern w:val="2"/>
                <w:sz w:val="21"/>
                <w:szCs w:val="21"/>
                <w:highlight w:val="none"/>
              </w:rPr>
            </w:pPr>
            <w:r>
              <w:rPr>
                <w:rFonts w:hint="eastAsia" w:ascii="宋体" w:hAnsi="宋体"/>
                <w:color w:val="auto"/>
                <w:w w:val="99"/>
                <w:kern w:val="2"/>
                <w:sz w:val="21"/>
                <w:szCs w:val="21"/>
                <w:highlight w:val="none"/>
              </w:rPr>
              <w:t>8</w:t>
            </w:r>
          </w:p>
        </w:tc>
        <w:tc>
          <w:tcPr>
            <w:tcW w:w="1422" w:type="dxa"/>
            <w:tcBorders>
              <w:top w:val="single" w:color="000000" w:sz="4" w:space="0"/>
              <w:left w:val="single" w:color="000000" w:sz="4" w:space="0"/>
              <w:bottom w:val="single" w:color="000000" w:sz="4" w:space="0"/>
              <w:right w:val="single" w:color="000000" w:sz="4" w:space="0"/>
            </w:tcBorders>
            <w:vAlign w:val="center"/>
          </w:tcPr>
          <w:p w14:paraId="415929DF">
            <w:pPr>
              <w:pStyle w:val="58"/>
              <w:spacing w:before="30"/>
              <w:ind w:left="7"/>
              <w:jc w:val="center"/>
              <w:rPr>
                <w:rFonts w:hint="eastAsia" w:ascii="宋体" w:hAnsi="宋体" w:cs="宋体"/>
                <w:color w:val="auto"/>
                <w:kern w:val="2"/>
                <w:sz w:val="21"/>
                <w:szCs w:val="21"/>
                <w:highlight w:val="none"/>
              </w:rPr>
            </w:pPr>
            <w:r>
              <w:rPr>
                <w:rFonts w:hint="eastAsia" w:ascii="宋体" w:hAnsi="宋体" w:cs="仿宋_GB2312"/>
                <w:color w:val="auto"/>
                <w:kern w:val="2"/>
                <w:sz w:val="21"/>
                <w:szCs w:val="21"/>
                <w:highlight w:val="none"/>
              </w:rPr>
              <w:t>A02060200</w:t>
            </w:r>
            <w:r>
              <w:rPr>
                <w:rFonts w:hint="eastAsia" w:ascii="宋体" w:hAnsi="宋体" w:cs="宋体"/>
                <w:color w:val="auto"/>
                <w:w w:val="99"/>
                <w:kern w:val="2"/>
                <w:sz w:val="21"/>
                <w:szCs w:val="21"/>
                <w:highlight w:val="none"/>
              </w:rPr>
              <w:t>变压</w:t>
            </w:r>
          </w:p>
        </w:tc>
        <w:tc>
          <w:tcPr>
            <w:tcW w:w="1496" w:type="dxa"/>
            <w:tcBorders>
              <w:top w:val="single" w:color="000000" w:sz="4" w:space="0"/>
              <w:left w:val="single" w:color="000000" w:sz="4" w:space="0"/>
              <w:bottom w:val="single" w:color="000000" w:sz="4" w:space="0"/>
              <w:right w:val="single" w:color="000000" w:sz="4" w:space="0"/>
            </w:tcBorders>
            <w:vAlign w:val="center"/>
          </w:tcPr>
          <w:p w14:paraId="14A83697">
            <w:pPr>
              <w:pStyle w:val="58"/>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配电变压器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14430BE2">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6B2BAC73">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《三相配电变压器能效限定值及能效等级》（GB 20052）</w:t>
            </w:r>
          </w:p>
        </w:tc>
      </w:tr>
      <w:tr w14:paraId="37B4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584348E">
            <w:pPr>
              <w:pStyle w:val="58"/>
              <w:ind w:right="1"/>
              <w:jc w:val="center"/>
              <w:rPr>
                <w:rFonts w:hint="eastAsia" w:ascii="宋体" w:hAnsi="宋体" w:cs="宋体"/>
                <w:color w:val="auto"/>
                <w:kern w:val="2"/>
                <w:sz w:val="21"/>
                <w:szCs w:val="21"/>
                <w:highlight w:val="none"/>
              </w:rPr>
            </w:pPr>
            <w:r>
              <w:rPr>
                <w:rFonts w:hint="eastAsia" w:ascii="宋体" w:hAnsi="宋体"/>
                <w:color w:val="auto"/>
                <w:w w:val="99"/>
                <w:kern w:val="2"/>
                <w:sz w:val="21"/>
                <w:szCs w:val="21"/>
                <w:highlight w:val="none"/>
              </w:rPr>
              <w:t>9</w:t>
            </w:r>
          </w:p>
        </w:tc>
        <w:tc>
          <w:tcPr>
            <w:tcW w:w="1422" w:type="dxa"/>
            <w:tcBorders>
              <w:top w:val="single" w:color="000000" w:sz="4" w:space="0"/>
              <w:left w:val="single" w:color="000000" w:sz="4" w:space="0"/>
              <w:bottom w:val="single" w:color="000000" w:sz="4" w:space="0"/>
              <w:right w:val="single" w:color="000000" w:sz="4" w:space="0"/>
            </w:tcBorders>
            <w:vAlign w:val="center"/>
          </w:tcPr>
          <w:p w14:paraId="5BE0F9A9">
            <w:pPr>
              <w:pStyle w:val="58"/>
              <w:spacing w:before="126"/>
              <w:ind w:left="7"/>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60D6AC92">
            <w:pPr>
              <w:pStyle w:val="58"/>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管型荧光灯镇流器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26A757A0">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7CD94EE4">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《管形荧光灯镇流器能效限定值及能效等级》（GB17896）</w:t>
            </w:r>
          </w:p>
        </w:tc>
      </w:tr>
      <w:tr w14:paraId="4E1B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2308FEC1">
            <w:pPr>
              <w:pStyle w:val="58"/>
              <w:jc w:val="center"/>
              <w:rPr>
                <w:rFonts w:hint="eastAsia" w:ascii="宋体" w:hAnsi="宋体" w:cs="宋体"/>
                <w:color w:val="auto"/>
                <w:kern w:val="2"/>
                <w:sz w:val="21"/>
                <w:szCs w:val="21"/>
                <w:highlight w:val="none"/>
              </w:rPr>
            </w:pPr>
            <w:r>
              <w:rPr>
                <w:rFonts w:hint="eastAsia" w:ascii="宋体" w:hAnsi="宋体"/>
                <w:color w:val="auto"/>
                <w:w w:val="99"/>
                <w:kern w:val="2"/>
                <w:sz w:val="21"/>
                <w:szCs w:val="21"/>
                <w:highlight w:val="none"/>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2B220762">
            <w:pPr>
              <w:pStyle w:val="58"/>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53820933">
            <w:pPr>
              <w:pStyle w:val="58"/>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A02061801电冰箱</w:t>
            </w:r>
          </w:p>
        </w:tc>
        <w:tc>
          <w:tcPr>
            <w:tcW w:w="1481" w:type="dxa"/>
            <w:tcBorders>
              <w:top w:val="single" w:color="000000" w:sz="4" w:space="0"/>
              <w:left w:val="single" w:color="000000" w:sz="4" w:space="0"/>
              <w:bottom w:val="single" w:color="000000" w:sz="4" w:space="0"/>
              <w:right w:val="single" w:color="000000" w:sz="4" w:space="0"/>
            </w:tcBorders>
            <w:vAlign w:val="center"/>
          </w:tcPr>
          <w:p w14:paraId="3EA7D81F">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481AFAFF">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《家用电冰箱耗电量限定值及能效等级》（GB12021.2）</w:t>
            </w:r>
          </w:p>
        </w:tc>
      </w:tr>
      <w:tr w14:paraId="0C96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2022449B">
            <w:pPr>
              <w:widowControl/>
              <w:jc w:val="left"/>
              <w:rPr>
                <w:rFonts w:hint="eastAsia"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DAEA9A6">
            <w:pPr>
              <w:widowControl/>
              <w:jc w:val="left"/>
              <w:rPr>
                <w:rFonts w:hint="eastAsia"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10AF401E">
            <w:pPr>
              <w:pStyle w:val="58"/>
              <w:spacing w:before="171"/>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A02061804</w:t>
            </w:r>
            <w:r>
              <w:rPr>
                <w:rFonts w:hint="eastAsia" w:ascii="宋体" w:hAnsi="宋体" w:cs="宋体"/>
                <w:color w:val="auto"/>
                <w:w w:val="99"/>
                <w:kern w:val="2"/>
                <w:sz w:val="21"/>
                <w:szCs w:val="21"/>
                <w:highlight w:val="none"/>
              </w:rPr>
              <w:t>空调机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2E3B6736">
            <w:pPr>
              <w:pStyle w:val="58"/>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房间空气调节器</w:t>
            </w:r>
          </w:p>
        </w:tc>
        <w:tc>
          <w:tcPr>
            <w:tcW w:w="3452" w:type="dxa"/>
            <w:tcBorders>
              <w:top w:val="single" w:color="000000" w:sz="4" w:space="0"/>
              <w:left w:val="single" w:color="000000" w:sz="4" w:space="0"/>
              <w:bottom w:val="single" w:color="000000" w:sz="4" w:space="0"/>
              <w:right w:val="single" w:color="000000" w:sz="4" w:space="0"/>
            </w:tcBorders>
          </w:tcPr>
          <w:p w14:paraId="37F351D1">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《房间空气调节器能效限定值及能效等级》（GB21455-2019）</w:t>
            </w:r>
          </w:p>
        </w:tc>
      </w:tr>
      <w:tr w14:paraId="5F3C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0866C944">
            <w:pPr>
              <w:widowControl/>
              <w:jc w:val="left"/>
              <w:rPr>
                <w:rFonts w:hint="eastAsia"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6A43F517">
            <w:pPr>
              <w:widowControl/>
              <w:jc w:val="left"/>
              <w:rPr>
                <w:rFonts w:hint="eastAsia"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4C1E66D2">
            <w:pPr>
              <w:widowControl/>
              <w:jc w:val="left"/>
              <w:rPr>
                <w:rFonts w:hint="eastAsia"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455B5C9B">
            <w:pPr>
              <w:pStyle w:val="58"/>
              <w:spacing w:before="4" w:line="276" w:lineRule="auto"/>
              <w:ind w:left="7" w:right="7"/>
              <w:jc w:val="center"/>
              <w:rPr>
                <w:rFonts w:hint="eastAsia"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 14000W）</w:t>
            </w:r>
          </w:p>
        </w:tc>
        <w:tc>
          <w:tcPr>
            <w:tcW w:w="3452" w:type="dxa"/>
            <w:tcBorders>
              <w:top w:val="single" w:color="000000" w:sz="4" w:space="0"/>
              <w:left w:val="single" w:color="000000" w:sz="4" w:space="0"/>
              <w:bottom w:val="single" w:color="000000" w:sz="4" w:space="0"/>
              <w:right w:val="single" w:color="000000" w:sz="4" w:space="0"/>
            </w:tcBorders>
          </w:tcPr>
          <w:p w14:paraId="5CFC89BD">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《多联式空调（热泵）机组能效限定值及能源效率等级》（GB21454）</w:t>
            </w:r>
          </w:p>
        </w:tc>
      </w:tr>
      <w:tr w14:paraId="054F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0402AB7">
            <w:pPr>
              <w:widowControl/>
              <w:jc w:val="left"/>
              <w:rPr>
                <w:rFonts w:hint="eastAsia"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8B3864B">
            <w:pPr>
              <w:widowControl/>
              <w:jc w:val="left"/>
              <w:rPr>
                <w:rFonts w:hint="eastAsia"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1A33E6F5">
            <w:pPr>
              <w:widowControl/>
              <w:jc w:val="left"/>
              <w:rPr>
                <w:rFonts w:hint="eastAsia"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542FF448">
            <w:pPr>
              <w:pStyle w:val="58"/>
              <w:jc w:val="center"/>
              <w:rPr>
                <w:rFonts w:hint="eastAsia"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单元式空气调节机（制冷量≤ 14000W）</w:t>
            </w:r>
          </w:p>
        </w:tc>
        <w:tc>
          <w:tcPr>
            <w:tcW w:w="3452" w:type="dxa"/>
            <w:tcBorders>
              <w:top w:val="single" w:color="000000" w:sz="4" w:space="0"/>
              <w:left w:val="single" w:color="000000" w:sz="4" w:space="0"/>
              <w:bottom w:val="single" w:color="000000" w:sz="4" w:space="0"/>
              <w:right w:val="single" w:color="000000" w:sz="4" w:space="0"/>
            </w:tcBorders>
          </w:tcPr>
          <w:p w14:paraId="4EBB5F99">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《单元式空气调节机能效限定值及能源效率等级》（GB19576）《风管送风式空调机组能效限定值及能效等级》（GB37479）</w:t>
            </w:r>
          </w:p>
        </w:tc>
      </w:tr>
      <w:tr w14:paraId="4D4E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DECA2A6">
            <w:pPr>
              <w:widowControl/>
              <w:jc w:val="left"/>
              <w:rPr>
                <w:rFonts w:hint="eastAsia"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0A288B75">
            <w:pPr>
              <w:widowControl/>
              <w:jc w:val="left"/>
              <w:rPr>
                <w:rFonts w:hint="eastAsia"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07AB01D">
            <w:pPr>
              <w:pStyle w:val="58"/>
              <w:spacing w:before="162"/>
              <w:ind w:left="7"/>
              <w:jc w:val="center"/>
              <w:rPr>
                <w:rFonts w:hint="eastAsia" w:ascii="宋体" w:hAnsi="宋体" w:cs="宋体"/>
                <w:color w:val="auto"/>
                <w:kern w:val="2"/>
                <w:sz w:val="21"/>
                <w:szCs w:val="21"/>
                <w:highlight w:val="none"/>
              </w:rPr>
            </w:pPr>
            <w:r>
              <w:rPr>
                <w:rFonts w:hint="eastAsia" w:ascii="宋体" w:hAnsi="宋体" w:cs="仿宋_GB2312"/>
                <w:color w:val="auto"/>
                <w:kern w:val="2"/>
                <w:sz w:val="21"/>
                <w:szCs w:val="21"/>
                <w:highlight w:val="none"/>
              </w:rPr>
              <w:t>A02061810</w:t>
            </w:r>
            <w:r>
              <w:rPr>
                <w:rFonts w:hint="eastAsia" w:ascii="宋体" w:hAnsi="宋体" w:cs="宋体"/>
                <w:color w:val="auto"/>
                <w:w w:val="99"/>
                <w:kern w:val="2"/>
                <w:sz w:val="21"/>
                <w:szCs w:val="21"/>
                <w:highlight w:val="none"/>
              </w:rPr>
              <w:t>洗衣机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0DC3339C">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149FB0CE">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《电动洗衣机能效水效限定值及等级》（GB12021.4）</w:t>
            </w:r>
          </w:p>
        </w:tc>
      </w:tr>
      <w:tr w14:paraId="319A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5987F61C">
            <w:pPr>
              <w:widowControl/>
              <w:jc w:val="left"/>
              <w:rPr>
                <w:rFonts w:hint="eastAsia"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4FF97DF1">
            <w:pPr>
              <w:widowControl/>
              <w:jc w:val="left"/>
              <w:rPr>
                <w:rFonts w:hint="eastAsia"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161645D">
            <w:pPr>
              <w:pStyle w:val="58"/>
              <w:spacing w:before="161"/>
              <w:jc w:val="center"/>
              <w:rPr>
                <w:rFonts w:hint="eastAsia" w:ascii="宋体" w:hAnsi="宋体" w:cs="宋体"/>
                <w:color w:val="auto"/>
                <w:kern w:val="2"/>
                <w:sz w:val="21"/>
                <w:szCs w:val="21"/>
                <w:highlight w:val="none"/>
              </w:rPr>
            </w:pPr>
            <w:r>
              <w:rPr>
                <w:rFonts w:hint="eastAsia" w:ascii="宋体" w:hAnsi="宋体" w:cs="仿宋_GB2312"/>
                <w:color w:val="auto"/>
                <w:kern w:val="2"/>
                <w:sz w:val="21"/>
                <w:szCs w:val="21"/>
                <w:highlight w:val="none"/>
              </w:rPr>
              <w:t>A02061819</w:t>
            </w:r>
            <w:r>
              <w:rPr>
                <w:rFonts w:hint="eastAsia" w:ascii="宋体" w:hAnsi="宋体" w:cs="宋体"/>
                <w:color w:val="auto"/>
                <w:w w:val="99"/>
                <w:kern w:val="2"/>
                <w:sz w:val="21"/>
                <w:szCs w:val="21"/>
                <w:highlight w:val="none"/>
              </w:rPr>
              <w:t>热水器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00540726">
            <w:pPr>
              <w:pStyle w:val="58"/>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tcPr>
          <w:p w14:paraId="32A2FB99">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《储水式电热水器能效限定值及能效等级》（GB21519）</w:t>
            </w:r>
          </w:p>
        </w:tc>
      </w:tr>
      <w:tr w14:paraId="64F2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1C68E149">
            <w:pPr>
              <w:widowControl/>
              <w:jc w:val="left"/>
              <w:rPr>
                <w:rFonts w:hint="eastAsia"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E9762CA">
            <w:pPr>
              <w:widowControl/>
              <w:jc w:val="left"/>
              <w:rPr>
                <w:rFonts w:hint="eastAsia"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10B5E535">
            <w:pPr>
              <w:widowControl/>
              <w:jc w:val="left"/>
              <w:rPr>
                <w:rFonts w:hint="eastAsia"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D26E59E">
            <w:pPr>
              <w:pStyle w:val="58"/>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燃气热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tcPr>
          <w:p w14:paraId="48439D30">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《家用燃气快速热水器和燃气采暖热水炉能效限定值及能效等级》（GB20665）</w:t>
            </w:r>
          </w:p>
        </w:tc>
      </w:tr>
      <w:tr w14:paraId="37BE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373CEB3D">
            <w:pPr>
              <w:widowControl/>
              <w:jc w:val="left"/>
              <w:rPr>
                <w:rFonts w:hint="eastAsia"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7196398">
            <w:pPr>
              <w:widowControl/>
              <w:jc w:val="left"/>
              <w:rPr>
                <w:rFonts w:hint="eastAsia"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640E8F4A">
            <w:pPr>
              <w:widowControl/>
              <w:jc w:val="left"/>
              <w:rPr>
                <w:rFonts w:hint="eastAsia"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1D9BF841">
            <w:pPr>
              <w:pStyle w:val="58"/>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热泵热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tcPr>
          <w:p w14:paraId="038F9E73">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《热泵热水机（器）能效限定值及能效等级》（GB29541）</w:t>
            </w:r>
          </w:p>
        </w:tc>
      </w:tr>
      <w:tr w14:paraId="3AF8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194A0DC6">
            <w:pPr>
              <w:widowControl/>
              <w:jc w:val="left"/>
              <w:rPr>
                <w:rFonts w:hint="eastAsia"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48FF2AD6">
            <w:pPr>
              <w:widowControl/>
              <w:jc w:val="left"/>
              <w:rPr>
                <w:rFonts w:hint="eastAsia"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001B3FA5">
            <w:pPr>
              <w:widowControl/>
              <w:jc w:val="left"/>
              <w:rPr>
                <w:rFonts w:hint="eastAsia"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0653FA2">
            <w:pPr>
              <w:pStyle w:val="58"/>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太阳能</w:t>
            </w:r>
            <w:r>
              <w:rPr>
                <w:rFonts w:hint="eastAsia" w:ascii="宋体" w:hAnsi="宋体" w:cs="宋体"/>
                <w:color w:val="auto"/>
                <w:spacing w:val="2"/>
                <w:w w:val="99"/>
                <w:kern w:val="2"/>
                <w:sz w:val="21"/>
                <w:szCs w:val="21"/>
                <w:highlight w:val="none"/>
              </w:rPr>
              <w:t>热</w:t>
            </w:r>
            <w:r>
              <w:rPr>
                <w:rFonts w:hint="eastAsia" w:ascii="宋体" w:hAnsi="宋体" w:cs="宋体"/>
                <w:color w:val="auto"/>
                <w:w w:val="99"/>
                <w:kern w:val="2"/>
                <w:sz w:val="21"/>
                <w:szCs w:val="21"/>
                <w:highlight w:val="none"/>
              </w:rPr>
              <w:t>水系统</w:t>
            </w:r>
          </w:p>
        </w:tc>
        <w:tc>
          <w:tcPr>
            <w:tcW w:w="3452" w:type="dxa"/>
            <w:tcBorders>
              <w:top w:val="single" w:color="000000" w:sz="4" w:space="0"/>
              <w:left w:val="single" w:color="000000" w:sz="4" w:space="0"/>
              <w:bottom w:val="single" w:color="000000" w:sz="4" w:space="0"/>
              <w:right w:val="single" w:color="000000" w:sz="4" w:space="0"/>
            </w:tcBorders>
          </w:tcPr>
          <w:p w14:paraId="37470784">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《家用太阳能热水系统能效限定值及能效等级》（GB26969）</w:t>
            </w:r>
          </w:p>
        </w:tc>
      </w:tr>
      <w:tr w14:paraId="4216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5A8E1F70">
            <w:pPr>
              <w:pStyle w:val="58"/>
              <w:jc w:val="center"/>
              <w:rPr>
                <w:rFonts w:hint="eastAsia"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1958FB69">
            <w:pPr>
              <w:pStyle w:val="58"/>
              <w:spacing w:before="157"/>
              <w:jc w:val="center"/>
              <w:rPr>
                <w:rFonts w:hint="eastAsia"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06</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900照明设备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05B197F5">
            <w:pPr>
              <w:pStyle w:val="58"/>
              <w:spacing w:before="133" w:line="276" w:lineRule="auto"/>
              <w:ind w:left="7" w:right="7"/>
              <w:jc w:val="center"/>
              <w:rPr>
                <w:rFonts w:hint="eastAsia"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★普通照明用双端荧光灯</w:t>
            </w:r>
          </w:p>
        </w:tc>
        <w:tc>
          <w:tcPr>
            <w:tcW w:w="1481" w:type="dxa"/>
            <w:tcBorders>
              <w:top w:val="single" w:color="000000" w:sz="4" w:space="0"/>
              <w:left w:val="single" w:color="000000" w:sz="4" w:space="0"/>
              <w:bottom w:val="single" w:color="000000" w:sz="4" w:space="0"/>
              <w:right w:val="single" w:color="000000" w:sz="4" w:space="0"/>
            </w:tcBorders>
            <w:vAlign w:val="center"/>
          </w:tcPr>
          <w:p w14:paraId="091F36F2">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0D8BAA73">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《普通照明用双端荧光灯能效限定值及能效等级》（GB19043）</w:t>
            </w:r>
          </w:p>
        </w:tc>
      </w:tr>
      <w:tr w14:paraId="26FE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7A9DE7AA">
            <w:pPr>
              <w:widowControl/>
              <w:jc w:val="left"/>
              <w:rPr>
                <w:rFonts w:hint="eastAsia"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6CD4F89">
            <w:pPr>
              <w:widowControl/>
              <w:jc w:val="left"/>
              <w:rPr>
                <w:rFonts w:hint="eastAsia"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D70E81A">
            <w:pPr>
              <w:pStyle w:val="58"/>
              <w:spacing w:before="92" w:line="276" w:lineRule="auto"/>
              <w:ind w:left="7" w:right="2"/>
              <w:jc w:val="center"/>
              <w:rPr>
                <w:rFonts w:hint="eastAsia"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w:t>
            </w:r>
            <w:r>
              <w:rPr>
                <w:rFonts w:hint="eastAsia" w:ascii="宋体" w:hAnsi="宋体" w:cs="宋体"/>
                <w:color w:val="auto"/>
                <w:spacing w:val="12"/>
                <w:w w:val="99"/>
                <w:kern w:val="2"/>
                <w:sz w:val="21"/>
                <w:szCs w:val="21"/>
                <w:highlight w:val="none"/>
              </w:rPr>
              <w:t>道</w:t>
            </w:r>
            <w:r>
              <w:rPr>
                <w:rFonts w:hint="eastAsia" w:ascii="宋体" w:hAnsi="宋体" w:cs="宋体"/>
                <w:color w:val="auto"/>
                <w:spacing w:val="9"/>
                <w:w w:val="99"/>
                <w:kern w:val="2"/>
                <w:sz w:val="21"/>
                <w:szCs w:val="21"/>
                <w:highlight w:val="none"/>
              </w:rPr>
              <w:t>路</w:t>
            </w:r>
            <w:r>
              <w:rPr>
                <w:rFonts w:hint="eastAsia" w:ascii="宋体" w:hAnsi="宋体" w:cs="宋体"/>
                <w:color w:val="auto"/>
                <w:spacing w:val="13"/>
                <w:w w:val="99"/>
                <w:kern w:val="2"/>
                <w:sz w:val="21"/>
                <w:szCs w:val="21"/>
                <w:highlight w:val="none"/>
              </w:rPr>
              <w:t>/</w:t>
            </w:r>
            <w:r>
              <w:rPr>
                <w:rFonts w:hint="eastAsia" w:ascii="宋体" w:hAnsi="宋体" w:cs="宋体"/>
                <w:color w:val="auto"/>
                <w:spacing w:val="12"/>
                <w:w w:val="99"/>
                <w:kern w:val="2"/>
                <w:sz w:val="21"/>
                <w:szCs w:val="21"/>
                <w:highlight w:val="none"/>
              </w:rPr>
              <w:t>隧道照</w:t>
            </w:r>
            <w:r>
              <w:rPr>
                <w:rFonts w:hint="eastAsia" w:ascii="宋体" w:hAnsi="宋体" w:cs="宋体"/>
                <w:color w:val="auto"/>
                <w:w w:val="99"/>
                <w:kern w:val="2"/>
                <w:sz w:val="21"/>
                <w:szCs w:val="21"/>
                <w:highlight w:val="none"/>
              </w:rPr>
              <w:t>明产品</w:t>
            </w:r>
          </w:p>
        </w:tc>
        <w:tc>
          <w:tcPr>
            <w:tcW w:w="1481" w:type="dxa"/>
            <w:tcBorders>
              <w:top w:val="single" w:color="000000" w:sz="4" w:space="0"/>
              <w:left w:val="single" w:color="000000" w:sz="4" w:space="0"/>
              <w:bottom w:val="single" w:color="000000" w:sz="4" w:space="0"/>
              <w:right w:val="single" w:color="000000" w:sz="4" w:space="0"/>
            </w:tcBorders>
            <w:vAlign w:val="center"/>
          </w:tcPr>
          <w:p w14:paraId="4F85032A">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3CD7344E">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《道路和隧道照明用LED灯具能效限定值及能效等级》（GB37478）</w:t>
            </w:r>
          </w:p>
        </w:tc>
      </w:tr>
      <w:tr w14:paraId="5245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093D2CE1">
            <w:pPr>
              <w:widowControl/>
              <w:jc w:val="left"/>
              <w:rPr>
                <w:rFonts w:hint="eastAsia"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0AEF5B01">
            <w:pPr>
              <w:widowControl/>
              <w:jc w:val="left"/>
              <w:rPr>
                <w:rFonts w:hint="eastAsia"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B82EFBC">
            <w:pPr>
              <w:pStyle w:val="58"/>
              <w:jc w:val="center"/>
              <w:rPr>
                <w:rFonts w:hint="eastAsia"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D筒灯</w:t>
            </w:r>
          </w:p>
        </w:tc>
        <w:tc>
          <w:tcPr>
            <w:tcW w:w="1481" w:type="dxa"/>
            <w:tcBorders>
              <w:top w:val="single" w:color="000000" w:sz="4" w:space="0"/>
              <w:left w:val="single" w:color="000000" w:sz="4" w:space="0"/>
              <w:bottom w:val="single" w:color="000000" w:sz="4" w:space="0"/>
              <w:right w:val="single" w:color="000000" w:sz="4" w:space="0"/>
            </w:tcBorders>
            <w:vAlign w:val="center"/>
          </w:tcPr>
          <w:p w14:paraId="0933C5E2">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223B26A0">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《室内照明用LED产品能效限定值及能效等级》（GB30255）</w:t>
            </w:r>
          </w:p>
        </w:tc>
      </w:tr>
      <w:tr w14:paraId="3BC4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52104D2C">
            <w:pPr>
              <w:widowControl/>
              <w:jc w:val="left"/>
              <w:rPr>
                <w:rFonts w:hint="eastAsia"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66D7370">
            <w:pPr>
              <w:widowControl/>
              <w:jc w:val="left"/>
              <w:rPr>
                <w:rFonts w:hint="eastAsia"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FF28374">
            <w:pPr>
              <w:pStyle w:val="58"/>
              <w:spacing w:line="276" w:lineRule="auto"/>
              <w:ind w:right="7"/>
              <w:jc w:val="center"/>
              <w:rPr>
                <w:rFonts w:hint="eastAsia"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w:t>
            </w:r>
            <w:r>
              <w:rPr>
                <w:rFonts w:hint="eastAsia" w:ascii="宋体" w:hAnsi="宋体" w:cs="宋体"/>
                <w:color w:val="auto"/>
                <w:spacing w:val="24"/>
                <w:w w:val="99"/>
                <w:kern w:val="2"/>
                <w:sz w:val="21"/>
                <w:szCs w:val="21"/>
                <w:highlight w:val="none"/>
                <w:lang w:eastAsia="zh-CN"/>
              </w:rPr>
              <w:t>通</w:t>
            </w:r>
            <w:r>
              <w:rPr>
                <w:rFonts w:hint="eastAsia" w:ascii="宋体" w:hAnsi="宋体" w:cs="宋体"/>
                <w:color w:val="auto"/>
                <w:w w:val="99"/>
                <w:kern w:val="2"/>
                <w:sz w:val="21"/>
                <w:szCs w:val="21"/>
                <w:highlight w:val="none"/>
                <w:lang w:eastAsia="zh-CN"/>
              </w:rPr>
              <w:t>照明用非</w:t>
            </w:r>
            <w:r>
              <w:rPr>
                <w:rFonts w:hint="eastAsia" w:ascii="宋体" w:hAnsi="宋体" w:cs="宋体"/>
                <w:color w:val="auto"/>
                <w:spacing w:val="24"/>
                <w:w w:val="99"/>
                <w:kern w:val="2"/>
                <w:sz w:val="21"/>
                <w:szCs w:val="21"/>
                <w:highlight w:val="none"/>
                <w:lang w:eastAsia="zh-CN"/>
              </w:rPr>
              <w:t>定</w:t>
            </w:r>
            <w:r>
              <w:rPr>
                <w:rFonts w:hint="eastAsia" w:ascii="宋体" w:hAnsi="宋体" w:cs="宋体"/>
                <w:color w:val="auto"/>
                <w:w w:val="99"/>
                <w:kern w:val="2"/>
                <w:sz w:val="21"/>
                <w:szCs w:val="21"/>
                <w:highlight w:val="none"/>
                <w:lang w:eastAsia="zh-CN"/>
              </w:rPr>
              <w:t>向自镇流</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D灯</w:t>
            </w:r>
          </w:p>
        </w:tc>
        <w:tc>
          <w:tcPr>
            <w:tcW w:w="1481" w:type="dxa"/>
            <w:tcBorders>
              <w:top w:val="single" w:color="000000" w:sz="4" w:space="0"/>
              <w:left w:val="single" w:color="000000" w:sz="4" w:space="0"/>
              <w:bottom w:val="single" w:color="000000" w:sz="4" w:space="0"/>
              <w:right w:val="single" w:color="000000" w:sz="4" w:space="0"/>
            </w:tcBorders>
            <w:vAlign w:val="center"/>
          </w:tcPr>
          <w:p w14:paraId="55A9C4F8">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6CF63109">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《室内照明用LED产品能效限定值及能效等级》（GB30255）</w:t>
            </w:r>
          </w:p>
        </w:tc>
      </w:tr>
      <w:tr w14:paraId="0FF1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F74DCBC">
            <w:pPr>
              <w:pStyle w:val="58"/>
              <w:jc w:val="center"/>
              <w:rPr>
                <w:rFonts w:hint="eastAsia"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2</w:t>
            </w:r>
          </w:p>
        </w:tc>
        <w:tc>
          <w:tcPr>
            <w:tcW w:w="1422" w:type="dxa"/>
            <w:tcBorders>
              <w:top w:val="single" w:color="000000" w:sz="4" w:space="0"/>
              <w:left w:val="single" w:color="000000" w:sz="4" w:space="0"/>
              <w:bottom w:val="single" w:color="000000" w:sz="4" w:space="0"/>
              <w:right w:val="single" w:color="000000" w:sz="4" w:space="0"/>
            </w:tcBorders>
            <w:vAlign w:val="center"/>
          </w:tcPr>
          <w:p w14:paraId="7144F85A">
            <w:pPr>
              <w:pStyle w:val="58"/>
              <w:spacing w:before="81"/>
              <w:ind w:left="7"/>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7DF88FCD">
            <w:pPr>
              <w:pStyle w:val="58"/>
              <w:spacing w:before="81" w:line="276" w:lineRule="auto"/>
              <w:ind w:left="7" w:right="5"/>
              <w:jc w:val="center"/>
              <w:rPr>
                <w:rFonts w:hint="eastAsia" w:ascii="宋体" w:hAnsi="宋体" w:cs="宋体"/>
                <w:color w:val="auto"/>
                <w:kern w:val="2"/>
                <w:sz w:val="21"/>
                <w:szCs w:val="21"/>
                <w:highlight w:val="none"/>
                <w:lang w:eastAsia="zh-CN"/>
              </w:rPr>
            </w:pPr>
            <w:r>
              <w:rPr>
                <w:rFonts w:hint="eastAsia" w:ascii="宋体" w:hAnsi="宋体" w:cs="宋体"/>
                <w:color w:val="auto"/>
                <w:spacing w:val="1"/>
                <w:w w:val="99"/>
                <w:kern w:val="2"/>
                <w:sz w:val="21"/>
                <w:szCs w:val="21"/>
                <w:highlight w:val="none"/>
                <w:lang w:eastAsia="zh-CN"/>
              </w:rPr>
              <w:t>A02</w:t>
            </w:r>
            <w:r>
              <w:rPr>
                <w:rFonts w:hint="eastAsia" w:ascii="宋体" w:hAnsi="宋体" w:cs="宋体"/>
                <w:color w:val="auto"/>
                <w:w w:val="99"/>
                <w:kern w:val="2"/>
                <w:sz w:val="21"/>
                <w:szCs w:val="21"/>
                <w:highlight w:val="none"/>
                <w:lang w:eastAsia="zh-CN"/>
              </w:rPr>
              <w:t>09</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001普通电视设备（</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43B19619">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0ED802D8">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《平板电视能效限定值及能效等级》（GB24850）</w:t>
            </w:r>
          </w:p>
        </w:tc>
      </w:tr>
      <w:tr w14:paraId="5C9A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AC7ED79">
            <w:pPr>
              <w:pStyle w:val="58"/>
              <w:jc w:val="center"/>
              <w:rPr>
                <w:rFonts w:hint="eastAsia"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72EE17DE">
            <w:pPr>
              <w:pStyle w:val="58"/>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3316827B">
            <w:pPr>
              <w:pStyle w:val="58"/>
              <w:spacing w:line="276" w:lineRule="auto"/>
              <w:ind w:right="5"/>
              <w:jc w:val="center"/>
              <w:rPr>
                <w:rFonts w:hint="eastAsia"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09</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107视频监控设备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019872A4">
            <w:pPr>
              <w:pStyle w:val="58"/>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监视器</w:t>
            </w:r>
          </w:p>
        </w:tc>
        <w:tc>
          <w:tcPr>
            <w:tcW w:w="3452" w:type="dxa"/>
            <w:tcBorders>
              <w:top w:val="single" w:color="000000" w:sz="4" w:space="0"/>
              <w:left w:val="single" w:color="000000" w:sz="4" w:space="0"/>
              <w:bottom w:val="single" w:color="000000" w:sz="4" w:space="0"/>
              <w:right w:val="single" w:color="000000" w:sz="4" w:space="0"/>
            </w:tcBorders>
          </w:tcPr>
          <w:p w14:paraId="5072BBC5">
            <w:pPr>
              <w:pStyle w:val="58"/>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14:paraId="3E22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56018B2">
            <w:pPr>
              <w:pStyle w:val="58"/>
              <w:jc w:val="center"/>
              <w:rPr>
                <w:rFonts w:hint="eastAsia"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72A03A14">
            <w:pPr>
              <w:pStyle w:val="58"/>
              <w:spacing w:before="76"/>
              <w:ind w:left="7"/>
              <w:jc w:val="center"/>
              <w:rPr>
                <w:rFonts w:hint="eastAsia" w:ascii="宋体" w:hAnsi="宋体" w:cs="宋体"/>
                <w:color w:val="auto"/>
                <w:kern w:val="2"/>
                <w:sz w:val="21"/>
                <w:szCs w:val="21"/>
                <w:highlight w:val="none"/>
              </w:rPr>
            </w:pPr>
            <w:r>
              <w:rPr>
                <w:rFonts w:hint="eastAsia" w:ascii="宋体" w:hAnsi="宋体" w:cs="仿宋_GB2312"/>
                <w:color w:val="auto"/>
                <w:kern w:val="2"/>
                <w:sz w:val="21"/>
                <w:szCs w:val="21"/>
                <w:highlight w:val="none"/>
              </w:rPr>
              <w:t>A02241000</w:t>
            </w:r>
            <w:r>
              <w:rPr>
                <w:rFonts w:hint="eastAsia" w:ascii="宋体" w:hAnsi="宋体" w:cs="宋体"/>
                <w:color w:val="auto"/>
                <w:w w:val="99"/>
                <w:kern w:val="2"/>
                <w:sz w:val="21"/>
                <w:szCs w:val="21"/>
                <w:highlight w:val="none"/>
              </w:rPr>
              <w:t>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14:paraId="07E1142B">
            <w:pPr>
              <w:pStyle w:val="58"/>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商用燃</w:t>
            </w:r>
            <w:r>
              <w:rPr>
                <w:rFonts w:hint="eastAsia" w:ascii="宋体" w:hAnsi="宋体" w:cs="宋体"/>
                <w:color w:val="auto"/>
                <w:spacing w:val="2"/>
                <w:w w:val="99"/>
                <w:kern w:val="2"/>
                <w:sz w:val="21"/>
                <w:szCs w:val="21"/>
                <w:highlight w:val="none"/>
              </w:rPr>
              <w:t>气</w:t>
            </w:r>
            <w:r>
              <w:rPr>
                <w:rFonts w:hint="eastAsia" w:ascii="宋体" w:hAnsi="宋体" w:cs="宋体"/>
                <w:color w:val="auto"/>
                <w:w w:val="99"/>
                <w:kern w:val="2"/>
                <w:sz w:val="21"/>
                <w:szCs w:val="21"/>
                <w:highlight w:val="none"/>
              </w:rPr>
              <w:t>灶具</w:t>
            </w:r>
          </w:p>
        </w:tc>
        <w:tc>
          <w:tcPr>
            <w:tcW w:w="1481" w:type="dxa"/>
            <w:tcBorders>
              <w:top w:val="single" w:color="000000" w:sz="4" w:space="0"/>
              <w:left w:val="single" w:color="000000" w:sz="4" w:space="0"/>
              <w:bottom w:val="single" w:color="000000" w:sz="4" w:space="0"/>
              <w:right w:val="single" w:color="000000" w:sz="4" w:space="0"/>
            </w:tcBorders>
            <w:vAlign w:val="center"/>
          </w:tcPr>
          <w:p w14:paraId="60CF75AF">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11E2A008">
            <w:pPr>
              <w:pStyle w:val="58"/>
              <w:spacing w:before="131" w:line="276" w:lineRule="auto"/>
              <w:ind w:left="7" w:right="4"/>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《商用燃气灶具能效限定值及能效等级》（GB30531）</w:t>
            </w:r>
          </w:p>
        </w:tc>
      </w:tr>
      <w:tr w14:paraId="107B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3A057327">
            <w:pPr>
              <w:jc w:val="center"/>
              <w:rPr>
                <w:rFonts w:hint="eastAsia" w:ascii="宋体" w:hAnsi="宋体"/>
                <w:color w:val="auto"/>
                <w:szCs w:val="21"/>
                <w:highlight w:val="none"/>
              </w:rPr>
            </w:pPr>
            <w:r>
              <w:rPr>
                <w:rFonts w:hint="eastAsia" w:ascii="宋体" w:hAnsi="宋体"/>
                <w:color w:val="auto"/>
                <w:szCs w:val="21"/>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7E1F8119">
            <w:pPr>
              <w:pStyle w:val="58"/>
              <w:jc w:val="center"/>
              <w:rPr>
                <w:rFonts w:hint="eastAsia"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A05020105</w:t>
            </w:r>
            <w:r>
              <w:rPr>
                <w:rFonts w:hint="eastAsia" w:ascii="宋体" w:hAnsi="宋体" w:cs="宋体"/>
                <w:color w:val="auto"/>
                <w:w w:val="99"/>
                <w:kern w:val="2"/>
                <w:sz w:val="21"/>
                <w:szCs w:val="21"/>
                <w:highlight w:val="none"/>
              </w:rPr>
              <w:t>便器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19A8856F">
            <w:pPr>
              <w:pStyle w:val="58"/>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坐便器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7113B5C8">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1C31BE48">
            <w:pPr>
              <w:pStyle w:val="58"/>
              <w:spacing w:before="131" w:line="276" w:lineRule="auto"/>
              <w:ind w:left="7" w:right="4"/>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《坐便器水效限定值及水效等级》</w:t>
            </w:r>
          </w:p>
          <w:p w14:paraId="3B5D971D">
            <w:pPr>
              <w:pStyle w:val="58"/>
              <w:spacing w:before="131" w:line="276" w:lineRule="auto"/>
              <w:ind w:left="7" w:right="4"/>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（GB25502）</w:t>
            </w:r>
          </w:p>
        </w:tc>
      </w:tr>
      <w:tr w14:paraId="016D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5BD10CA4">
            <w:pPr>
              <w:widowControl/>
              <w:jc w:val="left"/>
              <w:rPr>
                <w:rFonts w:hint="eastAsia"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DDED27B">
            <w:pPr>
              <w:widowControl/>
              <w:jc w:val="left"/>
              <w:rPr>
                <w:rFonts w:hint="eastAsia" w:ascii="宋体" w:hAnsi="宋体" w:cs="宋体"/>
                <w:color w:val="auto"/>
                <w:w w:val="99"/>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83DAFE4">
            <w:pPr>
              <w:pStyle w:val="58"/>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蹲便器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2191BDBC">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6F288B18">
            <w:pPr>
              <w:pStyle w:val="58"/>
              <w:spacing w:before="131" w:line="276" w:lineRule="auto"/>
              <w:ind w:left="7" w:right="4"/>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《蹲便器用水效率限定值及用水效率等级》（GB30717）</w:t>
            </w:r>
          </w:p>
        </w:tc>
      </w:tr>
      <w:tr w14:paraId="6B63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DE2F105">
            <w:pPr>
              <w:widowControl/>
              <w:jc w:val="left"/>
              <w:rPr>
                <w:rFonts w:hint="eastAsia"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6452DA1">
            <w:pPr>
              <w:widowControl/>
              <w:jc w:val="left"/>
              <w:rPr>
                <w:rFonts w:hint="eastAsia" w:ascii="宋体" w:hAnsi="宋体" w:cs="宋体"/>
                <w:color w:val="auto"/>
                <w:w w:val="99"/>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76F42C23">
            <w:pPr>
              <w:pStyle w:val="58"/>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小便器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104E32D4">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2300A916">
            <w:pPr>
              <w:pStyle w:val="58"/>
              <w:spacing w:before="131" w:line="276" w:lineRule="auto"/>
              <w:ind w:left="7" w:right="4"/>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《小便器用水效率限定值及用水效率等级》（GB28377）</w:t>
            </w:r>
          </w:p>
        </w:tc>
      </w:tr>
      <w:tr w14:paraId="2C26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3818E2E">
            <w:pPr>
              <w:pStyle w:val="58"/>
              <w:jc w:val="center"/>
              <w:rPr>
                <w:rFonts w:hint="eastAsia" w:ascii="宋体" w:hAnsi="宋体" w:cs="宋体"/>
                <w:color w:val="auto"/>
                <w:kern w:val="2"/>
                <w:sz w:val="21"/>
                <w:szCs w:val="21"/>
                <w:highlight w:val="none"/>
              </w:rPr>
            </w:pPr>
            <w:r>
              <w:rPr>
                <w:rFonts w:hint="eastAsia" w:ascii="宋体" w:hAnsi="宋体"/>
                <w:color w:val="auto"/>
                <w:kern w:val="2"/>
                <w:sz w:val="21"/>
                <w:szCs w:val="21"/>
                <w:highlight w:val="none"/>
              </w:rPr>
              <w:t>16</w:t>
            </w:r>
          </w:p>
        </w:tc>
        <w:tc>
          <w:tcPr>
            <w:tcW w:w="1422" w:type="dxa"/>
            <w:tcBorders>
              <w:top w:val="single" w:color="000000" w:sz="4" w:space="0"/>
              <w:left w:val="single" w:color="000000" w:sz="4" w:space="0"/>
              <w:bottom w:val="single" w:color="000000" w:sz="4" w:space="0"/>
              <w:right w:val="single" w:color="000000" w:sz="4" w:space="0"/>
            </w:tcBorders>
            <w:vAlign w:val="center"/>
          </w:tcPr>
          <w:p w14:paraId="7C3869FA">
            <w:pPr>
              <w:pStyle w:val="58"/>
              <w:spacing w:before="153"/>
              <w:ind w:left="7"/>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w:t>
            </w:r>
            <w:r>
              <w:rPr>
                <w:rFonts w:hint="eastAsia" w:ascii="宋体" w:hAnsi="宋体" w:cs="仿宋_GB2312"/>
                <w:color w:val="auto"/>
                <w:kern w:val="2"/>
                <w:sz w:val="21"/>
                <w:szCs w:val="21"/>
                <w:highlight w:val="none"/>
              </w:rPr>
              <w:t>A05020106</w:t>
            </w:r>
            <w:r>
              <w:rPr>
                <w:rFonts w:hint="eastAsia" w:ascii="宋体" w:hAnsi="宋体" w:cs="宋体"/>
                <w:color w:val="auto"/>
                <w:kern w:val="2"/>
                <w:sz w:val="21"/>
                <w:szCs w:val="21"/>
                <w:highlight w:val="none"/>
              </w:rPr>
              <w:t>水</w:t>
            </w:r>
            <w:r>
              <w:rPr>
                <w:rFonts w:hint="eastAsia" w:ascii="宋体" w:hAnsi="宋体" w:cs="宋体"/>
                <w:color w:val="auto"/>
                <w:w w:val="99"/>
                <w:kern w:val="2"/>
                <w:sz w:val="21"/>
                <w:szCs w:val="21"/>
                <w:highlight w:val="none"/>
              </w:rPr>
              <w:t>嘴</w:t>
            </w:r>
          </w:p>
        </w:tc>
        <w:tc>
          <w:tcPr>
            <w:tcW w:w="1496" w:type="dxa"/>
            <w:tcBorders>
              <w:top w:val="single" w:color="000000" w:sz="4" w:space="0"/>
              <w:left w:val="single" w:color="000000" w:sz="4" w:space="0"/>
              <w:bottom w:val="single" w:color="000000" w:sz="4" w:space="0"/>
              <w:right w:val="single" w:color="000000" w:sz="4" w:space="0"/>
            </w:tcBorders>
            <w:vAlign w:val="center"/>
          </w:tcPr>
          <w:p w14:paraId="1B4691E9">
            <w:pPr>
              <w:jc w:val="center"/>
              <w:rPr>
                <w:rFonts w:hint="eastAsia"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7D58554F">
            <w:pPr>
              <w:jc w:val="center"/>
              <w:rPr>
                <w:rFonts w:hint="eastAsia"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tcPr>
          <w:p w14:paraId="40CDA458">
            <w:pPr>
              <w:pStyle w:val="58"/>
              <w:spacing w:before="153" w:line="276" w:lineRule="auto"/>
              <w:ind w:left="7" w:right="4"/>
              <w:rPr>
                <w:rFonts w:hint="eastAsia"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《水嘴用水效率限定值及用水效</w:t>
            </w:r>
            <w:r>
              <w:rPr>
                <w:rFonts w:hint="eastAsia" w:ascii="宋体" w:hAnsi="宋体" w:cs="宋体"/>
                <w:color w:val="auto"/>
                <w:kern w:val="2"/>
                <w:sz w:val="21"/>
                <w:szCs w:val="21"/>
                <w:highlight w:val="none"/>
                <w:lang w:eastAsia="zh-CN"/>
              </w:rPr>
              <w:t>率等级》（GB 25501）</w:t>
            </w:r>
          </w:p>
        </w:tc>
      </w:tr>
      <w:tr w14:paraId="083E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2B44685">
            <w:pPr>
              <w:pStyle w:val="58"/>
              <w:jc w:val="center"/>
              <w:rPr>
                <w:rFonts w:hint="eastAsia" w:ascii="宋体" w:hAnsi="宋体" w:cs="宋体"/>
                <w:color w:val="auto"/>
                <w:kern w:val="2"/>
                <w:sz w:val="21"/>
                <w:szCs w:val="21"/>
                <w:highlight w:val="none"/>
              </w:rPr>
            </w:pPr>
            <w:r>
              <w:rPr>
                <w:rFonts w:hint="eastAsia" w:ascii="宋体" w:hAnsi="宋体"/>
                <w:color w:val="auto"/>
                <w:kern w:val="2"/>
                <w:sz w:val="21"/>
                <w:szCs w:val="21"/>
                <w:highlight w:val="none"/>
              </w:rPr>
              <w:t>17</w:t>
            </w:r>
          </w:p>
        </w:tc>
        <w:tc>
          <w:tcPr>
            <w:tcW w:w="1422" w:type="dxa"/>
            <w:tcBorders>
              <w:top w:val="single" w:color="000000" w:sz="4" w:space="0"/>
              <w:left w:val="single" w:color="000000" w:sz="4" w:space="0"/>
              <w:bottom w:val="single" w:color="000000" w:sz="4" w:space="0"/>
              <w:right w:val="single" w:color="000000" w:sz="4" w:space="0"/>
            </w:tcBorders>
            <w:vAlign w:val="center"/>
          </w:tcPr>
          <w:p w14:paraId="390259F9">
            <w:pPr>
              <w:pStyle w:val="58"/>
              <w:spacing w:before="112"/>
              <w:ind w:left="7"/>
              <w:jc w:val="center"/>
              <w:rPr>
                <w:rFonts w:hint="eastAsia" w:ascii="宋体" w:hAnsi="宋体" w:cs="宋体"/>
                <w:color w:val="auto"/>
                <w:kern w:val="2"/>
                <w:sz w:val="21"/>
                <w:szCs w:val="21"/>
                <w:highlight w:val="none"/>
              </w:rPr>
            </w:pPr>
            <w:r>
              <w:rPr>
                <w:rFonts w:hint="eastAsia" w:ascii="宋体" w:hAnsi="宋体" w:cs="仿宋_GB2312"/>
                <w:color w:val="auto"/>
                <w:kern w:val="2"/>
                <w:sz w:val="21"/>
                <w:szCs w:val="21"/>
                <w:highlight w:val="none"/>
              </w:rPr>
              <w:t>A05020107</w:t>
            </w:r>
            <w:r>
              <w:rPr>
                <w:rFonts w:hint="eastAsia" w:ascii="宋体" w:hAnsi="宋体" w:cs="宋体"/>
                <w:color w:val="auto"/>
                <w:kern w:val="2"/>
                <w:sz w:val="21"/>
                <w:szCs w:val="21"/>
                <w:highlight w:val="none"/>
              </w:rPr>
              <w:t>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14:paraId="2A427063">
            <w:pPr>
              <w:jc w:val="center"/>
              <w:rPr>
                <w:rFonts w:hint="eastAsia"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51DE5204">
            <w:pPr>
              <w:jc w:val="center"/>
              <w:rPr>
                <w:rFonts w:hint="eastAsia"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tcPr>
          <w:p w14:paraId="58FD4B4D">
            <w:pPr>
              <w:pStyle w:val="58"/>
              <w:spacing w:before="112" w:line="276" w:lineRule="auto"/>
              <w:ind w:left="7" w:right="4"/>
              <w:rPr>
                <w:rFonts w:hint="eastAsia"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《便器冲洗阀用水效率限定值及</w:t>
            </w:r>
            <w:r>
              <w:rPr>
                <w:rFonts w:hint="eastAsia" w:ascii="宋体" w:hAnsi="宋体" w:cs="宋体"/>
                <w:color w:val="auto"/>
                <w:kern w:val="2"/>
                <w:sz w:val="21"/>
                <w:szCs w:val="21"/>
                <w:highlight w:val="none"/>
                <w:lang w:eastAsia="zh-CN"/>
              </w:rPr>
              <w:t>用水效率等级》（GB28379）</w:t>
            </w:r>
          </w:p>
        </w:tc>
      </w:tr>
      <w:tr w14:paraId="4993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A4E6550">
            <w:pPr>
              <w:pStyle w:val="58"/>
              <w:jc w:val="center"/>
              <w:rPr>
                <w:rFonts w:hint="eastAsia" w:ascii="宋体" w:hAnsi="宋体" w:cs="宋体"/>
                <w:color w:val="auto"/>
                <w:kern w:val="2"/>
                <w:sz w:val="21"/>
                <w:szCs w:val="21"/>
                <w:highlight w:val="none"/>
              </w:rPr>
            </w:pPr>
            <w:r>
              <w:rPr>
                <w:rFonts w:hint="eastAsia" w:ascii="宋体" w:hAnsi="宋体"/>
                <w:color w:val="auto"/>
                <w:kern w:val="2"/>
                <w:sz w:val="21"/>
                <w:szCs w:val="21"/>
                <w:highlight w:val="none"/>
              </w:rPr>
              <w:t>18</w:t>
            </w:r>
          </w:p>
        </w:tc>
        <w:tc>
          <w:tcPr>
            <w:tcW w:w="1422" w:type="dxa"/>
            <w:tcBorders>
              <w:top w:val="single" w:color="000000" w:sz="4" w:space="0"/>
              <w:left w:val="single" w:color="000000" w:sz="4" w:space="0"/>
              <w:bottom w:val="single" w:color="000000" w:sz="4" w:space="0"/>
              <w:right w:val="single" w:color="000000" w:sz="4" w:space="0"/>
            </w:tcBorders>
            <w:vAlign w:val="center"/>
          </w:tcPr>
          <w:p w14:paraId="5C919BFB">
            <w:pPr>
              <w:pStyle w:val="58"/>
              <w:spacing w:before="131"/>
              <w:ind w:left="7"/>
              <w:jc w:val="center"/>
              <w:rPr>
                <w:rFonts w:hint="eastAsia" w:ascii="宋体" w:hAnsi="宋体" w:cs="宋体"/>
                <w:color w:val="auto"/>
                <w:kern w:val="2"/>
                <w:sz w:val="21"/>
                <w:szCs w:val="21"/>
                <w:highlight w:val="none"/>
              </w:rPr>
            </w:pPr>
            <w:r>
              <w:rPr>
                <w:rFonts w:hint="eastAsia" w:ascii="宋体" w:hAnsi="宋体" w:cs="仿宋_GB2312"/>
                <w:color w:val="auto"/>
                <w:kern w:val="2"/>
                <w:sz w:val="21"/>
                <w:szCs w:val="21"/>
                <w:highlight w:val="none"/>
              </w:rPr>
              <w:t>A05020110</w:t>
            </w:r>
            <w:r>
              <w:rPr>
                <w:rFonts w:hint="eastAsia" w:ascii="宋体" w:hAnsi="宋体" w:cs="宋体"/>
                <w:color w:val="auto"/>
                <w:kern w:val="2"/>
                <w:sz w:val="21"/>
                <w:szCs w:val="21"/>
                <w:highlight w:val="none"/>
              </w:rPr>
              <w:t>淋浴</w:t>
            </w:r>
            <w:r>
              <w:rPr>
                <w:rFonts w:hint="eastAsia" w:ascii="宋体" w:hAnsi="宋体" w:cs="宋体"/>
                <w:color w:val="auto"/>
                <w:w w:val="99"/>
                <w:kern w:val="2"/>
                <w:sz w:val="21"/>
                <w:szCs w:val="21"/>
                <w:highlight w:val="none"/>
              </w:rPr>
              <w:t>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5919D7EE">
            <w:pPr>
              <w:jc w:val="center"/>
              <w:rPr>
                <w:rFonts w:hint="eastAsia"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4F7DA6F1">
            <w:pPr>
              <w:jc w:val="center"/>
              <w:rPr>
                <w:rFonts w:hint="eastAsia"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tcPr>
          <w:p w14:paraId="227A5175">
            <w:pPr>
              <w:pStyle w:val="58"/>
              <w:spacing w:before="131" w:line="276" w:lineRule="auto"/>
              <w:ind w:left="7" w:right="4"/>
              <w:rPr>
                <w:rFonts w:hint="eastAsia"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《淋浴器用水效率限定值及用水</w:t>
            </w:r>
            <w:r>
              <w:rPr>
                <w:rFonts w:hint="eastAsia" w:ascii="宋体" w:hAnsi="宋体" w:cs="宋体"/>
                <w:color w:val="auto"/>
                <w:kern w:val="2"/>
                <w:sz w:val="21"/>
                <w:szCs w:val="21"/>
                <w:highlight w:val="none"/>
                <w:lang w:eastAsia="zh-CN"/>
              </w:rPr>
              <w:t>效率等级》（GB28378）</w:t>
            </w:r>
          </w:p>
        </w:tc>
      </w:tr>
    </w:tbl>
    <w:p w14:paraId="40F474C9">
      <w:pPr>
        <w:pStyle w:val="9"/>
        <w:spacing w:line="360" w:lineRule="auto"/>
        <w:rPr>
          <w:rFonts w:hint="eastAsia" w:ascii="宋体" w:hAnsi="宋体"/>
          <w:color w:val="auto"/>
          <w:szCs w:val="21"/>
          <w:highlight w:val="none"/>
        </w:rPr>
      </w:pPr>
      <w:r>
        <w:rPr>
          <w:rFonts w:hint="eastAsia" w:ascii="宋体" w:hAnsi="宋体"/>
          <w:color w:val="auto"/>
          <w:spacing w:val="-3"/>
          <w:szCs w:val="21"/>
          <w:highlight w:val="none"/>
        </w:rPr>
        <w:t>注：1.节能产品认证应依据相关国家标准的最新版本，依据国家标准中二级能效（水效）</w:t>
      </w:r>
      <w:r>
        <w:rPr>
          <w:rFonts w:hint="eastAsia" w:ascii="宋体" w:hAnsi="宋体"/>
          <w:color w:val="auto"/>
          <w:szCs w:val="21"/>
          <w:highlight w:val="none"/>
        </w:rPr>
        <w:t>指标。</w:t>
      </w:r>
    </w:p>
    <w:p w14:paraId="7D312732">
      <w:pPr>
        <w:pStyle w:val="9"/>
        <w:spacing w:line="360" w:lineRule="auto"/>
        <w:ind w:firstLine="465"/>
        <w:rPr>
          <w:rFonts w:hint="eastAsia" w:ascii="宋体" w:hAnsi="宋体"/>
          <w:color w:val="auto"/>
          <w:szCs w:val="21"/>
          <w:highlight w:val="none"/>
        </w:rPr>
      </w:pPr>
      <w:r>
        <w:rPr>
          <w:rFonts w:hint="eastAsia" w:ascii="宋体" w:hAnsi="宋体"/>
          <w:color w:val="auto"/>
          <w:szCs w:val="21"/>
          <w:highlight w:val="none"/>
        </w:rPr>
        <w:t>2.以“★”标注的为政府强制采购产品。</w:t>
      </w:r>
    </w:p>
    <w:p w14:paraId="61B9A3BF">
      <w:pPr>
        <w:pStyle w:val="9"/>
        <w:spacing w:line="360" w:lineRule="auto"/>
        <w:ind w:firstLine="465"/>
        <w:rPr>
          <w:rFonts w:hint="eastAsia" w:ascii="宋体" w:hAnsi="宋体"/>
          <w:color w:val="auto"/>
          <w:szCs w:val="21"/>
          <w:highlight w:val="none"/>
        </w:rPr>
      </w:pPr>
      <w:r>
        <w:rPr>
          <w:rFonts w:hint="eastAsia" w:ascii="宋体" w:hAnsi="宋体"/>
          <w:color w:val="auto"/>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29CBB685">
      <w:pPr>
        <w:widowControl/>
        <w:jc w:val="left"/>
        <w:rPr>
          <w:rFonts w:hint="eastAsia" w:ascii="宋体" w:hAnsi="宋体" w:cs="宋体"/>
          <w:color w:val="auto"/>
          <w:sz w:val="20"/>
          <w:szCs w:val="20"/>
          <w:highlight w:val="none"/>
        </w:rPr>
      </w:pPr>
    </w:p>
    <w:p w14:paraId="0725E7E2">
      <w:pPr>
        <w:widowControl/>
        <w:jc w:val="left"/>
        <w:rPr>
          <w:rFonts w:hint="eastAsia" w:ascii="宋体" w:hAnsi="宋体" w:cs="宋体"/>
          <w:color w:val="auto"/>
          <w:sz w:val="20"/>
          <w:szCs w:val="20"/>
          <w:highlight w:val="none"/>
        </w:rPr>
      </w:pPr>
    </w:p>
    <w:p w14:paraId="543D7B3A">
      <w:pPr>
        <w:widowControl/>
        <w:jc w:val="left"/>
        <w:rPr>
          <w:rFonts w:hint="eastAsia" w:ascii="黑体" w:hAnsi="黑体" w:eastAsia="黑体" w:cs="黑体"/>
          <w:color w:val="auto"/>
          <w:sz w:val="32"/>
          <w:szCs w:val="32"/>
          <w:highlight w:val="none"/>
        </w:rPr>
      </w:pPr>
      <w:r>
        <w:rPr>
          <w:rFonts w:hint="eastAsia" w:ascii="宋体" w:hAnsi="宋体" w:cs="宋体"/>
          <w:color w:val="auto"/>
          <w:sz w:val="20"/>
          <w:szCs w:val="20"/>
          <w:highlight w:val="none"/>
        </w:rPr>
        <w:br w:type="page"/>
      </w:r>
      <w:r>
        <w:rPr>
          <w:rFonts w:hint="eastAsia" w:ascii="黑体" w:hAnsi="黑体" w:eastAsia="黑体" w:cs="黑体"/>
          <w:color w:val="auto"/>
          <w:sz w:val="32"/>
          <w:szCs w:val="32"/>
          <w:highlight w:val="none"/>
        </w:rPr>
        <w:t>附件2：</w:t>
      </w:r>
    </w:p>
    <w:p w14:paraId="55AD4DC4">
      <w:pPr>
        <w:pStyle w:val="9"/>
        <w:jc w:val="center"/>
        <w:rPr>
          <w:b/>
          <w:color w:val="auto"/>
          <w:sz w:val="28"/>
          <w:szCs w:val="28"/>
          <w:highlight w:val="none"/>
        </w:rPr>
      </w:pPr>
      <w:r>
        <w:rPr>
          <w:rFonts w:hint="eastAsia"/>
          <w:b/>
          <w:color w:val="auto"/>
          <w:sz w:val="28"/>
          <w:szCs w:val="28"/>
          <w:highlight w:val="none"/>
        </w:rPr>
        <w:t>中小企业划型标准规定</w:t>
      </w:r>
    </w:p>
    <w:p w14:paraId="748D2F0B">
      <w:pPr>
        <w:pStyle w:val="9"/>
        <w:jc w:val="center"/>
        <w:rPr>
          <w:rFonts w:hint="eastAsia" w:ascii="宋体" w:hAnsi="宋体"/>
          <w:color w:val="auto"/>
          <w:szCs w:val="21"/>
          <w:highlight w:val="none"/>
        </w:rPr>
      </w:pPr>
      <w:r>
        <w:rPr>
          <w:rFonts w:hint="eastAsia" w:ascii="宋体" w:hAnsi="宋体"/>
          <w:color w:val="auto"/>
          <w:szCs w:val="21"/>
          <w:highlight w:val="none"/>
        </w:rPr>
        <w:t>工信部联企业〔2011〕300号</w:t>
      </w:r>
    </w:p>
    <w:p w14:paraId="6752A6D7">
      <w:pPr>
        <w:pStyle w:val="9"/>
        <w:rPr>
          <w:color w:val="auto"/>
          <w:szCs w:val="21"/>
          <w:highlight w:val="none"/>
        </w:rPr>
      </w:pPr>
    </w:p>
    <w:p w14:paraId="68D76B08">
      <w:pPr>
        <w:pStyle w:val="9"/>
        <w:rPr>
          <w:color w:val="auto"/>
          <w:szCs w:val="21"/>
          <w:highlight w:val="none"/>
        </w:rPr>
      </w:pPr>
      <w:r>
        <w:rPr>
          <w:rFonts w:hint="eastAsia"/>
          <w:color w:val="auto"/>
          <w:szCs w:val="21"/>
          <w:highlight w:val="none"/>
        </w:rPr>
        <w:t>　　一、根据《中华人民共和国中小企业促进法》和《国务院关于进一步促进中小企业发展的若干意见》</w:t>
      </w:r>
      <w:r>
        <w:rPr>
          <w:color w:val="auto"/>
          <w:szCs w:val="21"/>
          <w:highlight w:val="none"/>
        </w:rPr>
        <w:t>(</w:t>
      </w:r>
      <w:r>
        <w:rPr>
          <w:rFonts w:hint="eastAsia"/>
          <w:color w:val="auto"/>
          <w:szCs w:val="21"/>
          <w:highlight w:val="none"/>
        </w:rPr>
        <w:t>国发〔2009〕36号</w:t>
      </w:r>
      <w:r>
        <w:rPr>
          <w:color w:val="auto"/>
          <w:szCs w:val="21"/>
          <w:highlight w:val="none"/>
        </w:rPr>
        <w:t>)</w:t>
      </w:r>
      <w:r>
        <w:rPr>
          <w:rFonts w:hint="eastAsia"/>
          <w:color w:val="auto"/>
          <w:szCs w:val="21"/>
          <w:highlight w:val="none"/>
        </w:rPr>
        <w:t>，制定本规定。</w:t>
      </w:r>
    </w:p>
    <w:p w14:paraId="2B320573">
      <w:pPr>
        <w:pStyle w:val="9"/>
        <w:rPr>
          <w:color w:val="auto"/>
          <w:szCs w:val="21"/>
          <w:highlight w:val="none"/>
        </w:rPr>
      </w:pPr>
      <w:r>
        <w:rPr>
          <w:rFonts w:hint="eastAsia"/>
          <w:color w:val="auto"/>
          <w:szCs w:val="21"/>
          <w:highlight w:val="none"/>
        </w:rPr>
        <w:t>　　二、中小企业划分为中型、小型、微型三种类型，具体标准根据企业从业人员、营业收入、资产总额等指标，结合行业特点制定。</w:t>
      </w:r>
    </w:p>
    <w:p w14:paraId="3907C3B3">
      <w:pPr>
        <w:pStyle w:val="9"/>
        <w:rPr>
          <w:color w:val="auto"/>
          <w:szCs w:val="21"/>
          <w:highlight w:val="none"/>
        </w:rPr>
      </w:pPr>
      <w:r>
        <w:rPr>
          <w:rFonts w:hint="eastAsia"/>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9EB8955">
      <w:pPr>
        <w:pStyle w:val="9"/>
        <w:rPr>
          <w:color w:val="auto"/>
          <w:szCs w:val="21"/>
          <w:highlight w:val="none"/>
        </w:rPr>
      </w:pPr>
      <w:r>
        <w:rPr>
          <w:rFonts w:hint="eastAsia"/>
          <w:color w:val="auto"/>
          <w:szCs w:val="21"/>
          <w:highlight w:val="none"/>
        </w:rPr>
        <w:t>　　四、各行业划型标准为：</w:t>
      </w:r>
    </w:p>
    <w:p w14:paraId="5C0083E1">
      <w:pPr>
        <w:pStyle w:val="9"/>
        <w:rPr>
          <w:color w:val="auto"/>
          <w:szCs w:val="21"/>
          <w:highlight w:val="none"/>
        </w:rPr>
      </w:pPr>
      <w:r>
        <w:rPr>
          <w:rFonts w:hint="eastAsia"/>
          <w:color w:val="auto"/>
          <w:szCs w:val="21"/>
          <w:highlight w:val="none"/>
        </w:rPr>
        <w:t>　　（一）农、林、牧、渔业。营业收入</w:t>
      </w:r>
      <w:r>
        <w:rPr>
          <w:color w:val="auto"/>
          <w:szCs w:val="21"/>
          <w:highlight w:val="none"/>
        </w:rPr>
        <w:t>20000</w:t>
      </w:r>
      <w:r>
        <w:rPr>
          <w:rFonts w:hint="eastAsia"/>
          <w:color w:val="auto"/>
          <w:szCs w:val="21"/>
          <w:highlight w:val="none"/>
        </w:rPr>
        <w:t>万元以下的为中小微型企业。其中，营业收入</w:t>
      </w:r>
      <w:r>
        <w:rPr>
          <w:color w:val="auto"/>
          <w:szCs w:val="21"/>
          <w:highlight w:val="none"/>
        </w:rPr>
        <w:t>500</w:t>
      </w:r>
      <w:r>
        <w:rPr>
          <w:rFonts w:hint="eastAsia"/>
          <w:color w:val="auto"/>
          <w:szCs w:val="21"/>
          <w:highlight w:val="none"/>
        </w:rPr>
        <w:t>万元及以上的为中型企业，营业收入</w:t>
      </w:r>
      <w:r>
        <w:rPr>
          <w:color w:val="auto"/>
          <w:szCs w:val="21"/>
          <w:highlight w:val="none"/>
        </w:rPr>
        <w:t>50</w:t>
      </w:r>
      <w:r>
        <w:rPr>
          <w:rFonts w:hint="eastAsia"/>
          <w:color w:val="auto"/>
          <w:szCs w:val="21"/>
          <w:highlight w:val="none"/>
        </w:rPr>
        <w:t>万元及以上的为小型企业，营业收入</w:t>
      </w:r>
      <w:r>
        <w:rPr>
          <w:color w:val="auto"/>
          <w:szCs w:val="21"/>
          <w:highlight w:val="none"/>
        </w:rPr>
        <w:t>50</w:t>
      </w:r>
      <w:r>
        <w:rPr>
          <w:rFonts w:hint="eastAsia"/>
          <w:color w:val="auto"/>
          <w:szCs w:val="21"/>
          <w:highlight w:val="none"/>
        </w:rPr>
        <w:t>万元以下的为微型企业。</w:t>
      </w:r>
    </w:p>
    <w:p w14:paraId="1AD02E46">
      <w:pPr>
        <w:pStyle w:val="9"/>
        <w:rPr>
          <w:color w:val="auto"/>
          <w:szCs w:val="21"/>
          <w:highlight w:val="none"/>
        </w:rPr>
      </w:pPr>
      <w:r>
        <w:rPr>
          <w:rFonts w:hint="eastAsia"/>
          <w:color w:val="auto"/>
          <w:szCs w:val="21"/>
          <w:highlight w:val="none"/>
        </w:rPr>
        <w:t>　　（二）工业。从业人员</w:t>
      </w:r>
      <w:r>
        <w:rPr>
          <w:color w:val="auto"/>
          <w:szCs w:val="21"/>
          <w:highlight w:val="none"/>
        </w:rPr>
        <w:t>1000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300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300</w:t>
      </w:r>
      <w:r>
        <w:rPr>
          <w:rFonts w:hint="eastAsia"/>
          <w:color w:val="auto"/>
          <w:szCs w:val="21"/>
          <w:highlight w:val="none"/>
        </w:rPr>
        <w:t>万元以下的为微型企业。</w:t>
      </w:r>
    </w:p>
    <w:p w14:paraId="3F8BFD9C">
      <w:pPr>
        <w:pStyle w:val="9"/>
        <w:rPr>
          <w:color w:val="auto"/>
          <w:szCs w:val="21"/>
          <w:highlight w:val="none"/>
        </w:rPr>
      </w:pPr>
      <w:r>
        <w:rPr>
          <w:rFonts w:hint="eastAsia"/>
          <w:color w:val="auto"/>
          <w:szCs w:val="21"/>
          <w:highlight w:val="none"/>
        </w:rPr>
        <w:t>　　（三）建筑业。营业收入</w:t>
      </w:r>
      <w:r>
        <w:rPr>
          <w:color w:val="auto"/>
          <w:szCs w:val="21"/>
          <w:highlight w:val="none"/>
        </w:rPr>
        <w:t>80000</w:t>
      </w:r>
      <w:r>
        <w:rPr>
          <w:rFonts w:hint="eastAsia"/>
          <w:color w:val="auto"/>
          <w:szCs w:val="21"/>
          <w:highlight w:val="none"/>
        </w:rPr>
        <w:t>万元以下或资产总额</w:t>
      </w:r>
      <w:r>
        <w:rPr>
          <w:color w:val="auto"/>
          <w:szCs w:val="21"/>
          <w:highlight w:val="none"/>
        </w:rPr>
        <w:t>80000</w:t>
      </w:r>
      <w:r>
        <w:rPr>
          <w:rFonts w:hint="eastAsia"/>
          <w:color w:val="auto"/>
          <w:szCs w:val="21"/>
          <w:highlight w:val="none"/>
        </w:rPr>
        <w:t>万元以下的为中小微型企业。其中，营业收入</w:t>
      </w:r>
      <w:r>
        <w:rPr>
          <w:color w:val="auto"/>
          <w:szCs w:val="21"/>
          <w:highlight w:val="none"/>
        </w:rPr>
        <w:t>6000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300</w:t>
      </w:r>
      <w:r>
        <w:rPr>
          <w:rFonts w:hint="eastAsia"/>
          <w:color w:val="auto"/>
          <w:szCs w:val="21"/>
          <w:highlight w:val="none"/>
        </w:rPr>
        <w:t>万元及以上，且资产总额</w:t>
      </w:r>
      <w:r>
        <w:rPr>
          <w:color w:val="auto"/>
          <w:szCs w:val="21"/>
          <w:highlight w:val="none"/>
        </w:rPr>
        <w:t>300</w:t>
      </w:r>
      <w:r>
        <w:rPr>
          <w:rFonts w:hint="eastAsia"/>
          <w:color w:val="auto"/>
          <w:szCs w:val="21"/>
          <w:highlight w:val="none"/>
        </w:rPr>
        <w:t>万元及以上的为小型企业；营业收入</w:t>
      </w:r>
      <w:r>
        <w:rPr>
          <w:color w:val="auto"/>
          <w:szCs w:val="21"/>
          <w:highlight w:val="none"/>
        </w:rPr>
        <w:t>300</w:t>
      </w:r>
      <w:r>
        <w:rPr>
          <w:rFonts w:hint="eastAsia"/>
          <w:color w:val="auto"/>
          <w:szCs w:val="21"/>
          <w:highlight w:val="none"/>
        </w:rPr>
        <w:t>万元以下或资产总额</w:t>
      </w:r>
      <w:r>
        <w:rPr>
          <w:color w:val="auto"/>
          <w:szCs w:val="21"/>
          <w:highlight w:val="none"/>
        </w:rPr>
        <w:t>300</w:t>
      </w:r>
      <w:r>
        <w:rPr>
          <w:rFonts w:hint="eastAsia"/>
          <w:color w:val="auto"/>
          <w:szCs w:val="21"/>
          <w:highlight w:val="none"/>
        </w:rPr>
        <w:t>万元以下的为微型企业。</w:t>
      </w:r>
    </w:p>
    <w:p w14:paraId="788D1CC4">
      <w:pPr>
        <w:pStyle w:val="9"/>
        <w:rPr>
          <w:color w:val="auto"/>
          <w:szCs w:val="21"/>
          <w:highlight w:val="none"/>
        </w:rPr>
      </w:pPr>
      <w:r>
        <w:rPr>
          <w:rFonts w:hint="eastAsia"/>
          <w:color w:val="auto"/>
          <w:szCs w:val="21"/>
          <w:highlight w:val="none"/>
        </w:rPr>
        <w:t>　　（四）批发业。从业人员</w:t>
      </w:r>
      <w:r>
        <w:rPr>
          <w:color w:val="auto"/>
          <w:szCs w:val="21"/>
          <w:highlight w:val="none"/>
        </w:rPr>
        <w:t>200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20</w:t>
      </w:r>
      <w:r>
        <w:rPr>
          <w:rFonts w:hint="eastAsia"/>
          <w:color w:val="auto"/>
          <w:szCs w:val="21"/>
          <w:highlight w:val="none"/>
        </w:rPr>
        <w:t>人及以上，且营业收入</w:t>
      </w:r>
      <w:r>
        <w:rPr>
          <w:color w:val="auto"/>
          <w:szCs w:val="21"/>
          <w:highlight w:val="none"/>
        </w:rPr>
        <w:t>5000</w:t>
      </w:r>
      <w:r>
        <w:rPr>
          <w:rFonts w:hint="eastAsia"/>
          <w:color w:val="auto"/>
          <w:szCs w:val="21"/>
          <w:highlight w:val="none"/>
        </w:rPr>
        <w:t>万元及以上的为中型企业；从业人员</w:t>
      </w:r>
      <w:r>
        <w:rPr>
          <w:color w:val="auto"/>
          <w:szCs w:val="21"/>
          <w:highlight w:val="none"/>
        </w:rPr>
        <w:t>5</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万元及以上的为小型企业；从业人员</w:t>
      </w:r>
      <w:r>
        <w:rPr>
          <w:color w:val="auto"/>
          <w:szCs w:val="21"/>
          <w:highlight w:val="none"/>
        </w:rPr>
        <w:t>5</w:t>
      </w:r>
      <w:r>
        <w:rPr>
          <w:rFonts w:hint="eastAsia"/>
          <w:color w:val="auto"/>
          <w:szCs w:val="21"/>
          <w:highlight w:val="none"/>
        </w:rPr>
        <w:t>人以下或营业收入</w:t>
      </w:r>
      <w:r>
        <w:rPr>
          <w:color w:val="auto"/>
          <w:szCs w:val="21"/>
          <w:highlight w:val="none"/>
        </w:rPr>
        <w:t>1000</w:t>
      </w:r>
      <w:r>
        <w:rPr>
          <w:rFonts w:hint="eastAsia"/>
          <w:color w:val="auto"/>
          <w:szCs w:val="21"/>
          <w:highlight w:val="none"/>
        </w:rPr>
        <w:t>万元以下的为微型企业。</w:t>
      </w:r>
    </w:p>
    <w:p w14:paraId="589575E6">
      <w:pPr>
        <w:pStyle w:val="9"/>
        <w:rPr>
          <w:color w:val="auto"/>
          <w:szCs w:val="21"/>
          <w:highlight w:val="none"/>
        </w:rPr>
      </w:pPr>
      <w:r>
        <w:rPr>
          <w:rFonts w:hint="eastAsia"/>
          <w:color w:val="auto"/>
          <w:szCs w:val="21"/>
          <w:highlight w:val="none"/>
        </w:rPr>
        <w:t>　　（五）零售业。从业人员</w:t>
      </w:r>
      <w:r>
        <w:rPr>
          <w:color w:val="auto"/>
          <w:szCs w:val="21"/>
          <w:highlight w:val="none"/>
        </w:rPr>
        <w:t>300</w:t>
      </w:r>
      <w:r>
        <w:rPr>
          <w:rFonts w:hint="eastAsia"/>
          <w:color w:val="auto"/>
          <w:szCs w:val="21"/>
          <w:highlight w:val="none"/>
        </w:rPr>
        <w:t>人以下或营业收入</w:t>
      </w:r>
      <w:r>
        <w:rPr>
          <w:color w:val="auto"/>
          <w:szCs w:val="21"/>
          <w:highlight w:val="none"/>
        </w:rPr>
        <w:t>20000</w:t>
      </w:r>
      <w:r>
        <w:rPr>
          <w:rFonts w:hint="eastAsia"/>
          <w:color w:val="auto"/>
          <w:szCs w:val="21"/>
          <w:highlight w:val="none"/>
        </w:rPr>
        <w:t>万元以下的为中小微型企业。其中，从业人员</w:t>
      </w:r>
      <w:r>
        <w:rPr>
          <w:color w:val="auto"/>
          <w:szCs w:val="21"/>
          <w:highlight w:val="none"/>
        </w:rPr>
        <w:t>50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78D8EB91">
      <w:pPr>
        <w:pStyle w:val="9"/>
        <w:rPr>
          <w:color w:val="auto"/>
          <w:szCs w:val="21"/>
          <w:highlight w:val="none"/>
        </w:rPr>
      </w:pPr>
      <w:r>
        <w:rPr>
          <w:rFonts w:hint="eastAsia"/>
          <w:color w:val="auto"/>
          <w:szCs w:val="21"/>
          <w:highlight w:val="none"/>
        </w:rPr>
        <w:t>　　（六）交通运输业。从业人员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3000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200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200</w:t>
      </w:r>
      <w:r>
        <w:rPr>
          <w:rFonts w:hint="eastAsia"/>
          <w:color w:val="auto"/>
          <w:szCs w:val="21"/>
          <w:highlight w:val="none"/>
        </w:rPr>
        <w:t>万元以下的为微型企业。</w:t>
      </w:r>
    </w:p>
    <w:p w14:paraId="34D212E9">
      <w:pPr>
        <w:pStyle w:val="9"/>
        <w:rPr>
          <w:color w:val="auto"/>
          <w:szCs w:val="21"/>
          <w:highlight w:val="none"/>
        </w:rPr>
      </w:pPr>
      <w:r>
        <w:rPr>
          <w:rFonts w:hint="eastAsia"/>
          <w:color w:val="auto"/>
          <w:szCs w:val="21"/>
          <w:highlight w:val="none"/>
        </w:rPr>
        <w:t>　　（七）仓储业。从业人员</w:t>
      </w:r>
      <w:r>
        <w:rPr>
          <w:color w:val="auto"/>
          <w:szCs w:val="21"/>
          <w:highlight w:val="none"/>
        </w:rPr>
        <w:t>200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7A2C4A96">
      <w:pPr>
        <w:pStyle w:val="9"/>
        <w:rPr>
          <w:color w:val="auto"/>
          <w:szCs w:val="21"/>
          <w:highlight w:val="none"/>
        </w:rPr>
      </w:pPr>
      <w:r>
        <w:rPr>
          <w:rFonts w:hint="eastAsia"/>
          <w:color w:val="auto"/>
          <w:szCs w:val="21"/>
          <w:highlight w:val="none"/>
        </w:rPr>
        <w:t>　　（八）邮政业。从业人员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10364372">
      <w:pPr>
        <w:pStyle w:val="9"/>
        <w:rPr>
          <w:color w:val="auto"/>
          <w:szCs w:val="21"/>
          <w:highlight w:val="none"/>
        </w:rPr>
      </w:pPr>
      <w:r>
        <w:rPr>
          <w:rFonts w:hint="eastAsia"/>
          <w:color w:val="auto"/>
          <w:szCs w:val="21"/>
          <w:highlight w:val="none"/>
        </w:rPr>
        <w:t>　　（九）住宿业。从业人员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0CC63612">
      <w:pPr>
        <w:pStyle w:val="9"/>
        <w:rPr>
          <w:color w:val="auto"/>
          <w:szCs w:val="21"/>
          <w:highlight w:val="none"/>
        </w:rPr>
      </w:pPr>
      <w:r>
        <w:rPr>
          <w:rFonts w:hint="eastAsia"/>
          <w:color w:val="auto"/>
          <w:szCs w:val="21"/>
          <w:highlight w:val="none"/>
        </w:rPr>
        <w:t>　　（十）餐饮业。从业人员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2B151939">
      <w:pPr>
        <w:pStyle w:val="9"/>
        <w:rPr>
          <w:color w:val="auto"/>
          <w:szCs w:val="21"/>
          <w:highlight w:val="none"/>
        </w:rPr>
      </w:pPr>
      <w:r>
        <w:rPr>
          <w:rFonts w:hint="eastAsia"/>
          <w:color w:val="auto"/>
          <w:szCs w:val="21"/>
          <w:highlight w:val="none"/>
        </w:rPr>
        <w:t>　　（十一）信息传输业。从业人员</w:t>
      </w:r>
      <w:r>
        <w:rPr>
          <w:color w:val="auto"/>
          <w:szCs w:val="21"/>
          <w:highlight w:val="none"/>
        </w:rPr>
        <w:t>2000</w:t>
      </w:r>
      <w:r>
        <w:rPr>
          <w:rFonts w:hint="eastAsia"/>
          <w:color w:val="auto"/>
          <w:szCs w:val="21"/>
          <w:highlight w:val="none"/>
        </w:rPr>
        <w:t>人以下或营业收入</w:t>
      </w:r>
      <w:r>
        <w:rPr>
          <w:color w:val="auto"/>
          <w:szCs w:val="21"/>
          <w:highlight w:val="none"/>
        </w:rPr>
        <w:t>100000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63755A86">
      <w:pPr>
        <w:pStyle w:val="9"/>
        <w:rPr>
          <w:color w:val="auto"/>
          <w:szCs w:val="21"/>
          <w:highlight w:val="none"/>
        </w:rPr>
      </w:pPr>
      <w:r>
        <w:rPr>
          <w:rFonts w:hint="eastAsia"/>
          <w:color w:val="auto"/>
          <w:szCs w:val="21"/>
          <w:highlight w:val="none"/>
        </w:rPr>
        <w:t>　　（十二）软件和信息技术服务业。从业人员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50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50</w:t>
      </w:r>
      <w:r>
        <w:rPr>
          <w:rFonts w:hint="eastAsia"/>
          <w:color w:val="auto"/>
          <w:szCs w:val="21"/>
          <w:highlight w:val="none"/>
        </w:rPr>
        <w:t>万元以下的为微型企业。</w:t>
      </w:r>
    </w:p>
    <w:p w14:paraId="281EB713">
      <w:pPr>
        <w:pStyle w:val="9"/>
        <w:rPr>
          <w:color w:val="auto"/>
          <w:szCs w:val="21"/>
          <w:highlight w:val="none"/>
        </w:rPr>
      </w:pPr>
      <w:r>
        <w:rPr>
          <w:rFonts w:hint="eastAsia"/>
          <w:color w:val="auto"/>
          <w:szCs w:val="21"/>
          <w:highlight w:val="none"/>
        </w:rPr>
        <w:t>　　（十三）房地产开发经营。营业收入</w:t>
      </w:r>
      <w:r>
        <w:rPr>
          <w:color w:val="auto"/>
          <w:szCs w:val="21"/>
          <w:highlight w:val="none"/>
        </w:rPr>
        <w:t>200000</w:t>
      </w:r>
      <w:r>
        <w:rPr>
          <w:rFonts w:hint="eastAsia"/>
          <w:color w:val="auto"/>
          <w:szCs w:val="21"/>
          <w:highlight w:val="none"/>
        </w:rPr>
        <w:t>万元以下或资产总额</w:t>
      </w:r>
      <w:r>
        <w:rPr>
          <w:color w:val="auto"/>
          <w:szCs w:val="21"/>
          <w:highlight w:val="none"/>
        </w:rPr>
        <w:t>10000</w:t>
      </w:r>
      <w:r>
        <w:rPr>
          <w:rFonts w:hint="eastAsia"/>
          <w:color w:val="auto"/>
          <w:szCs w:val="21"/>
          <w:highlight w:val="none"/>
        </w:rPr>
        <w:t>万元以下的为中小微型企业。其中，营业收入</w:t>
      </w:r>
      <w:r>
        <w:rPr>
          <w:color w:val="auto"/>
          <w:szCs w:val="21"/>
          <w:highlight w:val="none"/>
        </w:rPr>
        <w:t>1000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100</w:t>
      </w:r>
      <w:r>
        <w:rPr>
          <w:rFonts w:hint="eastAsia"/>
          <w:color w:val="auto"/>
          <w:szCs w:val="21"/>
          <w:highlight w:val="none"/>
        </w:rPr>
        <w:t>万元及以上，且资产总额</w:t>
      </w:r>
      <w:r>
        <w:rPr>
          <w:color w:val="auto"/>
          <w:szCs w:val="21"/>
          <w:highlight w:val="none"/>
        </w:rPr>
        <w:t>2000</w:t>
      </w:r>
      <w:r>
        <w:rPr>
          <w:rFonts w:hint="eastAsia"/>
          <w:color w:val="auto"/>
          <w:szCs w:val="21"/>
          <w:highlight w:val="none"/>
        </w:rPr>
        <w:t>万元及以上的为小型企业；营业收入</w:t>
      </w:r>
      <w:r>
        <w:rPr>
          <w:color w:val="auto"/>
          <w:szCs w:val="21"/>
          <w:highlight w:val="none"/>
        </w:rPr>
        <w:t>100</w:t>
      </w:r>
      <w:r>
        <w:rPr>
          <w:rFonts w:hint="eastAsia"/>
          <w:color w:val="auto"/>
          <w:szCs w:val="21"/>
          <w:highlight w:val="none"/>
        </w:rPr>
        <w:t>万元以下或资产总额</w:t>
      </w:r>
      <w:r>
        <w:rPr>
          <w:color w:val="auto"/>
          <w:szCs w:val="21"/>
          <w:highlight w:val="none"/>
        </w:rPr>
        <w:t>2000</w:t>
      </w:r>
      <w:r>
        <w:rPr>
          <w:rFonts w:hint="eastAsia"/>
          <w:color w:val="auto"/>
          <w:szCs w:val="21"/>
          <w:highlight w:val="none"/>
        </w:rPr>
        <w:t>万元以下的为微型企业。</w:t>
      </w:r>
    </w:p>
    <w:p w14:paraId="3D621910">
      <w:pPr>
        <w:pStyle w:val="9"/>
        <w:rPr>
          <w:color w:val="auto"/>
          <w:szCs w:val="21"/>
          <w:highlight w:val="none"/>
        </w:rPr>
      </w:pPr>
      <w:r>
        <w:rPr>
          <w:rFonts w:hint="eastAsia"/>
          <w:color w:val="auto"/>
          <w:szCs w:val="21"/>
          <w:highlight w:val="none"/>
        </w:rPr>
        <w:t>　　（十四）物业管理。从业人员</w:t>
      </w:r>
      <w:r>
        <w:rPr>
          <w:color w:val="auto"/>
          <w:szCs w:val="21"/>
          <w:highlight w:val="none"/>
        </w:rPr>
        <w:t>1000</w:t>
      </w:r>
      <w:r>
        <w:rPr>
          <w:rFonts w:hint="eastAsia"/>
          <w:color w:val="auto"/>
          <w:szCs w:val="21"/>
          <w:highlight w:val="none"/>
        </w:rPr>
        <w:t>人以下或营业收入</w:t>
      </w:r>
      <w:r>
        <w:rPr>
          <w:color w:val="auto"/>
          <w:szCs w:val="21"/>
          <w:highlight w:val="none"/>
        </w:rPr>
        <w:t>5000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万元及以上的为小型企业；从业人员</w:t>
      </w:r>
      <w:r>
        <w:rPr>
          <w:color w:val="auto"/>
          <w:szCs w:val="21"/>
          <w:highlight w:val="none"/>
        </w:rPr>
        <w:t>100</w:t>
      </w:r>
      <w:r>
        <w:rPr>
          <w:rFonts w:hint="eastAsia"/>
          <w:color w:val="auto"/>
          <w:szCs w:val="21"/>
          <w:highlight w:val="none"/>
        </w:rPr>
        <w:t>人以下或营业收入</w:t>
      </w:r>
      <w:r>
        <w:rPr>
          <w:color w:val="auto"/>
          <w:szCs w:val="21"/>
          <w:highlight w:val="none"/>
        </w:rPr>
        <w:t>500</w:t>
      </w:r>
      <w:r>
        <w:rPr>
          <w:rFonts w:hint="eastAsia"/>
          <w:color w:val="auto"/>
          <w:szCs w:val="21"/>
          <w:highlight w:val="none"/>
        </w:rPr>
        <w:t>万元以下的为微型企业。</w:t>
      </w:r>
    </w:p>
    <w:p w14:paraId="77684763">
      <w:pPr>
        <w:pStyle w:val="9"/>
        <w:rPr>
          <w:color w:val="auto"/>
          <w:szCs w:val="21"/>
          <w:highlight w:val="none"/>
        </w:rPr>
      </w:pPr>
      <w:r>
        <w:rPr>
          <w:rFonts w:hint="eastAsia"/>
          <w:color w:val="auto"/>
          <w:szCs w:val="21"/>
          <w:highlight w:val="none"/>
        </w:rPr>
        <w:t>　　（十五）租赁和商务服务业。从业人员</w:t>
      </w:r>
      <w:r>
        <w:rPr>
          <w:color w:val="auto"/>
          <w:szCs w:val="21"/>
          <w:highlight w:val="none"/>
        </w:rPr>
        <w:t>300</w:t>
      </w:r>
      <w:r>
        <w:rPr>
          <w:rFonts w:hint="eastAsia"/>
          <w:color w:val="auto"/>
          <w:szCs w:val="21"/>
          <w:highlight w:val="none"/>
        </w:rPr>
        <w:t>人以下或资产总额</w:t>
      </w:r>
      <w:r>
        <w:rPr>
          <w:color w:val="auto"/>
          <w:szCs w:val="21"/>
          <w:highlight w:val="none"/>
        </w:rPr>
        <w:t>120000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人及以上，且资产总额</w:t>
      </w:r>
      <w:r>
        <w:rPr>
          <w:color w:val="auto"/>
          <w:szCs w:val="21"/>
          <w:highlight w:val="none"/>
        </w:rPr>
        <w:t>8000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人及以上，且资产总额</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人以下或资产总额</w:t>
      </w:r>
      <w:r>
        <w:rPr>
          <w:color w:val="auto"/>
          <w:szCs w:val="21"/>
          <w:highlight w:val="none"/>
        </w:rPr>
        <w:t>100</w:t>
      </w:r>
      <w:r>
        <w:rPr>
          <w:rFonts w:hint="eastAsia"/>
          <w:color w:val="auto"/>
          <w:szCs w:val="21"/>
          <w:highlight w:val="none"/>
        </w:rPr>
        <w:t>万元以下的为微型企业。</w:t>
      </w:r>
    </w:p>
    <w:p w14:paraId="7687933A">
      <w:pPr>
        <w:pStyle w:val="9"/>
        <w:rPr>
          <w:color w:val="auto"/>
          <w:szCs w:val="21"/>
          <w:highlight w:val="none"/>
        </w:rPr>
      </w:pPr>
      <w:r>
        <w:rPr>
          <w:rFonts w:hint="eastAsia"/>
          <w:color w:val="auto"/>
          <w:szCs w:val="21"/>
          <w:highlight w:val="none"/>
        </w:rPr>
        <w:t>　　（十六）其他未列明行业。从业人员</w:t>
      </w:r>
      <w:r>
        <w:rPr>
          <w:color w:val="auto"/>
          <w:szCs w:val="21"/>
          <w:highlight w:val="none"/>
        </w:rPr>
        <w:t>300</w:t>
      </w:r>
      <w:r>
        <w:rPr>
          <w:rFonts w:hint="eastAsia"/>
          <w:color w:val="auto"/>
          <w:szCs w:val="21"/>
          <w:highlight w:val="none"/>
        </w:rPr>
        <w:t>人以下的为中小微型企业。其中，从业人员</w:t>
      </w:r>
      <w:r>
        <w:rPr>
          <w:color w:val="auto"/>
          <w:szCs w:val="21"/>
          <w:highlight w:val="none"/>
        </w:rPr>
        <w:t>100</w:t>
      </w:r>
      <w:r>
        <w:rPr>
          <w:rFonts w:hint="eastAsia"/>
          <w:color w:val="auto"/>
          <w:szCs w:val="21"/>
          <w:highlight w:val="none"/>
        </w:rPr>
        <w:t>人及以上的为中型企业；从业人员</w:t>
      </w:r>
      <w:r>
        <w:rPr>
          <w:color w:val="auto"/>
          <w:szCs w:val="21"/>
          <w:highlight w:val="none"/>
        </w:rPr>
        <w:t>10</w:t>
      </w:r>
      <w:r>
        <w:rPr>
          <w:rFonts w:hint="eastAsia"/>
          <w:color w:val="auto"/>
          <w:szCs w:val="21"/>
          <w:highlight w:val="none"/>
        </w:rPr>
        <w:t>人及以上的为小型企业；从业人员</w:t>
      </w:r>
      <w:r>
        <w:rPr>
          <w:color w:val="auto"/>
          <w:szCs w:val="21"/>
          <w:highlight w:val="none"/>
        </w:rPr>
        <w:t>10</w:t>
      </w:r>
      <w:r>
        <w:rPr>
          <w:rFonts w:hint="eastAsia"/>
          <w:color w:val="auto"/>
          <w:szCs w:val="21"/>
          <w:highlight w:val="none"/>
        </w:rPr>
        <w:t>人以下的为微型企业。</w:t>
      </w:r>
    </w:p>
    <w:p w14:paraId="4A28186C">
      <w:pPr>
        <w:pStyle w:val="9"/>
        <w:rPr>
          <w:color w:val="auto"/>
          <w:szCs w:val="21"/>
          <w:highlight w:val="none"/>
        </w:rPr>
      </w:pPr>
      <w:r>
        <w:rPr>
          <w:rFonts w:hint="eastAsia"/>
          <w:color w:val="auto"/>
          <w:szCs w:val="21"/>
          <w:highlight w:val="none"/>
        </w:rPr>
        <w:t>　　五、企业类型的划分以统计部门的统计数据为依据。</w:t>
      </w:r>
    </w:p>
    <w:p w14:paraId="7F3DC6EA">
      <w:pPr>
        <w:pStyle w:val="9"/>
        <w:rPr>
          <w:color w:val="auto"/>
          <w:szCs w:val="21"/>
          <w:highlight w:val="none"/>
        </w:rPr>
      </w:pPr>
      <w:r>
        <w:rPr>
          <w:rFonts w:hint="eastAsia"/>
          <w:color w:val="auto"/>
          <w:szCs w:val="21"/>
          <w:highlight w:val="none"/>
        </w:rPr>
        <w:t>　　六、本规定适用于在中华人民共和国境内依法设立的各类所有制和各种组织形式的企业。个体工商户和本规定以外的行业，参照本规定进行划型。</w:t>
      </w:r>
    </w:p>
    <w:p w14:paraId="0004FD7E">
      <w:pPr>
        <w:pStyle w:val="9"/>
        <w:rPr>
          <w:color w:val="auto"/>
          <w:szCs w:val="21"/>
          <w:highlight w:val="none"/>
        </w:rPr>
      </w:pPr>
      <w:r>
        <w:rPr>
          <w:rFonts w:hint="eastAsia"/>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A7D6F43">
      <w:pPr>
        <w:pStyle w:val="9"/>
        <w:rPr>
          <w:color w:val="auto"/>
          <w:szCs w:val="21"/>
          <w:highlight w:val="none"/>
        </w:rPr>
      </w:pPr>
      <w:r>
        <w:rPr>
          <w:rFonts w:hint="eastAsia"/>
          <w:color w:val="auto"/>
          <w:szCs w:val="21"/>
          <w:highlight w:val="none"/>
        </w:rPr>
        <w:t>　　八、本规定由工业和信息化部、国家统计局会同有关部门根据《国民经济行业分类》修订情况和企业发展变化情况适时修订。</w:t>
      </w:r>
    </w:p>
    <w:p w14:paraId="192248CB">
      <w:pPr>
        <w:pStyle w:val="9"/>
        <w:rPr>
          <w:color w:val="auto"/>
          <w:szCs w:val="21"/>
          <w:highlight w:val="none"/>
        </w:rPr>
      </w:pPr>
      <w:r>
        <w:rPr>
          <w:rFonts w:hint="eastAsia"/>
          <w:color w:val="auto"/>
          <w:szCs w:val="21"/>
          <w:highlight w:val="none"/>
        </w:rPr>
        <w:t>　　九、本规定由工业和信息化部、国家统计局会同有关部门负责解释。</w:t>
      </w:r>
    </w:p>
    <w:p w14:paraId="534F40DA">
      <w:pPr>
        <w:pStyle w:val="9"/>
        <w:ind w:firstLine="420"/>
        <w:rPr>
          <w:color w:val="auto"/>
          <w:szCs w:val="21"/>
          <w:highlight w:val="none"/>
        </w:rPr>
      </w:pPr>
      <w:r>
        <w:rPr>
          <w:rFonts w:hint="eastAsia"/>
          <w:color w:val="auto"/>
          <w:szCs w:val="21"/>
          <w:highlight w:val="none"/>
        </w:rPr>
        <w:t>十、本规定自发布之日起执行，原国家经贸委、原国家计委、财政部和国家统计局</w:t>
      </w:r>
      <w:r>
        <w:rPr>
          <w:color w:val="auto"/>
          <w:szCs w:val="21"/>
          <w:highlight w:val="none"/>
        </w:rPr>
        <w:t>2003</w:t>
      </w:r>
      <w:r>
        <w:rPr>
          <w:rFonts w:hint="eastAsia"/>
          <w:color w:val="auto"/>
          <w:szCs w:val="21"/>
          <w:highlight w:val="none"/>
        </w:rPr>
        <w:t>年颁布的《中小企业标准暂行规定》同时废止。</w:t>
      </w:r>
    </w:p>
    <w:p w14:paraId="2277D260">
      <w:pPr>
        <w:widowControl/>
        <w:jc w:val="left"/>
        <w:rPr>
          <w:rFonts w:hint="eastAsia" w:ascii="宋体" w:hAnsi="宋体" w:cs="宋体"/>
          <w:color w:val="auto"/>
          <w:sz w:val="20"/>
          <w:szCs w:val="20"/>
          <w:highlight w:val="none"/>
        </w:rPr>
      </w:pPr>
    </w:p>
    <w:p w14:paraId="69CE64EB">
      <w:pPr>
        <w:pStyle w:val="2"/>
        <w:jc w:val="center"/>
        <w:rPr>
          <w:color w:val="auto"/>
          <w:highlight w:val="none"/>
        </w:rPr>
      </w:pPr>
      <w:r>
        <w:rPr>
          <w:rFonts w:ascii="宋体" w:hAnsi="宋体" w:cs="宋体"/>
          <w:color w:val="auto"/>
          <w:sz w:val="20"/>
          <w:szCs w:val="20"/>
          <w:highlight w:val="none"/>
        </w:rPr>
        <w:br w:type="page"/>
      </w:r>
      <w:bookmarkStart w:id="91" w:name="_Toc74322011"/>
      <w:r>
        <w:rPr>
          <w:rFonts w:hint="eastAsia"/>
          <w:color w:val="auto"/>
          <w:highlight w:val="none"/>
        </w:rPr>
        <w:t xml:space="preserve">第四章  </w:t>
      </w:r>
      <w:bookmarkStart w:id="92" w:name="_Hlk68601507"/>
      <w:r>
        <w:rPr>
          <w:rFonts w:hint="eastAsia"/>
          <w:color w:val="auto"/>
          <w:highlight w:val="none"/>
        </w:rPr>
        <w:t>评审程序和评定成交的标准</w:t>
      </w:r>
      <w:bookmarkEnd w:id="91"/>
      <w:bookmarkEnd w:id="92"/>
    </w:p>
    <w:p w14:paraId="2E02867B">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w:t>
      </w:r>
    </w:p>
    <w:p w14:paraId="31EDE0DF">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.确认谈判文件</w:t>
      </w:r>
    </w:p>
    <w:p w14:paraId="0DD889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由谈判小组确认谈判文件。</w:t>
      </w:r>
    </w:p>
    <w:p w14:paraId="47287FAF">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.资格审查</w:t>
      </w:r>
    </w:p>
    <w:p w14:paraId="77B7319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.1响应文件开启后，谈判小组依法对供应商的资格证明文件进行审查。</w:t>
      </w:r>
    </w:p>
    <w:p w14:paraId="49F75A7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谈判小组</w:t>
      </w:r>
      <w:r>
        <w:rPr>
          <w:rFonts w:hint="eastAsia" w:ascii="宋体" w:hAnsi="宋体" w:cs="宋体"/>
          <w:color w:val="auto"/>
          <w:szCs w:val="21"/>
          <w:highlight w:val="none"/>
        </w:rPr>
        <w:t>在资格审查结束前，对供应商进行信用查询。</w:t>
      </w:r>
    </w:p>
    <w:p w14:paraId="31560F4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w:t>
      </w:r>
    </w:p>
    <w:p w14:paraId="4D93CE6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3A635D6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110313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w:t>
      </w:r>
      <w:r>
        <w:rPr>
          <w:rFonts w:hint="eastAsia" w:ascii="宋体" w:hAnsi="宋体" w:cs="宋体"/>
          <w:color w:val="auto"/>
          <w:szCs w:val="21"/>
          <w:highlight w:val="none"/>
        </w:rPr>
        <w:t>十二条规定条件的供应商）的，视同联合体存在不良信用记录。</w:t>
      </w:r>
    </w:p>
    <w:p w14:paraId="3E111D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2.2资格审查标准为本谈判文件中载明对供应商资格要求的条件。本项目资格审查采用合格制，凡符合谈判文件规定的供应商资格要求的供应商均通过资格审查。</w:t>
      </w:r>
    </w:p>
    <w:p w14:paraId="31A3A4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供应商有下列情形之一的，资格审查不通过，其响应文件按无效处理：</w:t>
      </w:r>
    </w:p>
    <w:p w14:paraId="6DF77A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（1）不具备谈判文件中规定的资格要求的；</w:t>
      </w:r>
    </w:p>
    <w:p w14:paraId="4A1D11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（2）未按谈判文件规定的方式获取本谈判文件的供应商；</w:t>
      </w:r>
    </w:p>
    <w:p w14:paraId="5842C5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（3）响应文件中的资格证明文件缺少任一项“供应商须知前附表”资格证明文件规定的“必须提供”的文件资料的；</w:t>
      </w:r>
    </w:p>
    <w:p w14:paraId="14A03352">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60DD86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2D7E327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.4通过资格审查的合格供应商不足3家（本章</w:t>
      </w:r>
      <w:r>
        <w:rPr>
          <w:rFonts w:ascii="宋体" w:hAnsi="宋体" w:cs="宋体"/>
          <w:color w:val="auto"/>
          <w:szCs w:val="21"/>
          <w:highlight w:val="none"/>
        </w:rPr>
        <w:t>3.7</w:t>
      </w:r>
      <w:r>
        <w:rPr>
          <w:rFonts w:hint="eastAsia" w:ascii="宋体" w:hAnsi="宋体" w:cs="宋体"/>
          <w:color w:val="auto"/>
          <w:szCs w:val="21"/>
          <w:highlight w:val="none"/>
        </w:rPr>
        <w:t>条规定除外）的，不得进入符合性审查环节，应当重新开展采购活动。</w:t>
      </w:r>
    </w:p>
    <w:p w14:paraId="5D6402FC">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.符合性审查</w:t>
      </w:r>
    </w:p>
    <w:p w14:paraId="60D357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谈判小组应当对符合资格的供应商的响应文件进行竞标报价、商务、技术等实质性要求符合性审查，以确定其是否满足谈判文件的实质性要求。</w:t>
      </w:r>
    </w:p>
    <w:p w14:paraId="26BDE3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C52F26">
      <w:pPr>
        <w:spacing w:line="360" w:lineRule="auto"/>
        <w:ind w:firstLine="420" w:firstLineChars="200"/>
        <w:rPr>
          <w:rFonts w:hint="eastAsia" w:ascii="宋体" w:hAnsi="宋体" w:cs="宋体"/>
          <w:color w:val="auto"/>
          <w:spacing w:val="-6"/>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70AEB784">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79C346AD">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537B41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3A83FF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74FF38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7E29CE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24F6C8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2A7C9B8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0967D4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6F3EC5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561F09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1）响应文件未按谈判文件要求签署、盖章的；</w:t>
      </w:r>
    </w:p>
    <w:p w14:paraId="7FC1BE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46BDEF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3）提交的竞标保证金无效的或者未按照谈判文件的规定提交竞标保证金；</w:t>
      </w:r>
    </w:p>
    <w:p w14:paraId="7F9378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77370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5）商务要求允许负偏离的条款数超过“供应商须知前附表”规定项数的；</w:t>
      </w:r>
    </w:p>
    <w:p w14:paraId="02B6D1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6）未对竞标有效期作出响应或者响应文件承诺的竞标有效期不满足谈判文件要求；</w:t>
      </w:r>
    </w:p>
    <w:p w14:paraId="3A8FF2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7）响应文件的实质性内容未使用中文表述、使用计量单位不符合谈判文件要求的；</w:t>
      </w:r>
    </w:p>
    <w:p w14:paraId="3F6500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8）响应文件中的文件资料因填写不齐全或者内容虚假或者出现其他情形而导致被谈判小组认定无效的；</w:t>
      </w:r>
    </w:p>
    <w:p w14:paraId="20D2D9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9）响应文件含有采购人不能接受的附加条件的；</w:t>
      </w:r>
    </w:p>
    <w:p w14:paraId="53FA1FE7">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0）属于“供应商须知正文”第7.</w:t>
      </w:r>
      <w:r>
        <w:rPr>
          <w:rFonts w:ascii="宋体" w:hAnsi="宋体" w:cs="宋体"/>
          <w:color w:val="auto"/>
          <w:szCs w:val="21"/>
          <w:highlight w:val="none"/>
        </w:rPr>
        <w:t>5</w:t>
      </w:r>
      <w:r>
        <w:rPr>
          <w:rFonts w:hint="eastAsia" w:ascii="宋体" w:hAnsi="宋体" w:cs="宋体"/>
          <w:color w:val="auto"/>
          <w:szCs w:val="21"/>
          <w:highlight w:val="none"/>
        </w:rPr>
        <w:t>条的情形的；</w:t>
      </w:r>
    </w:p>
    <w:p w14:paraId="3DA6D4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11）技术评审允许负偏离的条款数超过“供应商须知前附表”规定项数的；</w:t>
      </w:r>
    </w:p>
    <w:p w14:paraId="444588E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2）虚假竞标，或者出现其他情形而导致被谈判小组认定无效的；</w:t>
      </w:r>
    </w:p>
    <w:p w14:paraId="3AA12EE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bookmarkStart w:id="93" w:name="_Hlk71704147"/>
      <w:r>
        <w:rPr>
          <w:rFonts w:hint="eastAsia" w:ascii="宋体" w:hAnsi="宋体" w:cs="宋体"/>
          <w:color w:val="auto"/>
          <w:szCs w:val="21"/>
          <w:highlight w:val="none"/>
        </w:rPr>
        <w:t>谈判文件未载明允许提供备选（替代）竞标方案或明确不允许提供备选（替代）竞标方案时，供应商提供了备选（替代）竞标方案的；</w:t>
      </w:r>
      <w:bookmarkEnd w:id="93"/>
    </w:p>
    <w:p w14:paraId="5492185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4）响应文件标注的项目名称或者项目编号与谈判文件标注的项目名称或者项目编号不一致的；</w:t>
      </w:r>
    </w:p>
    <w:p w14:paraId="03BD48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olor w:val="auto"/>
          <w:szCs w:val="21"/>
          <w:highlight w:val="none"/>
        </w:rPr>
        <w:t>谈判文件明确不允许分包，响应文件拟分包的；</w:t>
      </w:r>
    </w:p>
    <w:p w14:paraId="0F88CBD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6）未响应谈判文件实质性要求；</w:t>
      </w:r>
    </w:p>
    <w:p w14:paraId="0E019B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17）法律、法规和谈判文件规定的其他无效情形。</w:t>
      </w:r>
    </w:p>
    <w:p w14:paraId="6EADC8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2）报</w:t>
      </w:r>
      <w:r>
        <w:rPr>
          <w:rFonts w:hint="eastAsia" w:ascii="宋体" w:hAnsi="宋体" w:cs="宋体"/>
          <w:color w:val="auto"/>
          <w:szCs w:val="21"/>
          <w:highlight w:val="none"/>
        </w:rPr>
        <w:t>价评审</w:t>
      </w:r>
    </w:p>
    <w:p w14:paraId="1BEE15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1）响应文件未提供“供应商须知前附表”报价文件中规定的“竞标报价表”的；</w:t>
      </w:r>
    </w:p>
    <w:p w14:paraId="17C243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2）未采用人民币报价或者未按照谈判文件标明的币种报价的；</w:t>
      </w:r>
    </w:p>
    <w:p w14:paraId="12B29A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14:paraId="68DB2E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3B8D01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2B70A3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响应文件响应的标的数量及单位与竞争性谈判采购要求实质性不一致的。</w:t>
      </w:r>
    </w:p>
    <w:p w14:paraId="1B2A45A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3FBF5E9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2B9D1D9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.8除本章3.7条规定的情形外，通过符合性审查的合格供应商不足3家的，不得进入谈判环节，应当重新开展采购活动。</w:t>
      </w:r>
    </w:p>
    <w:p w14:paraId="458566C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谈判程序</w:t>
      </w:r>
    </w:p>
    <w:p w14:paraId="29C3AA5E">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谈判小组</w:t>
      </w:r>
      <w:r>
        <w:rPr>
          <w:rFonts w:hint="eastAsia" w:ascii="宋体" w:hAnsi="宋体" w:cs="宋体"/>
          <w:color w:val="auto"/>
          <w:szCs w:val="21"/>
          <w:highlight w:val="none"/>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526BB1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08758A2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对谈判文件作出的实质性变动是谈判文件的有效组成部分，由谈判小组及时以电子澄清函形式同时通知所有参加谈判的供应商。</w:t>
      </w:r>
    </w:p>
    <w:p w14:paraId="20411ED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7D489B1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谈判中，谈判的任何一方不得透露与谈判有关的其他供应商的技术资料、价格和其他信息。</w:t>
      </w:r>
    </w:p>
    <w:p w14:paraId="657350D2">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谈判小组应对谈判过程和重要谈判内容进行记录。</w:t>
      </w:r>
    </w:p>
    <w:p w14:paraId="13F0656E">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7除本章第3.7条外，</w:t>
      </w:r>
      <w:r>
        <w:rPr>
          <w:rFonts w:hint="eastAsia" w:ascii="宋体" w:hAnsi="宋体"/>
          <w:color w:val="auto"/>
          <w:szCs w:val="21"/>
          <w:highlight w:val="none"/>
        </w:rPr>
        <w:t>对谈判过程提交的响应文件进行有效性、完整性和响应程度审查，通过审查的合格供应商不足3家的，采购人或者采购代理机构应当重新开展采购活动</w:t>
      </w:r>
      <w:r>
        <w:rPr>
          <w:rFonts w:hint="eastAsia" w:ascii="宋体" w:hAnsi="宋体" w:cs="宋体"/>
          <w:color w:val="auto"/>
          <w:szCs w:val="21"/>
          <w:highlight w:val="none"/>
        </w:rPr>
        <w:t>。</w:t>
      </w:r>
    </w:p>
    <w:p w14:paraId="086FD7F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 xml:space="preserve"> 最后报价</w:t>
      </w:r>
    </w:p>
    <w:p w14:paraId="45BD28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.1</w:t>
      </w:r>
      <w:r>
        <w:rPr>
          <w:rFonts w:hint="eastAsia" w:ascii="宋体" w:hAnsi="宋体" w:cs="宋体"/>
          <w:color w:val="auto"/>
          <w:szCs w:val="21"/>
          <w:highlight w:val="none"/>
        </w:rPr>
        <w:t>谈判文件能够详细列明采购标的的技术、服务要求的，谈判结束后，谈判小组应当要求所有继续参加谈判的供应商在规定时间内在广西政府采购云平台开标大厅提交最后报价，除本章第3.7条外，提交最后报价的供应商不得少于3家，否则应当重新采购。</w:t>
      </w:r>
    </w:p>
    <w:p w14:paraId="04D9B72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广西政府采购云平台开标大厅提交最后报价。</w:t>
      </w:r>
    </w:p>
    <w:p w14:paraId="2F54B6E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最后报价是供应商响应文件的有效组成部分。</w:t>
      </w:r>
    </w:p>
    <w:p w14:paraId="5FF8897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已经提交响应文件的供应商，在提交最后报价之前，可以根据谈判情况退出谈判，退出谈判的供应商的响应文件按无效响应处理。采购人、采购代理机构将退还退出谈判的供应商的保证金。</w:t>
      </w:r>
    </w:p>
    <w:p w14:paraId="5CBD744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供应商未在规定时间内提交最后报价的，视为退出谈判，其响应文件按无效处理。</w:t>
      </w:r>
    </w:p>
    <w:p w14:paraId="6B2221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.6</w:t>
      </w:r>
      <w:r>
        <w:rPr>
          <w:rFonts w:hint="eastAsia" w:ascii="宋体" w:hAnsi="宋体" w:cs="宋体"/>
          <w:color w:val="auto"/>
          <w:szCs w:val="21"/>
          <w:highlight w:val="none"/>
        </w:rPr>
        <w:t>最后报价统一开启后，谈判小组对最后报价进行有效性、完整性和响应程度的审查。</w:t>
      </w:r>
    </w:p>
    <w:p w14:paraId="1774D24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3.4</w:t>
      </w:r>
      <w:r>
        <w:rPr>
          <w:rFonts w:hint="eastAsia" w:ascii="宋体" w:hAnsi="宋体" w:cs="宋体"/>
          <w:color w:val="auto"/>
          <w:szCs w:val="21"/>
          <w:highlight w:val="none"/>
        </w:rPr>
        <w:t xml:space="preserve">条的规定修正。 </w:t>
      </w:r>
    </w:p>
    <w:p w14:paraId="77B3FBC7">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5.8</w:t>
      </w:r>
      <w:r>
        <w:rPr>
          <w:rFonts w:hint="eastAsia" w:ascii="宋体" w:hAnsi="宋体" w:cs="宋体"/>
          <w:color w:val="auto"/>
          <w:szCs w:val="21"/>
          <w:highlight w:val="none"/>
        </w:rPr>
        <w:t>修正后的报价出现下列情形的，按无效响应处理：</w:t>
      </w:r>
    </w:p>
    <w:p w14:paraId="4ECF09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77ACC9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3AAC7E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0682D4B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5.9</w:t>
      </w:r>
      <w:r>
        <w:rPr>
          <w:rFonts w:hint="eastAsia" w:ascii="宋体" w:hAnsi="宋体" w:cs="宋体"/>
          <w:color w:val="auto"/>
          <w:szCs w:val="21"/>
          <w:highlight w:val="none"/>
        </w:rPr>
        <w:t>经供应商确认修正后的最后报价作为评审及签订合同的依据。</w:t>
      </w:r>
    </w:p>
    <w:p w14:paraId="642705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，谈判小组应当告知有关供应商</w:t>
      </w:r>
      <w:r>
        <w:rPr>
          <w:rFonts w:hint="eastAsia" w:ascii="宋体" w:hAnsi="宋体" w:cs="宋体"/>
          <w:color w:val="auto"/>
          <w:szCs w:val="21"/>
          <w:highlight w:val="none"/>
        </w:rPr>
        <w:t>。</w:t>
      </w:r>
    </w:p>
    <w:p w14:paraId="47F8151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1最后报价结束后，谈判小组不得再与供应商进行任何形式的商谈。</w:t>
      </w:r>
    </w:p>
    <w:p w14:paraId="134DD465">
      <w:pPr>
        <w:spacing w:line="360" w:lineRule="auto"/>
        <w:ind w:firstLine="472" w:firstLineChars="196"/>
        <w:rPr>
          <w:rFonts w:hint="eastAsia" w:ascii="黑体" w:hAnsi="黑体" w:eastAsia="黑体" w:cs="宋体"/>
          <w:b/>
          <w:bCs/>
          <w:color w:val="auto"/>
          <w:sz w:val="24"/>
          <w:highlight w:val="none"/>
        </w:rPr>
      </w:pPr>
      <w:r>
        <w:rPr>
          <w:rFonts w:ascii="黑体" w:hAnsi="黑体" w:eastAsia="黑体" w:cs="宋体"/>
          <w:b/>
          <w:bCs/>
          <w:color w:val="auto"/>
          <w:sz w:val="24"/>
          <w:highlight w:val="none"/>
        </w:rPr>
        <w:t>6.</w:t>
      </w:r>
      <w:r>
        <w:rPr>
          <w:rFonts w:hint="eastAsia" w:ascii="黑体" w:hAnsi="黑体" w:eastAsia="黑体" w:cs="宋体"/>
          <w:b/>
          <w:bCs/>
          <w:color w:val="auto"/>
          <w:sz w:val="24"/>
          <w:highlight w:val="none"/>
        </w:rPr>
        <w:t xml:space="preserve"> 最后报价政府采购政策性扣除</w:t>
      </w:r>
    </w:p>
    <w:p w14:paraId="2BD9F3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.1</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6364C952">
      <w:pPr>
        <w:spacing w:line="360" w:lineRule="auto"/>
        <w:ind w:firstLine="420" w:firstLineChars="200"/>
        <w:rPr>
          <w:rFonts w:hint="eastAsia" w:ascii="宋体" w:hAnsi="宋体" w:cs="宋体"/>
          <w:color w:val="auto"/>
          <w:highlight w:val="none"/>
        </w:rPr>
      </w:pPr>
      <w:r>
        <w:rPr>
          <w:rFonts w:ascii="宋体" w:hAnsi="宋体" w:cs="宋体"/>
          <w:color w:val="auto"/>
          <w:szCs w:val="21"/>
          <w:highlight w:val="none"/>
        </w:rPr>
        <w:t>6.2</w:t>
      </w:r>
      <w:r>
        <w:rPr>
          <w:rFonts w:hint="eastAsia" w:ascii="宋体" w:hAnsi="宋体" w:cs="宋体"/>
          <w:color w:val="auto"/>
          <w:highlight w:val="none"/>
        </w:rPr>
        <w:t>政策性扣除计算方法。</w:t>
      </w:r>
    </w:p>
    <w:p w14:paraId="2C8C3A76">
      <w:pPr>
        <w:spacing w:line="360" w:lineRule="auto"/>
        <w:ind w:firstLine="369" w:firstLineChars="176"/>
        <w:rPr>
          <w:rFonts w:hint="eastAsia" w:ascii="宋体" w:hAnsi="宋体" w:cs="宋体"/>
          <w:color w:val="auto"/>
          <w:highlight w:val="none"/>
        </w:rPr>
      </w:pPr>
      <w:r>
        <w:rPr>
          <w:rFonts w:hint="eastAsia" w:ascii="宋体" w:hAnsi="宋体" w:cs="宋体"/>
          <w:color w:val="auto"/>
          <w:szCs w:val="21"/>
          <w:highlight w:val="none"/>
        </w:rPr>
        <w:t>根据《政府采购促进中小企业发展管理办法》（财库〔2020〕46号）</w:t>
      </w:r>
      <w:r>
        <w:rPr>
          <w:rFonts w:hint="eastAsia" w:ascii="宋体" w:hAnsi="宋体"/>
          <w:bCs/>
          <w:color w:val="auto"/>
          <w:szCs w:val="21"/>
          <w:highlight w:val="none"/>
        </w:rPr>
        <w:t>及《广西壮族自治区财政厅关于持续优化政府采购营商环境推动高质量发展的通知》（桂财采〔2024〕55号）的规定，供应商在其响应文件中提供《中小企业声明函》，且响应货物全部由小微企业制造，对供应商的竞标报价给予</w:t>
      </w:r>
      <w:r>
        <w:rPr>
          <w:rFonts w:hint="eastAsia" w:ascii="宋体" w:hAnsi="宋体"/>
          <w:bCs/>
          <w:color w:val="auto"/>
          <w:szCs w:val="21"/>
          <w:highlight w:val="none"/>
          <w:u w:val="single"/>
        </w:rPr>
        <w:t>10%</w:t>
      </w:r>
      <w:r>
        <w:rPr>
          <w:rFonts w:hint="eastAsia" w:ascii="宋体" w:hAnsi="宋体"/>
          <w:bCs/>
          <w:color w:val="auto"/>
          <w:szCs w:val="21"/>
          <w:highlight w:val="none"/>
        </w:rPr>
        <w:t>的扣除，扣除后的价格为评审价，即评审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auto"/>
          <w:szCs w:val="21"/>
          <w:highlight w:val="none"/>
          <w:u w:val="single"/>
        </w:rPr>
        <w:t>4%</w:t>
      </w:r>
      <w:r>
        <w:rPr>
          <w:rFonts w:hint="eastAsia" w:ascii="宋体" w:hAnsi="宋体"/>
          <w:bCs/>
          <w:color w:val="auto"/>
          <w:szCs w:val="21"/>
          <w:highlight w:val="none"/>
        </w:rPr>
        <w:t>的扣除，用扣除后的价格参加评审，扣除后的价格为评审价，即评审价=竞标报价×（1-</w:t>
      </w:r>
      <w:r>
        <w:rPr>
          <w:rFonts w:hint="eastAsia" w:ascii="宋体" w:hAnsi="宋体"/>
          <w:bCs/>
          <w:color w:val="auto"/>
          <w:szCs w:val="21"/>
          <w:highlight w:val="none"/>
          <w:u w:val="single"/>
        </w:rPr>
        <w:t>4</w:t>
      </w:r>
      <w:r>
        <w:rPr>
          <w:rFonts w:hint="eastAsia" w:ascii="宋体" w:hAnsi="宋体"/>
          <w:bCs/>
          <w:color w:val="auto"/>
          <w:szCs w:val="21"/>
          <w:highlight w:val="none"/>
        </w:rPr>
        <w:t>%）。除上述情况外，评审价=竞标报价。</w:t>
      </w:r>
    </w:p>
    <w:p w14:paraId="1AAB9B6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auto"/>
          <w:szCs w:val="21"/>
          <w:highlight w:val="none"/>
        </w:rPr>
        <w:t>监狱企业属于小型、微型企业的，</w:t>
      </w:r>
      <w:r>
        <w:rPr>
          <w:rFonts w:hint="eastAsia" w:ascii="宋体" w:hAnsi="宋体" w:cs="宋体"/>
          <w:color w:val="auto"/>
          <w:szCs w:val="21"/>
          <w:highlight w:val="none"/>
        </w:rPr>
        <w:t>不重复享受政策。</w:t>
      </w:r>
    </w:p>
    <w:p w14:paraId="4474C243">
      <w:pPr>
        <w:spacing w:line="360" w:lineRule="auto"/>
        <w:ind w:firstLine="420" w:firstLineChars="200"/>
        <w:rPr>
          <w:rFonts w:hint="eastAsia" w:ascii="宋体" w:hAnsi="宋体" w:cs="宋体"/>
          <w:color w:val="auto"/>
          <w:highlight w:val="none"/>
        </w:rPr>
      </w:pPr>
      <w:r>
        <w:rPr>
          <w:rFonts w:ascii="宋体" w:hAnsi="宋体" w:cs="宋体"/>
          <w:color w:val="auto"/>
          <w:szCs w:val="21"/>
          <w:highlight w:val="none"/>
        </w:rPr>
        <w:t>6.4</w:t>
      </w:r>
      <w:r>
        <w:rPr>
          <w:rFonts w:hint="eastAsia" w:ascii="宋体" w:hAnsi="宋体" w:cs="宋体"/>
          <w:color w:val="auto"/>
          <w:szCs w:val="21"/>
          <w:highlight w:val="none"/>
        </w:rPr>
        <w:t>按照《关于促进残疾人就业政府采购政策的通知》（财库〔2017〕141号）的规定，残疾人福利性单位视同小型、微型企业，享受预留份额、评审中价格扣除等</w:t>
      </w:r>
      <w:r>
        <w:rPr>
          <w:rFonts w:hint="eastAsia" w:ascii="宋体" w:hAnsi="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E4D5F01">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6.5</w:t>
      </w:r>
      <w:r>
        <w:rPr>
          <w:rFonts w:hint="eastAsia" w:ascii="宋体" w:hAnsi="宋体" w:cs="宋体"/>
          <w:color w:val="auto"/>
          <w:highlight w:val="none"/>
        </w:rPr>
        <w:t>除上述情况外，评审价＝最后报价。</w:t>
      </w:r>
    </w:p>
    <w:p w14:paraId="09427AF7">
      <w:pPr>
        <w:spacing w:line="360" w:lineRule="auto"/>
        <w:ind w:firstLine="420" w:firstLineChars="200"/>
        <w:rPr>
          <w:rFonts w:hint="eastAsia" w:ascii="宋体" w:hAnsi="宋体" w:cs="宋体"/>
          <w:color w:val="auto"/>
          <w:highlight w:val="none"/>
        </w:rPr>
      </w:pPr>
    </w:p>
    <w:p w14:paraId="567401CA">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二、评定成交的标准</w:t>
      </w:r>
    </w:p>
    <w:p w14:paraId="3B7574BB">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7.</w:t>
      </w:r>
      <w:r>
        <w:rPr>
          <w:rFonts w:hint="eastAsia" w:ascii="黑体" w:hAnsi="黑体" w:eastAsia="黑体" w:cs="宋体"/>
          <w:b/>
          <w:bCs/>
          <w:color w:val="auto"/>
          <w:sz w:val="24"/>
          <w:highlight w:val="none"/>
        </w:rPr>
        <w:t xml:space="preserve"> 成交候选人推荐原则</w:t>
      </w:r>
    </w:p>
    <w:p w14:paraId="240BF550">
      <w:pPr>
        <w:spacing w:line="360" w:lineRule="auto"/>
        <w:ind w:firstLine="420" w:firstLineChars="200"/>
        <w:contextualSpacing/>
        <w:rPr>
          <w:rFonts w:hint="eastAsia" w:hAnsi="宋体"/>
          <w:color w:val="auto"/>
          <w:highlight w:val="none"/>
        </w:rPr>
      </w:pPr>
      <w:r>
        <w:rPr>
          <w:rFonts w:hint="eastAsia" w:ascii="宋体" w:hAnsi="宋体" w:cs="宋体"/>
          <w:color w:val="auto"/>
          <w:highlight w:val="none"/>
        </w:rPr>
        <w:t>谈判小组应当从质量和服务均能满足谈判文件实质性响应要求的供应商中，按照评审价由低到高的顺序提出3名及以上成交候选人（评审价相同时，按照最后报价由低到高顺序依次推荐；最后报价相同时，由谈判小组按“供应商须知前附表”第2</w:t>
      </w:r>
      <w:r>
        <w:rPr>
          <w:rFonts w:ascii="宋体" w:hAnsi="宋体" w:cs="宋体"/>
          <w:color w:val="auto"/>
          <w:highlight w:val="none"/>
        </w:rPr>
        <w:t>6</w:t>
      </w:r>
      <w:r>
        <w:rPr>
          <w:rFonts w:hint="eastAsia" w:ascii="宋体" w:hAnsi="宋体" w:cs="宋体"/>
          <w:color w:val="auto"/>
          <w:highlight w:val="none"/>
        </w:rPr>
        <w:t>条规定的顺序推荐），并编写评审报告，评审报告</w:t>
      </w:r>
      <w:r>
        <w:rPr>
          <w:rFonts w:hint="eastAsia" w:hAnsi="宋体"/>
          <w:color w:val="auto"/>
          <w:highlight w:val="none"/>
        </w:rPr>
        <w:t>通过电子交易平台向采购人、采购代理机构提交。</w:t>
      </w:r>
    </w:p>
    <w:p w14:paraId="79CECD8F">
      <w:pPr>
        <w:spacing w:line="360" w:lineRule="auto"/>
        <w:ind w:firstLine="420" w:firstLineChars="200"/>
        <w:rPr>
          <w:rFonts w:hint="eastAsia" w:ascii="宋体" w:hAnsi="宋体" w:cs="宋体"/>
          <w:color w:val="auto"/>
          <w:highlight w:val="none"/>
        </w:rPr>
      </w:pPr>
    </w:p>
    <w:p w14:paraId="0DB0DC71">
      <w:pPr>
        <w:pStyle w:val="2"/>
        <w:jc w:val="center"/>
        <w:rPr>
          <w:color w:val="auto"/>
          <w:highlight w:val="none"/>
        </w:rPr>
      </w:pPr>
      <w:r>
        <w:rPr>
          <w:color w:val="auto"/>
          <w:highlight w:val="none"/>
        </w:rPr>
        <w:br w:type="page"/>
      </w:r>
    </w:p>
    <w:p w14:paraId="55058755">
      <w:pPr>
        <w:rPr>
          <w:color w:val="auto"/>
          <w:highlight w:val="none"/>
        </w:rPr>
      </w:pPr>
    </w:p>
    <w:p w14:paraId="5025AF21">
      <w:pPr>
        <w:rPr>
          <w:color w:val="auto"/>
          <w:highlight w:val="none"/>
        </w:rPr>
      </w:pPr>
    </w:p>
    <w:p w14:paraId="50BC6A5E">
      <w:pPr>
        <w:rPr>
          <w:color w:val="auto"/>
          <w:highlight w:val="none"/>
        </w:rPr>
      </w:pPr>
    </w:p>
    <w:p w14:paraId="674968C5">
      <w:pPr>
        <w:rPr>
          <w:color w:val="auto"/>
          <w:highlight w:val="none"/>
        </w:rPr>
      </w:pPr>
    </w:p>
    <w:p w14:paraId="0645387E">
      <w:pPr>
        <w:rPr>
          <w:color w:val="auto"/>
          <w:highlight w:val="none"/>
        </w:rPr>
      </w:pPr>
    </w:p>
    <w:p w14:paraId="2894F4F8">
      <w:pPr>
        <w:rPr>
          <w:color w:val="auto"/>
          <w:highlight w:val="none"/>
        </w:rPr>
      </w:pPr>
    </w:p>
    <w:p w14:paraId="75869499">
      <w:pPr>
        <w:rPr>
          <w:color w:val="auto"/>
          <w:highlight w:val="none"/>
        </w:rPr>
      </w:pPr>
    </w:p>
    <w:p w14:paraId="46FFAEDD">
      <w:pPr>
        <w:rPr>
          <w:color w:val="auto"/>
          <w:highlight w:val="none"/>
        </w:rPr>
      </w:pPr>
    </w:p>
    <w:p w14:paraId="59E422BC">
      <w:pPr>
        <w:rPr>
          <w:color w:val="auto"/>
          <w:highlight w:val="none"/>
        </w:rPr>
      </w:pPr>
    </w:p>
    <w:p w14:paraId="201566F5">
      <w:pPr>
        <w:rPr>
          <w:color w:val="auto"/>
          <w:highlight w:val="none"/>
        </w:rPr>
      </w:pPr>
    </w:p>
    <w:p w14:paraId="701B849E">
      <w:pPr>
        <w:rPr>
          <w:color w:val="auto"/>
          <w:highlight w:val="none"/>
        </w:rPr>
      </w:pPr>
    </w:p>
    <w:p w14:paraId="6ABB8367">
      <w:pPr>
        <w:rPr>
          <w:color w:val="auto"/>
          <w:highlight w:val="none"/>
        </w:rPr>
      </w:pPr>
    </w:p>
    <w:p w14:paraId="36ACF6BD">
      <w:pPr>
        <w:rPr>
          <w:color w:val="auto"/>
          <w:highlight w:val="none"/>
        </w:rPr>
      </w:pPr>
    </w:p>
    <w:p w14:paraId="24826EDA">
      <w:pPr>
        <w:pStyle w:val="2"/>
        <w:jc w:val="center"/>
        <w:rPr>
          <w:color w:val="auto"/>
          <w:highlight w:val="none"/>
        </w:rPr>
      </w:pPr>
      <w:bookmarkStart w:id="94" w:name="_Toc74322012"/>
      <w:r>
        <w:rPr>
          <w:rFonts w:hint="eastAsia"/>
          <w:color w:val="auto"/>
          <w:highlight w:val="none"/>
        </w:rPr>
        <w:t>第五章 响应文件格式</w:t>
      </w:r>
      <w:bookmarkEnd w:id="94"/>
    </w:p>
    <w:p w14:paraId="3AE371E5">
      <w:pPr>
        <w:spacing w:line="240" w:lineRule="atLeast"/>
        <w:rPr>
          <w:rFonts w:hint="eastAsia" w:ascii="宋体" w:hAnsi="宋体"/>
          <w:b/>
          <w:color w:val="auto"/>
          <w:sz w:val="32"/>
          <w:szCs w:val="32"/>
          <w:highlight w:val="none"/>
        </w:rPr>
      </w:pPr>
    </w:p>
    <w:p w14:paraId="429529B8">
      <w:pPr>
        <w:spacing w:line="240" w:lineRule="atLeast"/>
        <w:rPr>
          <w:rFonts w:hint="eastAsia" w:ascii="宋体" w:hAnsi="宋体"/>
          <w:b/>
          <w:color w:val="auto"/>
          <w:sz w:val="32"/>
          <w:szCs w:val="32"/>
          <w:highlight w:val="none"/>
        </w:rPr>
      </w:pPr>
    </w:p>
    <w:p w14:paraId="6F6E5547">
      <w:pPr>
        <w:spacing w:line="240" w:lineRule="atLeast"/>
        <w:rPr>
          <w:rFonts w:hint="eastAsia" w:ascii="宋体" w:hAnsi="宋体"/>
          <w:b/>
          <w:color w:val="auto"/>
          <w:sz w:val="32"/>
          <w:szCs w:val="32"/>
          <w:highlight w:val="none"/>
        </w:rPr>
      </w:pPr>
    </w:p>
    <w:p w14:paraId="76CA7209">
      <w:pPr>
        <w:spacing w:line="240" w:lineRule="atLeast"/>
        <w:rPr>
          <w:rFonts w:hint="eastAsia" w:ascii="宋体" w:hAnsi="宋体"/>
          <w:b/>
          <w:color w:val="auto"/>
          <w:sz w:val="32"/>
          <w:szCs w:val="32"/>
          <w:highlight w:val="none"/>
        </w:rPr>
      </w:pPr>
    </w:p>
    <w:p w14:paraId="4F85BD2D">
      <w:pPr>
        <w:spacing w:line="240" w:lineRule="atLeast"/>
        <w:rPr>
          <w:rFonts w:hint="eastAsia" w:ascii="宋体" w:hAnsi="宋体"/>
          <w:b/>
          <w:color w:val="auto"/>
          <w:sz w:val="32"/>
          <w:szCs w:val="32"/>
          <w:highlight w:val="none"/>
        </w:rPr>
      </w:pPr>
    </w:p>
    <w:p w14:paraId="58B75591">
      <w:pPr>
        <w:spacing w:line="240" w:lineRule="atLeast"/>
        <w:rPr>
          <w:rFonts w:hint="eastAsia" w:ascii="宋体" w:hAnsi="宋体"/>
          <w:b/>
          <w:color w:val="auto"/>
          <w:sz w:val="32"/>
          <w:szCs w:val="32"/>
          <w:highlight w:val="none"/>
        </w:rPr>
      </w:pPr>
    </w:p>
    <w:p w14:paraId="0C5A7CF0">
      <w:pPr>
        <w:spacing w:line="240" w:lineRule="atLeast"/>
        <w:rPr>
          <w:rFonts w:hint="eastAsia" w:ascii="宋体" w:hAnsi="宋体"/>
          <w:b/>
          <w:color w:val="auto"/>
          <w:sz w:val="32"/>
          <w:szCs w:val="32"/>
          <w:highlight w:val="none"/>
        </w:rPr>
      </w:pPr>
    </w:p>
    <w:p w14:paraId="0677ADD3">
      <w:pPr>
        <w:spacing w:line="240" w:lineRule="atLeast"/>
        <w:rPr>
          <w:rFonts w:hint="eastAsia" w:ascii="宋体" w:hAnsi="宋体"/>
          <w:b/>
          <w:color w:val="auto"/>
          <w:sz w:val="32"/>
          <w:szCs w:val="32"/>
          <w:highlight w:val="none"/>
        </w:rPr>
      </w:pPr>
    </w:p>
    <w:p w14:paraId="385438B1">
      <w:pPr>
        <w:spacing w:line="240" w:lineRule="atLeast"/>
        <w:rPr>
          <w:rFonts w:hint="eastAsia" w:ascii="宋体" w:hAnsi="宋体"/>
          <w:b/>
          <w:color w:val="auto"/>
          <w:sz w:val="32"/>
          <w:szCs w:val="32"/>
          <w:highlight w:val="none"/>
        </w:rPr>
      </w:pPr>
    </w:p>
    <w:p w14:paraId="120FAB41">
      <w:pPr>
        <w:spacing w:line="240" w:lineRule="atLeast"/>
        <w:rPr>
          <w:rFonts w:hint="eastAsia" w:ascii="宋体" w:hAnsi="宋体"/>
          <w:b/>
          <w:color w:val="auto"/>
          <w:sz w:val="32"/>
          <w:szCs w:val="32"/>
          <w:highlight w:val="none"/>
        </w:rPr>
      </w:pPr>
    </w:p>
    <w:p w14:paraId="7E29A4FE">
      <w:pPr>
        <w:spacing w:line="240" w:lineRule="atLeast"/>
        <w:rPr>
          <w:rFonts w:hint="eastAsia" w:ascii="宋体" w:hAnsi="宋体"/>
          <w:b/>
          <w:color w:val="auto"/>
          <w:sz w:val="32"/>
          <w:szCs w:val="32"/>
          <w:highlight w:val="none"/>
        </w:rPr>
      </w:pPr>
    </w:p>
    <w:p w14:paraId="1EAB8FF3">
      <w:pPr>
        <w:rPr>
          <w:b/>
          <w:color w:val="auto"/>
          <w:sz w:val="32"/>
          <w:szCs w:val="32"/>
          <w:highlight w:val="none"/>
        </w:rPr>
      </w:pPr>
      <w:bookmarkStart w:id="95" w:name="_Toc71366060"/>
      <w:bookmarkStart w:id="96" w:name="_Toc71365382"/>
      <w:r>
        <w:rPr>
          <w:rFonts w:hint="eastAsia"/>
          <w:b/>
          <w:color w:val="auto"/>
          <w:sz w:val="32"/>
          <w:szCs w:val="32"/>
          <w:highlight w:val="none"/>
        </w:rPr>
        <w:br w:type="page"/>
      </w:r>
      <w:r>
        <w:rPr>
          <w:rFonts w:hint="eastAsia"/>
          <w:b/>
          <w:color w:val="auto"/>
          <w:sz w:val="32"/>
          <w:szCs w:val="32"/>
          <w:highlight w:val="none"/>
        </w:rPr>
        <w:t>一、资格证明文件格式</w:t>
      </w:r>
      <w:bookmarkEnd w:id="95"/>
      <w:bookmarkEnd w:id="96"/>
    </w:p>
    <w:p w14:paraId="36BE1181">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34B24C7E">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372D5451">
      <w:pPr>
        <w:snapToGrid w:val="0"/>
        <w:spacing w:before="120" w:beforeLines="50" w:after="50"/>
        <w:jc w:val="center"/>
        <w:rPr>
          <w:rFonts w:hint="eastAsia" w:ascii="宋体" w:hAnsi="宋体"/>
          <w:color w:val="auto"/>
          <w:sz w:val="44"/>
          <w:szCs w:val="44"/>
          <w:highlight w:val="none"/>
        </w:rPr>
      </w:pPr>
      <w:r>
        <w:rPr>
          <w:rFonts w:hint="eastAsia" w:ascii="宋体" w:hAnsi="宋体"/>
          <w:color w:val="auto"/>
          <w:sz w:val="44"/>
          <w:szCs w:val="44"/>
          <w:highlight w:val="none"/>
        </w:rPr>
        <w:t>电 子 响 应 文 件</w:t>
      </w:r>
    </w:p>
    <w:p w14:paraId="61087965">
      <w:pPr>
        <w:snapToGrid w:val="0"/>
        <w:spacing w:before="120" w:beforeLines="50" w:after="50"/>
        <w:rPr>
          <w:rFonts w:hint="eastAsia" w:ascii="宋体" w:hAnsi="宋体"/>
          <w:color w:val="auto"/>
          <w:sz w:val="24"/>
          <w:szCs w:val="20"/>
          <w:highlight w:val="none"/>
        </w:rPr>
      </w:pPr>
    </w:p>
    <w:p w14:paraId="1D260CF5">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57CBD0BE">
      <w:pPr>
        <w:snapToGrid w:val="0"/>
        <w:spacing w:before="120" w:beforeLines="50" w:after="50"/>
        <w:rPr>
          <w:rFonts w:hint="eastAsia" w:ascii="宋体" w:hAnsi="宋体"/>
          <w:bCs/>
          <w:color w:val="auto"/>
          <w:sz w:val="24"/>
          <w:szCs w:val="20"/>
          <w:highlight w:val="none"/>
        </w:rPr>
      </w:pPr>
    </w:p>
    <w:p w14:paraId="4113FCA3">
      <w:pPr>
        <w:snapToGrid w:val="0"/>
        <w:spacing w:before="120" w:beforeLines="50" w:after="50"/>
        <w:rPr>
          <w:rFonts w:hint="eastAsia" w:ascii="宋体" w:hAnsi="宋体"/>
          <w:bCs/>
          <w:color w:val="auto"/>
          <w:sz w:val="24"/>
          <w:szCs w:val="20"/>
          <w:highlight w:val="none"/>
        </w:rPr>
      </w:pPr>
    </w:p>
    <w:p w14:paraId="36CFDD78">
      <w:pPr>
        <w:snapToGrid w:val="0"/>
        <w:spacing w:before="120" w:beforeLines="50" w:after="50"/>
        <w:rPr>
          <w:rFonts w:hint="eastAsia" w:ascii="宋体" w:hAnsi="宋体"/>
          <w:bCs/>
          <w:color w:val="auto"/>
          <w:sz w:val="24"/>
          <w:szCs w:val="20"/>
          <w:highlight w:val="none"/>
        </w:rPr>
      </w:pPr>
    </w:p>
    <w:p w14:paraId="5F701FC8">
      <w:pPr>
        <w:snapToGrid w:val="0"/>
        <w:spacing w:before="120" w:beforeLines="50" w:after="50"/>
        <w:rPr>
          <w:rFonts w:hint="eastAsia" w:ascii="宋体" w:hAnsi="宋体"/>
          <w:bCs/>
          <w:color w:val="auto"/>
          <w:sz w:val="24"/>
          <w:szCs w:val="20"/>
          <w:highlight w:val="none"/>
        </w:rPr>
      </w:pPr>
    </w:p>
    <w:p w14:paraId="6B8017AA">
      <w:pPr>
        <w:snapToGrid w:val="0"/>
        <w:spacing w:before="120" w:beforeLines="50" w:after="50"/>
        <w:rPr>
          <w:rFonts w:hint="eastAsia" w:ascii="宋体" w:hAnsi="宋体"/>
          <w:bCs/>
          <w:color w:val="auto"/>
          <w:sz w:val="24"/>
          <w:szCs w:val="20"/>
          <w:highlight w:val="none"/>
        </w:rPr>
      </w:pPr>
    </w:p>
    <w:p w14:paraId="2C18D70F">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4FFF2F7E">
      <w:pPr>
        <w:snapToGrid w:val="0"/>
        <w:spacing w:before="120" w:beforeLines="50" w:after="50"/>
        <w:ind w:firstLine="720" w:firstLineChars="225"/>
        <w:rPr>
          <w:rFonts w:hint="eastAsia" w:ascii="宋体" w:hAnsi="宋体" w:cs="仿宋_GB2312"/>
          <w:bCs/>
          <w:color w:val="auto"/>
          <w:sz w:val="32"/>
          <w:szCs w:val="32"/>
          <w:highlight w:val="none"/>
        </w:rPr>
      </w:pPr>
    </w:p>
    <w:p w14:paraId="0BCDD4D6">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726AC3F8">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04ED0413">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13C1ED80">
      <w:pPr>
        <w:snapToGrid w:val="0"/>
        <w:spacing w:before="120" w:beforeLines="50" w:after="50"/>
        <w:ind w:firstLine="720" w:firstLineChars="225"/>
        <w:rPr>
          <w:rFonts w:hint="eastAsia" w:ascii="宋体" w:hAnsi="宋体" w:cs="仿宋_GB2312"/>
          <w:bCs/>
          <w:color w:val="auto"/>
          <w:sz w:val="32"/>
          <w:szCs w:val="32"/>
          <w:highlight w:val="none"/>
        </w:rPr>
      </w:pPr>
    </w:p>
    <w:p w14:paraId="11C0FB81">
      <w:pPr>
        <w:pStyle w:val="5"/>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37D3997">
      <w:pPr>
        <w:snapToGrid w:val="0"/>
        <w:spacing w:before="120" w:beforeLines="50" w:after="50"/>
        <w:ind w:firstLine="640" w:firstLineChars="200"/>
        <w:rPr>
          <w:rFonts w:hint="eastAsia" w:ascii="宋体" w:hAnsi="宋体" w:cs="仿宋_GB2312"/>
          <w:bCs/>
          <w:color w:val="auto"/>
          <w:sz w:val="32"/>
          <w:szCs w:val="32"/>
          <w:highlight w:val="none"/>
        </w:rPr>
      </w:pPr>
    </w:p>
    <w:p w14:paraId="66171265">
      <w:pPr>
        <w:pStyle w:val="5"/>
        <w:snapToGrid w:val="0"/>
        <w:spacing w:before="50" w:after="50"/>
        <w:ind w:firstLine="720" w:firstLineChars="225"/>
        <w:rPr>
          <w:rFonts w:hint="eastAsia" w:ascii="宋体" w:hAnsi="宋体" w:cs="仿宋_GB2312"/>
          <w:bCs/>
          <w:color w:val="auto"/>
          <w:sz w:val="32"/>
          <w:szCs w:val="32"/>
          <w:highlight w:val="none"/>
        </w:rPr>
      </w:pPr>
    </w:p>
    <w:p w14:paraId="1E29A3E8">
      <w:pPr>
        <w:pStyle w:val="5"/>
        <w:snapToGrid w:val="0"/>
        <w:spacing w:before="50" w:after="50"/>
        <w:ind w:firstLine="720" w:firstLineChars="225"/>
        <w:rPr>
          <w:rFonts w:hint="eastAsia" w:ascii="宋体" w:hAnsi="宋体" w:cs="仿宋_GB2312"/>
          <w:bCs/>
          <w:color w:val="auto"/>
          <w:sz w:val="32"/>
          <w:szCs w:val="32"/>
          <w:highlight w:val="none"/>
        </w:rPr>
      </w:pPr>
    </w:p>
    <w:p w14:paraId="3E81AE62">
      <w:pPr>
        <w:pStyle w:val="5"/>
        <w:snapToGrid w:val="0"/>
        <w:spacing w:before="50" w:after="50"/>
        <w:ind w:firstLine="1280" w:firstLineChars="400"/>
        <w:rPr>
          <w:rFonts w:hint="eastAsia" w:ascii="宋体" w:hAnsi="宋体" w:cs="仿宋_GB2312"/>
          <w:bCs/>
          <w:color w:val="auto"/>
          <w:sz w:val="32"/>
          <w:szCs w:val="32"/>
          <w:highlight w:val="none"/>
        </w:rPr>
      </w:pPr>
    </w:p>
    <w:p w14:paraId="100BBACC">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2D09EBBE">
      <w:pPr>
        <w:snapToGrid w:val="0"/>
        <w:spacing w:before="120"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70A5A45F">
      <w:pPr>
        <w:snapToGrid w:val="0"/>
        <w:spacing w:before="120" w:beforeLines="50" w:after="50" w:line="360" w:lineRule="auto"/>
        <w:ind w:firstLine="645"/>
        <w:rPr>
          <w:rFonts w:hint="eastAsia"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1D9FD43D">
      <w:pPr>
        <w:snapToGrid w:val="0"/>
        <w:spacing w:before="120" w:beforeLines="50" w:after="50" w:line="360" w:lineRule="auto"/>
        <w:rPr>
          <w:rFonts w:hint="eastAsia" w:ascii="宋体" w:hAnsi="宋体"/>
          <w:color w:val="auto"/>
          <w:sz w:val="24"/>
          <w:szCs w:val="20"/>
          <w:highlight w:val="none"/>
        </w:rPr>
      </w:pPr>
      <w:r>
        <w:rPr>
          <w:rFonts w:ascii="宋体" w:hAnsi="宋体"/>
          <w:color w:val="auto"/>
          <w:sz w:val="24"/>
          <w:szCs w:val="20"/>
          <w:highlight w:val="none"/>
        </w:rPr>
        <w:t xml:space="preserve"> </w:t>
      </w:r>
    </w:p>
    <w:p w14:paraId="179DE83A">
      <w:pPr>
        <w:spacing w:line="360" w:lineRule="auto"/>
        <w:rPr>
          <w:rFonts w:hint="eastAsia" w:ascii="宋体" w:hAnsi="宋体"/>
          <w:color w:val="auto"/>
          <w:szCs w:val="21"/>
          <w:highlight w:val="none"/>
        </w:rPr>
      </w:pPr>
    </w:p>
    <w:p w14:paraId="1FE2B82A">
      <w:pPr>
        <w:spacing w:line="360" w:lineRule="auto"/>
        <w:rPr>
          <w:rFonts w:hint="eastAsia" w:ascii="宋体" w:hAnsi="宋体"/>
          <w:color w:val="auto"/>
          <w:szCs w:val="21"/>
          <w:highlight w:val="none"/>
        </w:rPr>
      </w:pPr>
    </w:p>
    <w:p w14:paraId="57BFD47C">
      <w:pPr>
        <w:spacing w:line="360" w:lineRule="auto"/>
        <w:rPr>
          <w:rFonts w:hint="eastAsia" w:ascii="宋体" w:hAnsi="宋体"/>
          <w:color w:val="auto"/>
          <w:szCs w:val="21"/>
          <w:highlight w:val="none"/>
        </w:rPr>
      </w:pPr>
    </w:p>
    <w:p w14:paraId="75477FD8">
      <w:pPr>
        <w:spacing w:line="360" w:lineRule="auto"/>
        <w:rPr>
          <w:rFonts w:hint="eastAsia" w:ascii="宋体" w:hAnsi="宋体"/>
          <w:color w:val="auto"/>
          <w:szCs w:val="21"/>
          <w:highlight w:val="none"/>
        </w:rPr>
      </w:pPr>
    </w:p>
    <w:p w14:paraId="530089C3">
      <w:pPr>
        <w:spacing w:line="300" w:lineRule="auto"/>
        <w:rPr>
          <w:rFonts w:hint="eastAsia" w:ascii="宋体" w:hAnsi="宋体"/>
          <w:color w:val="auto"/>
          <w:szCs w:val="21"/>
          <w:highlight w:val="none"/>
        </w:rPr>
      </w:pPr>
    </w:p>
    <w:p w14:paraId="56B1E743">
      <w:pPr>
        <w:spacing w:line="300" w:lineRule="auto"/>
        <w:rPr>
          <w:rFonts w:hint="eastAsia" w:ascii="宋体" w:hAnsi="宋体"/>
          <w:color w:val="auto"/>
          <w:szCs w:val="21"/>
          <w:highlight w:val="none"/>
        </w:rPr>
      </w:pPr>
    </w:p>
    <w:p w14:paraId="0201E4FD">
      <w:pPr>
        <w:spacing w:line="300" w:lineRule="auto"/>
        <w:rPr>
          <w:rFonts w:hint="eastAsia" w:ascii="宋体" w:hAnsi="宋体"/>
          <w:color w:val="auto"/>
          <w:szCs w:val="21"/>
          <w:highlight w:val="none"/>
        </w:rPr>
      </w:pPr>
    </w:p>
    <w:p w14:paraId="1DBA63C0">
      <w:pPr>
        <w:spacing w:line="300" w:lineRule="auto"/>
        <w:rPr>
          <w:rFonts w:hint="eastAsia" w:ascii="宋体" w:hAnsi="宋体"/>
          <w:color w:val="auto"/>
          <w:szCs w:val="21"/>
          <w:highlight w:val="none"/>
        </w:rPr>
      </w:pPr>
    </w:p>
    <w:p w14:paraId="12918C2E">
      <w:pPr>
        <w:spacing w:line="300" w:lineRule="auto"/>
        <w:rPr>
          <w:rFonts w:hint="eastAsia" w:ascii="宋体" w:hAnsi="宋体"/>
          <w:color w:val="auto"/>
          <w:szCs w:val="21"/>
          <w:highlight w:val="none"/>
        </w:rPr>
      </w:pPr>
    </w:p>
    <w:p w14:paraId="74BB7981">
      <w:pPr>
        <w:spacing w:line="300" w:lineRule="auto"/>
        <w:rPr>
          <w:rFonts w:hint="eastAsia" w:ascii="宋体" w:hAnsi="宋体"/>
          <w:color w:val="auto"/>
          <w:szCs w:val="21"/>
          <w:highlight w:val="none"/>
        </w:rPr>
      </w:pPr>
    </w:p>
    <w:p w14:paraId="57313DED">
      <w:pPr>
        <w:spacing w:line="300" w:lineRule="auto"/>
        <w:rPr>
          <w:rFonts w:hint="eastAsia" w:ascii="宋体" w:hAnsi="宋体"/>
          <w:color w:val="auto"/>
          <w:szCs w:val="21"/>
          <w:highlight w:val="none"/>
        </w:rPr>
      </w:pPr>
    </w:p>
    <w:p w14:paraId="172194E0">
      <w:pPr>
        <w:spacing w:line="300" w:lineRule="auto"/>
        <w:rPr>
          <w:rFonts w:hint="eastAsia" w:ascii="宋体" w:hAnsi="宋体"/>
          <w:color w:val="auto"/>
          <w:szCs w:val="21"/>
          <w:highlight w:val="none"/>
        </w:rPr>
      </w:pPr>
    </w:p>
    <w:p w14:paraId="7E591ECD">
      <w:pPr>
        <w:spacing w:line="300" w:lineRule="auto"/>
        <w:rPr>
          <w:rFonts w:hint="eastAsia" w:ascii="宋体" w:hAnsi="宋体"/>
          <w:color w:val="auto"/>
          <w:szCs w:val="21"/>
          <w:highlight w:val="none"/>
        </w:rPr>
      </w:pPr>
    </w:p>
    <w:p w14:paraId="3BFF9EFA">
      <w:pPr>
        <w:spacing w:line="300" w:lineRule="auto"/>
        <w:rPr>
          <w:rFonts w:hint="eastAsia" w:ascii="宋体" w:hAnsi="宋体"/>
          <w:color w:val="auto"/>
          <w:szCs w:val="21"/>
          <w:highlight w:val="none"/>
        </w:rPr>
      </w:pPr>
    </w:p>
    <w:p w14:paraId="5882A413">
      <w:pPr>
        <w:spacing w:line="300" w:lineRule="auto"/>
        <w:rPr>
          <w:rFonts w:hint="eastAsia" w:ascii="宋体" w:hAnsi="宋体"/>
          <w:color w:val="auto"/>
          <w:szCs w:val="21"/>
          <w:highlight w:val="none"/>
        </w:rPr>
      </w:pPr>
    </w:p>
    <w:p w14:paraId="26DD6324">
      <w:pPr>
        <w:spacing w:line="320" w:lineRule="exact"/>
        <w:jc w:val="left"/>
        <w:rPr>
          <w:rFonts w:hint="eastAsia" w:ascii="宋体" w:hAnsi="宋体"/>
          <w:color w:val="auto"/>
          <w:szCs w:val="21"/>
          <w:highlight w:val="none"/>
        </w:rPr>
      </w:pPr>
    </w:p>
    <w:p w14:paraId="163127AF">
      <w:pPr>
        <w:snapToGrid w:val="0"/>
        <w:spacing w:before="120" w:beforeLines="50" w:after="50"/>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供应商直接控股、管理关系信息表</w:t>
      </w:r>
    </w:p>
    <w:p w14:paraId="76CC229D">
      <w:pPr>
        <w:snapToGrid w:val="0"/>
        <w:spacing w:before="120" w:beforeLines="50" w:after="50"/>
        <w:jc w:val="center"/>
        <w:rPr>
          <w:rFonts w:hint="eastAsia" w:ascii="宋体" w:hAnsi="宋体"/>
          <w:b/>
          <w:color w:val="auto"/>
          <w:sz w:val="32"/>
          <w:szCs w:val="32"/>
          <w:highlight w:val="none"/>
        </w:rPr>
      </w:pPr>
    </w:p>
    <w:p w14:paraId="1058CA2A">
      <w:pPr>
        <w:snapToGrid w:val="0"/>
        <w:spacing w:before="120" w:beforeLines="50" w:after="50"/>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39505ABD">
      <w:pPr>
        <w:snapToGrid w:val="0"/>
        <w:spacing w:before="50" w:after="120" w:afterLines="50"/>
        <w:jc w:val="center"/>
        <w:rPr>
          <w:rFonts w:hint="eastAsia" w:ascii="宋体" w:hAnsi="宋体"/>
          <w:b/>
          <w:color w:val="auto"/>
          <w:sz w:val="32"/>
          <w:szCs w:val="32"/>
          <w:highlight w:val="none"/>
        </w:rPr>
      </w:pPr>
    </w:p>
    <w:tbl>
      <w:tblPr>
        <w:tblStyle w:val="2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E752E40">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B5E850">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F9E353C">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36CEF0D">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出资比例</w:t>
            </w:r>
            <w:r>
              <w:rPr>
                <w:rFonts w:hint="eastAsia" w:ascii="宋体" w:hAnsi="宋体" w:cs="宋体"/>
                <w:b/>
                <w:bCs/>
                <w:color w:val="auto"/>
                <w:kern w:val="0"/>
                <w:sz w:val="24"/>
                <w:highlight w:val="none"/>
              </w:rPr>
              <w:t>(%)</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1B9EAA">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FA2AA89">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77C0D86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7C16FA">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8A6AD6">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314A71">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019B74">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B59924">
            <w:pPr>
              <w:widowControl/>
              <w:spacing w:line="360" w:lineRule="auto"/>
              <w:jc w:val="center"/>
              <w:rPr>
                <w:rFonts w:hint="eastAsia" w:ascii="宋体" w:hAnsi="宋体" w:cs="宋体"/>
                <w:color w:val="auto"/>
                <w:kern w:val="0"/>
                <w:sz w:val="28"/>
                <w:szCs w:val="28"/>
                <w:highlight w:val="none"/>
              </w:rPr>
            </w:pPr>
          </w:p>
        </w:tc>
      </w:tr>
      <w:tr w14:paraId="4D0C623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3B2849">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8540FA">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1A8319">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242C79">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CB085C">
            <w:pPr>
              <w:widowControl/>
              <w:spacing w:line="360" w:lineRule="auto"/>
              <w:jc w:val="center"/>
              <w:rPr>
                <w:rFonts w:hint="eastAsia" w:ascii="宋体" w:hAnsi="宋体" w:cs="宋体"/>
                <w:color w:val="auto"/>
                <w:kern w:val="0"/>
                <w:sz w:val="28"/>
                <w:szCs w:val="28"/>
                <w:highlight w:val="none"/>
              </w:rPr>
            </w:pPr>
          </w:p>
        </w:tc>
      </w:tr>
      <w:tr w14:paraId="2BE318D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2021E1">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C0AF65">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159CDF">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2FCF0F">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274733">
            <w:pPr>
              <w:widowControl/>
              <w:spacing w:line="360" w:lineRule="auto"/>
              <w:jc w:val="center"/>
              <w:rPr>
                <w:rFonts w:hint="eastAsia" w:ascii="宋体" w:hAnsi="宋体" w:cs="宋体"/>
                <w:color w:val="auto"/>
                <w:kern w:val="0"/>
                <w:sz w:val="28"/>
                <w:szCs w:val="28"/>
                <w:highlight w:val="none"/>
              </w:rPr>
            </w:pPr>
          </w:p>
        </w:tc>
      </w:tr>
      <w:tr w14:paraId="15D5665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3D308F">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7CB979">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E43F1C">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55DB14">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C27A29">
            <w:pPr>
              <w:widowControl/>
              <w:spacing w:line="360" w:lineRule="auto"/>
              <w:jc w:val="center"/>
              <w:rPr>
                <w:rFonts w:hint="eastAsia" w:ascii="宋体" w:hAnsi="宋体" w:cs="宋体"/>
                <w:color w:val="auto"/>
                <w:kern w:val="0"/>
                <w:sz w:val="28"/>
                <w:szCs w:val="28"/>
                <w:highlight w:val="none"/>
              </w:rPr>
            </w:pPr>
          </w:p>
        </w:tc>
      </w:tr>
    </w:tbl>
    <w:p w14:paraId="36C2E8B9">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6E66DCFE">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B38E9AA">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1692674">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49F5082E">
      <w:pPr>
        <w:spacing w:line="360" w:lineRule="auto"/>
        <w:ind w:firstLine="420" w:firstLineChars="200"/>
        <w:contextualSpacing/>
        <w:jc w:val="left"/>
        <w:rPr>
          <w:rFonts w:hint="eastAsia" w:ascii="宋体" w:hAnsi="宋体" w:cs="宋体"/>
          <w:color w:val="auto"/>
          <w:szCs w:val="21"/>
          <w:highlight w:val="none"/>
        </w:rPr>
      </w:pPr>
    </w:p>
    <w:p w14:paraId="5847B6F5">
      <w:pPr>
        <w:spacing w:line="360" w:lineRule="auto"/>
        <w:ind w:firstLine="560" w:firstLineChars="200"/>
        <w:contextualSpacing/>
        <w:jc w:val="left"/>
        <w:rPr>
          <w:rFonts w:hint="eastAsia" w:ascii="宋体" w:hAnsi="宋体" w:cs="宋体"/>
          <w:color w:val="auto"/>
          <w:sz w:val="28"/>
          <w:szCs w:val="28"/>
          <w:highlight w:val="none"/>
        </w:rPr>
      </w:pPr>
    </w:p>
    <w:p w14:paraId="5242C492">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667C00A2">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 xml:space="preserve">供应商名称（电子签章）： </w:t>
      </w:r>
      <w:r>
        <w:rPr>
          <w:rFonts w:hint="eastAsia" w:ascii="宋体" w:hAnsi="宋体" w:cs="宋体"/>
          <w:color w:val="auto"/>
          <w:sz w:val="24"/>
          <w:highlight w:val="none"/>
          <w:u w:val="single"/>
        </w:rPr>
        <w:t xml:space="preserve">                              </w:t>
      </w:r>
    </w:p>
    <w:p w14:paraId="3E3140C3">
      <w:pPr>
        <w:spacing w:line="360" w:lineRule="auto"/>
        <w:ind w:right="480" w:firstLine="5280" w:firstLineChars="2200"/>
        <w:contextualSpacing/>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028E40A0">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2651EE0D">
      <w:pPr>
        <w:snapToGrid w:val="0"/>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30263DD8">
      <w:pPr>
        <w:snapToGrid w:val="0"/>
        <w:jc w:val="center"/>
        <w:rPr>
          <w:rFonts w:hint="eastAsia" w:ascii="宋体" w:hAnsi="宋体"/>
          <w:b/>
          <w:color w:val="auto"/>
          <w:sz w:val="32"/>
          <w:szCs w:val="32"/>
          <w:highlight w:val="none"/>
        </w:rPr>
      </w:pPr>
    </w:p>
    <w:tbl>
      <w:tblPr>
        <w:tblStyle w:val="2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941237D">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61F5F23">
            <w:pPr>
              <w:widowControl/>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C91891F">
            <w:pPr>
              <w:widowControl/>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6464813">
            <w:pPr>
              <w:widowControl/>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147C443">
            <w:pPr>
              <w:widowControl/>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4142E6A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FB7ADB">
            <w:pPr>
              <w:widowControl/>
              <w:wordWrap w:val="0"/>
              <w:spacing w:line="200" w:lineRule="atLeas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A4F48F">
            <w:pPr>
              <w:widowControl/>
              <w:wordWrap w:val="0"/>
              <w:spacing w:line="200" w:lineRule="atLeast"/>
              <w:jc w:val="center"/>
              <w:rPr>
                <w:rFonts w:hint="eastAsia"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46D2FD">
            <w:pPr>
              <w:widowControl/>
              <w:wordWrap w:val="0"/>
              <w:spacing w:line="200" w:lineRule="atLeast"/>
              <w:jc w:val="center"/>
              <w:rPr>
                <w:rFonts w:hint="eastAsia"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1900DD">
            <w:pPr>
              <w:widowControl/>
              <w:wordWrap w:val="0"/>
              <w:spacing w:line="200" w:lineRule="atLeast"/>
              <w:jc w:val="center"/>
              <w:rPr>
                <w:rFonts w:hint="eastAsia" w:ascii="宋体" w:hAnsi="宋体" w:cs="宋体"/>
                <w:color w:val="auto"/>
                <w:kern w:val="0"/>
                <w:sz w:val="28"/>
                <w:szCs w:val="28"/>
                <w:highlight w:val="none"/>
              </w:rPr>
            </w:pPr>
          </w:p>
        </w:tc>
      </w:tr>
      <w:tr w14:paraId="5740459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97F36E">
            <w:pPr>
              <w:widowControl/>
              <w:wordWrap w:val="0"/>
              <w:spacing w:line="200" w:lineRule="atLeas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629D79">
            <w:pPr>
              <w:widowControl/>
              <w:wordWrap w:val="0"/>
              <w:spacing w:line="200" w:lineRule="atLeast"/>
              <w:jc w:val="center"/>
              <w:rPr>
                <w:rFonts w:hint="eastAsia"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4014FA">
            <w:pPr>
              <w:widowControl/>
              <w:wordWrap w:val="0"/>
              <w:spacing w:line="200" w:lineRule="atLeast"/>
              <w:jc w:val="center"/>
              <w:rPr>
                <w:rFonts w:hint="eastAsia"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71BBD8">
            <w:pPr>
              <w:widowControl/>
              <w:wordWrap w:val="0"/>
              <w:spacing w:line="200" w:lineRule="atLeast"/>
              <w:jc w:val="center"/>
              <w:rPr>
                <w:rFonts w:hint="eastAsia" w:ascii="宋体" w:hAnsi="宋体" w:cs="宋体"/>
                <w:color w:val="auto"/>
                <w:kern w:val="0"/>
                <w:sz w:val="28"/>
                <w:szCs w:val="28"/>
                <w:highlight w:val="none"/>
              </w:rPr>
            </w:pPr>
          </w:p>
        </w:tc>
      </w:tr>
      <w:tr w14:paraId="48B1F36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BA1F1F">
            <w:pPr>
              <w:widowControl/>
              <w:wordWrap w:val="0"/>
              <w:spacing w:line="200" w:lineRule="atLeas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48D8BB">
            <w:pPr>
              <w:widowControl/>
              <w:wordWrap w:val="0"/>
              <w:spacing w:line="200" w:lineRule="atLeast"/>
              <w:jc w:val="center"/>
              <w:rPr>
                <w:rFonts w:hint="eastAsia"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AF4A0F">
            <w:pPr>
              <w:widowControl/>
              <w:wordWrap w:val="0"/>
              <w:spacing w:line="200" w:lineRule="atLeast"/>
              <w:jc w:val="center"/>
              <w:rPr>
                <w:rFonts w:hint="eastAsia"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B91045">
            <w:pPr>
              <w:widowControl/>
              <w:wordWrap w:val="0"/>
              <w:spacing w:line="200" w:lineRule="atLeast"/>
              <w:jc w:val="center"/>
              <w:rPr>
                <w:rFonts w:hint="eastAsia" w:ascii="宋体" w:hAnsi="宋体" w:cs="宋体"/>
                <w:color w:val="auto"/>
                <w:kern w:val="0"/>
                <w:sz w:val="28"/>
                <w:szCs w:val="28"/>
                <w:highlight w:val="none"/>
              </w:rPr>
            </w:pPr>
          </w:p>
        </w:tc>
      </w:tr>
      <w:tr w14:paraId="6EE36A6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D42D3B">
            <w:pPr>
              <w:widowControl/>
              <w:wordWrap w:val="0"/>
              <w:spacing w:line="200" w:lineRule="atLeas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D816B5">
            <w:pPr>
              <w:widowControl/>
              <w:wordWrap w:val="0"/>
              <w:spacing w:line="200" w:lineRule="atLeast"/>
              <w:jc w:val="center"/>
              <w:rPr>
                <w:rFonts w:hint="eastAsia"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EC1BB6">
            <w:pPr>
              <w:widowControl/>
              <w:wordWrap w:val="0"/>
              <w:spacing w:line="200" w:lineRule="atLeast"/>
              <w:jc w:val="center"/>
              <w:rPr>
                <w:rFonts w:hint="eastAsia"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EFD5A1">
            <w:pPr>
              <w:widowControl/>
              <w:wordWrap w:val="0"/>
              <w:spacing w:line="200" w:lineRule="atLeast"/>
              <w:jc w:val="center"/>
              <w:rPr>
                <w:rFonts w:hint="eastAsia" w:ascii="宋体" w:hAnsi="宋体" w:cs="宋体"/>
                <w:color w:val="auto"/>
                <w:kern w:val="0"/>
                <w:sz w:val="28"/>
                <w:szCs w:val="28"/>
                <w:highlight w:val="none"/>
              </w:rPr>
            </w:pPr>
          </w:p>
        </w:tc>
      </w:tr>
    </w:tbl>
    <w:p w14:paraId="25753D32">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1DB969ED">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6D217CDD">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38C02D56">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3F980A3E">
      <w:pPr>
        <w:spacing w:line="360" w:lineRule="auto"/>
        <w:contextualSpacing/>
        <w:jc w:val="left"/>
        <w:rPr>
          <w:rFonts w:hint="eastAsia" w:ascii="宋体" w:hAnsi="宋体"/>
          <w:color w:val="auto"/>
          <w:sz w:val="28"/>
          <w:szCs w:val="28"/>
          <w:highlight w:val="none"/>
        </w:rPr>
      </w:pPr>
    </w:p>
    <w:p w14:paraId="46CDC9BC">
      <w:pPr>
        <w:spacing w:line="360" w:lineRule="auto"/>
        <w:contextualSpacing/>
        <w:jc w:val="left"/>
        <w:rPr>
          <w:rFonts w:hint="eastAsia" w:ascii="宋体" w:hAnsi="宋体"/>
          <w:color w:val="auto"/>
          <w:sz w:val="28"/>
          <w:szCs w:val="28"/>
          <w:highlight w:val="none"/>
        </w:rPr>
      </w:pPr>
    </w:p>
    <w:p w14:paraId="5FC109A3">
      <w:pPr>
        <w:spacing w:line="360" w:lineRule="auto"/>
        <w:contextualSpacing/>
        <w:jc w:val="left"/>
        <w:rPr>
          <w:color w:val="auto"/>
          <w:sz w:val="28"/>
          <w:szCs w:val="28"/>
          <w:highlight w:val="none"/>
        </w:rPr>
      </w:pPr>
    </w:p>
    <w:p w14:paraId="0B9B91FA">
      <w:pPr>
        <w:spacing w:line="360" w:lineRule="auto"/>
        <w:contextualSpacing/>
        <w:jc w:val="left"/>
        <w:rPr>
          <w:color w:val="auto"/>
          <w:sz w:val="28"/>
          <w:szCs w:val="28"/>
          <w:highlight w:val="none"/>
        </w:rPr>
      </w:pPr>
    </w:p>
    <w:p w14:paraId="6A3BDC8A">
      <w:pPr>
        <w:spacing w:line="360" w:lineRule="auto"/>
        <w:contextualSpacing/>
        <w:jc w:val="left"/>
        <w:rPr>
          <w:color w:val="auto"/>
          <w:sz w:val="28"/>
          <w:szCs w:val="28"/>
          <w:highlight w:val="none"/>
        </w:rPr>
      </w:pPr>
    </w:p>
    <w:p w14:paraId="1588873B">
      <w:pPr>
        <w:spacing w:line="360" w:lineRule="auto"/>
        <w:contextualSpacing/>
        <w:jc w:val="left"/>
        <w:rPr>
          <w:rFonts w:hint="eastAsia" w:ascii="宋体" w:hAnsi="宋体"/>
          <w:color w:val="auto"/>
          <w:sz w:val="28"/>
          <w:szCs w:val="28"/>
          <w:highlight w:val="none"/>
        </w:rPr>
      </w:pPr>
    </w:p>
    <w:p w14:paraId="31B8A7E5">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140DBE48">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供应商名称（电子签章）：</w:t>
      </w:r>
      <w:r>
        <w:rPr>
          <w:rFonts w:hint="eastAsia" w:ascii="宋体" w:hAnsi="宋体"/>
          <w:color w:val="auto"/>
          <w:sz w:val="24"/>
          <w:highlight w:val="none"/>
          <w:u w:val="single"/>
        </w:rPr>
        <w:t xml:space="preserve">                </w:t>
      </w:r>
    </w:p>
    <w:p w14:paraId="6E498B92">
      <w:pPr>
        <w:spacing w:line="360" w:lineRule="auto"/>
        <w:ind w:right="480" w:firstLine="240" w:firstLineChars="100"/>
        <w:contextualSpacing/>
        <w:jc w:val="center"/>
        <w:rPr>
          <w:rFonts w:hint="eastAsia" w:ascii="宋体" w:hAnsi="宋体"/>
          <w:color w:val="auto"/>
          <w:sz w:val="28"/>
          <w:szCs w:val="28"/>
          <w:highlight w:val="none"/>
        </w:rPr>
      </w:pPr>
      <w:r>
        <w:rPr>
          <w:rFonts w:hint="eastAsia" w:ascii="宋体" w:hAnsi="宋体"/>
          <w:color w:val="auto"/>
          <w:sz w:val="24"/>
          <w:highlight w:val="none"/>
        </w:rPr>
        <w:t xml:space="preserve">                                        年    月    日</w:t>
      </w:r>
    </w:p>
    <w:p w14:paraId="167C61D1">
      <w:pPr>
        <w:spacing w:line="500" w:lineRule="exact"/>
        <w:jc w:val="center"/>
        <w:rPr>
          <w:rFonts w:hint="eastAsia" w:ascii="方正小标宋简体" w:hAnsi="宋体" w:eastAsia="方正小标宋简体"/>
          <w:b/>
          <w:color w:val="auto"/>
          <w:sz w:val="32"/>
          <w:szCs w:val="32"/>
          <w:highlight w:val="none"/>
        </w:rPr>
      </w:pPr>
      <w:r>
        <w:rPr>
          <w:rFonts w:ascii="宋体" w:hAnsi="宋体"/>
          <w:b/>
          <w:color w:val="auto"/>
          <w:sz w:val="32"/>
          <w:szCs w:val="32"/>
          <w:highlight w:val="none"/>
        </w:rPr>
        <w:br w:type="page"/>
      </w:r>
      <w:r>
        <w:rPr>
          <w:rFonts w:hint="eastAsia" w:ascii="方正小标宋简体" w:hAnsi="宋体" w:eastAsia="方正小标宋简体"/>
          <w:b/>
          <w:color w:val="auto"/>
          <w:sz w:val="32"/>
          <w:szCs w:val="32"/>
          <w:highlight w:val="none"/>
        </w:rPr>
        <w:t>竞标声明</w:t>
      </w:r>
    </w:p>
    <w:p w14:paraId="3CC1597B">
      <w:pPr>
        <w:spacing w:line="320" w:lineRule="exact"/>
        <w:jc w:val="center"/>
        <w:rPr>
          <w:rFonts w:hint="eastAsia" w:ascii="宋体" w:hAnsi="宋体"/>
          <w:color w:val="auto"/>
          <w:sz w:val="24"/>
          <w:szCs w:val="20"/>
          <w:highlight w:val="none"/>
        </w:rPr>
      </w:pPr>
    </w:p>
    <w:p w14:paraId="60929341">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7228211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897E1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1DB6137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6D14918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492063E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7AA4753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（1）将按谈判文件的约定履行合同责任和义务；</w:t>
      </w:r>
    </w:p>
    <w:p w14:paraId="1232C8C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（2）已详细审查全部谈判文件，包括补遗文件（如有）；</w:t>
      </w:r>
    </w:p>
    <w:p w14:paraId="414E554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752AB22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（4）响应谈判文件规定的竞标有效期。</w:t>
      </w:r>
    </w:p>
    <w:p w14:paraId="02024E5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2D83A83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2ED9D6B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760F484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354BA2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476A62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D168F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5AB5493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7C6895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68F979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1DB72C5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72CA6BA">
      <w:pPr>
        <w:pStyle w:val="12"/>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7.与本谈判有关的一切正式往来信函请寄：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邮政编码：</w:t>
      </w:r>
      <w:r>
        <w:rPr>
          <w:rFonts w:hint="eastAsia" w:hAnsi="宋体" w:cs="宋体"/>
          <w:color w:val="auto"/>
          <w:sz w:val="24"/>
          <w:szCs w:val="24"/>
          <w:highlight w:val="none"/>
          <w:u w:val="single"/>
        </w:rPr>
        <w:t xml:space="preserve">    </w:t>
      </w:r>
    </w:p>
    <w:p w14:paraId="2704EBFD">
      <w:pPr>
        <w:pStyle w:val="12"/>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02DE0827">
      <w:pPr>
        <w:pStyle w:val="11"/>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账号/行号：</w:t>
      </w:r>
      <w:r>
        <w:rPr>
          <w:rFonts w:hint="eastAsia" w:ascii="宋体" w:hAnsi="宋体" w:cs="宋体"/>
          <w:color w:val="auto"/>
          <w:sz w:val="24"/>
          <w:highlight w:val="none"/>
          <w:u w:val="single"/>
        </w:rPr>
        <w:t xml:space="preserve">           </w:t>
      </w:r>
    </w:p>
    <w:p w14:paraId="1AEB7F56">
      <w:pPr>
        <w:pStyle w:val="11"/>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5780BE71">
      <w:pPr>
        <w:pStyle w:val="11"/>
        <w:tabs>
          <w:tab w:val="left" w:pos="939"/>
        </w:tabs>
        <w:spacing w:line="360" w:lineRule="auto"/>
        <w:ind w:left="141" w:leftChars="67" w:firstLine="360" w:firstLineChars="150"/>
        <w:rPr>
          <w:rFonts w:hint="eastAsia" w:ascii="宋体" w:hAnsi="宋体" w:cs="宋体"/>
          <w:color w:val="auto"/>
          <w:szCs w:val="21"/>
          <w:highlight w:val="none"/>
        </w:rPr>
      </w:pPr>
      <w:r>
        <w:rPr>
          <w:rFonts w:hint="eastAsia" w:ascii="宋体" w:hAnsi="宋体" w:cs="宋体"/>
          <w:color w:val="auto"/>
          <w:sz w:val="24"/>
          <w:highlight w:val="none"/>
        </w:rPr>
        <w:t>特此承诺。</w:t>
      </w:r>
    </w:p>
    <w:p w14:paraId="0116C860">
      <w:pPr>
        <w:spacing w:line="360" w:lineRule="auto"/>
        <w:contextualSpacing/>
        <w:jc w:val="left"/>
        <w:rPr>
          <w:rFonts w:hint="eastAsia" w:ascii="宋体" w:hAnsi="宋体"/>
          <w:b/>
          <w:color w:val="auto"/>
          <w:sz w:val="24"/>
          <w:highlight w:val="none"/>
        </w:rPr>
      </w:pPr>
      <w:r>
        <w:rPr>
          <w:rFonts w:hint="eastAsia" w:ascii="宋体" w:hAnsi="宋体"/>
          <w:b/>
          <w:color w:val="auto"/>
          <w:sz w:val="24"/>
          <w:highlight w:val="none"/>
        </w:rPr>
        <w:t xml:space="preserve">    注：如为联合体竞标，盖章处须加盖联合体牵头人电子签章并由联合体牵头人法定代表人分别签字或者盖章或者电子签名，否则响应文件按无效处理。</w:t>
      </w:r>
    </w:p>
    <w:p w14:paraId="6211BDC0">
      <w:pPr>
        <w:spacing w:line="360" w:lineRule="auto"/>
        <w:contextualSpacing/>
        <w:jc w:val="left"/>
        <w:rPr>
          <w:rFonts w:hint="eastAsia" w:ascii="宋体" w:hAnsi="宋体" w:cs="宋体"/>
          <w:color w:val="auto"/>
          <w:szCs w:val="21"/>
          <w:highlight w:val="none"/>
        </w:rPr>
      </w:pPr>
    </w:p>
    <w:p w14:paraId="5DA95567">
      <w:pPr>
        <w:spacing w:line="360" w:lineRule="auto"/>
        <w:ind w:firstLine="1807" w:firstLineChars="750"/>
        <w:contextualSpacing/>
        <w:rPr>
          <w:color w:val="auto"/>
          <w:highlight w:val="none"/>
        </w:rPr>
      </w:pPr>
      <w:r>
        <w:rPr>
          <w:rFonts w:hint="eastAsia" w:ascii="宋体" w:hAnsi="宋体"/>
          <w:b/>
          <w:bCs/>
          <w:color w:val="auto"/>
          <w:sz w:val="24"/>
          <w:highlight w:val="none"/>
        </w:rPr>
        <w:t>法定代表人</w:t>
      </w:r>
      <w:r>
        <w:rPr>
          <w:rFonts w:hint="eastAsia" w:ascii="宋体" w:hAnsi="宋体"/>
          <w:color w:val="auto"/>
          <w:sz w:val="24"/>
          <w:highlight w:val="none"/>
        </w:rPr>
        <w:t>（签字或者盖章或者电子签名</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443E2FE0">
      <w:pPr>
        <w:spacing w:line="360" w:lineRule="auto"/>
        <w:ind w:firstLine="3780" w:firstLineChars="1800"/>
        <w:contextualSpacing/>
        <w:rPr>
          <w:rFonts w:hint="eastAsia" w:ascii="宋体" w:hAnsi="宋体" w:cs="宋体"/>
          <w:color w:val="auto"/>
          <w:szCs w:val="21"/>
          <w:highlight w:val="none"/>
          <w:u w:val="single"/>
        </w:rPr>
      </w:pPr>
      <w:r>
        <w:rPr>
          <w:rFonts w:hint="eastAsia"/>
          <w:color w:val="auto"/>
          <w:highlight w:val="none"/>
        </w:rPr>
        <w:t>供应商名称（电子签章）：</w:t>
      </w:r>
      <w:r>
        <w:rPr>
          <w:rFonts w:hint="eastAsia"/>
          <w:color w:val="auto"/>
          <w:highlight w:val="none"/>
          <w:u w:val="single"/>
        </w:rPr>
        <w:t xml:space="preserve">                               </w:t>
      </w:r>
      <w:r>
        <w:rPr>
          <w:rFonts w:hint="eastAsia"/>
          <w:color w:val="auto"/>
          <w:highlight w:val="none"/>
        </w:rPr>
        <w:t xml:space="preserve">       </w:t>
      </w:r>
      <w:r>
        <w:rPr>
          <w:rFonts w:hint="eastAsia" w:ascii="宋体" w:hAnsi="宋体" w:cs="宋体"/>
          <w:color w:val="auto"/>
          <w:szCs w:val="21"/>
          <w:highlight w:val="none"/>
        </w:rPr>
        <w:t xml:space="preserve">    </w:t>
      </w:r>
    </w:p>
    <w:p w14:paraId="20BF8DF4">
      <w:pPr>
        <w:spacing w:line="360" w:lineRule="auto"/>
        <w:ind w:right="482" w:firstLine="210" w:firstLineChars="100"/>
        <w:contextualSpacing/>
        <w:jc w:val="center"/>
        <w:rPr>
          <w:rFonts w:hint="eastAsia" w:ascii="宋体" w:hAnsi="宋体"/>
          <w:color w:val="auto"/>
          <w:szCs w:val="21"/>
          <w:highlight w:val="none"/>
        </w:rPr>
      </w:pPr>
      <w:r>
        <w:rPr>
          <w:rFonts w:hint="eastAsia" w:ascii="宋体" w:hAnsi="宋体" w:cs="宋体"/>
          <w:color w:val="auto"/>
          <w:szCs w:val="21"/>
          <w:highlight w:val="none"/>
        </w:rPr>
        <w:t xml:space="preserve">                                                        </w:t>
      </w:r>
      <w:r>
        <w:rPr>
          <w:rFonts w:hint="eastAsia"/>
          <w:color w:val="auto"/>
          <w:highlight w:val="none"/>
        </w:rPr>
        <w:t xml:space="preserve"> 年    月    日 </w:t>
      </w:r>
    </w:p>
    <w:p w14:paraId="6FB57A7E">
      <w:pPr>
        <w:spacing w:line="360" w:lineRule="auto"/>
        <w:contextualSpacing/>
        <w:rPr>
          <w:rFonts w:hint="eastAsia" w:ascii="宋体" w:hAnsi="宋体" w:cs="仿宋_GB2312"/>
          <w:color w:val="auto"/>
          <w:sz w:val="24"/>
          <w:highlight w:val="none"/>
        </w:rPr>
      </w:pPr>
    </w:p>
    <w:p w14:paraId="20291E19">
      <w:pPr>
        <w:spacing w:line="360" w:lineRule="auto"/>
        <w:ind w:right="420"/>
        <w:contextualSpacing/>
        <w:jc w:val="left"/>
        <w:rPr>
          <w:rFonts w:hint="eastAsia" w:ascii="宋体" w:hAnsi="宋体"/>
          <w:b/>
          <w:color w:val="auto"/>
          <w:sz w:val="32"/>
          <w:szCs w:val="32"/>
          <w:highlight w:val="none"/>
        </w:rPr>
      </w:pPr>
      <w:r>
        <w:rPr>
          <w:rFonts w:ascii="宋体" w:hAnsi="宋体"/>
          <w:color w:val="auto"/>
          <w:szCs w:val="21"/>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64747554">
      <w:pPr>
        <w:snapToGrid w:val="0"/>
        <w:spacing w:before="120"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1.报价文件封面格式</w:t>
      </w:r>
    </w:p>
    <w:p w14:paraId="62C605F5">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61DF7E2A">
      <w:pPr>
        <w:snapToGrid w:val="0"/>
        <w:spacing w:before="120"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55F7FC41">
      <w:pPr>
        <w:snapToGrid w:val="0"/>
        <w:spacing w:before="120" w:beforeLines="50" w:after="50"/>
        <w:rPr>
          <w:rFonts w:hint="eastAsia" w:ascii="宋体" w:hAnsi="宋体"/>
          <w:color w:val="auto"/>
          <w:sz w:val="24"/>
          <w:szCs w:val="20"/>
          <w:highlight w:val="none"/>
        </w:rPr>
      </w:pPr>
    </w:p>
    <w:p w14:paraId="25953224">
      <w:pPr>
        <w:snapToGrid w:val="0"/>
        <w:spacing w:before="120" w:beforeLines="50" w:after="50"/>
        <w:rPr>
          <w:rFonts w:hint="eastAsia" w:ascii="宋体" w:hAnsi="宋体"/>
          <w:color w:val="auto"/>
          <w:sz w:val="24"/>
          <w:szCs w:val="20"/>
          <w:highlight w:val="none"/>
        </w:rPr>
      </w:pPr>
    </w:p>
    <w:p w14:paraId="67B15176">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188F1986">
      <w:pPr>
        <w:snapToGrid w:val="0"/>
        <w:spacing w:before="120" w:beforeLines="50" w:after="50"/>
        <w:rPr>
          <w:rFonts w:hint="eastAsia" w:ascii="宋体" w:hAnsi="宋体"/>
          <w:bCs/>
          <w:color w:val="auto"/>
          <w:sz w:val="24"/>
          <w:szCs w:val="20"/>
          <w:highlight w:val="none"/>
        </w:rPr>
      </w:pPr>
    </w:p>
    <w:p w14:paraId="44D2F49C">
      <w:pPr>
        <w:snapToGrid w:val="0"/>
        <w:spacing w:before="120" w:beforeLines="50" w:after="50"/>
        <w:rPr>
          <w:rFonts w:hint="eastAsia" w:ascii="宋体" w:hAnsi="宋体"/>
          <w:bCs/>
          <w:color w:val="auto"/>
          <w:sz w:val="24"/>
          <w:szCs w:val="20"/>
          <w:highlight w:val="none"/>
        </w:rPr>
      </w:pPr>
    </w:p>
    <w:p w14:paraId="6BFED0B9">
      <w:pPr>
        <w:snapToGrid w:val="0"/>
        <w:spacing w:before="120" w:beforeLines="50" w:after="50"/>
        <w:rPr>
          <w:rFonts w:hint="eastAsia" w:ascii="宋体" w:hAnsi="宋体"/>
          <w:bCs/>
          <w:color w:val="auto"/>
          <w:sz w:val="24"/>
          <w:szCs w:val="20"/>
          <w:highlight w:val="none"/>
        </w:rPr>
      </w:pPr>
    </w:p>
    <w:p w14:paraId="299A310F">
      <w:pPr>
        <w:snapToGrid w:val="0"/>
        <w:spacing w:before="120" w:beforeLines="50" w:after="50"/>
        <w:rPr>
          <w:rFonts w:hint="eastAsia" w:ascii="宋体" w:hAnsi="宋体"/>
          <w:bCs/>
          <w:color w:val="auto"/>
          <w:sz w:val="24"/>
          <w:szCs w:val="20"/>
          <w:highlight w:val="none"/>
        </w:rPr>
      </w:pPr>
    </w:p>
    <w:p w14:paraId="1B58DD00">
      <w:pPr>
        <w:snapToGrid w:val="0"/>
        <w:spacing w:before="120" w:beforeLines="50" w:after="50"/>
        <w:rPr>
          <w:rFonts w:hint="eastAsia" w:ascii="宋体" w:hAnsi="宋体"/>
          <w:bCs/>
          <w:color w:val="auto"/>
          <w:sz w:val="24"/>
          <w:szCs w:val="20"/>
          <w:highlight w:val="none"/>
        </w:rPr>
      </w:pPr>
    </w:p>
    <w:p w14:paraId="3B230697">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49C0B488">
      <w:pPr>
        <w:snapToGrid w:val="0"/>
        <w:spacing w:before="120" w:beforeLines="50" w:after="50"/>
        <w:ind w:firstLine="720" w:firstLineChars="225"/>
        <w:rPr>
          <w:rFonts w:hint="eastAsia" w:ascii="宋体" w:hAnsi="宋体" w:cs="仿宋_GB2312"/>
          <w:bCs/>
          <w:color w:val="auto"/>
          <w:sz w:val="32"/>
          <w:szCs w:val="32"/>
          <w:highlight w:val="none"/>
        </w:rPr>
      </w:pPr>
    </w:p>
    <w:p w14:paraId="00DAB1E8">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0E7C55B">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368B171E">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11029DC9">
      <w:pPr>
        <w:snapToGrid w:val="0"/>
        <w:spacing w:before="120" w:beforeLines="50" w:after="50"/>
        <w:ind w:firstLine="720" w:firstLineChars="225"/>
        <w:rPr>
          <w:rFonts w:hint="eastAsia" w:ascii="宋体" w:hAnsi="宋体" w:cs="仿宋_GB2312"/>
          <w:bCs/>
          <w:color w:val="auto"/>
          <w:sz w:val="32"/>
          <w:szCs w:val="32"/>
          <w:highlight w:val="none"/>
        </w:rPr>
      </w:pPr>
    </w:p>
    <w:p w14:paraId="2C6BF13A">
      <w:pPr>
        <w:pStyle w:val="5"/>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412034E">
      <w:pPr>
        <w:pStyle w:val="5"/>
        <w:snapToGrid w:val="0"/>
        <w:spacing w:before="50" w:after="50"/>
        <w:ind w:firstLine="640" w:firstLineChars="200"/>
        <w:rPr>
          <w:rFonts w:hint="eastAsia" w:ascii="宋体" w:hAnsi="宋体" w:cs="仿宋_GB2312"/>
          <w:bCs/>
          <w:color w:val="auto"/>
          <w:sz w:val="32"/>
          <w:szCs w:val="32"/>
          <w:highlight w:val="none"/>
        </w:rPr>
      </w:pPr>
    </w:p>
    <w:p w14:paraId="02159AE3">
      <w:pPr>
        <w:pStyle w:val="5"/>
        <w:snapToGrid w:val="0"/>
        <w:spacing w:before="50" w:after="50"/>
        <w:ind w:firstLine="720" w:firstLineChars="225"/>
        <w:rPr>
          <w:rFonts w:hint="eastAsia" w:ascii="宋体" w:hAnsi="宋体" w:cs="仿宋_GB2312"/>
          <w:bCs/>
          <w:color w:val="auto"/>
          <w:sz w:val="32"/>
          <w:szCs w:val="32"/>
          <w:highlight w:val="none"/>
        </w:rPr>
      </w:pPr>
    </w:p>
    <w:p w14:paraId="11E397E3">
      <w:pPr>
        <w:pStyle w:val="5"/>
        <w:snapToGrid w:val="0"/>
        <w:spacing w:before="50" w:after="50"/>
        <w:ind w:firstLine="0"/>
        <w:rPr>
          <w:rFonts w:hint="eastAsia" w:ascii="宋体" w:hAnsi="宋体" w:cs="仿宋_GB2312"/>
          <w:bCs/>
          <w:color w:val="auto"/>
          <w:sz w:val="32"/>
          <w:szCs w:val="32"/>
          <w:highlight w:val="none"/>
        </w:rPr>
      </w:pPr>
    </w:p>
    <w:p w14:paraId="63469364">
      <w:pPr>
        <w:pStyle w:val="5"/>
        <w:snapToGrid w:val="0"/>
        <w:spacing w:before="50" w:after="50"/>
        <w:ind w:firstLine="1280" w:firstLineChars="400"/>
        <w:rPr>
          <w:rFonts w:hint="eastAsia" w:ascii="宋体" w:hAnsi="宋体" w:cs="仿宋_GB2312"/>
          <w:bCs/>
          <w:color w:val="auto"/>
          <w:sz w:val="32"/>
          <w:szCs w:val="32"/>
          <w:highlight w:val="none"/>
        </w:rPr>
      </w:pPr>
    </w:p>
    <w:p w14:paraId="25914F74">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2A1CCBD">
      <w:pPr>
        <w:snapToGrid w:val="0"/>
        <w:spacing w:before="120" w:beforeLines="50" w:after="50" w:line="360" w:lineRule="auto"/>
        <w:ind w:left="142"/>
        <w:jc w:val="left"/>
        <w:rPr>
          <w:rFonts w:hint="eastAsia"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32"/>
          <w:szCs w:val="32"/>
          <w:highlight w:val="none"/>
        </w:rPr>
        <w:t>2.报价文件目录</w:t>
      </w:r>
    </w:p>
    <w:p w14:paraId="24383FF6">
      <w:pPr>
        <w:tabs>
          <w:tab w:val="left" w:pos="3479"/>
        </w:tabs>
        <w:spacing w:line="520" w:lineRule="exact"/>
        <w:jc w:val="left"/>
        <w:rPr>
          <w:rFonts w:hint="eastAsia"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1CFA76EB">
      <w:pPr>
        <w:tabs>
          <w:tab w:val="left" w:pos="3479"/>
        </w:tabs>
        <w:spacing w:line="520" w:lineRule="exact"/>
        <w:jc w:val="center"/>
        <w:rPr>
          <w:rFonts w:hint="eastAsia" w:ascii="方正小标宋简体" w:hAnsi="方正小标宋简体" w:eastAsia="方正小标宋简体" w:cs="方正小标宋简体"/>
          <w:bCs/>
          <w:color w:val="auto"/>
          <w:sz w:val="32"/>
          <w:szCs w:val="32"/>
          <w:highlight w:val="none"/>
        </w:rPr>
      </w:pPr>
      <w:r>
        <w:rPr>
          <w:rFonts w:ascii="宋体" w:hAnsi="宋体"/>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4FB0D1D6">
      <w:pPr>
        <w:spacing w:line="520" w:lineRule="exact"/>
        <w:jc w:val="center"/>
        <w:rPr>
          <w:rFonts w:hint="eastAsia" w:ascii="方正小标宋简体" w:hAnsi="方正小标宋简体" w:eastAsia="方正小标宋简体" w:cs="方正小标宋简体"/>
          <w:bCs/>
          <w:color w:val="auto"/>
          <w:sz w:val="32"/>
          <w:szCs w:val="32"/>
          <w:highlight w:val="none"/>
        </w:rPr>
      </w:pPr>
    </w:p>
    <w:p w14:paraId="4D6EEEFC">
      <w:pPr>
        <w:snapToGrid w:val="0"/>
        <w:spacing w:before="50" w:after="50" w:line="360" w:lineRule="auto"/>
        <w:rPr>
          <w:rFonts w:hint="eastAsia"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分标（如有）：</w:t>
      </w:r>
      <w:r>
        <w:rPr>
          <w:rFonts w:hint="eastAsia" w:ascii="宋体" w:hAnsi="宋体" w:cs="仿宋_GB2312"/>
          <w:color w:val="auto"/>
          <w:sz w:val="24"/>
          <w:highlight w:val="none"/>
          <w:u w:val="single"/>
        </w:rPr>
        <w:t xml:space="preserve">            </w:t>
      </w:r>
    </w:p>
    <w:p w14:paraId="33D31722">
      <w:pPr>
        <w:snapToGrid w:val="0"/>
        <w:spacing w:before="50" w:after="50" w:line="360" w:lineRule="auto"/>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442B482C">
      <w:pPr>
        <w:snapToGrid w:val="0"/>
        <w:spacing w:before="50" w:after="50" w:line="360" w:lineRule="auto"/>
        <w:ind w:firstLine="5520" w:firstLineChars="2300"/>
        <w:rPr>
          <w:rFonts w:hint="eastAsia" w:ascii="宋体" w:hAnsi="宋体" w:cs="仿宋_GB2312"/>
          <w:color w:val="auto"/>
          <w:sz w:val="24"/>
          <w:highlight w:val="none"/>
        </w:rPr>
      </w:pPr>
    </w:p>
    <w:p w14:paraId="4B7C8B23">
      <w:pPr>
        <w:snapToGrid w:val="0"/>
        <w:spacing w:before="50" w:after="50" w:line="360" w:lineRule="auto"/>
        <w:jc w:val="right"/>
        <w:rPr>
          <w:rFonts w:hint="eastAsia" w:ascii="宋体" w:hAnsi="宋体"/>
          <w:color w:val="auto"/>
          <w:sz w:val="24"/>
          <w:highlight w:val="none"/>
        </w:rPr>
      </w:pPr>
      <w:r>
        <w:rPr>
          <w:rFonts w:hint="eastAsia" w:ascii="宋体" w:hAnsi="宋体"/>
          <w:color w:val="auto"/>
          <w:sz w:val="24"/>
          <w:highlight w:val="none"/>
        </w:rPr>
        <w:t>单位：元</w:t>
      </w:r>
    </w:p>
    <w:tbl>
      <w:tblPr>
        <w:tblStyle w:val="21"/>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8"/>
        <w:gridCol w:w="1310"/>
        <w:gridCol w:w="1123"/>
        <w:gridCol w:w="1227"/>
        <w:gridCol w:w="1010"/>
        <w:gridCol w:w="842"/>
        <w:gridCol w:w="1363"/>
        <w:gridCol w:w="1368"/>
      </w:tblGrid>
      <w:tr w14:paraId="531D4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14:paraId="03F29EAD">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序号</w:t>
            </w:r>
          </w:p>
        </w:tc>
        <w:tc>
          <w:tcPr>
            <w:tcW w:w="733" w:type="pct"/>
            <w:tcBorders>
              <w:top w:val="single" w:color="auto" w:sz="4" w:space="0"/>
              <w:left w:val="single" w:color="auto" w:sz="4" w:space="0"/>
              <w:bottom w:val="single" w:color="auto" w:sz="4" w:space="0"/>
              <w:right w:val="single" w:color="auto" w:sz="4" w:space="0"/>
            </w:tcBorders>
            <w:vAlign w:val="center"/>
          </w:tcPr>
          <w:p w14:paraId="0DBE07FA">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标的的名称</w:t>
            </w:r>
          </w:p>
        </w:tc>
        <w:tc>
          <w:tcPr>
            <w:tcW w:w="628" w:type="pct"/>
            <w:tcBorders>
              <w:top w:val="single" w:color="auto" w:sz="4" w:space="0"/>
              <w:left w:val="single" w:color="auto" w:sz="4" w:space="0"/>
              <w:bottom w:val="single" w:color="auto" w:sz="4" w:space="0"/>
              <w:right w:val="single" w:color="auto" w:sz="4" w:space="0"/>
            </w:tcBorders>
            <w:vAlign w:val="center"/>
          </w:tcPr>
          <w:p w14:paraId="4E44ACFA">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品牌</w:t>
            </w:r>
          </w:p>
        </w:tc>
        <w:tc>
          <w:tcPr>
            <w:tcW w:w="686" w:type="pct"/>
            <w:tcBorders>
              <w:top w:val="single" w:color="auto" w:sz="4" w:space="0"/>
              <w:left w:val="single" w:color="auto" w:sz="4" w:space="0"/>
              <w:bottom w:val="single" w:color="auto" w:sz="4" w:space="0"/>
              <w:right w:val="single" w:color="auto" w:sz="4" w:space="0"/>
            </w:tcBorders>
            <w:vAlign w:val="center"/>
          </w:tcPr>
          <w:p w14:paraId="3BACE4A3">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规格型号</w:t>
            </w:r>
          </w:p>
        </w:tc>
        <w:tc>
          <w:tcPr>
            <w:tcW w:w="565" w:type="pct"/>
            <w:tcBorders>
              <w:top w:val="single" w:color="auto" w:sz="4" w:space="0"/>
              <w:left w:val="single" w:color="auto" w:sz="4" w:space="0"/>
              <w:bottom w:val="single" w:color="auto" w:sz="4" w:space="0"/>
              <w:right w:val="single" w:color="auto" w:sz="4" w:space="0"/>
            </w:tcBorders>
            <w:vAlign w:val="center"/>
          </w:tcPr>
          <w:p w14:paraId="72CC17AE">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数量及单位①</w:t>
            </w:r>
          </w:p>
        </w:tc>
        <w:tc>
          <w:tcPr>
            <w:tcW w:w="471" w:type="pct"/>
            <w:tcBorders>
              <w:top w:val="single" w:color="auto" w:sz="4" w:space="0"/>
              <w:left w:val="single" w:color="auto" w:sz="4" w:space="0"/>
              <w:bottom w:val="single" w:color="auto" w:sz="4" w:space="0"/>
              <w:right w:val="single" w:color="auto" w:sz="4" w:space="0"/>
            </w:tcBorders>
            <w:vAlign w:val="center"/>
          </w:tcPr>
          <w:p w14:paraId="1AB55F94">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单价</w:t>
            </w:r>
          </w:p>
          <w:p w14:paraId="3B2083DD">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②</w:t>
            </w:r>
          </w:p>
        </w:tc>
        <w:tc>
          <w:tcPr>
            <w:tcW w:w="762" w:type="pct"/>
            <w:tcBorders>
              <w:top w:val="single" w:color="auto" w:sz="4" w:space="0"/>
              <w:left w:val="single" w:color="auto" w:sz="4" w:space="0"/>
              <w:bottom w:val="single" w:color="auto" w:sz="4" w:space="0"/>
              <w:right w:val="single" w:color="auto" w:sz="4" w:space="0"/>
            </w:tcBorders>
            <w:vAlign w:val="center"/>
          </w:tcPr>
          <w:p w14:paraId="696F799E">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竞标报价</w:t>
            </w:r>
          </w:p>
          <w:p w14:paraId="74999569">
            <w:pPr>
              <w:snapToGrid w:val="0"/>
              <w:spacing w:before="50" w:after="50" w:line="360" w:lineRule="auto"/>
              <w:jc w:val="center"/>
              <w:rPr>
                <w:rFonts w:hint="eastAsia" w:ascii="宋体" w:hAnsi="宋体"/>
                <w:b/>
                <w:color w:val="auto"/>
                <w:sz w:val="24"/>
                <w:highlight w:val="none"/>
              </w:rPr>
            </w:pPr>
            <w:r>
              <w:rPr>
                <w:rFonts w:ascii="宋体" w:hAnsi="宋体"/>
                <w:b/>
                <w:color w:val="auto"/>
                <w:sz w:val="24"/>
                <w:highlight w:val="none"/>
              </w:rPr>
              <w:t>③</w:t>
            </w:r>
            <w:r>
              <w:rPr>
                <w:rFonts w:hint="eastAsia" w:ascii="宋体" w:hAnsi="宋体"/>
                <w:b/>
                <w:color w:val="auto"/>
                <w:sz w:val="24"/>
                <w:highlight w:val="none"/>
              </w:rPr>
              <w:t>=①×②</w:t>
            </w:r>
          </w:p>
        </w:tc>
        <w:tc>
          <w:tcPr>
            <w:tcW w:w="761" w:type="pct"/>
            <w:tcBorders>
              <w:top w:val="single" w:color="auto" w:sz="4" w:space="0"/>
              <w:left w:val="single" w:color="auto" w:sz="4" w:space="0"/>
              <w:bottom w:val="single" w:color="auto" w:sz="4" w:space="0"/>
              <w:right w:val="single" w:color="auto" w:sz="4" w:space="0"/>
            </w:tcBorders>
            <w:vAlign w:val="center"/>
          </w:tcPr>
          <w:p w14:paraId="24248700">
            <w:pPr>
              <w:snapToGrid w:val="0"/>
              <w:spacing w:before="50" w:after="50" w:line="360" w:lineRule="auto"/>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制造商是否属于中型、小型或微型企业</w:t>
            </w:r>
          </w:p>
        </w:tc>
      </w:tr>
      <w:tr w14:paraId="3056D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14:paraId="51FE1D2E">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1</w:t>
            </w:r>
          </w:p>
        </w:tc>
        <w:tc>
          <w:tcPr>
            <w:tcW w:w="733" w:type="pct"/>
            <w:tcBorders>
              <w:top w:val="single" w:color="auto" w:sz="4" w:space="0"/>
              <w:left w:val="single" w:color="auto" w:sz="4" w:space="0"/>
              <w:bottom w:val="single" w:color="auto" w:sz="4" w:space="0"/>
              <w:right w:val="single" w:color="auto" w:sz="4" w:space="0"/>
            </w:tcBorders>
            <w:vAlign w:val="center"/>
          </w:tcPr>
          <w:p w14:paraId="1CB254AA">
            <w:pPr>
              <w:snapToGrid w:val="0"/>
              <w:spacing w:before="50" w:after="50" w:line="360" w:lineRule="auto"/>
              <w:jc w:val="center"/>
              <w:rPr>
                <w:rFonts w:hint="eastAsia" w:ascii="宋体" w:hAnsi="宋体"/>
                <w:b/>
                <w:color w:val="auto"/>
                <w:sz w:val="24"/>
                <w:highlight w:val="none"/>
              </w:rPr>
            </w:pPr>
          </w:p>
        </w:tc>
        <w:tc>
          <w:tcPr>
            <w:tcW w:w="628" w:type="pct"/>
            <w:tcBorders>
              <w:top w:val="single" w:color="auto" w:sz="4" w:space="0"/>
              <w:left w:val="single" w:color="auto" w:sz="4" w:space="0"/>
              <w:bottom w:val="single" w:color="auto" w:sz="4" w:space="0"/>
              <w:right w:val="single" w:color="auto" w:sz="4" w:space="0"/>
            </w:tcBorders>
            <w:vAlign w:val="center"/>
          </w:tcPr>
          <w:p w14:paraId="0066C744">
            <w:pPr>
              <w:snapToGrid w:val="0"/>
              <w:spacing w:before="50" w:after="50" w:line="360" w:lineRule="auto"/>
              <w:rPr>
                <w:rFonts w:hint="eastAsia" w:ascii="宋体" w:hAnsi="宋体"/>
                <w:color w:val="auto"/>
                <w:sz w:val="24"/>
                <w:highlight w:val="none"/>
              </w:rPr>
            </w:pPr>
          </w:p>
        </w:tc>
        <w:tc>
          <w:tcPr>
            <w:tcW w:w="686" w:type="pct"/>
            <w:tcBorders>
              <w:top w:val="single" w:color="auto" w:sz="4" w:space="0"/>
              <w:left w:val="single" w:color="auto" w:sz="4" w:space="0"/>
              <w:bottom w:val="single" w:color="auto" w:sz="4" w:space="0"/>
              <w:right w:val="single" w:color="auto" w:sz="4" w:space="0"/>
            </w:tcBorders>
            <w:vAlign w:val="center"/>
          </w:tcPr>
          <w:p w14:paraId="01F73673">
            <w:pPr>
              <w:snapToGrid w:val="0"/>
              <w:spacing w:before="50" w:after="50" w:line="360" w:lineRule="auto"/>
              <w:rPr>
                <w:rFonts w:hint="eastAsia" w:ascii="宋体" w:hAnsi="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03F09CD8">
            <w:pPr>
              <w:snapToGrid w:val="0"/>
              <w:spacing w:before="50" w:after="50" w:line="360" w:lineRule="auto"/>
              <w:rPr>
                <w:rFonts w:hint="eastAsia" w:ascii="宋体" w:hAnsi="宋体"/>
                <w:color w:val="auto"/>
                <w:sz w:val="24"/>
                <w:highlight w:val="none"/>
              </w:rPr>
            </w:pPr>
          </w:p>
        </w:tc>
        <w:tc>
          <w:tcPr>
            <w:tcW w:w="471" w:type="pct"/>
            <w:tcBorders>
              <w:top w:val="single" w:color="auto" w:sz="4" w:space="0"/>
              <w:left w:val="single" w:color="auto" w:sz="4" w:space="0"/>
              <w:bottom w:val="single" w:color="auto" w:sz="4" w:space="0"/>
              <w:right w:val="single" w:color="auto" w:sz="4" w:space="0"/>
            </w:tcBorders>
            <w:vAlign w:val="center"/>
          </w:tcPr>
          <w:p w14:paraId="40BDBBC3">
            <w:pPr>
              <w:snapToGrid w:val="0"/>
              <w:spacing w:before="50" w:after="50" w:line="360" w:lineRule="auto"/>
              <w:rPr>
                <w:rFonts w:hint="eastAsia" w:ascii="宋体" w:hAnsi="宋体"/>
                <w:color w:val="auto"/>
                <w:sz w:val="24"/>
                <w:highlight w:val="none"/>
              </w:rPr>
            </w:pPr>
          </w:p>
        </w:tc>
        <w:tc>
          <w:tcPr>
            <w:tcW w:w="762" w:type="pct"/>
            <w:tcBorders>
              <w:top w:val="single" w:color="auto" w:sz="4" w:space="0"/>
              <w:left w:val="single" w:color="auto" w:sz="4" w:space="0"/>
              <w:bottom w:val="single" w:color="auto" w:sz="4" w:space="0"/>
              <w:right w:val="single" w:color="auto" w:sz="4" w:space="0"/>
            </w:tcBorders>
            <w:vAlign w:val="center"/>
          </w:tcPr>
          <w:p w14:paraId="49D8EF5C">
            <w:pPr>
              <w:snapToGrid w:val="0"/>
              <w:spacing w:before="50" w:after="50" w:line="360" w:lineRule="auto"/>
              <w:rPr>
                <w:rFonts w:hint="eastAsia" w:ascii="宋体" w:hAnsi="宋体"/>
                <w:color w:val="auto"/>
                <w:sz w:val="24"/>
                <w:highlight w:val="none"/>
              </w:rPr>
            </w:pPr>
          </w:p>
        </w:tc>
        <w:tc>
          <w:tcPr>
            <w:tcW w:w="761" w:type="pct"/>
            <w:tcBorders>
              <w:top w:val="single" w:color="auto" w:sz="4" w:space="0"/>
              <w:left w:val="single" w:color="auto" w:sz="4" w:space="0"/>
              <w:bottom w:val="single" w:color="auto" w:sz="4" w:space="0"/>
              <w:right w:val="single" w:color="auto" w:sz="4" w:space="0"/>
            </w:tcBorders>
            <w:vAlign w:val="center"/>
          </w:tcPr>
          <w:p w14:paraId="1F5FB2EC">
            <w:pPr>
              <w:snapToGrid w:val="0"/>
              <w:spacing w:before="50" w:after="50" w:line="360" w:lineRule="auto"/>
              <w:rPr>
                <w:rFonts w:hint="eastAsia" w:ascii="宋体" w:hAnsi="宋体"/>
                <w:color w:val="auto"/>
                <w:sz w:val="24"/>
                <w:highlight w:val="none"/>
              </w:rPr>
            </w:pPr>
          </w:p>
        </w:tc>
      </w:tr>
      <w:tr w14:paraId="78AFD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14:paraId="5C07A228">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2</w:t>
            </w:r>
          </w:p>
        </w:tc>
        <w:tc>
          <w:tcPr>
            <w:tcW w:w="733" w:type="pct"/>
            <w:tcBorders>
              <w:top w:val="single" w:color="auto" w:sz="4" w:space="0"/>
              <w:left w:val="single" w:color="auto" w:sz="4" w:space="0"/>
              <w:bottom w:val="single" w:color="auto" w:sz="4" w:space="0"/>
              <w:right w:val="single" w:color="auto" w:sz="4" w:space="0"/>
            </w:tcBorders>
            <w:vAlign w:val="center"/>
          </w:tcPr>
          <w:p w14:paraId="2BE4CF5E">
            <w:pPr>
              <w:snapToGrid w:val="0"/>
              <w:spacing w:before="50" w:after="50" w:line="360" w:lineRule="auto"/>
              <w:jc w:val="center"/>
              <w:rPr>
                <w:rFonts w:hint="eastAsia" w:ascii="宋体" w:hAnsi="宋体"/>
                <w:b/>
                <w:color w:val="auto"/>
                <w:sz w:val="24"/>
                <w:highlight w:val="none"/>
              </w:rPr>
            </w:pPr>
          </w:p>
        </w:tc>
        <w:tc>
          <w:tcPr>
            <w:tcW w:w="628" w:type="pct"/>
            <w:tcBorders>
              <w:top w:val="single" w:color="auto" w:sz="4" w:space="0"/>
              <w:left w:val="single" w:color="auto" w:sz="4" w:space="0"/>
              <w:bottom w:val="single" w:color="auto" w:sz="4" w:space="0"/>
              <w:right w:val="single" w:color="auto" w:sz="4" w:space="0"/>
            </w:tcBorders>
            <w:vAlign w:val="center"/>
          </w:tcPr>
          <w:p w14:paraId="03F42623">
            <w:pPr>
              <w:snapToGrid w:val="0"/>
              <w:spacing w:before="50" w:after="50" w:line="360" w:lineRule="auto"/>
              <w:rPr>
                <w:rFonts w:hint="eastAsia" w:ascii="宋体" w:hAnsi="宋体"/>
                <w:color w:val="auto"/>
                <w:sz w:val="24"/>
                <w:highlight w:val="none"/>
              </w:rPr>
            </w:pPr>
          </w:p>
        </w:tc>
        <w:tc>
          <w:tcPr>
            <w:tcW w:w="686" w:type="pct"/>
            <w:tcBorders>
              <w:top w:val="single" w:color="auto" w:sz="4" w:space="0"/>
              <w:left w:val="single" w:color="auto" w:sz="4" w:space="0"/>
              <w:bottom w:val="single" w:color="auto" w:sz="4" w:space="0"/>
              <w:right w:val="single" w:color="auto" w:sz="4" w:space="0"/>
            </w:tcBorders>
            <w:vAlign w:val="center"/>
          </w:tcPr>
          <w:p w14:paraId="4867D026">
            <w:pPr>
              <w:snapToGrid w:val="0"/>
              <w:spacing w:before="50" w:after="50" w:line="360" w:lineRule="auto"/>
              <w:rPr>
                <w:rFonts w:hint="eastAsia" w:ascii="宋体" w:hAnsi="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51A92DED">
            <w:pPr>
              <w:snapToGrid w:val="0"/>
              <w:spacing w:before="50" w:after="50" w:line="360" w:lineRule="auto"/>
              <w:rPr>
                <w:rFonts w:hint="eastAsia" w:ascii="宋体" w:hAnsi="宋体"/>
                <w:color w:val="auto"/>
                <w:sz w:val="24"/>
                <w:highlight w:val="none"/>
              </w:rPr>
            </w:pPr>
          </w:p>
        </w:tc>
        <w:tc>
          <w:tcPr>
            <w:tcW w:w="471" w:type="pct"/>
            <w:tcBorders>
              <w:top w:val="single" w:color="auto" w:sz="4" w:space="0"/>
              <w:left w:val="single" w:color="auto" w:sz="4" w:space="0"/>
              <w:bottom w:val="single" w:color="auto" w:sz="4" w:space="0"/>
              <w:right w:val="single" w:color="auto" w:sz="4" w:space="0"/>
            </w:tcBorders>
            <w:vAlign w:val="center"/>
          </w:tcPr>
          <w:p w14:paraId="6253BB0E">
            <w:pPr>
              <w:snapToGrid w:val="0"/>
              <w:spacing w:before="50" w:after="50" w:line="360" w:lineRule="auto"/>
              <w:rPr>
                <w:rFonts w:hint="eastAsia" w:ascii="宋体" w:hAnsi="宋体"/>
                <w:color w:val="auto"/>
                <w:sz w:val="24"/>
                <w:highlight w:val="none"/>
              </w:rPr>
            </w:pPr>
          </w:p>
        </w:tc>
        <w:tc>
          <w:tcPr>
            <w:tcW w:w="762" w:type="pct"/>
            <w:tcBorders>
              <w:top w:val="single" w:color="auto" w:sz="4" w:space="0"/>
              <w:left w:val="single" w:color="auto" w:sz="4" w:space="0"/>
              <w:bottom w:val="single" w:color="auto" w:sz="4" w:space="0"/>
              <w:right w:val="single" w:color="auto" w:sz="4" w:space="0"/>
            </w:tcBorders>
            <w:vAlign w:val="center"/>
          </w:tcPr>
          <w:p w14:paraId="413BFFBF">
            <w:pPr>
              <w:snapToGrid w:val="0"/>
              <w:spacing w:before="50" w:after="50" w:line="360" w:lineRule="auto"/>
              <w:rPr>
                <w:rFonts w:hint="eastAsia" w:ascii="宋体" w:hAnsi="宋体"/>
                <w:color w:val="auto"/>
                <w:sz w:val="24"/>
                <w:highlight w:val="none"/>
              </w:rPr>
            </w:pPr>
          </w:p>
        </w:tc>
        <w:tc>
          <w:tcPr>
            <w:tcW w:w="761" w:type="pct"/>
            <w:tcBorders>
              <w:top w:val="single" w:color="auto" w:sz="4" w:space="0"/>
              <w:left w:val="single" w:color="auto" w:sz="4" w:space="0"/>
              <w:bottom w:val="single" w:color="auto" w:sz="4" w:space="0"/>
              <w:right w:val="single" w:color="auto" w:sz="4" w:space="0"/>
            </w:tcBorders>
            <w:vAlign w:val="center"/>
          </w:tcPr>
          <w:p w14:paraId="3B3C7BD4">
            <w:pPr>
              <w:snapToGrid w:val="0"/>
              <w:spacing w:before="50" w:after="50" w:line="360" w:lineRule="auto"/>
              <w:rPr>
                <w:rFonts w:hint="eastAsia" w:ascii="宋体" w:hAnsi="宋体"/>
                <w:color w:val="auto"/>
                <w:sz w:val="24"/>
                <w:highlight w:val="none"/>
              </w:rPr>
            </w:pPr>
          </w:p>
        </w:tc>
      </w:tr>
      <w:tr w14:paraId="0A5BB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14:paraId="65F08970">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w:t>
            </w:r>
          </w:p>
        </w:tc>
        <w:tc>
          <w:tcPr>
            <w:tcW w:w="733" w:type="pct"/>
            <w:tcBorders>
              <w:top w:val="single" w:color="auto" w:sz="4" w:space="0"/>
              <w:left w:val="single" w:color="auto" w:sz="4" w:space="0"/>
              <w:bottom w:val="single" w:color="auto" w:sz="4" w:space="0"/>
              <w:right w:val="single" w:color="auto" w:sz="4" w:space="0"/>
            </w:tcBorders>
            <w:vAlign w:val="center"/>
          </w:tcPr>
          <w:p w14:paraId="57D57DEE">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w:t>
            </w:r>
          </w:p>
        </w:tc>
        <w:tc>
          <w:tcPr>
            <w:tcW w:w="628" w:type="pct"/>
            <w:tcBorders>
              <w:top w:val="single" w:color="auto" w:sz="4" w:space="0"/>
              <w:left w:val="single" w:color="auto" w:sz="4" w:space="0"/>
              <w:bottom w:val="single" w:color="auto" w:sz="4" w:space="0"/>
              <w:right w:val="single" w:color="auto" w:sz="4" w:space="0"/>
            </w:tcBorders>
            <w:vAlign w:val="center"/>
          </w:tcPr>
          <w:p w14:paraId="344CF10C">
            <w:pPr>
              <w:snapToGrid w:val="0"/>
              <w:spacing w:before="50" w:after="50" w:line="360" w:lineRule="auto"/>
              <w:rPr>
                <w:rFonts w:hint="eastAsia" w:ascii="宋体" w:hAnsi="宋体"/>
                <w:color w:val="auto"/>
                <w:sz w:val="24"/>
                <w:highlight w:val="none"/>
              </w:rPr>
            </w:pPr>
          </w:p>
        </w:tc>
        <w:tc>
          <w:tcPr>
            <w:tcW w:w="686" w:type="pct"/>
            <w:tcBorders>
              <w:top w:val="single" w:color="auto" w:sz="4" w:space="0"/>
              <w:left w:val="single" w:color="auto" w:sz="4" w:space="0"/>
              <w:bottom w:val="single" w:color="auto" w:sz="4" w:space="0"/>
              <w:right w:val="single" w:color="auto" w:sz="4" w:space="0"/>
            </w:tcBorders>
            <w:vAlign w:val="center"/>
          </w:tcPr>
          <w:p w14:paraId="06C82E2F">
            <w:pPr>
              <w:snapToGrid w:val="0"/>
              <w:spacing w:before="50" w:after="50" w:line="360" w:lineRule="auto"/>
              <w:rPr>
                <w:rFonts w:hint="eastAsia" w:ascii="宋体" w:hAnsi="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48A065DD">
            <w:pPr>
              <w:snapToGrid w:val="0"/>
              <w:spacing w:before="50" w:after="50" w:line="360" w:lineRule="auto"/>
              <w:rPr>
                <w:rFonts w:hint="eastAsia" w:ascii="宋体" w:hAnsi="宋体"/>
                <w:color w:val="auto"/>
                <w:sz w:val="24"/>
                <w:highlight w:val="none"/>
              </w:rPr>
            </w:pPr>
          </w:p>
        </w:tc>
        <w:tc>
          <w:tcPr>
            <w:tcW w:w="471" w:type="pct"/>
            <w:tcBorders>
              <w:top w:val="single" w:color="auto" w:sz="4" w:space="0"/>
              <w:left w:val="single" w:color="auto" w:sz="4" w:space="0"/>
              <w:bottom w:val="single" w:color="auto" w:sz="4" w:space="0"/>
              <w:right w:val="single" w:color="auto" w:sz="4" w:space="0"/>
            </w:tcBorders>
            <w:vAlign w:val="center"/>
          </w:tcPr>
          <w:p w14:paraId="4C70B03E">
            <w:pPr>
              <w:snapToGrid w:val="0"/>
              <w:spacing w:before="50" w:after="50" w:line="360" w:lineRule="auto"/>
              <w:rPr>
                <w:rFonts w:hint="eastAsia" w:ascii="宋体" w:hAnsi="宋体"/>
                <w:color w:val="auto"/>
                <w:sz w:val="24"/>
                <w:highlight w:val="none"/>
              </w:rPr>
            </w:pPr>
          </w:p>
        </w:tc>
        <w:tc>
          <w:tcPr>
            <w:tcW w:w="762" w:type="pct"/>
            <w:tcBorders>
              <w:top w:val="single" w:color="auto" w:sz="4" w:space="0"/>
              <w:left w:val="single" w:color="auto" w:sz="4" w:space="0"/>
              <w:bottom w:val="single" w:color="auto" w:sz="4" w:space="0"/>
              <w:right w:val="single" w:color="auto" w:sz="4" w:space="0"/>
            </w:tcBorders>
            <w:vAlign w:val="center"/>
          </w:tcPr>
          <w:p w14:paraId="1A261603">
            <w:pPr>
              <w:snapToGrid w:val="0"/>
              <w:spacing w:before="50" w:after="50" w:line="360" w:lineRule="auto"/>
              <w:rPr>
                <w:rFonts w:hint="eastAsia" w:ascii="宋体" w:hAnsi="宋体"/>
                <w:color w:val="auto"/>
                <w:sz w:val="24"/>
                <w:highlight w:val="none"/>
              </w:rPr>
            </w:pPr>
          </w:p>
        </w:tc>
        <w:tc>
          <w:tcPr>
            <w:tcW w:w="761" w:type="pct"/>
            <w:tcBorders>
              <w:top w:val="single" w:color="auto" w:sz="4" w:space="0"/>
              <w:left w:val="single" w:color="auto" w:sz="4" w:space="0"/>
              <w:bottom w:val="single" w:color="auto" w:sz="4" w:space="0"/>
              <w:right w:val="single" w:color="auto" w:sz="4" w:space="0"/>
            </w:tcBorders>
            <w:vAlign w:val="center"/>
          </w:tcPr>
          <w:p w14:paraId="75E07EFC">
            <w:pPr>
              <w:snapToGrid w:val="0"/>
              <w:spacing w:before="50" w:after="50" w:line="360" w:lineRule="auto"/>
              <w:rPr>
                <w:rFonts w:hint="eastAsia" w:ascii="宋体" w:hAnsi="宋体"/>
                <w:color w:val="auto"/>
                <w:sz w:val="24"/>
                <w:highlight w:val="none"/>
              </w:rPr>
            </w:pPr>
          </w:p>
        </w:tc>
      </w:tr>
      <w:tr w14:paraId="12EE3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6F563B82">
            <w:pPr>
              <w:snapToGrid w:val="0"/>
              <w:spacing w:before="50" w:after="50" w:line="360" w:lineRule="auto"/>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其中属于中小企业制造的合计金额为</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u w:val="none"/>
                <w:lang w:val="en-US" w:eastAsia="zh-CN"/>
              </w:rPr>
              <w:t>，占总金额的</w:t>
            </w:r>
            <w:r>
              <w:rPr>
                <w:rFonts w:hint="eastAsia" w:ascii="宋体" w:hAnsi="宋体" w:cs="仿宋_GB2312"/>
                <w:color w:val="auto"/>
                <w:sz w:val="24"/>
                <w:highlight w:val="none"/>
                <w:u w:val="single"/>
                <w:lang w:val="en-US" w:eastAsia="zh-CN"/>
              </w:rPr>
              <w:t xml:space="preserve">   %。</w:t>
            </w:r>
          </w:p>
        </w:tc>
      </w:tr>
    </w:tbl>
    <w:p w14:paraId="4F8EDBE4">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36969AC9">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4ABCEC82">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4CCA08C0">
      <w:pPr>
        <w:pStyle w:val="17"/>
        <w:rPr>
          <w:color w:val="auto"/>
          <w:highlight w:val="none"/>
        </w:rPr>
      </w:pPr>
    </w:p>
    <w:p w14:paraId="7DBE7933">
      <w:pPr>
        <w:pStyle w:val="17"/>
        <w:rPr>
          <w:color w:val="auto"/>
          <w:highlight w:val="none"/>
        </w:rPr>
      </w:pPr>
    </w:p>
    <w:p w14:paraId="0F3C965C">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22611294">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0112725D">
      <w:pPr>
        <w:spacing w:line="360" w:lineRule="auto"/>
        <w:ind w:right="-817" w:rightChars="-389"/>
        <w:contextualSpacing/>
        <w:rPr>
          <w:rFonts w:hint="eastAsia"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 xml:space="preserve">                      日期：   年   月   日</w:t>
      </w:r>
    </w:p>
    <w:p w14:paraId="3BBA0EE9">
      <w:pPr>
        <w:spacing w:line="360" w:lineRule="auto"/>
        <w:ind w:right="420"/>
        <w:contextualSpacing/>
        <w:jc w:val="left"/>
        <w:rPr>
          <w:rFonts w:hint="eastAsia" w:ascii="宋体" w:hAnsi="宋体"/>
          <w:b/>
          <w:color w:val="auto"/>
          <w:sz w:val="32"/>
          <w:szCs w:val="32"/>
          <w:highlight w:val="none"/>
        </w:rPr>
      </w:pPr>
      <w:r>
        <w:rPr>
          <w:rFonts w:ascii="宋体" w:hAnsi="宋体"/>
          <w:color w:val="auto"/>
          <w:szCs w:val="21"/>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商务技术文件格式 </w:t>
      </w:r>
    </w:p>
    <w:p w14:paraId="6BDAD22A">
      <w:pPr>
        <w:snapToGrid w:val="0"/>
        <w:spacing w:before="120"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1.商务技术文件封面格式</w:t>
      </w:r>
    </w:p>
    <w:p w14:paraId="44BD928A">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37AB8695">
      <w:pPr>
        <w:snapToGrid w:val="0"/>
        <w:spacing w:before="120"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4A56E2C9">
      <w:pPr>
        <w:snapToGrid w:val="0"/>
        <w:spacing w:before="120" w:beforeLines="50" w:after="50"/>
        <w:rPr>
          <w:rFonts w:hint="eastAsia" w:ascii="宋体" w:hAnsi="宋体"/>
          <w:color w:val="auto"/>
          <w:sz w:val="24"/>
          <w:szCs w:val="20"/>
          <w:highlight w:val="none"/>
        </w:rPr>
      </w:pPr>
    </w:p>
    <w:p w14:paraId="02471F00">
      <w:pPr>
        <w:snapToGrid w:val="0"/>
        <w:spacing w:before="120" w:beforeLines="50" w:after="50"/>
        <w:rPr>
          <w:rFonts w:hint="eastAsia" w:ascii="宋体" w:hAnsi="宋体"/>
          <w:color w:val="auto"/>
          <w:sz w:val="24"/>
          <w:szCs w:val="20"/>
          <w:highlight w:val="none"/>
        </w:rPr>
      </w:pPr>
    </w:p>
    <w:p w14:paraId="7D7CFEA4">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3F41C9E6">
      <w:pPr>
        <w:snapToGrid w:val="0"/>
        <w:spacing w:before="120" w:beforeLines="50" w:after="50"/>
        <w:rPr>
          <w:rFonts w:hint="eastAsia" w:ascii="宋体" w:hAnsi="宋体"/>
          <w:bCs/>
          <w:color w:val="auto"/>
          <w:sz w:val="24"/>
          <w:szCs w:val="20"/>
          <w:highlight w:val="none"/>
        </w:rPr>
      </w:pPr>
    </w:p>
    <w:p w14:paraId="59EB51BF">
      <w:pPr>
        <w:snapToGrid w:val="0"/>
        <w:spacing w:before="120" w:beforeLines="50" w:after="50"/>
        <w:rPr>
          <w:rFonts w:hint="eastAsia" w:ascii="宋体" w:hAnsi="宋体"/>
          <w:bCs/>
          <w:color w:val="auto"/>
          <w:sz w:val="24"/>
          <w:szCs w:val="20"/>
          <w:highlight w:val="none"/>
        </w:rPr>
      </w:pPr>
    </w:p>
    <w:p w14:paraId="33ABFA62">
      <w:pPr>
        <w:snapToGrid w:val="0"/>
        <w:spacing w:before="120" w:beforeLines="50" w:after="50"/>
        <w:rPr>
          <w:rFonts w:hint="eastAsia" w:ascii="宋体" w:hAnsi="宋体"/>
          <w:bCs/>
          <w:color w:val="auto"/>
          <w:sz w:val="24"/>
          <w:szCs w:val="20"/>
          <w:highlight w:val="none"/>
        </w:rPr>
      </w:pPr>
    </w:p>
    <w:p w14:paraId="67B14DF4">
      <w:pPr>
        <w:snapToGrid w:val="0"/>
        <w:spacing w:before="120" w:beforeLines="50" w:after="50"/>
        <w:rPr>
          <w:rFonts w:hint="eastAsia" w:ascii="宋体" w:hAnsi="宋体"/>
          <w:bCs/>
          <w:color w:val="auto"/>
          <w:sz w:val="24"/>
          <w:szCs w:val="20"/>
          <w:highlight w:val="none"/>
        </w:rPr>
      </w:pPr>
    </w:p>
    <w:p w14:paraId="18086701">
      <w:pPr>
        <w:snapToGrid w:val="0"/>
        <w:spacing w:before="120" w:beforeLines="50" w:after="50"/>
        <w:rPr>
          <w:rFonts w:hint="eastAsia" w:ascii="宋体" w:hAnsi="宋体"/>
          <w:bCs/>
          <w:color w:val="auto"/>
          <w:sz w:val="24"/>
          <w:szCs w:val="20"/>
          <w:highlight w:val="none"/>
        </w:rPr>
      </w:pPr>
    </w:p>
    <w:p w14:paraId="15645148">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448EE84F">
      <w:pPr>
        <w:snapToGrid w:val="0"/>
        <w:spacing w:before="120" w:beforeLines="50" w:after="50"/>
        <w:ind w:firstLine="720" w:firstLineChars="225"/>
        <w:rPr>
          <w:rFonts w:hint="eastAsia" w:ascii="宋体" w:hAnsi="宋体" w:cs="仿宋_GB2312"/>
          <w:bCs/>
          <w:color w:val="auto"/>
          <w:sz w:val="32"/>
          <w:szCs w:val="32"/>
          <w:highlight w:val="none"/>
        </w:rPr>
      </w:pPr>
    </w:p>
    <w:p w14:paraId="3972FE89">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B9B8D76">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698EAA7A">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212EF685">
      <w:pPr>
        <w:snapToGrid w:val="0"/>
        <w:spacing w:before="120" w:beforeLines="50" w:after="50"/>
        <w:ind w:firstLine="720" w:firstLineChars="225"/>
        <w:rPr>
          <w:rFonts w:hint="eastAsia" w:ascii="宋体" w:hAnsi="宋体" w:cs="仿宋_GB2312"/>
          <w:bCs/>
          <w:color w:val="auto"/>
          <w:sz w:val="32"/>
          <w:szCs w:val="32"/>
          <w:highlight w:val="none"/>
        </w:rPr>
      </w:pPr>
    </w:p>
    <w:p w14:paraId="21B40AE2">
      <w:pPr>
        <w:pStyle w:val="5"/>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13124D48">
      <w:pPr>
        <w:pStyle w:val="5"/>
        <w:snapToGrid w:val="0"/>
        <w:spacing w:before="50" w:after="50"/>
        <w:ind w:firstLine="640" w:firstLineChars="200"/>
        <w:rPr>
          <w:rFonts w:hint="eastAsia" w:ascii="宋体" w:hAnsi="宋体" w:cs="仿宋_GB2312"/>
          <w:bCs/>
          <w:color w:val="auto"/>
          <w:sz w:val="32"/>
          <w:szCs w:val="32"/>
          <w:highlight w:val="none"/>
        </w:rPr>
      </w:pPr>
    </w:p>
    <w:p w14:paraId="402B7A14">
      <w:pPr>
        <w:pStyle w:val="5"/>
        <w:snapToGrid w:val="0"/>
        <w:spacing w:before="50" w:after="50"/>
        <w:ind w:firstLine="720" w:firstLineChars="225"/>
        <w:rPr>
          <w:rFonts w:hint="eastAsia" w:ascii="宋体" w:hAnsi="宋体" w:cs="仿宋_GB2312"/>
          <w:bCs/>
          <w:color w:val="auto"/>
          <w:sz w:val="32"/>
          <w:szCs w:val="32"/>
          <w:highlight w:val="none"/>
        </w:rPr>
      </w:pPr>
    </w:p>
    <w:p w14:paraId="5EF73093">
      <w:pPr>
        <w:pStyle w:val="5"/>
        <w:snapToGrid w:val="0"/>
        <w:spacing w:before="50" w:after="50"/>
        <w:ind w:firstLine="0"/>
        <w:rPr>
          <w:rFonts w:hint="eastAsia" w:ascii="宋体" w:hAnsi="宋体" w:cs="仿宋_GB2312"/>
          <w:bCs/>
          <w:color w:val="auto"/>
          <w:sz w:val="32"/>
          <w:szCs w:val="32"/>
          <w:highlight w:val="none"/>
        </w:rPr>
      </w:pPr>
    </w:p>
    <w:p w14:paraId="4C0F530A">
      <w:pPr>
        <w:pStyle w:val="5"/>
        <w:snapToGrid w:val="0"/>
        <w:spacing w:before="50" w:after="50"/>
        <w:ind w:firstLine="1280" w:firstLineChars="400"/>
        <w:rPr>
          <w:rFonts w:hint="eastAsia" w:ascii="宋体" w:hAnsi="宋体" w:cs="仿宋_GB2312"/>
          <w:bCs/>
          <w:color w:val="auto"/>
          <w:sz w:val="32"/>
          <w:szCs w:val="32"/>
          <w:highlight w:val="none"/>
        </w:rPr>
      </w:pPr>
    </w:p>
    <w:p w14:paraId="02F18618">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6B209EF">
      <w:pPr>
        <w:snapToGrid w:val="0"/>
        <w:spacing w:before="120" w:beforeLines="50" w:after="50" w:line="360" w:lineRule="auto"/>
        <w:ind w:left="142"/>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7733C6AD">
      <w:pPr>
        <w:snapToGrid w:val="0"/>
        <w:spacing w:before="120" w:beforeLines="50" w:after="50" w:line="360" w:lineRule="auto"/>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1859DC2B">
      <w:pPr>
        <w:spacing w:line="400" w:lineRule="exact"/>
        <w:rPr>
          <w:rFonts w:hint="eastAsia" w:ascii="仿宋_GB2312" w:hAnsi="仿宋_GB2312" w:eastAsia="仿宋_GB2312" w:cs="仿宋_GB2312"/>
          <w:color w:val="auto"/>
          <w:sz w:val="32"/>
          <w:szCs w:val="32"/>
          <w:highlight w:val="none"/>
        </w:rPr>
      </w:pPr>
    </w:p>
    <w:p w14:paraId="4A601598">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632935FE">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3F093FF1">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60E6E54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p>
    <w:p w14:paraId="14F5CD4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34CFD38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3.不同的供应商的响应文件载明的项目管理员为同一个人；</w:t>
      </w:r>
    </w:p>
    <w:p w14:paraId="23F30CF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3E44D2D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7159790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6.不同供应商的竞标保证金从同一单位或者个人账户转出。</w:t>
      </w:r>
    </w:p>
    <w:p w14:paraId="10847269">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4425E59C">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7CE665B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2DD9FC3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1EADD43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0DB36D6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5.供应商之间事先约定一致抬高或者压低竞标报价，或者在竞争性谈判项目中事先约定轮流以高价位或者低价位成交，或者事先约定由某一特定供应商成交，然后再参加竞标；</w:t>
      </w:r>
    </w:p>
    <w:p w14:paraId="37796C2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4835E1B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56200383">
      <w:pPr>
        <w:spacing w:line="360" w:lineRule="auto"/>
        <w:ind w:firstLine="480" w:firstLineChars="200"/>
        <w:contextualSpacing/>
        <w:rPr>
          <w:rFonts w:hint="eastAsia" w:ascii="宋体" w:hAnsi="宋体" w:cs="仿宋_GB2312"/>
          <w:color w:val="auto"/>
          <w:sz w:val="24"/>
          <w:highlight w:val="none"/>
        </w:rPr>
      </w:pPr>
    </w:p>
    <w:p w14:paraId="2533ABFB">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4A598B88">
      <w:pPr>
        <w:spacing w:line="360" w:lineRule="auto"/>
        <w:ind w:firstLine="480" w:firstLineChars="200"/>
        <w:contextualSpacing/>
        <w:rPr>
          <w:rFonts w:hint="eastAsia" w:ascii="宋体" w:hAnsi="宋体" w:cs="仿宋_GB2312"/>
          <w:color w:val="auto"/>
          <w:sz w:val="24"/>
          <w:highlight w:val="none"/>
        </w:rPr>
      </w:pPr>
    </w:p>
    <w:p w14:paraId="684AC7F4">
      <w:pPr>
        <w:spacing w:line="360" w:lineRule="auto"/>
        <w:contextualSpacing/>
        <w:rPr>
          <w:rFonts w:hint="eastAsia" w:ascii="宋体" w:hAnsi="宋体" w:cs="仿宋_GB2312"/>
          <w:color w:val="auto"/>
          <w:sz w:val="24"/>
          <w:highlight w:val="none"/>
        </w:rPr>
      </w:pPr>
    </w:p>
    <w:p w14:paraId="17E5DCE5">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供应商名称（电子签章）：</w:t>
      </w:r>
    </w:p>
    <w:p w14:paraId="6857FD54">
      <w:pPr>
        <w:spacing w:line="360" w:lineRule="auto"/>
        <w:ind w:firstLine="480" w:firstLineChars="200"/>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129E6BF1">
      <w:pPr>
        <w:spacing w:line="360" w:lineRule="auto"/>
        <w:ind w:firstLine="640" w:firstLineChars="200"/>
        <w:contextualSpacing/>
        <w:jc w:val="center"/>
        <w:rPr>
          <w:rFonts w:hint="eastAsia" w:ascii="宋体" w:hAnsi="宋体" w:cs="仿宋_GB2312"/>
          <w:color w:val="auto"/>
          <w:sz w:val="32"/>
          <w:szCs w:val="32"/>
          <w:highlight w:val="none"/>
        </w:rPr>
      </w:pPr>
    </w:p>
    <w:p w14:paraId="629FA9A8">
      <w:pPr>
        <w:spacing w:before="240" w:beforeLines="100" w:after="120" w:afterLines="50" w:line="520" w:lineRule="exact"/>
        <w:ind w:left="540"/>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14:paraId="223C7936">
      <w:pPr>
        <w:spacing w:line="360" w:lineRule="auto"/>
        <w:ind w:left="540"/>
        <w:contextualSpacing/>
        <w:rPr>
          <w:rFonts w:hint="eastAsia" w:ascii="仿宋_GB2312" w:hAnsi="仿宋_GB2312" w:eastAsia="仿宋_GB2312" w:cs="仿宋_GB2312"/>
          <w:color w:val="auto"/>
          <w:sz w:val="32"/>
          <w:szCs w:val="32"/>
          <w:highlight w:val="none"/>
        </w:rPr>
      </w:pPr>
    </w:p>
    <w:p w14:paraId="0502C4AB">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563F8280">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5D7E530C">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5244D870">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36301BCD">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6EA75C84">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w:t>
      </w:r>
      <w:r>
        <w:rPr>
          <w:rFonts w:ascii="宋体" w:hAnsi="宋体" w:cs="仿宋_GB2312"/>
          <w:color w:val="auto"/>
          <w:sz w:val="24"/>
          <w:highlight w:val="none"/>
          <w:u w:val="single"/>
        </w:rPr>
        <w:t xml:space="preserve">   </w:t>
      </w:r>
      <w:r>
        <w:rPr>
          <w:rFonts w:hint="eastAsia" w:ascii="宋体" w:hAnsi="宋体" w:cs="仿宋_GB2312"/>
          <w:color w:val="auto"/>
          <w:sz w:val="24"/>
          <w:highlight w:val="none"/>
          <w:u w:val="single"/>
        </w:rPr>
        <w:t xml:space="preserve">（供应商名称） </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的法定代表人。</w:t>
      </w:r>
    </w:p>
    <w:p w14:paraId="25951403">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632D8BD5">
      <w:pPr>
        <w:spacing w:line="360" w:lineRule="auto"/>
        <w:ind w:left="540"/>
        <w:contextualSpacing/>
        <w:rPr>
          <w:rFonts w:hint="eastAsia" w:ascii="宋体" w:hAnsi="宋体" w:cs="仿宋_GB2312"/>
          <w:color w:val="auto"/>
          <w:sz w:val="24"/>
          <w:highlight w:val="none"/>
        </w:rPr>
      </w:pPr>
    </w:p>
    <w:p w14:paraId="655A54ED">
      <w:pPr>
        <w:spacing w:line="360" w:lineRule="auto"/>
        <w:ind w:left="540"/>
        <w:contextualSpacing/>
        <w:rPr>
          <w:rFonts w:hint="eastAsia" w:ascii="宋体" w:hAnsi="宋体" w:cs="仿宋_GB2312"/>
          <w:color w:val="auto"/>
          <w:sz w:val="24"/>
          <w:highlight w:val="none"/>
        </w:rPr>
      </w:pPr>
    </w:p>
    <w:p w14:paraId="5578ED2D">
      <w:pPr>
        <w:spacing w:line="360" w:lineRule="auto"/>
        <w:ind w:left="540"/>
        <w:contextualSpacing/>
        <w:rPr>
          <w:rFonts w:hint="eastAsia" w:ascii="宋体" w:hAnsi="宋体" w:cs="仿宋_GB2312"/>
          <w:color w:val="auto"/>
          <w:sz w:val="24"/>
          <w:highlight w:val="none"/>
        </w:rPr>
      </w:pPr>
    </w:p>
    <w:p w14:paraId="1B2FB277">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0FDE2DEA">
      <w:pPr>
        <w:spacing w:line="360" w:lineRule="auto"/>
        <w:ind w:left="540"/>
        <w:contextualSpacing/>
        <w:rPr>
          <w:rFonts w:hint="eastAsia" w:ascii="宋体" w:hAnsi="宋体" w:cs="仿宋_GB2312"/>
          <w:color w:val="auto"/>
          <w:sz w:val="24"/>
          <w:highlight w:val="none"/>
        </w:rPr>
      </w:pPr>
    </w:p>
    <w:p w14:paraId="599423B4">
      <w:pPr>
        <w:spacing w:line="360" w:lineRule="auto"/>
        <w:ind w:left="540"/>
        <w:contextualSpacing/>
        <w:jc w:val="right"/>
        <w:rPr>
          <w:rFonts w:hint="eastAsia" w:ascii="宋体" w:hAnsi="宋体" w:cs="仿宋_GB2312"/>
          <w:color w:val="auto"/>
          <w:sz w:val="24"/>
          <w:highlight w:val="none"/>
        </w:rPr>
      </w:pPr>
      <w:r>
        <w:rPr>
          <w:rFonts w:hint="eastAsia" w:ascii="宋体" w:hAnsi="宋体" w:cs="仿宋_GB2312"/>
          <w:color w:val="auto"/>
          <w:sz w:val="24"/>
          <w:highlight w:val="none"/>
        </w:rPr>
        <w:t>供应商名称（电子签章）：</w:t>
      </w:r>
      <w:r>
        <w:rPr>
          <w:rFonts w:hint="eastAsia" w:ascii="宋体" w:hAnsi="宋体" w:cs="仿宋_GB2312"/>
          <w:color w:val="auto"/>
          <w:sz w:val="24"/>
          <w:highlight w:val="none"/>
          <w:u w:val="single"/>
        </w:rPr>
        <w:t xml:space="preserve">               </w:t>
      </w:r>
    </w:p>
    <w:p w14:paraId="232A84FD">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313C9429">
      <w:pPr>
        <w:spacing w:line="360" w:lineRule="auto"/>
        <w:contextualSpacing/>
        <w:jc w:val="center"/>
        <w:rPr>
          <w:rFonts w:hint="eastAsia" w:ascii="宋体" w:hAnsi="宋体" w:cs="仿宋_GB2312"/>
          <w:b/>
          <w:color w:val="auto"/>
          <w:sz w:val="24"/>
          <w:highlight w:val="none"/>
        </w:rPr>
      </w:pPr>
    </w:p>
    <w:p w14:paraId="7C0CAFD9">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0DC31890">
      <w:pPr>
        <w:adjustRightInd w:val="0"/>
        <w:snapToGrid w:val="0"/>
        <w:spacing w:line="300" w:lineRule="auto"/>
        <w:jc w:val="left"/>
        <w:rPr>
          <w:rFonts w:hint="eastAsia" w:ascii="宋体" w:hAnsi="宋体"/>
          <w:b/>
          <w:color w:val="auto"/>
          <w:szCs w:val="21"/>
          <w:highlight w:val="none"/>
        </w:rPr>
      </w:pPr>
    </w:p>
    <w:p w14:paraId="10920230">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4C6AB5EA">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（非联合体竞标格式）</w:t>
      </w:r>
    </w:p>
    <w:p w14:paraId="34D1C0FA">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6DE51108">
      <w:pPr>
        <w:spacing w:line="360" w:lineRule="auto"/>
        <w:contextualSpacing/>
        <w:rPr>
          <w:rFonts w:hint="eastAsia" w:ascii="仿宋_GB2312" w:hAnsi="仿宋_GB2312" w:eastAsia="仿宋_GB2312" w:cs="仿宋_GB2312"/>
          <w:color w:val="auto"/>
          <w:sz w:val="32"/>
          <w:szCs w:val="32"/>
          <w:highlight w:val="none"/>
        </w:rPr>
      </w:pPr>
    </w:p>
    <w:p w14:paraId="07CB546C">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1E72781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287607CA">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5315866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7BD21C3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469090E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331355DE">
      <w:pPr>
        <w:spacing w:line="360" w:lineRule="auto"/>
        <w:contextualSpacing/>
        <w:rPr>
          <w:rFonts w:hint="eastAsia" w:ascii="宋体" w:hAnsi="宋体" w:cs="仿宋_GB2312"/>
          <w:color w:val="auto"/>
          <w:sz w:val="24"/>
          <w:highlight w:val="none"/>
        </w:rPr>
      </w:pPr>
    </w:p>
    <w:p w14:paraId="07D1F3BA">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1C7FE463">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71697E2E">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771AB134">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供应商名称（电子签章）：                      </w:t>
      </w:r>
    </w:p>
    <w:p w14:paraId="560D19E4">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4FA71F5C">
      <w:pPr>
        <w:spacing w:line="360" w:lineRule="auto"/>
        <w:contextualSpacing/>
        <w:rPr>
          <w:rFonts w:hint="eastAsia" w:ascii="宋体" w:hAnsi="宋体" w:cs="仿宋_GB2312"/>
          <w:color w:val="auto"/>
          <w:sz w:val="24"/>
          <w:highlight w:val="none"/>
        </w:rPr>
      </w:pPr>
    </w:p>
    <w:p w14:paraId="596AFCF7">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787762D3">
      <w:pPr>
        <w:spacing w:line="360" w:lineRule="auto"/>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p w14:paraId="1717235A">
      <w:pPr>
        <w:spacing w:line="360" w:lineRule="auto"/>
        <w:ind w:firstLine="420" w:firstLineChars="200"/>
        <w:contextualSpacing/>
        <w:jc w:val="left"/>
        <w:rPr>
          <w:rFonts w:hint="eastAsia" w:ascii="仿宋_GB2312" w:hAnsi="仿宋_GB2312" w:eastAsia="仿宋_GB2312" w:cs="仿宋_GB2312"/>
          <w:color w:val="auto"/>
          <w:szCs w:val="21"/>
          <w:highlight w:val="none"/>
        </w:rPr>
      </w:pPr>
    </w:p>
    <w:p w14:paraId="6DB40058">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商务要求偏离表格式</w:t>
      </w:r>
    </w:p>
    <w:p w14:paraId="2D7E2934">
      <w:pPr>
        <w:spacing w:line="500" w:lineRule="exact"/>
        <w:jc w:val="center"/>
        <w:rPr>
          <w:rFonts w:hint="eastAsia" w:ascii="宋体" w:hAnsi="宋体"/>
          <w:b/>
          <w:i/>
          <w:color w:val="auto"/>
          <w:sz w:val="32"/>
          <w:szCs w:val="32"/>
          <w:highlight w:val="none"/>
        </w:rPr>
      </w:pPr>
    </w:p>
    <w:p w14:paraId="5BFF85D5">
      <w:pPr>
        <w:snapToGrid w:val="0"/>
        <w:spacing w:before="50"/>
        <w:jc w:val="left"/>
        <w:rPr>
          <w:rFonts w:hint="eastAsia" w:ascii="宋体" w:hAnsi="宋体"/>
          <w:color w:val="auto"/>
          <w:sz w:val="24"/>
          <w:highlight w:val="none"/>
        </w:rPr>
      </w:pPr>
    </w:p>
    <w:p w14:paraId="74BE2354">
      <w:pPr>
        <w:pStyle w:val="12"/>
        <w:spacing w:line="360" w:lineRule="auto"/>
        <w:rPr>
          <w:rFonts w:hint="eastAsia"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tbl>
      <w:tblPr>
        <w:tblStyle w:val="21"/>
        <w:tblpPr w:leftFromText="180" w:rightFromText="180" w:vertAnchor="text" w:horzAnchor="margin" w:tblpY="3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5CEBB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3D5E3D62">
            <w:pPr>
              <w:snapToGrid w:val="0"/>
              <w:spacing w:before="120"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6365B9C8">
            <w:pPr>
              <w:snapToGrid w:val="0"/>
              <w:spacing w:before="120"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14:paraId="50951E0C">
            <w:pPr>
              <w:snapToGrid w:val="0"/>
              <w:spacing w:before="120"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14:paraId="03AE9DE3">
            <w:pPr>
              <w:snapToGrid w:val="0"/>
              <w:spacing w:before="120"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偏离说明</w:t>
            </w:r>
          </w:p>
        </w:tc>
      </w:tr>
      <w:tr w14:paraId="4B684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2178" w:type="dxa"/>
            <w:tcBorders>
              <w:top w:val="single" w:color="auto" w:sz="4" w:space="0"/>
              <w:left w:val="single" w:color="auto" w:sz="4" w:space="0"/>
              <w:bottom w:val="single" w:color="auto" w:sz="4" w:space="0"/>
              <w:right w:val="single" w:color="auto" w:sz="4" w:space="0"/>
            </w:tcBorders>
            <w:vAlign w:val="center"/>
          </w:tcPr>
          <w:p w14:paraId="5958E61D">
            <w:pPr>
              <w:jc w:val="center"/>
              <w:rPr>
                <w:rFonts w:hint="eastAsia" w:ascii="宋体" w:hAnsi="宋体"/>
                <w:color w:val="auto"/>
                <w:sz w:val="24"/>
                <w:highlight w:val="none"/>
              </w:rPr>
            </w:pPr>
            <w:r>
              <w:rPr>
                <w:rFonts w:hint="eastAsia" w:ascii="宋体" w:hAnsi="宋体"/>
                <w:color w:val="auto"/>
                <w:sz w:val="24"/>
                <w:highlight w:val="none"/>
              </w:rPr>
              <w:t>交付的时间和地点</w:t>
            </w:r>
          </w:p>
        </w:tc>
        <w:tc>
          <w:tcPr>
            <w:tcW w:w="2668" w:type="dxa"/>
            <w:tcBorders>
              <w:top w:val="single" w:color="auto" w:sz="4" w:space="0"/>
              <w:left w:val="single" w:color="auto" w:sz="4" w:space="0"/>
              <w:bottom w:val="single" w:color="auto" w:sz="4" w:space="0"/>
              <w:right w:val="single" w:color="auto" w:sz="4" w:space="0"/>
            </w:tcBorders>
            <w:vAlign w:val="center"/>
          </w:tcPr>
          <w:p w14:paraId="4280C073">
            <w:pPr>
              <w:jc w:val="center"/>
              <w:rPr>
                <w:rFonts w:hint="eastAsia" w:ascii="宋体" w:hAnsi="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6063D46A">
            <w:pPr>
              <w:snapToGrid w:val="0"/>
              <w:spacing w:before="120" w:beforeLines="50" w:line="360" w:lineRule="auto"/>
              <w:jc w:val="center"/>
              <w:rPr>
                <w:rFonts w:hint="eastAsia"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70D8E223">
            <w:pPr>
              <w:snapToGrid w:val="0"/>
              <w:spacing w:before="120" w:beforeLines="50" w:line="360" w:lineRule="auto"/>
              <w:jc w:val="center"/>
              <w:rPr>
                <w:rFonts w:hint="eastAsia" w:ascii="宋体" w:hAnsi="宋体" w:cs="仿宋_GB2312"/>
                <w:color w:val="auto"/>
                <w:sz w:val="24"/>
                <w:highlight w:val="none"/>
              </w:rPr>
            </w:pPr>
          </w:p>
        </w:tc>
      </w:tr>
      <w:tr w14:paraId="03B27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7B78D483">
            <w:pPr>
              <w:jc w:val="center"/>
              <w:rPr>
                <w:rFonts w:hint="eastAsia" w:ascii="宋体" w:hAnsi="宋体"/>
                <w:color w:val="auto"/>
                <w:sz w:val="24"/>
                <w:highlight w:val="none"/>
              </w:rPr>
            </w:pPr>
            <w:r>
              <w:rPr>
                <w:rFonts w:hint="eastAsia" w:ascii="宋体" w:hAnsi="宋体"/>
                <w:color w:val="auto"/>
                <w:sz w:val="24"/>
                <w:highlight w:val="none"/>
              </w:rPr>
              <w:t>合同签订时间</w:t>
            </w:r>
          </w:p>
        </w:tc>
        <w:tc>
          <w:tcPr>
            <w:tcW w:w="2668" w:type="dxa"/>
            <w:tcBorders>
              <w:top w:val="single" w:color="auto" w:sz="4" w:space="0"/>
              <w:left w:val="single" w:color="auto" w:sz="4" w:space="0"/>
              <w:bottom w:val="single" w:color="auto" w:sz="4" w:space="0"/>
              <w:right w:val="single" w:color="auto" w:sz="4" w:space="0"/>
            </w:tcBorders>
            <w:vAlign w:val="center"/>
          </w:tcPr>
          <w:p w14:paraId="657DB0A8">
            <w:pPr>
              <w:jc w:val="center"/>
              <w:rPr>
                <w:rFonts w:hint="eastAsia" w:ascii="宋体" w:hAnsi="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21EEFBAB">
            <w:pPr>
              <w:snapToGrid w:val="0"/>
              <w:spacing w:before="120" w:beforeLines="50" w:line="360" w:lineRule="auto"/>
              <w:ind w:left="43"/>
              <w:jc w:val="center"/>
              <w:rPr>
                <w:rFonts w:hint="eastAsia"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68399268">
            <w:pPr>
              <w:snapToGrid w:val="0"/>
              <w:spacing w:before="120" w:beforeLines="50" w:line="360" w:lineRule="auto"/>
              <w:ind w:left="43"/>
              <w:jc w:val="center"/>
              <w:rPr>
                <w:rFonts w:hint="eastAsia" w:ascii="宋体" w:hAnsi="宋体" w:cs="仿宋_GB2312"/>
                <w:color w:val="auto"/>
                <w:sz w:val="24"/>
                <w:highlight w:val="none"/>
              </w:rPr>
            </w:pPr>
          </w:p>
        </w:tc>
      </w:tr>
      <w:tr w14:paraId="396AE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719752EE">
            <w:pPr>
              <w:snapToGrid w:val="0"/>
              <w:spacing w:before="120"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55556B5F">
            <w:pPr>
              <w:snapToGrid w:val="0"/>
              <w:spacing w:before="120" w:beforeLines="50" w:line="360" w:lineRule="auto"/>
              <w:jc w:val="center"/>
              <w:rPr>
                <w:rFonts w:hint="eastAsia" w:ascii="宋体" w:hAnsi="宋体" w:cs="仿宋_GB2312"/>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4904FF8A">
            <w:pPr>
              <w:snapToGrid w:val="0"/>
              <w:spacing w:before="120" w:beforeLines="50" w:line="360" w:lineRule="auto"/>
              <w:jc w:val="center"/>
              <w:rPr>
                <w:rFonts w:hint="eastAsia"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5FCC3DC7">
            <w:pPr>
              <w:snapToGrid w:val="0"/>
              <w:spacing w:before="120" w:beforeLines="50" w:line="360" w:lineRule="auto"/>
              <w:jc w:val="center"/>
              <w:rPr>
                <w:rFonts w:hint="eastAsia" w:ascii="宋体" w:hAnsi="宋体" w:cs="仿宋_GB2312"/>
                <w:color w:val="auto"/>
                <w:sz w:val="24"/>
                <w:highlight w:val="none"/>
              </w:rPr>
            </w:pPr>
          </w:p>
        </w:tc>
      </w:tr>
    </w:tbl>
    <w:p w14:paraId="54ACF1EF">
      <w:pPr>
        <w:pStyle w:val="8"/>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注：</w:t>
      </w:r>
    </w:p>
    <w:p w14:paraId="09CA3D5D">
      <w:pPr>
        <w:pStyle w:val="8"/>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1. 说明：应对照谈判文件“第三章 采购需求”中的商务要求逐条明确响应，并作出偏离说明。</w:t>
      </w:r>
    </w:p>
    <w:p w14:paraId="2EA0BC9A">
      <w:pPr>
        <w:pStyle w:val="8"/>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2.供应商应根据自身的承诺，对照谈判文件要求在“偏离说明”中注明“正偏离”“负偏离”或者“无偏离”。既不属于“正偏离”也不属于“负偏离”即为“无偏离”。</w:t>
      </w:r>
    </w:p>
    <w:p w14:paraId="6770330A">
      <w:pPr>
        <w:spacing w:line="360" w:lineRule="auto"/>
        <w:contextualSpacing/>
        <w:jc w:val="left"/>
        <w:rPr>
          <w:rFonts w:hint="eastAsia" w:ascii="宋体" w:hAnsi="宋体" w:cs="仿宋_GB2312"/>
          <w:color w:val="auto"/>
          <w:sz w:val="24"/>
          <w:highlight w:val="none"/>
          <w:u w:val="single"/>
        </w:rPr>
      </w:pPr>
    </w:p>
    <w:p w14:paraId="5662F154">
      <w:pPr>
        <w:spacing w:line="360" w:lineRule="auto"/>
        <w:contextualSpacing/>
        <w:jc w:val="left"/>
        <w:rPr>
          <w:rFonts w:hint="eastAsia" w:ascii="宋体" w:hAnsi="宋体" w:cs="仿宋_GB2312"/>
          <w:color w:val="auto"/>
          <w:sz w:val="24"/>
          <w:highlight w:val="none"/>
          <w:u w:val="single"/>
        </w:rPr>
      </w:pPr>
    </w:p>
    <w:p w14:paraId="2CD11688">
      <w:pPr>
        <w:spacing w:line="360" w:lineRule="auto"/>
        <w:ind w:right="-817" w:rightChars="-389"/>
        <w:contextualSpacing/>
        <w:rPr>
          <w:rFonts w:hint="eastAsia" w:ascii="宋体" w:hAnsi="宋体" w:cs="仿宋_GB2312"/>
          <w:color w:val="auto"/>
          <w:sz w:val="24"/>
          <w:highlight w:val="none"/>
        </w:rPr>
      </w:pPr>
    </w:p>
    <w:p w14:paraId="6C5A3246">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5B47A396">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665B8A94">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60E04ED8">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183D90B5">
      <w:pPr>
        <w:adjustRightInd w:val="0"/>
        <w:snapToGrid w:val="0"/>
        <w:spacing w:line="520" w:lineRule="exact"/>
        <w:jc w:val="center"/>
        <w:rPr>
          <w:rFonts w:hint="eastAsia" w:ascii="宋体" w:hAnsi="宋体"/>
          <w:b/>
          <w:color w:val="auto"/>
          <w:sz w:val="32"/>
          <w:szCs w:val="32"/>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货物配置清单</w:t>
      </w:r>
    </w:p>
    <w:p w14:paraId="0CE53A3C">
      <w:pPr>
        <w:spacing w:line="300" w:lineRule="auto"/>
        <w:rPr>
          <w:rFonts w:hint="eastAsia" w:ascii="宋体" w:hAnsi="宋体"/>
          <w:color w:val="auto"/>
          <w:szCs w:val="21"/>
          <w:highlight w:val="none"/>
        </w:rPr>
      </w:pPr>
    </w:p>
    <w:p w14:paraId="50F7D867">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4F35C1A2">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5C523200">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所竞分标：</w:t>
      </w:r>
      <w:r>
        <w:rPr>
          <w:rFonts w:hint="eastAsia" w:ascii="宋体" w:hAnsi="宋体" w:cs="仿宋_GB2312"/>
          <w:color w:val="auto"/>
          <w:sz w:val="24"/>
          <w:highlight w:val="none"/>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803"/>
        <w:gridCol w:w="895"/>
        <w:gridCol w:w="1786"/>
        <w:gridCol w:w="1245"/>
        <w:gridCol w:w="737"/>
        <w:gridCol w:w="1496"/>
      </w:tblGrid>
      <w:tr w14:paraId="1307A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8551525">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序号</w:t>
            </w:r>
          </w:p>
        </w:tc>
        <w:tc>
          <w:tcPr>
            <w:tcW w:w="1245" w:type="dxa"/>
            <w:tcBorders>
              <w:top w:val="single" w:color="auto" w:sz="4" w:space="0"/>
              <w:left w:val="single" w:color="auto" w:sz="4" w:space="0"/>
              <w:bottom w:val="single" w:color="auto" w:sz="4" w:space="0"/>
              <w:right w:val="single" w:color="auto" w:sz="4" w:space="0"/>
            </w:tcBorders>
            <w:vAlign w:val="center"/>
          </w:tcPr>
          <w:p w14:paraId="531922E7">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标的的名称</w:t>
            </w:r>
          </w:p>
        </w:tc>
        <w:tc>
          <w:tcPr>
            <w:tcW w:w="803" w:type="dxa"/>
            <w:tcBorders>
              <w:top w:val="single" w:color="auto" w:sz="4" w:space="0"/>
              <w:left w:val="single" w:color="auto" w:sz="4" w:space="0"/>
              <w:bottom w:val="single" w:color="auto" w:sz="4" w:space="0"/>
              <w:right w:val="single" w:color="auto" w:sz="4" w:space="0"/>
            </w:tcBorders>
            <w:vAlign w:val="center"/>
          </w:tcPr>
          <w:p w14:paraId="065CD86E">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895" w:type="dxa"/>
            <w:tcBorders>
              <w:top w:val="single" w:color="auto" w:sz="4" w:space="0"/>
              <w:left w:val="single" w:color="auto" w:sz="4" w:space="0"/>
              <w:bottom w:val="single" w:color="auto" w:sz="4" w:space="0"/>
              <w:right w:val="single" w:color="auto" w:sz="4" w:space="0"/>
            </w:tcBorders>
            <w:vAlign w:val="center"/>
          </w:tcPr>
          <w:p w14:paraId="32E7A5A4">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品牌</w:t>
            </w:r>
          </w:p>
        </w:tc>
        <w:tc>
          <w:tcPr>
            <w:tcW w:w="1786" w:type="dxa"/>
            <w:tcBorders>
              <w:top w:val="single" w:color="auto" w:sz="4" w:space="0"/>
              <w:left w:val="single" w:color="auto" w:sz="4" w:space="0"/>
              <w:bottom w:val="single" w:color="auto" w:sz="4" w:space="0"/>
              <w:right w:val="single" w:color="auto" w:sz="4" w:space="0"/>
            </w:tcBorders>
          </w:tcPr>
          <w:p w14:paraId="7BCA4876">
            <w:pPr>
              <w:snapToGrid w:val="0"/>
              <w:spacing w:before="50" w:after="50"/>
              <w:jc w:val="center"/>
              <w:rPr>
                <w:rFonts w:hint="eastAsia" w:ascii="宋体" w:hAnsi="宋体"/>
                <w:color w:val="auto"/>
                <w:sz w:val="24"/>
                <w:highlight w:val="none"/>
              </w:rPr>
            </w:pPr>
          </w:p>
          <w:p w14:paraId="1A4AC670">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规格型号</w:t>
            </w:r>
          </w:p>
        </w:tc>
        <w:tc>
          <w:tcPr>
            <w:tcW w:w="1245" w:type="dxa"/>
            <w:tcBorders>
              <w:top w:val="single" w:color="auto" w:sz="4" w:space="0"/>
              <w:left w:val="single" w:color="auto" w:sz="4" w:space="0"/>
              <w:bottom w:val="single" w:color="auto" w:sz="4" w:space="0"/>
              <w:right w:val="single" w:color="auto" w:sz="4" w:space="0"/>
            </w:tcBorders>
            <w:vAlign w:val="center"/>
          </w:tcPr>
          <w:p w14:paraId="41AB7BFF">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制造商</w:t>
            </w:r>
          </w:p>
        </w:tc>
        <w:tc>
          <w:tcPr>
            <w:tcW w:w="737" w:type="dxa"/>
            <w:tcBorders>
              <w:top w:val="single" w:color="auto" w:sz="4" w:space="0"/>
              <w:left w:val="single" w:color="auto" w:sz="4" w:space="0"/>
              <w:bottom w:val="single" w:color="auto" w:sz="4" w:space="0"/>
              <w:right w:val="single" w:color="auto" w:sz="4" w:space="0"/>
            </w:tcBorders>
            <w:vAlign w:val="center"/>
          </w:tcPr>
          <w:p w14:paraId="6AC0C026">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原产地</w:t>
            </w:r>
          </w:p>
        </w:tc>
        <w:tc>
          <w:tcPr>
            <w:tcW w:w="1496" w:type="dxa"/>
            <w:tcBorders>
              <w:top w:val="single" w:color="auto" w:sz="4" w:space="0"/>
              <w:left w:val="single" w:color="auto" w:sz="4" w:space="0"/>
              <w:bottom w:val="single" w:color="auto" w:sz="4" w:space="0"/>
              <w:right w:val="single" w:color="auto" w:sz="4" w:space="0"/>
            </w:tcBorders>
            <w:vAlign w:val="center"/>
          </w:tcPr>
          <w:p w14:paraId="7F985BD3">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参数性能、指标及配置</w:t>
            </w:r>
          </w:p>
        </w:tc>
      </w:tr>
      <w:tr w14:paraId="62EFB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28C51AF6">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2CA8095D">
            <w:pPr>
              <w:snapToGrid w:val="0"/>
              <w:spacing w:before="50" w:after="5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457BFEE4">
            <w:pPr>
              <w:snapToGrid w:val="0"/>
              <w:spacing w:before="50" w:after="5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40EE3CF5">
            <w:pPr>
              <w:snapToGrid w:val="0"/>
              <w:spacing w:before="50" w:after="5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14:paraId="0EA54B77">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764CBA24">
            <w:pPr>
              <w:snapToGrid w:val="0"/>
              <w:spacing w:before="50" w:after="5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788DF3D5">
            <w:pPr>
              <w:snapToGrid w:val="0"/>
              <w:spacing w:before="50" w:after="5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78D01CD9">
            <w:pPr>
              <w:snapToGrid w:val="0"/>
              <w:spacing w:before="50" w:after="50"/>
              <w:jc w:val="center"/>
              <w:rPr>
                <w:rFonts w:hint="eastAsia" w:ascii="宋体" w:hAnsi="宋体"/>
                <w:color w:val="auto"/>
                <w:sz w:val="24"/>
                <w:highlight w:val="none"/>
              </w:rPr>
            </w:pPr>
          </w:p>
        </w:tc>
      </w:tr>
      <w:tr w14:paraId="69915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210E3085">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38680F78">
            <w:pPr>
              <w:snapToGrid w:val="0"/>
              <w:spacing w:before="50" w:after="5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0B264E6E">
            <w:pPr>
              <w:snapToGrid w:val="0"/>
              <w:spacing w:before="50" w:after="5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579B91A6">
            <w:pPr>
              <w:snapToGrid w:val="0"/>
              <w:spacing w:before="50" w:after="5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14:paraId="062F7648">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65D96DFD">
            <w:pPr>
              <w:snapToGrid w:val="0"/>
              <w:spacing w:before="50" w:after="5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615D67D6">
            <w:pPr>
              <w:snapToGrid w:val="0"/>
              <w:spacing w:before="50" w:after="5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57657048">
            <w:pPr>
              <w:snapToGrid w:val="0"/>
              <w:spacing w:before="50" w:after="50"/>
              <w:jc w:val="center"/>
              <w:rPr>
                <w:rFonts w:hint="eastAsia" w:ascii="宋体" w:hAnsi="宋体"/>
                <w:color w:val="auto"/>
                <w:sz w:val="24"/>
                <w:highlight w:val="none"/>
              </w:rPr>
            </w:pPr>
          </w:p>
        </w:tc>
      </w:tr>
      <w:tr w14:paraId="68740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7D4695D">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7ADACA0E">
            <w:pPr>
              <w:snapToGrid w:val="0"/>
              <w:spacing w:before="50" w:after="5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368680E9">
            <w:pPr>
              <w:snapToGrid w:val="0"/>
              <w:spacing w:before="50" w:after="5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610C2E01">
            <w:pPr>
              <w:snapToGrid w:val="0"/>
              <w:spacing w:before="50" w:after="5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14:paraId="2B4DC185">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6105C708">
            <w:pPr>
              <w:snapToGrid w:val="0"/>
              <w:spacing w:before="50" w:after="5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35B17531">
            <w:pPr>
              <w:snapToGrid w:val="0"/>
              <w:spacing w:before="50" w:after="5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73E9B93B">
            <w:pPr>
              <w:snapToGrid w:val="0"/>
              <w:spacing w:before="50" w:after="50"/>
              <w:jc w:val="center"/>
              <w:rPr>
                <w:rFonts w:hint="eastAsia" w:ascii="宋体" w:hAnsi="宋体"/>
                <w:color w:val="auto"/>
                <w:sz w:val="24"/>
                <w:highlight w:val="none"/>
              </w:rPr>
            </w:pPr>
          </w:p>
        </w:tc>
      </w:tr>
    </w:tbl>
    <w:p w14:paraId="45C54A2B">
      <w:pPr>
        <w:spacing w:line="360" w:lineRule="auto"/>
        <w:contextualSpacing/>
        <w:rPr>
          <w:rFonts w:hint="eastAsia" w:ascii="宋体" w:hAnsi="宋体"/>
          <w:color w:val="auto"/>
          <w:sz w:val="24"/>
          <w:highlight w:val="none"/>
        </w:rPr>
      </w:pPr>
      <w:r>
        <w:rPr>
          <w:rFonts w:hint="eastAsia" w:ascii="宋体" w:hAnsi="宋体"/>
          <w:color w:val="auto"/>
          <w:sz w:val="24"/>
          <w:highlight w:val="none"/>
        </w:rPr>
        <w:t>备注：</w:t>
      </w:r>
    </w:p>
    <w:p w14:paraId="3CBB2A63">
      <w:pPr>
        <w:tabs>
          <w:tab w:val="left" w:pos="1065"/>
        </w:tabs>
        <w:adjustRightInd w:val="0"/>
        <w:spacing w:line="360" w:lineRule="auto"/>
        <w:contextualSpacing/>
        <w:rPr>
          <w:rFonts w:hint="eastAsia" w:ascii="宋体" w:hAnsi="宋体" w:cs="仿宋_GB2312"/>
          <w:color w:val="auto"/>
          <w:sz w:val="24"/>
          <w:highlight w:val="none"/>
        </w:rPr>
      </w:pPr>
      <w:r>
        <w:rPr>
          <w:rFonts w:hint="eastAsia" w:ascii="宋体" w:hAnsi="宋体"/>
          <w:b/>
          <w:bCs/>
          <w:color w:val="auto"/>
          <w:sz w:val="24"/>
          <w:highlight w:val="none"/>
        </w:rPr>
        <w:t>以上货物配置清单中“标的的名称、数量及单位、品牌、规格型号、制造商、原产地、参数性能、指标及配置”必须如实填写完整，品牌、规格型号没有则填无，填写有缺漏的，响应文件按无效处理</w:t>
      </w:r>
      <w:r>
        <w:rPr>
          <w:rFonts w:hint="eastAsia" w:ascii="宋体" w:hAnsi="宋体"/>
          <w:b/>
          <w:color w:val="auto"/>
          <w:sz w:val="24"/>
          <w:highlight w:val="none"/>
        </w:rPr>
        <w:t>。</w:t>
      </w:r>
      <w:r>
        <w:rPr>
          <w:rFonts w:hint="eastAsia" w:ascii="宋体" w:hAnsi="宋体" w:cs="仿宋_GB2312"/>
          <w:color w:val="auto"/>
          <w:sz w:val="24"/>
          <w:highlight w:val="none"/>
        </w:rPr>
        <w:tab/>
      </w:r>
    </w:p>
    <w:p w14:paraId="7355FED7">
      <w:pPr>
        <w:adjustRightInd w:val="0"/>
        <w:spacing w:line="360" w:lineRule="auto"/>
        <w:contextualSpacing/>
        <w:jc w:val="left"/>
        <w:rPr>
          <w:rFonts w:hint="eastAsia" w:ascii="宋体" w:hAnsi="宋体" w:cs="仿宋_GB2312"/>
          <w:color w:val="auto"/>
          <w:sz w:val="24"/>
          <w:highlight w:val="none"/>
        </w:rPr>
      </w:pPr>
    </w:p>
    <w:p w14:paraId="451E6701">
      <w:pPr>
        <w:adjustRightInd w:val="0"/>
        <w:spacing w:line="360" w:lineRule="auto"/>
        <w:contextualSpacing/>
        <w:jc w:val="left"/>
        <w:rPr>
          <w:rFonts w:hint="eastAsia" w:ascii="宋体" w:hAnsi="宋体" w:cs="仿宋_GB2312"/>
          <w:color w:val="auto"/>
          <w:sz w:val="24"/>
          <w:highlight w:val="none"/>
        </w:rPr>
      </w:pPr>
    </w:p>
    <w:p w14:paraId="3A627698">
      <w:pPr>
        <w:adjustRightInd w:val="0"/>
        <w:spacing w:line="360" w:lineRule="auto"/>
        <w:contextualSpacing/>
        <w:jc w:val="left"/>
        <w:rPr>
          <w:rFonts w:hint="eastAsia" w:ascii="宋体" w:hAnsi="宋体" w:cs="仿宋_GB2312"/>
          <w:color w:val="auto"/>
          <w:sz w:val="24"/>
          <w:highlight w:val="none"/>
        </w:rPr>
      </w:pPr>
    </w:p>
    <w:p w14:paraId="6E6C67E7">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4FDAFC15">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1F059283">
      <w:pPr>
        <w:spacing w:line="360" w:lineRule="auto"/>
        <w:ind w:right="-817" w:rightChars="-389" w:firstLine="2880" w:firstLineChars="1200"/>
        <w:contextualSpacing/>
        <w:rPr>
          <w:rFonts w:hint="eastAsia"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33D2801C">
      <w:pPr>
        <w:adjustRightInd w:val="0"/>
        <w:snapToGrid w:val="0"/>
        <w:spacing w:line="300" w:lineRule="auto"/>
        <w:rPr>
          <w:rFonts w:hint="eastAsia" w:ascii="宋体" w:hAnsi="宋体"/>
          <w:color w:val="auto"/>
          <w:szCs w:val="21"/>
          <w:highlight w:val="none"/>
          <w:u w:val="single"/>
        </w:rPr>
      </w:pPr>
    </w:p>
    <w:p w14:paraId="2D8987D1">
      <w:pPr>
        <w:adjustRightInd w:val="0"/>
        <w:snapToGrid w:val="0"/>
        <w:spacing w:line="300" w:lineRule="auto"/>
        <w:rPr>
          <w:rFonts w:hint="eastAsia" w:ascii="宋体" w:hAnsi="宋体"/>
          <w:color w:val="auto"/>
          <w:szCs w:val="21"/>
          <w:highlight w:val="none"/>
          <w:u w:val="single"/>
        </w:rPr>
      </w:pPr>
    </w:p>
    <w:p w14:paraId="102C2802">
      <w:pPr>
        <w:adjustRightInd w:val="0"/>
        <w:snapToGrid w:val="0"/>
        <w:spacing w:line="300" w:lineRule="auto"/>
        <w:rPr>
          <w:rFonts w:hint="eastAsia" w:ascii="宋体" w:hAnsi="宋体"/>
          <w:color w:val="auto"/>
          <w:szCs w:val="21"/>
          <w:highlight w:val="none"/>
          <w:u w:val="single"/>
        </w:rPr>
      </w:pPr>
    </w:p>
    <w:p w14:paraId="0907885B">
      <w:pPr>
        <w:adjustRightInd w:val="0"/>
        <w:snapToGrid w:val="0"/>
        <w:spacing w:line="300" w:lineRule="auto"/>
        <w:rPr>
          <w:rFonts w:hint="eastAsia" w:ascii="宋体" w:hAnsi="宋体"/>
          <w:color w:val="auto"/>
          <w:szCs w:val="21"/>
          <w:highlight w:val="none"/>
          <w:u w:val="single"/>
        </w:rPr>
      </w:pPr>
    </w:p>
    <w:p w14:paraId="0106C44F">
      <w:pPr>
        <w:adjustRightInd w:val="0"/>
        <w:snapToGrid w:val="0"/>
        <w:spacing w:line="300" w:lineRule="auto"/>
        <w:rPr>
          <w:rFonts w:hint="eastAsia" w:ascii="宋体" w:hAnsi="宋体"/>
          <w:color w:val="auto"/>
          <w:szCs w:val="21"/>
          <w:highlight w:val="none"/>
          <w:u w:val="single"/>
        </w:rPr>
      </w:pPr>
    </w:p>
    <w:p w14:paraId="7BA5B57B">
      <w:pPr>
        <w:adjustRightInd w:val="0"/>
        <w:snapToGrid w:val="0"/>
        <w:spacing w:line="300" w:lineRule="auto"/>
        <w:rPr>
          <w:rFonts w:hint="eastAsia" w:ascii="宋体" w:hAnsi="宋体"/>
          <w:color w:val="auto"/>
          <w:szCs w:val="21"/>
          <w:highlight w:val="none"/>
          <w:u w:val="single"/>
        </w:rPr>
      </w:pPr>
    </w:p>
    <w:p w14:paraId="1F302506">
      <w:pPr>
        <w:adjustRightInd w:val="0"/>
        <w:snapToGrid w:val="0"/>
        <w:spacing w:line="300" w:lineRule="auto"/>
        <w:rPr>
          <w:rFonts w:hint="eastAsia" w:ascii="宋体" w:hAnsi="宋体"/>
          <w:color w:val="auto"/>
          <w:szCs w:val="21"/>
          <w:highlight w:val="none"/>
          <w:u w:val="single"/>
        </w:rPr>
      </w:pPr>
    </w:p>
    <w:p w14:paraId="1509276E">
      <w:pPr>
        <w:adjustRightInd w:val="0"/>
        <w:snapToGrid w:val="0"/>
        <w:spacing w:line="300" w:lineRule="auto"/>
        <w:rPr>
          <w:rFonts w:hint="eastAsia" w:ascii="宋体" w:hAnsi="宋体"/>
          <w:color w:val="auto"/>
          <w:szCs w:val="21"/>
          <w:highlight w:val="none"/>
          <w:u w:val="single"/>
        </w:rPr>
      </w:pPr>
    </w:p>
    <w:p w14:paraId="1B3A6F0B">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2BC2C8CC">
      <w:pPr>
        <w:spacing w:line="520" w:lineRule="exact"/>
        <w:rPr>
          <w:rFonts w:hint="eastAsia" w:ascii="仿宋_GB2312" w:hAnsi="仿宋_GB2312" w:eastAsia="仿宋_GB2312" w:cs="仿宋_GB2312"/>
          <w:color w:val="auto"/>
          <w:sz w:val="32"/>
          <w:szCs w:val="32"/>
          <w:highlight w:val="none"/>
        </w:rPr>
      </w:pPr>
    </w:p>
    <w:p w14:paraId="6A9DFEBE">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4A42A78C">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p w14:paraId="7A228E9B">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s="仿宋_GB2312"/>
          <w:color w:val="auto"/>
          <w:sz w:val="24"/>
          <w:highlight w:val="none"/>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900"/>
        <w:gridCol w:w="2989"/>
        <w:gridCol w:w="2690"/>
        <w:gridCol w:w="1467"/>
      </w:tblGrid>
      <w:tr w14:paraId="50B426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1AC5CDF7">
            <w:pPr>
              <w:pStyle w:val="10"/>
              <w:spacing w:line="360" w:lineRule="auto"/>
              <w:ind w:firstLine="0" w:firstLineChars="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序号</w:t>
            </w:r>
          </w:p>
        </w:tc>
        <w:tc>
          <w:tcPr>
            <w:tcW w:w="900" w:type="dxa"/>
            <w:tcBorders>
              <w:right w:val="single" w:color="auto" w:sz="4" w:space="0"/>
            </w:tcBorders>
            <w:vAlign w:val="center"/>
          </w:tcPr>
          <w:p w14:paraId="317B47BC">
            <w:pPr>
              <w:pStyle w:val="10"/>
              <w:spacing w:line="360" w:lineRule="auto"/>
              <w:ind w:firstLine="0" w:firstLineChars="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2989" w:type="dxa"/>
            <w:tcBorders>
              <w:left w:val="single" w:color="auto" w:sz="4" w:space="0"/>
            </w:tcBorders>
            <w:vAlign w:val="center"/>
          </w:tcPr>
          <w:p w14:paraId="617BCA51">
            <w:pPr>
              <w:pStyle w:val="10"/>
              <w:spacing w:line="360" w:lineRule="auto"/>
              <w:ind w:firstLine="0" w:firstLineChars="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谈判文件要求</w:t>
            </w:r>
          </w:p>
        </w:tc>
        <w:tc>
          <w:tcPr>
            <w:tcW w:w="2690" w:type="dxa"/>
            <w:vAlign w:val="center"/>
          </w:tcPr>
          <w:p w14:paraId="650D6927">
            <w:pPr>
              <w:pStyle w:val="10"/>
              <w:spacing w:line="360" w:lineRule="auto"/>
              <w:ind w:firstLine="0" w:firstLineChars="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竞标响应</w:t>
            </w:r>
          </w:p>
        </w:tc>
        <w:tc>
          <w:tcPr>
            <w:tcW w:w="1467" w:type="dxa"/>
            <w:vAlign w:val="center"/>
          </w:tcPr>
          <w:p w14:paraId="4E87F44E">
            <w:pPr>
              <w:pStyle w:val="10"/>
              <w:spacing w:line="360" w:lineRule="auto"/>
              <w:ind w:firstLine="0" w:firstLineChars="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偏离说明</w:t>
            </w:r>
          </w:p>
        </w:tc>
      </w:tr>
      <w:tr w14:paraId="2E5F8B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2A4292B2">
            <w:pPr>
              <w:pStyle w:val="10"/>
              <w:spacing w:line="360" w:lineRule="auto"/>
              <w:ind w:firstLine="0" w:firstLineChars="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w:t>
            </w:r>
          </w:p>
        </w:tc>
        <w:tc>
          <w:tcPr>
            <w:tcW w:w="900" w:type="dxa"/>
            <w:tcBorders>
              <w:right w:val="single" w:color="auto" w:sz="4" w:space="0"/>
            </w:tcBorders>
            <w:vAlign w:val="center"/>
          </w:tcPr>
          <w:p w14:paraId="57027DEB">
            <w:pPr>
              <w:pStyle w:val="10"/>
              <w:spacing w:line="360" w:lineRule="auto"/>
              <w:ind w:firstLine="0" w:firstLineChars="0"/>
              <w:jc w:val="center"/>
              <w:rPr>
                <w:rFonts w:hint="eastAsia" w:ascii="宋体" w:hAnsi="宋体" w:eastAsia="宋体" w:cs="仿宋_GB2312"/>
                <w:color w:val="auto"/>
                <w:kern w:val="2"/>
                <w:sz w:val="24"/>
                <w:szCs w:val="24"/>
                <w:highlight w:val="none"/>
              </w:rPr>
            </w:pPr>
          </w:p>
        </w:tc>
        <w:tc>
          <w:tcPr>
            <w:tcW w:w="2989" w:type="dxa"/>
            <w:tcBorders>
              <w:left w:val="single" w:color="auto" w:sz="4" w:space="0"/>
            </w:tcBorders>
            <w:vAlign w:val="center"/>
          </w:tcPr>
          <w:p w14:paraId="15A5969C">
            <w:pPr>
              <w:pStyle w:val="10"/>
              <w:spacing w:line="360" w:lineRule="auto"/>
              <w:ind w:firstLine="0" w:firstLineChars="0"/>
              <w:jc w:val="center"/>
              <w:rPr>
                <w:rFonts w:hint="eastAsia" w:ascii="宋体" w:hAnsi="宋体" w:eastAsia="宋体" w:cs="仿宋_GB2312"/>
                <w:color w:val="auto"/>
                <w:kern w:val="2"/>
                <w:sz w:val="24"/>
                <w:szCs w:val="24"/>
                <w:highlight w:val="none"/>
              </w:rPr>
            </w:pPr>
          </w:p>
        </w:tc>
        <w:tc>
          <w:tcPr>
            <w:tcW w:w="2690" w:type="dxa"/>
            <w:vAlign w:val="center"/>
          </w:tcPr>
          <w:p w14:paraId="0C8FAA47">
            <w:pPr>
              <w:pStyle w:val="10"/>
              <w:spacing w:line="360" w:lineRule="auto"/>
              <w:ind w:firstLine="0" w:firstLineChars="0"/>
              <w:jc w:val="center"/>
              <w:rPr>
                <w:rFonts w:hint="eastAsia" w:ascii="宋体" w:hAnsi="宋体" w:eastAsia="宋体" w:cs="仿宋_GB2312"/>
                <w:color w:val="auto"/>
                <w:kern w:val="2"/>
                <w:sz w:val="24"/>
                <w:szCs w:val="24"/>
                <w:highlight w:val="none"/>
              </w:rPr>
            </w:pPr>
          </w:p>
        </w:tc>
        <w:tc>
          <w:tcPr>
            <w:tcW w:w="1467" w:type="dxa"/>
            <w:vAlign w:val="center"/>
          </w:tcPr>
          <w:p w14:paraId="7E8423D5">
            <w:pPr>
              <w:pStyle w:val="10"/>
              <w:spacing w:line="360" w:lineRule="auto"/>
              <w:ind w:firstLine="0" w:firstLineChars="0"/>
              <w:jc w:val="center"/>
              <w:rPr>
                <w:rFonts w:hint="eastAsia" w:ascii="宋体" w:hAnsi="宋体" w:eastAsia="宋体" w:cs="仿宋_GB2312"/>
                <w:color w:val="auto"/>
                <w:kern w:val="2"/>
                <w:sz w:val="24"/>
                <w:szCs w:val="24"/>
                <w:highlight w:val="none"/>
              </w:rPr>
            </w:pPr>
          </w:p>
        </w:tc>
      </w:tr>
      <w:tr w14:paraId="4E1B0C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2277A7B6">
            <w:pPr>
              <w:pStyle w:val="10"/>
              <w:spacing w:line="360" w:lineRule="auto"/>
              <w:ind w:firstLine="0" w:firstLineChars="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w:t>
            </w:r>
          </w:p>
        </w:tc>
        <w:tc>
          <w:tcPr>
            <w:tcW w:w="900" w:type="dxa"/>
            <w:tcBorders>
              <w:right w:val="single" w:color="auto" w:sz="4" w:space="0"/>
            </w:tcBorders>
            <w:vAlign w:val="center"/>
          </w:tcPr>
          <w:p w14:paraId="6369AE68">
            <w:pPr>
              <w:pStyle w:val="10"/>
              <w:spacing w:line="360" w:lineRule="auto"/>
              <w:ind w:firstLine="0" w:firstLineChars="0"/>
              <w:jc w:val="center"/>
              <w:rPr>
                <w:rFonts w:hint="eastAsia" w:ascii="宋体" w:hAnsi="宋体" w:eastAsia="宋体" w:cs="仿宋_GB2312"/>
                <w:color w:val="auto"/>
                <w:kern w:val="2"/>
                <w:sz w:val="24"/>
                <w:szCs w:val="24"/>
                <w:highlight w:val="none"/>
              </w:rPr>
            </w:pPr>
          </w:p>
        </w:tc>
        <w:tc>
          <w:tcPr>
            <w:tcW w:w="2989" w:type="dxa"/>
            <w:tcBorders>
              <w:left w:val="single" w:color="auto" w:sz="4" w:space="0"/>
            </w:tcBorders>
            <w:vAlign w:val="center"/>
          </w:tcPr>
          <w:p w14:paraId="6854BBF2">
            <w:pPr>
              <w:pStyle w:val="10"/>
              <w:spacing w:line="360" w:lineRule="auto"/>
              <w:ind w:firstLine="0" w:firstLineChars="0"/>
              <w:jc w:val="center"/>
              <w:rPr>
                <w:rFonts w:hint="eastAsia" w:ascii="宋体" w:hAnsi="宋体" w:eastAsia="宋体" w:cs="仿宋_GB2312"/>
                <w:color w:val="auto"/>
                <w:kern w:val="2"/>
                <w:sz w:val="24"/>
                <w:szCs w:val="24"/>
                <w:highlight w:val="none"/>
              </w:rPr>
            </w:pPr>
          </w:p>
        </w:tc>
        <w:tc>
          <w:tcPr>
            <w:tcW w:w="2690" w:type="dxa"/>
            <w:vAlign w:val="center"/>
          </w:tcPr>
          <w:p w14:paraId="15BB2FE6">
            <w:pPr>
              <w:pStyle w:val="10"/>
              <w:spacing w:line="360" w:lineRule="auto"/>
              <w:ind w:firstLine="0" w:firstLineChars="0"/>
              <w:jc w:val="center"/>
              <w:rPr>
                <w:rFonts w:hint="eastAsia" w:ascii="宋体" w:hAnsi="宋体" w:eastAsia="宋体" w:cs="仿宋_GB2312"/>
                <w:color w:val="auto"/>
                <w:kern w:val="2"/>
                <w:sz w:val="24"/>
                <w:szCs w:val="24"/>
                <w:highlight w:val="none"/>
              </w:rPr>
            </w:pPr>
          </w:p>
        </w:tc>
        <w:tc>
          <w:tcPr>
            <w:tcW w:w="1467" w:type="dxa"/>
            <w:vAlign w:val="center"/>
          </w:tcPr>
          <w:p w14:paraId="49293D22">
            <w:pPr>
              <w:pStyle w:val="10"/>
              <w:spacing w:line="360" w:lineRule="auto"/>
              <w:ind w:firstLine="0" w:firstLineChars="0"/>
              <w:jc w:val="center"/>
              <w:rPr>
                <w:rFonts w:hint="eastAsia" w:ascii="宋体" w:hAnsi="宋体" w:eastAsia="宋体" w:cs="仿宋_GB2312"/>
                <w:color w:val="auto"/>
                <w:kern w:val="2"/>
                <w:sz w:val="24"/>
                <w:szCs w:val="24"/>
                <w:highlight w:val="none"/>
              </w:rPr>
            </w:pPr>
          </w:p>
        </w:tc>
      </w:tr>
      <w:tr w14:paraId="5BBAA0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7EAD3277">
            <w:pPr>
              <w:pStyle w:val="10"/>
              <w:spacing w:line="360" w:lineRule="auto"/>
              <w:ind w:firstLine="0" w:firstLineChars="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3</w:t>
            </w:r>
          </w:p>
        </w:tc>
        <w:tc>
          <w:tcPr>
            <w:tcW w:w="900" w:type="dxa"/>
            <w:tcBorders>
              <w:right w:val="single" w:color="auto" w:sz="4" w:space="0"/>
            </w:tcBorders>
            <w:vAlign w:val="center"/>
          </w:tcPr>
          <w:p w14:paraId="5575EF52">
            <w:pPr>
              <w:pStyle w:val="10"/>
              <w:spacing w:line="360" w:lineRule="auto"/>
              <w:ind w:firstLine="0" w:firstLineChars="0"/>
              <w:jc w:val="center"/>
              <w:rPr>
                <w:rFonts w:hint="eastAsia" w:ascii="宋体" w:hAnsi="宋体" w:eastAsia="宋体" w:cs="仿宋_GB2312"/>
                <w:color w:val="auto"/>
                <w:kern w:val="2"/>
                <w:sz w:val="24"/>
                <w:szCs w:val="24"/>
                <w:highlight w:val="none"/>
              </w:rPr>
            </w:pPr>
          </w:p>
        </w:tc>
        <w:tc>
          <w:tcPr>
            <w:tcW w:w="2989" w:type="dxa"/>
            <w:tcBorders>
              <w:left w:val="single" w:color="auto" w:sz="4" w:space="0"/>
            </w:tcBorders>
            <w:vAlign w:val="center"/>
          </w:tcPr>
          <w:p w14:paraId="286B12CE">
            <w:pPr>
              <w:pStyle w:val="10"/>
              <w:spacing w:line="360" w:lineRule="auto"/>
              <w:ind w:firstLine="0" w:firstLineChars="0"/>
              <w:jc w:val="center"/>
              <w:rPr>
                <w:rFonts w:hint="eastAsia" w:ascii="宋体" w:hAnsi="宋体" w:eastAsia="宋体" w:cs="仿宋_GB2312"/>
                <w:color w:val="auto"/>
                <w:kern w:val="2"/>
                <w:sz w:val="24"/>
                <w:szCs w:val="24"/>
                <w:highlight w:val="none"/>
              </w:rPr>
            </w:pPr>
          </w:p>
        </w:tc>
        <w:tc>
          <w:tcPr>
            <w:tcW w:w="2690" w:type="dxa"/>
            <w:vAlign w:val="center"/>
          </w:tcPr>
          <w:p w14:paraId="2EBD1F89">
            <w:pPr>
              <w:pStyle w:val="10"/>
              <w:spacing w:line="360" w:lineRule="auto"/>
              <w:ind w:firstLine="0" w:firstLineChars="0"/>
              <w:jc w:val="center"/>
              <w:rPr>
                <w:rFonts w:hint="eastAsia" w:ascii="宋体" w:hAnsi="宋体" w:eastAsia="宋体" w:cs="仿宋_GB2312"/>
                <w:color w:val="auto"/>
                <w:kern w:val="2"/>
                <w:sz w:val="24"/>
                <w:szCs w:val="24"/>
                <w:highlight w:val="none"/>
              </w:rPr>
            </w:pPr>
          </w:p>
        </w:tc>
        <w:tc>
          <w:tcPr>
            <w:tcW w:w="1467" w:type="dxa"/>
            <w:vAlign w:val="center"/>
          </w:tcPr>
          <w:p w14:paraId="286F952D">
            <w:pPr>
              <w:pStyle w:val="10"/>
              <w:spacing w:line="360" w:lineRule="auto"/>
              <w:ind w:firstLine="0" w:firstLineChars="0"/>
              <w:jc w:val="center"/>
              <w:rPr>
                <w:rFonts w:hint="eastAsia" w:ascii="宋体" w:hAnsi="宋体" w:eastAsia="宋体" w:cs="仿宋_GB2312"/>
                <w:color w:val="auto"/>
                <w:kern w:val="2"/>
                <w:sz w:val="24"/>
                <w:szCs w:val="24"/>
                <w:highlight w:val="none"/>
              </w:rPr>
            </w:pPr>
          </w:p>
        </w:tc>
      </w:tr>
      <w:tr w14:paraId="0247AC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21BEC1E2">
            <w:pPr>
              <w:pStyle w:val="10"/>
              <w:spacing w:line="360" w:lineRule="auto"/>
              <w:ind w:firstLine="0" w:firstLineChars="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4</w:t>
            </w:r>
          </w:p>
        </w:tc>
        <w:tc>
          <w:tcPr>
            <w:tcW w:w="900" w:type="dxa"/>
            <w:tcBorders>
              <w:right w:val="single" w:color="auto" w:sz="4" w:space="0"/>
            </w:tcBorders>
            <w:vAlign w:val="center"/>
          </w:tcPr>
          <w:p w14:paraId="2E20C8E1">
            <w:pPr>
              <w:pStyle w:val="10"/>
              <w:spacing w:line="360" w:lineRule="auto"/>
              <w:ind w:firstLine="0" w:firstLineChars="0"/>
              <w:jc w:val="center"/>
              <w:rPr>
                <w:rFonts w:hint="eastAsia" w:ascii="宋体" w:hAnsi="宋体" w:eastAsia="宋体" w:cs="仿宋_GB2312"/>
                <w:color w:val="auto"/>
                <w:kern w:val="2"/>
                <w:sz w:val="24"/>
                <w:szCs w:val="24"/>
                <w:highlight w:val="none"/>
              </w:rPr>
            </w:pPr>
          </w:p>
        </w:tc>
        <w:tc>
          <w:tcPr>
            <w:tcW w:w="2989" w:type="dxa"/>
            <w:tcBorders>
              <w:left w:val="single" w:color="auto" w:sz="4" w:space="0"/>
            </w:tcBorders>
            <w:vAlign w:val="center"/>
          </w:tcPr>
          <w:p w14:paraId="3AC7280B">
            <w:pPr>
              <w:pStyle w:val="10"/>
              <w:spacing w:line="360" w:lineRule="auto"/>
              <w:ind w:firstLine="0" w:firstLineChars="0"/>
              <w:jc w:val="center"/>
              <w:rPr>
                <w:rFonts w:hint="eastAsia" w:ascii="宋体" w:hAnsi="宋体" w:eastAsia="宋体" w:cs="仿宋_GB2312"/>
                <w:color w:val="auto"/>
                <w:kern w:val="2"/>
                <w:sz w:val="24"/>
                <w:szCs w:val="24"/>
                <w:highlight w:val="none"/>
              </w:rPr>
            </w:pPr>
          </w:p>
        </w:tc>
        <w:tc>
          <w:tcPr>
            <w:tcW w:w="2690" w:type="dxa"/>
            <w:vAlign w:val="center"/>
          </w:tcPr>
          <w:p w14:paraId="055812B4">
            <w:pPr>
              <w:pStyle w:val="10"/>
              <w:spacing w:line="360" w:lineRule="auto"/>
              <w:ind w:firstLine="0" w:firstLineChars="0"/>
              <w:jc w:val="center"/>
              <w:rPr>
                <w:rFonts w:hint="eastAsia" w:ascii="宋体" w:hAnsi="宋体" w:eastAsia="宋体" w:cs="仿宋_GB2312"/>
                <w:color w:val="auto"/>
                <w:kern w:val="2"/>
                <w:sz w:val="24"/>
                <w:szCs w:val="24"/>
                <w:highlight w:val="none"/>
              </w:rPr>
            </w:pPr>
          </w:p>
        </w:tc>
        <w:tc>
          <w:tcPr>
            <w:tcW w:w="1467" w:type="dxa"/>
            <w:vAlign w:val="center"/>
          </w:tcPr>
          <w:p w14:paraId="1ED23BAA">
            <w:pPr>
              <w:pStyle w:val="10"/>
              <w:spacing w:line="360" w:lineRule="auto"/>
              <w:ind w:firstLine="0" w:firstLineChars="0"/>
              <w:jc w:val="center"/>
              <w:rPr>
                <w:rFonts w:hint="eastAsia" w:ascii="宋体" w:hAnsi="宋体" w:eastAsia="宋体" w:cs="仿宋_GB2312"/>
                <w:color w:val="auto"/>
                <w:kern w:val="2"/>
                <w:sz w:val="24"/>
                <w:szCs w:val="24"/>
                <w:highlight w:val="none"/>
              </w:rPr>
            </w:pPr>
          </w:p>
        </w:tc>
      </w:tr>
      <w:tr w14:paraId="758C98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12A0002F">
            <w:pPr>
              <w:pStyle w:val="10"/>
              <w:spacing w:line="360" w:lineRule="auto"/>
              <w:ind w:firstLine="0" w:firstLineChars="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5</w:t>
            </w:r>
          </w:p>
        </w:tc>
        <w:tc>
          <w:tcPr>
            <w:tcW w:w="900" w:type="dxa"/>
            <w:tcBorders>
              <w:right w:val="single" w:color="auto" w:sz="4" w:space="0"/>
            </w:tcBorders>
            <w:vAlign w:val="center"/>
          </w:tcPr>
          <w:p w14:paraId="1F33CAEB">
            <w:pPr>
              <w:pStyle w:val="10"/>
              <w:spacing w:line="360" w:lineRule="auto"/>
              <w:ind w:firstLine="0" w:firstLineChars="0"/>
              <w:jc w:val="center"/>
              <w:rPr>
                <w:rFonts w:hint="eastAsia" w:ascii="宋体" w:hAnsi="宋体" w:eastAsia="宋体" w:cs="仿宋_GB2312"/>
                <w:color w:val="auto"/>
                <w:kern w:val="2"/>
                <w:sz w:val="24"/>
                <w:szCs w:val="24"/>
                <w:highlight w:val="none"/>
              </w:rPr>
            </w:pPr>
          </w:p>
        </w:tc>
        <w:tc>
          <w:tcPr>
            <w:tcW w:w="2989" w:type="dxa"/>
            <w:tcBorders>
              <w:left w:val="single" w:color="auto" w:sz="4" w:space="0"/>
            </w:tcBorders>
            <w:vAlign w:val="center"/>
          </w:tcPr>
          <w:p w14:paraId="20FC5A90">
            <w:pPr>
              <w:pStyle w:val="10"/>
              <w:spacing w:line="360" w:lineRule="auto"/>
              <w:ind w:firstLine="0" w:firstLineChars="0"/>
              <w:jc w:val="center"/>
              <w:rPr>
                <w:rFonts w:hint="eastAsia" w:ascii="宋体" w:hAnsi="宋体" w:eastAsia="宋体" w:cs="仿宋_GB2312"/>
                <w:color w:val="auto"/>
                <w:kern w:val="2"/>
                <w:sz w:val="24"/>
                <w:szCs w:val="24"/>
                <w:highlight w:val="none"/>
              </w:rPr>
            </w:pPr>
          </w:p>
        </w:tc>
        <w:tc>
          <w:tcPr>
            <w:tcW w:w="2690" w:type="dxa"/>
            <w:vAlign w:val="center"/>
          </w:tcPr>
          <w:p w14:paraId="0C2AFAD7">
            <w:pPr>
              <w:pStyle w:val="10"/>
              <w:spacing w:line="360" w:lineRule="auto"/>
              <w:ind w:firstLine="0" w:firstLineChars="0"/>
              <w:jc w:val="center"/>
              <w:rPr>
                <w:rFonts w:hint="eastAsia" w:ascii="宋体" w:hAnsi="宋体" w:eastAsia="宋体" w:cs="仿宋_GB2312"/>
                <w:color w:val="auto"/>
                <w:kern w:val="2"/>
                <w:sz w:val="24"/>
                <w:szCs w:val="24"/>
                <w:highlight w:val="none"/>
              </w:rPr>
            </w:pPr>
          </w:p>
        </w:tc>
        <w:tc>
          <w:tcPr>
            <w:tcW w:w="1467" w:type="dxa"/>
            <w:vAlign w:val="center"/>
          </w:tcPr>
          <w:p w14:paraId="67E5CA3E">
            <w:pPr>
              <w:pStyle w:val="10"/>
              <w:spacing w:line="360" w:lineRule="auto"/>
              <w:ind w:firstLine="0" w:firstLineChars="0"/>
              <w:jc w:val="center"/>
              <w:rPr>
                <w:rFonts w:hint="eastAsia" w:ascii="宋体" w:hAnsi="宋体" w:eastAsia="宋体" w:cs="仿宋_GB2312"/>
                <w:color w:val="auto"/>
                <w:kern w:val="2"/>
                <w:sz w:val="24"/>
                <w:szCs w:val="24"/>
                <w:highlight w:val="none"/>
              </w:rPr>
            </w:pPr>
          </w:p>
        </w:tc>
      </w:tr>
      <w:tr w14:paraId="07648C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0" w:type="dxa"/>
            <w:vAlign w:val="center"/>
          </w:tcPr>
          <w:p w14:paraId="2DD44F63">
            <w:pPr>
              <w:pStyle w:val="10"/>
              <w:spacing w:line="360" w:lineRule="auto"/>
              <w:ind w:firstLine="0" w:firstLineChars="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w:t>
            </w:r>
          </w:p>
        </w:tc>
        <w:tc>
          <w:tcPr>
            <w:tcW w:w="900" w:type="dxa"/>
            <w:tcBorders>
              <w:right w:val="single" w:color="auto" w:sz="4" w:space="0"/>
            </w:tcBorders>
            <w:vAlign w:val="center"/>
          </w:tcPr>
          <w:p w14:paraId="44F649ED">
            <w:pPr>
              <w:pStyle w:val="10"/>
              <w:spacing w:line="360" w:lineRule="auto"/>
              <w:ind w:firstLine="0" w:firstLineChars="0"/>
              <w:jc w:val="center"/>
              <w:rPr>
                <w:rFonts w:hint="eastAsia" w:ascii="宋体" w:hAnsi="宋体" w:eastAsia="宋体" w:cs="仿宋_GB2312"/>
                <w:color w:val="auto"/>
                <w:kern w:val="2"/>
                <w:sz w:val="24"/>
                <w:szCs w:val="24"/>
                <w:highlight w:val="none"/>
              </w:rPr>
            </w:pPr>
          </w:p>
        </w:tc>
        <w:tc>
          <w:tcPr>
            <w:tcW w:w="2989" w:type="dxa"/>
            <w:tcBorders>
              <w:left w:val="single" w:color="auto" w:sz="4" w:space="0"/>
            </w:tcBorders>
            <w:vAlign w:val="center"/>
          </w:tcPr>
          <w:p w14:paraId="377EF572">
            <w:pPr>
              <w:pStyle w:val="10"/>
              <w:spacing w:line="360" w:lineRule="auto"/>
              <w:ind w:firstLine="0" w:firstLineChars="0"/>
              <w:jc w:val="center"/>
              <w:rPr>
                <w:rFonts w:hint="eastAsia" w:ascii="宋体" w:hAnsi="宋体" w:eastAsia="宋体" w:cs="仿宋_GB2312"/>
                <w:color w:val="auto"/>
                <w:kern w:val="2"/>
                <w:sz w:val="24"/>
                <w:szCs w:val="24"/>
                <w:highlight w:val="none"/>
              </w:rPr>
            </w:pPr>
          </w:p>
        </w:tc>
        <w:tc>
          <w:tcPr>
            <w:tcW w:w="2690" w:type="dxa"/>
            <w:vAlign w:val="center"/>
          </w:tcPr>
          <w:p w14:paraId="1C9AE2EB">
            <w:pPr>
              <w:pStyle w:val="10"/>
              <w:spacing w:line="360" w:lineRule="auto"/>
              <w:ind w:firstLine="0" w:firstLineChars="0"/>
              <w:jc w:val="center"/>
              <w:rPr>
                <w:rFonts w:hint="eastAsia" w:ascii="宋体" w:hAnsi="宋体" w:eastAsia="宋体" w:cs="仿宋_GB2312"/>
                <w:color w:val="auto"/>
                <w:kern w:val="2"/>
                <w:sz w:val="24"/>
                <w:szCs w:val="24"/>
                <w:highlight w:val="none"/>
              </w:rPr>
            </w:pPr>
          </w:p>
        </w:tc>
        <w:tc>
          <w:tcPr>
            <w:tcW w:w="1467" w:type="dxa"/>
            <w:tcBorders>
              <w:right w:val="single" w:color="auto" w:sz="4" w:space="0"/>
            </w:tcBorders>
            <w:vAlign w:val="center"/>
          </w:tcPr>
          <w:p w14:paraId="7D00164D">
            <w:pPr>
              <w:pStyle w:val="10"/>
              <w:spacing w:line="360" w:lineRule="auto"/>
              <w:ind w:firstLine="0" w:firstLineChars="0"/>
              <w:jc w:val="center"/>
              <w:rPr>
                <w:rFonts w:hint="eastAsia" w:ascii="宋体" w:hAnsi="宋体" w:eastAsia="宋体" w:cs="仿宋_GB2312"/>
                <w:color w:val="auto"/>
                <w:kern w:val="2"/>
                <w:sz w:val="24"/>
                <w:szCs w:val="24"/>
                <w:highlight w:val="none"/>
              </w:rPr>
            </w:pPr>
          </w:p>
        </w:tc>
      </w:tr>
    </w:tbl>
    <w:p w14:paraId="3769F0DA">
      <w:pPr>
        <w:pStyle w:val="10"/>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7649BAF3">
      <w:pPr>
        <w:pStyle w:val="10"/>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说明：应对照谈判文件“第三章 采购需求”中的技术要求逐条实质性响应，并作出偏离说明。</w:t>
      </w:r>
    </w:p>
    <w:p w14:paraId="059601BB">
      <w:pPr>
        <w:pStyle w:val="10"/>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2.供应商应根据竞标设备的性能指标，对照谈判文件要求，在“偏离说明”中注明“正偏离”“负偏离”或者“无偏离”。既不属于“正偏离”也不属于“负偏离”即为“无偏离”。</w:t>
      </w:r>
    </w:p>
    <w:p w14:paraId="66CD0360">
      <w:pPr>
        <w:pStyle w:val="10"/>
        <w:spacing w:line="360" w:lineRule="auto"/>
        <w:ind w:firstLine="0" w:firstLineChars="0"/>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3.供应商认为其竞标响应有正偏离的，请在技术要求偏离表中列明，且在响应文件中提供竞标产品的彩页或</w:t>
      </w:r>
      <w:r>
        <w:rPr>
          <w:rFonts w:ascii="宋体" w:hAnsi="宋体" w:eastAsia="宋体"/>
          <w:color w:val="auto"/>
          <w:sz w:val="24"/>
          <w:szCs w:val="24"/>
          <w:highlight w:val="none"/>
        </w:rPr>
        <w:t>国家认可有资质的第三方检测机构出具的检测报告复印件</w:t>
      </w:r>
      <w:r>
        <w:rPr>
          <w:rFonts w:hint="eastAsia" w:ascii="宋体" w:hAnsi="宋体" w:eastAsia="宋体"/>
          <w:color w:val="auto"/>
          <w:sz w:val="24"/>
          <w:szCs w:val="24"/>
          <w:highlight w:val="none"/>
        </w:rPr>
        <w:t>或产品生产厂家出具的技术参数说明证明作为佐证，以上佐证材料均需加盖生产厂家或代理商（附生产厂家授权资料）公章。</w:t>
      </w:r>
    </w:p>
    <w:p w14:paraId="62076CAA">
      <w:pPr>
        <w:pStyle w:val="10"/>
        <w:spacing w:line="360" w:lineRule="auto"/>
        <w:ind w:firstLine="0" w:firstLineChars="0"/>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如技术要求偏离表中的竞标响应与佐证材料不一致的，以佐证材料为准。</w:t>
      </w:r>
    </w:p>
    <w:p w14:paraId="51E09A16">
      <w:pPr>
        <w:pStyle w:val="10"/>
        <w:spacing w:line="360" w:lineRule="auto"/>
        <w:ind w:firstLine="0" w:firstLineChars="0"/>
        <w:contextualSpacing/>
        <w:rPr>
          <w:rFonts w:hint="eastAsia" w:ascii="宋体" w:hAnsi="宋体" w:eastAsia="宋体" w:cs="仿宋_GB2312"/>
          <w:color w:val="auto"/>
          <w:sz w:val="24"/>
          <w:szCs w:val="24"/>
          <w:highlight w:val="none"/>
        </w:rPr>
      </w:pPr>
    </w:p>
    <w:p w14:paraId="30842026">
      <w:pPr>
        <w:spacing w:line="360" w:lineRule="auto"/>
        <w:ind w:right="-817" w:rightChars="-389"/>
        <w:contextualSpacing/>
        <w:rPr>
          <w:rFonts w:hint="eastAsia" w:ascii="宋体" w:hAnsi="宋体" w:cs="仿宋_GB2312"/>
          <w:color w:val="auto"/>
          <w:sz w:val="24"/>
          <w:highlight w:val="none"/>
        </w:rPr>
      </w:pPr>
    </w:p>
    <w:p w14:paraId="57D229B2">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34966DFA">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0A05E145">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1E9FD88E">
      <w:pPr>
        <w:snapToGrid w:val="0"/>
        <w:spacing w:before="120" w:beforeLines="50" w:after="50"/>
        <w:jc w:val="left"/>
        <w:rPr>
          <w:rFonts w:hint="eastAsia" w:ascii="宋体" w:hAnsi="宋体"/>
          <w:color w:val="auto"/>
          <w:szCs w:val="21"/>
          <w:highlight w:val="none"/>
        </w:rPr>
      </w:pPr>
      <w:r>
        <w:rPr>
          <w:rFonts w:ascii="宋体" w:hAnsi="宋体" w:cs="仿宋_GB2312"/>
          <w:color w:val="auto"/>
          <w:sz w:val="24"/>
          <w:highlight w:val="none"/>
        </w:rPr>
        <w:br w:type="page"/>
      </w:r>
      <w:r>
        <w:rPr>
          <w:rFonts w:hint="eastAsia" w:ascii="宋体" w:hAnsi="宋体"/>
          <w:b/>
          <w:bCs/>
          <w:color w:val="auto"/>
          <w:sz w:val="24"/>
          <w:highlight w:val="none"/>
        </w:rPr>
        <w:t>其他文书、文件格式</w:t>
      </w:r>
    </w:p>
    <w:p w14:paraId="754373CF">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bookmarkStart w:id="97" w:name="_Toc71366061"/>
      <w:bookmarkStart w:id="98" w:name="_Toc71365383"/>
      <w:r>
        <w:rPr>
          <w:rFonts w:hint="eastAsia" w:ascii="方正小标宋简体" w:hAnsi="方正小标宋简体" w:eastAsia="方正小标宋简体" w:cs="方正小标宋简体"/>
          <w:bCs/>
          <w:color w:val="auto"/>
          <w:sz w:val="44"/>
          <w:szCs w:val="44"/>
          <w:highlight w:val="none"/>
        </w:rPr>
        <w:t>中小企业声明函（货物）</w:t>
      </w:r>
      <w:bookmarkEnd w:id="97"/>
      <w:bookmarkEnd w:id="98"/>
    </w:p>
    <w:p w14:paraId="37BEBD31">
      <w:pPr>
        <w:rPr>
          <w:color w:val="auto"/>
          <w:highlight w:val="none"/>
        </w:rPr>
      </w:pPr>
    </w:p>
    <w:p w14:paraId="2B6CD758">
      <w:pPr>
        <w:pStyle w:val="9"/>
        <w:spacing w:after="0" w:line="360" w:lineRule="auto"/>
        <w:ind w:left="-426" w:right="142" w:firstLine="640"/>
        <w:contextualSpacing/>
        <w:rPr>
          <w:rFonts w:hint="eastAsia"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采购活动，提供的货物全部由符合政策要求的中小企业制造。相关企业（含联合体中的中小企业、签订分包意向协议的中小企业）的具体情况如下：</w:t>
      </w:r>
    </w:p>
    <w:p w14:paraId="098E1CF2">
      <w:pPr>
        <w:tabs>
          <w:tab w:val="left" w:pos="1384"/>
          <w:tab w:val="left" w:pos="4562"/>
          <w:tab w:val="left" w:pos="6803"/>
        </w:tabs>
        <w:spacing w:line="360" w:lineRule="auto"/>
        <w:ind w:left="-426" w:right="-58" w:firstLine="655"/>
        <w:contextualSpacing/>
        <w:rPr>
          <w:rFonts w:hint="eastAsia"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（采购文件中明确的所属行业）</w:t>
      </w:r>
      <w:r>
        <w:rPr>
          <w:rFonts w:ascii="宋体" w:hAnsi="宋体"/>
          <w:color w:val="auto"/>
          <w:sz w:val="24"/>
          <w:highlight w:val="none"/>
        </w:rPr>
        <w:t>行业；制造商为</w:t>
      </w:r>
      <w:r>
        <w:rPr>
          <w:rFonts w:ascii="宋体" w:hAnsi="宋体"/>
          <w:color w:val="auto"/>
          <w:sz w:val="24"/>
          <w:highlight w:val="none"/>
          <w:u w:val="single"/>
        </w:rPr>
        <w:t>（企业名称）</w:t>
      </w:r>
      <w:r>
        <w:rPr>
          <w:rFonts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万元，属于</w:t>
      </w:r>
      <w:r>
        <w:rPr>
          <w:rFonts w:ascii="宋体" w:hAnsi="宋体"/>
          <w:color w:val="auto"/>
          <w:sz w:val="24"/>
          <w:highlight w:val="none"/>
          <w:u w:val="single"/>
        </w:rPr>
        <w:t>（中型企业、小型企业、微型企业）</w:t>
      </w:r>
      <w:r>
        <w:rPr>
          <w:rFonts w:ascii="宋体" w:hAnsi="宋体"/>
          <w:color w:val="auto"/>
          <w:sz w:val="24"/>
          <w:highlight w:val="none"/>
        </w:rPr>
        <w:t>；</w:t>
      </w:r>
    </w:p>
    <w:p w14:paraId="2BF91874">
      <w:pPr>
        <w:tabs>
          <w:tab w:val="left" w:pos="1065"/>
          <w:tab w:val="left" w:pos="6477"/>
        </w:tabs>
        <w:spacing w:line="360" w:lineRule="auto"/>
        <w:ind w:left="-426" w:right="-58" w:firstLine="655"/>
        <w:contextualSpacing/>
        <w:rPr>
          <w:rFonts w:hint="eastAsia" w:ascii="宋体" w:hAnsi="宋体"/>
          <w:color w:val="auto"/>
          <w:sz w:val="24"/>
          <w:highlight w:val="non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（采购文件中明确的所属行业）</w:t>
      </w:r>
      <w:r>
        <w:rPr>
          <w:rFonts w:ascii="宋体" w:hAnsi="宋体"/>
          <w:color w:val="auto"/>
          <w:sz w:val="24"/>
          <w:highlight w:val="none"/>
        </w:rPr>
        <w:t>行业；制造商为</w:t>
      </w:r>
      <w:r>
        <w:rPr>
          <w:rFonts w:ascii="宋体" w:hAnsi="宋体"/>
          <w:color w:val="auto"/>
          <w:sz w:val="24"/>
          <w:highlight w:val="none"/>
          <w:u w:val="single"/>
        </w:rPr>
        <w:t>（企业名称）</w:t>
      </w:r>
      <w:r>
        <w:rPr>
          <w:rFonts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万元，属于</w:t>
      </w:r>
      <w:r>
        <w:rPr>
          <w:rFonts w:ascii="宋体" w:hAnsi="宋体"/>
          <w:color w:val="auto"/>
          <w:sz w:val="24"/>
          <w:highlight w:val="none"/>
          <w:u w:val="single"/>
        </w:rPr>
        <w:t>（中型企业、小型企业、微型企业）</w:t>
      </w:r>
      <w:r>
        <w:rPr>
          <w:rFonts w:ascii="宋体" w:hAnsi="宋体"/>
          <w:color w:val="auto"/>
          <w:sz w:val="24"/>
          <w:highlight w:val="none"/>
        </w:rPr>
        <w:t>；</w:t>
      </w:r>
    </w:p>
    <w:p w14:paraId="0E2BD7E3">
      <w:pPr>
        <w:pStyle w:val="9"/>
        <w:spacing w:after="0" w:line="360" w:lineRule="auto"/>
        <w:ind w:left="142" w:right="142"/>
        <w:contextualSpacing/>
        <w:rPr>
          <w:rFonts w:hint="eastAsia" w:ascii="宋体" w:hAnsi="宋体"/>
          <w:color w:val="auto"/>
          <w:sz w:val="24"/>
          <w:highlight w:val="none"/>
        </w:rPr>
      </w:pPr>
      <w:r>
        <w:rPr>
          <w:rFonts w:ascii="宋体" w:hAnsi="宋体"/>
          <w:color w:val="auto"/>
          <w:sz w:val="24"/>
          <w:highlight w:val="none"/>
        </w:rPr>
        <w:t xml:space="preserve">…… </w:t>
      </w:r>
    </w:p>
    <w:p w14:paraId="4305C65A">
      <w:pPr>
        <w:pStyle w:val="9"/>
        <w:spacing w:after="0" w:line="360" w:lineRule="auto"/>
        <w:ind w:left="-405" w:leftChars="-193" w:right="142" w:firstLine="453" w:firstLineChars="189"/>
        <w:contextualSpacing/>
        <w:rPr>
          <w:rFonts w:hint="eastAsia"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4F974EF3">
      <w:pPr>
        <w:pStyle w:val="9"/>
        <w:spacing w:after="0" w:line="360" w:lineRule="auto"/>
        <w:ind w:left="-426" w:right="142" w:firstLine="567"/>
        <w:contextualSpacing/>
        <w:rPr>
          <w:rFonts w:hint="eastAsia"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7ABC9B76">
      <w:pPr>
        <w:pStyle w:val="9"/>
        <w:spacing w:after="0" w:line="360" w:lineRule="auto"/>
        <w:ind w:left="3960" w:right="1808"/>
        <w:contextualSpacing/>
        <w:rPr>
          <w:rFonts w:hint="eastAsia" w:ascii="宋体" w:hAnsi="宋体"/>
          <w:color w:val="auto"/>
          <w:sz w:val="24"/>
          <w:highlight w:val="none"/>
        </w:rPr>
      </w:pPr>
    </w:p>
    <w:p w14:paraId="30A5003E">
      <w:pPr>
        <w:pStyle w:val="9"/>
        <w:spacing w:after="0" w:line="360" w:lineRule="auto"/>
        <w:ind w:left="3960" w:right="1808"/>
        <w:contextualSpacing/>
        <w:rPr>
          <w:rFonts w:hint="eastAsia" w:ascii="宋体" w:hAnsi="宋体"/>
          <w:color w:val="auto"/>
          <w:sz w:val="24"/>
          <w:highlight w:val="none"/>
        </w:rPr>
      </w:pPr>
      <w:r>
        <w:rPr>
          <w:rFonts w:ascii="宋体" w:hAnsi="宋体"/>
          <w:color w:val="auto"/>
          <w:sz w:val="24"/>
          <w:highlight w:val="none"/>
        </w:rPr>
        <w:t xml:space="preserve">企业名称（章）： </w:t>
      </w:r>
    </w:p>
    <w:p w14:paraId="45072676">
      <w:pPr>
        <w:pStyle w:val="9"/>
        <w:spacing w:after="0" w:line="360" w:lineRule="auto"/>
        <w:ind w:left="3960" w:right="1808"/>
        <w:contextualSpacing/>
        <w:rPr>
          <w:rFonts w:hint="eastAsia" w:ascii="宋体" w:hAnsi="宋体"/>
          <w:color w:val="auto"/>
          <w:sz w:val="24"/>
          <w:highlight w:val="none"/>
        </w:rPr>
      </w:pPr>
      <w:r>
        <w:rPr>
          <w:rFonts w:ascii="宋体" w:hAnsi="宋体"/>
          <w:color w:val="auto"/>
          <w:sz w:val="24"/>
          <w:highlight w:val="none"/>
        </w:rPr>
        <w:t>日</w:t>
      </w:r>
      <w:r>
        <w:rPr>
          <w:rFonts w:hint="eastAsia" w:ascii="宋体" w:hAnsi="宋体"/>
          <w:color w:val="auto"/>
          <w:sz w:val="24"/>
          <w:highlight w:val="none"/>
        </w:rPr>
        <w:t xml:space="preserve"> </w:t>
      </w:r>
      <w:r>
        <w:rPr>
          <w:rFonts w:ascii="宋体" w:hAnsi="宋体"/>
          <w:color w:val="auto"/>
          <w:sz w:val="24"/>
          <w:highlight w:val="none"/>
        </w:rPr>
        <w:t>期：</w:t>
      </w:r>
    </w:p>
    <w:p w14:paraId="3E5B51D6">
      <w:pPr>
        <w:pStyle w:val="9"/>
        <w:spacing w:after="0" w:line="360" w:lineRule="auto"/>
        <w:ind w:left="3960" w:right="1808"/>
        <w:contextualSpacing/>
        <w:rPr>
          <w:color w:val="auto"/>
          <w:highlight w:val="none"/>
        </w:rPr>
      </w:pPr>
    </w:p>
    <w:p w14:paraId="505F57D5">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4B95F17">
      <w:pPr>
        <w:spacing w:line="360" w:lineRule="auto"/>
        <w:contextualSpacing/>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0681F7F6">
      <w:pPr>
        <w:spacing w:line="520" w:lineRule="exact"/>
        <w:rPr>
          <w:rFonts w:hint="eastAsia" w:ascii="仿宋_GB2312" w:hAnsi="仿宋_GB2312" w:eastAsia="仿宋_GB2312" w:cs="仿宋_GB2312"/>
          <w:color w:val="auto"/>
          <w:sz w:val="32"/>
          <w:szCs w:val="32"/>
          <w:highlight w:val="none"/>
        </w:rPr>
      </w:pPr>
    </w:p>
    <w:p w14:paraId="43123C8F">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DAA098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6F3C2FC5">
      <w:pPr>
        <w:spacing w:line="360" w:lineRule="auto"/>
        <w:contextualSpacing/>
        <w:rPr>
          <w:rFonts w:hint="eastAsia" w:ascii="宋体" w:hAnsi="宋体" w:cs="仿宋_GB2312"/>
          <w:color w:val="auto"/>
          <w:sz w:val="24"/>
          <w:highlight w:val="none"/>
        </w:rPr>
      </w:pPr>
    </w:p>
    <w:p w14:paraId="73018D74">
      <w:pPr>
        <w:spacing w:line="360" w:lineRule="auto"/>
        <w:contextualSpacing/>
        <w:rPr>
          <w:rFonts w:hint="eastAsia" w:ascii="宋体" w:hAnsi="宋体" w:cs="仿宋_GB2312"/>
          <w:color w:val="auto"/>
          <w:sz w:val="24"/>
          <w:highlight w:val="none"/>
        </w:rPr>
      </w:pPr>
    </w:p>
    <w:p w14:paraId="1D9C82C5">
      <w:pPr>
        <w:spacing w:line="360" w:lineRule="auto"/>
        <w:contextualSpacing/>
        <w:rPr>
          <w:rFonts w:hint="eastAsia" w:ascii="宋体" w:hAnsi="宋体" w:cs="仿宋_GB2312"/>
          <w:color w:val="auto"/>
          <w:sz w:val="24"/>
          <w:highlight w:val="none"/>
        </w:rPr>
      </w:pPr>
    </w:p>
    <w:p w14:paraId="18517B23">
      <w:pPr>
        <w:spacing w:line="360"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单位名称（盖章）：</w:t>
      </w:r>
    </w:p>
    <w:p w14:paraId="08EDB0B4">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21A0ABB4">
      <w:pPr>
        <w:spacing w:line="360" w:lineRule="auto"/>
        <w:contextualSpacing/>
        <w:rPr>
          <w:rFonts w:hint="eastAsia" w:ascii="宋体" w:hAnsi="宋体" w:cs="仿宋_GB2312"/>
          <w:color w:val="auto"/>
          <w:sz w:val="24"/>
          <w:highlight w:val="none"/>
        </w:rPr>
      </w:pPr>
    </w:p>
    <w:p w14:paraId="2BE7E8B7">
      <w:pPr>
        <w:spacing w:line="360" w:lineRule="auto"/>
        <w:contextualSpacing/>
        <w:rPr>
          <w:rFonts w:hint="eastAsia" w:ascii="宋体" w:hAnsi="宋体" w:cs="仿宋_GB2312"/>
          <w:color w:val="auto"/>
          <w:sz w:val="24"/>
          <w:highlight w:val="none"/>
        </w:rPr>
      </w:pPr>
    </w:p>
    <w:p w14:paraId="7AD78387">
      <w:pPr>
        <w:spacing w:line="360" w:lineRule="auto"/>
        <w:contextualSpacing/>
        <w:rPr>
          <w:rFonts w:hint="eastAsia" w:ascii="宋体" w:hAnsi="宋体" w:cs="仿宋_GB2312"/>
          <w:color w:val="auto"/>
          <w:sz w:val="24"/>
          <w:highlight w:val="none"/>
        </w:rPr>
      </w:pPr>
    </w:p>
    <w:p w14:paraId="38DDC416">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2EB84527">
      <w:pPr>
        <w:spacing w:line="360" w:lineRule="auto"/>
        <w:jc w:val="center"/>
        <w:rPr>
          <w:rFonts w:hint="eastAsia" w:ascii="宋体" w:hAnsi="宋体"/>
          <w:b/>
          <w:bCs/>
          <w:color w:val="auto"/>
          <w:sz w:val="32"/>
          <w:szCs w:val="32"/>
          <w:highlight w:val="none"/>
        </w:rPr>
      </w:pPr>
      <w:r>
        <w:rPr>
          <w:rFonts w:ascii="宋体" w:hAnsi="宋体" w:cs="仿宋_GB2312"/>
          <w:color w:val="auto"/>
          <w:sz w:val="24"/>
          <w:highlight w:val="none"/>
        </w:rPr>
        <w:br w:type="page"/>
      </w:r>
      <w:r>
        <w:rPr>
          <w:rFonts w:hint="eastAsia" w:ascii="方正小标宋简体" w:hAnsi="方正小标宋简体" w:eastAsia="方正小标宋简体" w:cs="方正小标宋简体"/>
          <w:color w:val="auto"/>
          <w:sz w:val="44"/>
          <w:szCs w:val="44"/>
          <w:highlight w:val="none"/>
        </w:rPr>
        <w:t>质疑函（格式）</w:t>
      </w:r>
    </w:p>
    <w:p w14:paraId="6E41B5BE">
      <w:pPr>
        <w:spacing w:line="360" w:lineRule="auto"/>
        <w:jc w:val="center"/>
        <w:rPr>
          <w:rFonts w:hint="eastAsia" w:ascii="宋体" w:hAnsi="宋体"/>
          <w:b/>
          <w:bCs/>
          <w:color w:val="auto"/>
          <w:sz w:val="32"/>
          <w:szCs w:val="32"/>
          <w:highlight w:val="none"/>
        </w:rPr>
      </w:pPr>
    </w:p>
    <w:p w14:paraId="69E62C49">
      <w:pPr>
        <w:pStyle w:val="12"/>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一、质疑供应商基本信息：</w:t>
      </w:r>
    </w:p>
    <w:p w14:paraId="3E3DECDF">
      <w:pPr>
        <w:pStyle w:val="12"/>
        <w:spacing w:line="36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8B5069E">
      <w:pPr>
        <w:pStyle w:val="12"/>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3CBD2EA">
      <w:pPr>
        <w:pStyle w:val="12"/>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D67039F">
      <w:pPr>
        <w:pStyle w:val="12"/>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3402AF79">
      <w:pPr>
        <w:pStyle w:val="12"/>
        <w:spacing w:line="36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6127E16">
      <w:pPr>
        <w:pStyle w:val="12"/>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E7BF69E">
      <w:pPr>
        <w:pStyle w:val="12"/>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24B1096E">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36C38885">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06591BB4">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23888383">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4729F821">
      <w:pPr>
        <w:pStyle w:val="12"/>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3020E507">
      <w:pPr>
        <w:pStyle w:val="12"/>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78FF0B9D">
      <w:pPr>
        <w:pStyle w:val="12"/>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6B6D9093">
      <w:pPr>
        <w:pStyle w:val="12"/>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14:paraId="6550520F">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5568F0A0">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35E40889">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08284484">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0BD94024">
      <w:pPr>
        <w:pStyle w:val="12"/>
        <w:spacing w:line="36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287E63CB">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13C73DDD">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5D9CF5F7">
      <w:pPr>
        <w:pStyle w:val="12"/>
        <w:spacing w:line="360" w:lineRule="auto"/>
        <w:ind w:left="25" w:leftChars="12" w:firstLine="352" w:firstLineChars="147"/>
        <w:contextualSpacing/>
        <w:rPr>
          <w:rFonts w:hint="eastAsia" w:hAnsi="宋体"/>
          <w:color w:val="auto"/>
          <w:sz w:val="24"/>
          <w:szCs w:val="24"/>
          <w:highlight w:val="none"/>
        </w:rPr>
      </w:pPr>
    </w:p>
    <w:p w14:paraId="6994E4C9">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1019EDFB">
      <w:pPr>
        <w:pStyle w:val="12"/>
        <w:spacing w:line="360" w:lineRule="auto"/>
        <w:ind w:left="25" w:leftChars="12" w:firstLine="352" w:firstLineChars="147"/>
        <w:contextualSpacing/>
        <w:rPr>
          <w:rFonts w:hint="eastAsia" w:hAnsi="宋体"/>
          <w:color w:val="auto"/>
          <w:sz w:val="24"/>
          <w:szCs w:val="24"/>
          <w:highlight w:val="none"/>
        </w:rPr>
      </w:pPr>
    </w:p>
    <w:p w14:paraId="4DCB6C6E">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日期：</w:t>
      </w:r>
    </w:p>
    <w:p w14:paraId="100BA549">
      <w:pPr>
        <w:pStyle w:val="12"/>
        <w:spacing w:line="360" w:lineRule="auto"/>
        <w:contextualSpacing/>
        <w:rPr>
          <w:rFonts w:hint="eastAsia" w:hAnsi="宋体"/>
          <w:b/>
          <w:color w:val="auto"/>
          <w:sz w:val="24"/>
          <w:szCs w:val="24"/>
          <w:highlight w:val="none"/>
        </w:rPr>
      </w:pPr>
    </w:p>
    <w:p w14:paraId="29D09585">
      <w:pPr>
        <w:pStyle w:val="12"/>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4204EB67">
      <w:pPr>
        <w:pStyle w:val="12"/>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51C7B153">
      <w:pPr>
        <w:pStyle w:val="12"/>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4EA8DFF">
      <w:pPr>
        <w:pStyle w:val="12"/>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65566F76">
      <w:pPr>
        <w:pStyle w:val="12"/>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3FFEFD93">
      <w:pPr>
        <w:pStyle w:val="12"/>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3452C5F9">
      <w:pPr>
        <w:pStyle w:val="12"/>
        <w:snapToGrid w:val="0"/>
        <w:rPr>
          <w:b/>
          <w:color w:val="auto"/>
          <w:sz w:val="24"/>
          <w:szCs w:val="24"/>
          <w:highlight w:val="none"/>
        </w:rPr>
      </w:pPr>
    </w:p>
    <w:p w14:paraId="6681A591">
      <w:pPr>
        <w:rPr>
          <w:color w:val="auto"/>
          <w:highlight w:val="none"/>
        </w:rPr>
      </w:pPr>
      <w:r>
        <w:rPr>
          <w:color w:val="auto"/>
          <w:highlight w:val="none"/>
        </w:rPr>
        <w:br w:type="page"/>
      </w:r>
    </w:p>
    <w:p w14:paraId="16B989CA">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66E7C340">
      <w:pPr>
        <w:pStyle w:val="12"/>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一、投诉相关主体基本情况：</w:t>
      </w:r>
    </w:p>
    <w:p w14:paraId="643A6948">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FE5D2BD">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ED25F80">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07A665E1">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59F1AF1">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13D95DDB">
      <w:pPr>
        <w:pStyle w:val="12"/>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4F246EB">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D976D3B">
      <w:pPr>
        <w:pStyle w:val="12"/>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25462B54">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0FF90684">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F7BB6FD">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827FB3A">
      <w:pPr>
        <w:pStyle w:val="12"/>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20DDA874">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72942F72">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39ED294B">
      <w:pPr>
        <w:pStyle w:val="12"/>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5A55E5E8">
      <w:pPr>
        <w:pStyle w:val="12"/>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C61CFF2">
      <w:pPr>
        <w:pStyle w:val="12"/>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3F734883">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44B19C03">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6CBAF16F">
      <w:pPr>
        <w:pStyle w:val="12"/>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5ACD2110">
      <w:pPr>
        <w:pStyle w:val="12"/>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0A7A58D4">
      <w:pPr>
        <w:pStyle w:val="12"/>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12AE73B7">
      <w:pPr>
        <w:pStyle w:val="12"/>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4999FDE2">
      <w:pPr>
        <w:pStyle w:val="12"/>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33ADAF1A">
      <w:pPr>
        <w:pStyle w:val="12"/>
        <w:spacing w:line="360" w:lineRule="auto"/>
        <w:ind w:left="23" w:leftChars="11" w:firstLine="540" w:firstLineChars="225"/>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292356C8">
      <w:pPr>
        <w:pStyle w:val="12"/>
        <w:spacing w:line="360" w:lineRule="auto"/>
        <w:ind w:left="23" w:leftChars="11" w:firstLine="540" w:firstLineChars="225"/>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BC5046E">
      <w:pPr>
        <w:pStyle w:val="12"/>
        <w:spacing w:line="360" w:lineRule="auto"/>
        <w:ind w:left="23" w:leftChars="11" w:firstLine="540" w:firstLineChars="225"/>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6047DEA1">
      <w:pPr>
        <w:pStyle w:val="12"/>
        <w:spacing w:line="360" w:lineRule="auto"/>
        <w:ind w:left="23" w:leftChars="11" w:firstLine="540" w:firstLineChars="225"/>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4034AB31">
      <w:pPr>
        <w:pStyle w:val="12"/>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3F985570">
      <w:pPr>
        <w:pStyle w:val="12"/>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52126CF9">
      <w:pPr>
        <w:pStyle w:val="12"/>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7EB6AA5">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0D66FBC9">
      <w:pPr>
        <w:pStyle w:val="12"/>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2D5F834">
      <w:pPr>
        <w:pStyle w:val="12"/>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59FC6D9">
      <w:pPr>
        <w:pStyle w:val="12"/>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7D9C3225">
      <w:pPr>
        <w:pStyle w:val="12"/>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6C3CA1EF">
      <w:pPr>
        <w:pStyle w:val="12"/>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6D1D4EA0">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185E3342">
      <w:pPr>
        <w:pStyle w:val="12"/>
        <w:spacing w:line="360" w:lineRule="auto"/>
        <w:ind w:left="25" w:leftChars="12" w:firstLine="352" w:firstLineChars="147"/>
        <w:rPr>
          <w:rFonts w:hint="eastAsia" w:hAnsi="宋体"/>
          <w:color w:val="auto"/>
          <w:sz w:val="24"/>
          <w:szCs w:val="24"/>
          <w:highlight w:val="none"/>
        </w:rPr>
      </w:pPr>
    </w:p>
    <w:p w14:paraId="70E12A70">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09260520">
      <w:pPr>
        <w:pStyle w:val="12"/>
        <w:spacing w:line="360" w:lineRule="auto"/>
        <w:ind w:left="25" w:leftChars="12" w:firstLine="352" w:firstLineChars="147"/>
        <w:rPr>
          <w:rFonts w:hint="eastAsia" w:hAnsi="宋体"/>
          <w:color w:val="auto"/>
          <w:sz w:val="24"/>
          <w:szCs w:val="24"/>
          <w:highlight w:val="none"/>
        </w:rPr>
      </w:pPr>
    </w:p>
    <w:p w14:paraId="129F489C">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03B1540E">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14:paraId="44F24639">
      <w:pPr>
        <w:pStyle w:val="12"/>
        <w:snapToGrid w:val="0"/>
        <w:spacing w:line="360" w:lineRule="auto"/>
        <w:rPr>
          <w:rFonts w:hint="eastAsia" w:hAnsi="宋体"/>
          <w:b/>
          <w:color w:val="auto"/>
          <w:sz w:val="24"/>
          <w:szCs w:val="24"/>
          <w:highlight w:val="none"/>
        </w:rPr>
      </w:pPr>
    </w:p>
    <w:p w14:paraId="1D7CC7D5">
      <w:pPr>
        <w:pStyle w:val="12"/>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570B0906">
      <w:pPr>
        <w:pStyle w:val="12"/>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5D66126E">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FDDEB57">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6F9A393A">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0A9250FF">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2A3A01E8">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0E67EEC3">
      <w:pPr>
        <w:snapToGrid w:val="0"/>
        <w:spacing w:line="480" w:lineRule="exact"/>
        <w:jc w:val="center"/>
        <w:rPr>
          <w:color w:val="auto"/>
          <w:highlight w:val="none"/>
        </w:rPr>
      </w:pPr>
      <w:r>
        <w:rPr>
          <w:color w:val="auto"/>
          <w:highlight w:val="none"/>
        </w:rPr>
        <w:br w:type="page"/>
      </w:r>
      <w:bookmarkStart w:id="99" w:name="_Toc74322013"/>
    </w:p>
    <w:p w14:paraId="443F5B46">
      <w:pPr>
        <w:snapToGrid w:val="0"/>
        <w:spacing w:line="480" w:lineRule="exact"/>
        <w:jc w:val="center"/>
        <w:rPr>
          <w:color w:val="auto"/>
          <w:highlight w:val="none"/>
        </w:rPr>
      </w:pPr>
    </w:p>
    <w:p w14:paraId="4D9D5B41">
      <w:pPr>
        <w:snapToGrid w:val="0"/>
        <w:spacing w:line="480" w:lineRule="exact"/>
        <w:jc w:val="center"/>
        <w:rPr>
          <w:color w:val="auto"/>
          <w:highlight w:val="none"/>
        </w:rPr>
      </w:pPr>
    </w:p>
    <w:p w14:paraId="28C2A9C0">
      <w:pPr>
        <w:snapToGrid w:val="0"/>
        <w:spacing w:line="480" w:lineRule="exact"/>
        <w:jc w:val="center"/>
        <w:rPr>
          <w:color w:val="auto"/>
          <w:highlight w:val="none"/>
        </w:rPr>
      </w:pPr>
    </w:p>
    <w:p w14:paraId="4EF6FC1F">
      <w:pPr>
        <w:snapToGrid w:val="0"/>
        <w:spacing w:line="480" w:lineRule="exact"/>
        <w:jc w:val="center"/>
        <w:rPr>
          <w:color w:val="auto"/>
          <w:highlight w:val="none"/>
        </w:rPr>
      </w:pPr>
    </w:p>
    <w:p w14:paraId="74331523">
      <w:pPr>
        <w:snapToGrid w:val="0"/>
        <w:spacing w:line="480" w:lineRule="exact"/>
        <w:jc w:val="center"/>
        <w:rPr>
          <w:color w:val="auto"/>
          <w:highlight w:val="none"/>
        </w:rPr>
      </w:pPr>
    </w:p>
    <w:p w14:paraId="66BEE4C9">
      <w:pPr>
        <w:snapToGrid w:val="0"/>
        <w:spacing w:line="480" w:lineRule="exact"/>
        <w:jc w:val="center"/>
        <w:rPr>
          <w:color w:val="auto"/>
          <w:highlight w:val="none"/>
        </w:rPr>
      </w:pPr>
    </w:p>
    <w:p w14:paraId="445BE3A3">
      <w:pPr>
        <w:snapToGrid w:val="0"/>
        <w:spacing w:line="480" w:lineRule="exact"/>
        <w:jc w:val="center"/>
        <w:rPr>
          <w:color w:val="auto"/>
          <w:highlight w:val="none"/>
        </w:rPr>
      </w:pPr>
    </w:p>
    <w:p w14:paraId="1438BE48">
      <w:pPr>
        <w:pStyle w:val="2"/>
        <w:jc w:val="center"/>
        <w:rPr>
          <w:color w:val="auto"/>
          <w:highlight w:val="none"/>
        </w:rPr>
      </w:pPr>
      <w:r>
        <w:rPr>
          <w:rFonts w:hint="eastAsia"/>
          <w:color w:val="auto"/>
          <w:highlight w:val="none"/>
        </w:rPr>
        <w:t>第六章 合同文本</w:t>
      </w:r>
      <w:bookmarkEnd w:id="99"/>
    </w:p>
    <w:p w14:paraId="5FE8905E">
      <w:pPr>
        <w:snapToGrid w:val="0"/>
        <w:spacing w:line="480" w:lineRule="exact"/>
        <w:jc w:val="center"/>
        <w:rPr>
          <w:color w:val="auto"/>
          <w:highlight w:val="none"/>
        </w:rPr>
      </w:pPr>
    </w:p>
    <w:p w14:paraId="77F75989">
      <w:pPr>
        <w:snapToGrid w:val="0"/>
        <w:spacing w:line="48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br w:type="page"/>
      </w:r>
      <w:r>
        <w:rPr>
          <w:rFonts w:hint="eastAsia" w:ascii="宋体" w:hAnsi="宋体"/>
          <w:b/>
          <w:bCs/>
          <w:color w:val="auto"/>
          <w:sz w:val="32"/>
          <w:szCs w:val="32"/>
          <w:highlight w:val="none"/>
        </w:rPr>
        <w:t>政府采购合同</w:t>
      </w:r>
    </w:p>
    <w:p w14:paraId="6732D27B">
      <w:pPr>
        <w:spacing w:line="5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采购计划号：</w:t>
      </w:r>
    </w:p>
    <w:p w14:paraId="23C1A050">
      <w:pPr>
        <w:spacing w:line="560" w:lineRule="exact"/>
        <w:ind w:firstLine="420"/>
        <w:rPr>
          <w:rFonts w:hint="eastAsia" w:ascii="宋体" w:hAnsi="宋体" w:cs="宋体"/>
          <w:color w:val="auto"/>
          <w:kern w:val="0"/>
          <w:szCs w:val="21"/>
          <w:highlight w:val="none"/>
        </w:rPr>
      </w:pPr>
      <w:r>
        <w:rPr>
          <w:rFonts w:ascii="宋体" w:hAnsi="宋体" w:cs="宋体"/>
          <w:color w:val="auto"/>
          <w:kern w:val="0"/>
          <w:szCs w:val="21"/>
          <w:highlight w:val="none"/>
        </w:rPr>
        <w:t>项目名称：                         项目编号：</w:t>
      </w:r>
    </w:p>
    <w:p w14:paraId="562FD88E">
      <w:pPr>
        <w:spacing w:line="560" w:lineRule="exact"/>
        <w:ind w:firstLine="420"/>
        <w:rPr>
          <w:rFonts w:hint="eastAsia" w:ascii="宋体" w:hAnsi="宋体" w:cs="宋体"/>
          <w:color w:val="auto"/>
          <w:kern w:val="0"/>
          <w:szCs w:val="21"/>
          <w:highlight w:val="none"/>
        </w:rPr>
      </w:pPr>
      <w:r>
        <w:rPr>
          <w:rFonts w:ascii="宋体" w:hAnsi="宋体" w:cs="宋体"/>
          <w:color w:val="auto"/>
          <w:kern w:val="0"/>
          <w:szCs w:val="21"/>
          <w:highlight w:val="none"/>
        </w:rPr>
        <w:t>甲方：（采购人）                   乙方：（</w:t>
      </w:r>
      <w:r>
        <w:rPr>
          <w:rFonts w:hint="eastAsia" w:ascii="宋体" w:hAnsi="宋体" w:cs="宋体"/>
          <w:color w:val="auto"/>
          <w:kern w:val="0"/>
          <w:szCs w:val="21"/>
          <w:highlight w:val="none"/>
        </w:rPr>
        <w:t>成交供应商</w:t>
      </w:r>
      <w:r>
        <w:rPr>
          <w:rFonts w:ascii="宋体" w:hAnsi="宋体" w:cs="宋体"/>
          <w:color w:val="auto"/>
          <w:kern w:val="0"/>
          <w:szCs w:val="21"/>
          <w:highlight w:val="none"/>
        </w:rPr>
        <w:t>）</w:t>
      </w:r>
    </w:p>
    <w:p w14:paraId="0493A1F9">
      <w:pPr>
        <w:snapToGrid w:val="0"/>
        <w:spacing w:line="360" w:lineRule="auto"/>
        <w:ind w:firstLine="420" w:firstLineChars="200"/>
        <w:rPr>
          <w:rFonts w:hint="eastAsia" w:ascii="宋体" w:hAnsi="宋体" w:cs="宋体"/>
          <w:color w:val="auto"/>
          <w:szCs w:val="21"/>
          <w:highlight w:val="none"/>
        </w:rPr>
      </w:pPr>
      <w:r>
        <w:rPr>
          <w:rFonts w:ascii="宋体" w:hAnsi="宋体" w:cs="宋体"/>
          <w:color w:val="auto"/>
          <w:kern w:val="0"/>
          <w:szCs w:val="21"/>
          <w:highlight w:val="none"/>
        </w:rPr>
        <w:t xml:space="preserve">   </w:t>
      </w:r>
      <w:r>
        <w:rPr>
          <w:rFonts w:hint="eastAsia" w:ascii="宋体" w:hAnsi="宋体" w:cs="宋体"/>
          <w:color w:val="auto"/>
          <w:szCs w:val="21"/>
          <w:highlight w:val="none"/>
        </w:rPr>
        <w:t>根据《中华人民共和国政府采购法》《中华人民共和国民法典》等法律、法规规定，按照采购文件规定条款和乙方竞标承诺，甲乙双方签订本合同。</w:t>
      </w:r>
    </w:p>
    <w:p w14:paraId="2EB96D87">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tbl>
      <w:tblPr>
        <w:tblStyle w:val="21"/>
        <w:tblW w:w="862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51"/>
        <w:gridCol w:w="900"/>
        <w:gridCol w:w="1004"/>
        <w:gridCol w:w="923"/>
        <w:gridCol w:w="957"/>
        <w:gridCol w:w="681"/>
        <w:gridCol w:w="1200"/>
        <w:gridCol w:w="1200"/>
      </w:tblGrid>
      <w:tr w14:paraId="77F1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14:paraId="1AABA3F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051" w:type="dxa"/>
            <w:vAlign w:val="center"/>
          </w:tcPr>
          <w:p w14:paraId="45BF19D8">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w:t>
            </w:r>
          </w:p>
          <w:p w14:paraId="4F4F53C0">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900" w:type="dxa"/>
            <w:vAlign w:val="center"/>
          </w:tcPr>
          <w:p w14:paraId="314CD640">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商标</w:t>
            </w:r>
          </w:p>
          <w:p w14:paraId="6BC4257F">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品牌</w:t>
            </w:r>
          </w:p>
        </w:tc>
        <w:tc>
          <w:tcPr>
            <w:tcW w:w="1004" w:type="dxa"/>
            <w:vAlign w:val="center"/>
          </w:tcPr>
          <w:p w14:paraId="5EDF6794">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规格</w:t>
            </w:r>
          </w:p>
          <w:p w14:paraId="3B958F14">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型号</w:t>
            </w:r>
          </w:p>
        </w:tc>
        <w:tc>
          <w:tcPr>
            <w:tcW w:w="923" w:type="dxa"/>
            <w:vAlign w:val="center"/>
          </w:tcPr>
          <w:p w14:paraId="739EC4D5">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生产</w:t>
            </w:r>
          </w:p>
          <w:p w14:paraId="2CF2260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厂家</w:t>
            </w:r>
          </w:p>
        </w:tc>
        <w:tc>
          <w:tcPr>
            <w:tcW w:w="957" w:type="dxa"/>
            <w:vAlign w:val="center"/>
          </w:tcPr>
          <w:p w14:paraId="60A99DC1">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  量</w:t>
            </w:r>
          </w:p>
        </w:tc>
        <w:tc>
          <w:tcPr>
            <w:tcW w:w="681" w:type="dxa"/>
            <w:vAlign w:val="center"/>
          </w:tcPr>
          <w:p w14:paraId="6615CC54">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200" w:type="dxa"/>
            <w:vAlign w:val="center"/>
          </w:tcPr>
          <w:p w14:paraId="6D4C9CD6">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  价</w:t>
            </w:r>
          </w:p>
          <w:p w14:paraId="2F29B448">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（元）</w:t>
            </w:r>
          </w:p>
        </w:tc>
        <w:tc>
          <w:tcPr>
            <w:tcW w:w="1200" w:type="dxa"/>
            <w:vAlign w:val="center"/>
          </w:tcPr>
          <w:p w14:paraId="6DF5EF6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金 额</w:t>
            </w:r>
          </w:p>
          <w:p w14:paraId="0EEEBDB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（元）</w:t>
            </w:r>
          </w:p>
        </w:tc>
      </w:tr>
      <w:tr w14:paraId="2064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03A698D2">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051" w:type="dxa"/>
            <w:vAlign w:val="center"/>
          </w:tcPr>
          <w:p w14:paraId="294151C9">
            <w:pPr>
              <w:snapToGrid w:val="0"/>
              <w:spacing w:line="360" w:lineRule="auto"/>
              <w:jc w:val="center"/>
              <w:rPr>
                <w:rFonts w:hint="eastAsia" w:ascii="宋体" w:hAnsi="宋体" w:cs="宋体"/>
                <w:color w:val="auto"/>
                <w:szCs w:val="21"/>
                <w:highlight w:val="none"/>
              </w:rPr>
            </w:pPr>
          </w:p>
        </w:tc>
        <w:tc>
          <w:tcPr>
            <w:tcW w:w="900" w:type="dxa"/>
            <w:vAlign w:val="center"/>
          </w:tcPr>
          <w:p w14:paraId="49EB46EA">
            <w:pPr>
              <w:snapToGrid w:val="0"/>
              <w:spacing w:line="360" w:lineRule="auto"/>
              <w:jc w:val="center"/>
              <w:rPr>
                <w:rFonts w:hint="eastAsia" w:ascii="宋体" w:hAnsi="宋体" w:cs="宋体"/>
                <w:color w:val="auto"/>
                <w:szCs w:val="21"/>
                <w:highlight w:val="none"/>
              </w:rPr>
            </w:pPr>
          </w:p>
        </w:tc>
        <w:tc>
          <w:tcPr>
            <w:tcW w:w="1004" w:type="dxa"/>
            <w:vAlign w:val="center"/>
          </w:tcPr>
          <w:p w14:paraId="620C5001">
            <w:pPr>
              <w:snapToGrid w:val="0"/>
              <w:spacing w:line="360" w:lineRule="auto"/>
              <w:jc w:val="center"/>
              <w:rPr>
                <w:rFonts w:hint="eastAsia" w:ascii="宋体" w:hAnsi="宋体" w:cs="宋体"/>
                <w:color w:val="auto"/>
                <w:szCs w:val="21"/>
                <w:highlight w:val="none"/>
              </w:rPr>
            </w:pPr>
          </w:p>
        </w:tc>
        <w:tc>
          <w:tcPr>
            <w:tcW w:w="923" w:type="dxa"/>
            <w:vAlign w:val="center"/>
          </w:tcPr>
          <w:p w14:paraId="0D661DC5">
            <w:pPr>
              <w:snapToGrid w:val="0"/>
              <w:spacing w:line="360" w:lineRule="auto"/>
              <w:jc w:val="center"/>
              <w:rPr>
                <w:rFonts w:hint="eastAsia" w:ascii="宋体" w:hAnsi="宋体" w:cs="宋体"/>
                <w:color w:val="auto"/>
                <w:szCs w:val="21"/>
                <w:highlight w:val="none"/>
              </w:rPr>
            </w:pPr>
          </w:p>
        </w:tc>
        <w:tc>
          <w:tcPr>
            <w:tcW w:w="957" w:type="dxa"/>
            <w:vAlign w:val="center"/>
          </w:tcPr>
          <w:p w14:paraId="2190B528">
            <w:pPr>
              <w:snapToGrid w:val="0"/>
              <w:spacing w:line="360" w:lineRule="auto"/>
              <w:jc w:val="center"/>
              <w:rPr>
                <w:rFonts w:hint="eastAsia" w:ascii="宋体" w:hAnsi="宋体" w:cs="宋体"/>
                <w:color w:val="auto"/>
                <w:szCs w:val="21"/>
                <w:highlight w:val="none"/>
              </w:rPr>
            </w:pPr>
          </w:p>
        </w:tc>
        <w:tc>
          <w:tcPr>
            <w:tcW w:w="681" w:type="dxa"/>
            <w:vAlign w:val="center"/>
          </w:tcPr>
          <w:p w14:paraId="478287E9">
            <w:pPr>
              <w:snapToGrid w:val="0"/>
              <w:spacing w:line="360" w:lineRule="auto"/>
              <w:jc w:val="center"/>
              <w:rPr>
                <w:rFonts w:hint="eastAsia" w:ascii="宋体" w:hAnsi="宋体" w:cs="宋体"/>
                <w:color w:val="auto"/>
                <w:szCs w:val="21"/>
                <w:highlight w:val="none"/>
              </w:rPr>
            </w:pPr>
          </w:p>
        </w:tc>
        <w:tc>
          <w:tcPr>
            <w:tcW w:w="1200" w:type="dxa"/>
            <w:vAlign w:val="center"/>
          </w:tcPr>
          <w:p w14:paraId="75A4E150">
            <w:pPr>
              <w:snapToGrid w:val="0"/>
              <w:spacing w:line="360" w:lineRule="auto"/>
              <w:jc w:val="center"/>
              <w:rPr>
                <w:rFonts w:hint="eastAsia" w:ascii="宋体" w:hAnsi="宋体" w:cs="宋体"/>
                <w:color w:val="auto"/>
                <w:szCs w:val="21"/>
                <w:highlight w:val="none"/>
              </w:rPr>
            </w:pPr>
          </w:p>
        </w:tc>
        <w:tc>
          <w:tcPr>
            <w:tcW w:w="1200" w:type="dxa"/>
            <w:vAlign w:val="center"/>
          </w:tcPr>
          <w:p w14:paraId="5164BAF0">
            <w:pPr>
              <w:snapToGrid w:val="0"/>
              <w:spacing w:line="360" w:lineRule="auto"/>
              <w:jc w:val="center"/>
              <w:rPr>
                <w:rFonts w:hint="eastAsia" w:ascii="宋体" w:hAnsi="宋体" w:cs="宋体"/>
                <w:color w:val="auto"/>
                <w:szCs w:val="21"/>
                <w:highlight w:val="none"/>
              </w:rPr>
            </w:pPr>
          </w:p>
        </w:tc>
      </w:tr>
      <w:tr w14:paraId="504D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48A4B948">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051" w:type="dxa"/>
            <w:vAlign w:val="center"/>
          </w:tcPr>
          <w:p w14:paraId="7264D0C0">
            <w:pPr>
              <w:snapToGrid w:val="0"/>
              <w:spacing w:line="360" w:lineRule="auto"/>
              <w:jc w:val="center"/>
              <w:rPr>
                <w:rFonts w:hint="eastAsia" w:ascii="宋体" w:hAnsi="宋体" w:cs="宋体"/>
                <w:color w:val="auto"/>
                <w:szCs w:val="21"/>
                <w:highlight w:val="none"/>
              </w:rPr>
            </w:pPr>
          </w:p>
        </w:tc>
        <w:tc>
          <w:tcPr>
            <w:tcW w:w="900" w:type="dxa"/>
            <w:vAlign w:val="center"/>
          </w:tcPr>
          <w:p w14:paraId="20A94E89">
            <w:pPr>
              <w:snapToGrid w:val="0"/>
              <w:spacing w:line="360" w:lineRule="auto"/>
              <w:jc w:val="center"/>
              <w:rPr>
                <w:rFonts w:hint="eastAsia" w:ascii="宋体" w:hAnsi="宋体" w:cs="宋体"/>
                <w:color w:val="auto"/>
                <w:szCs w:val="21"/>
                <w:highlight w:val="none"/>
              </w:rPr>
            </w:pPr>
          </w:p>
        </w:tc>
        <w:tc>
          <w:tcPr>
            <w:tcW w:w="1004" w:type="dxa"/>
            <w:vAlign w:val="center"/>
          </w:tcPr>
          <w:p w14:paraId="1A36B01E">
            <w:pPr>
              <w:snapToGrid w:val="0"/>
              <w:spacing w:line="360" w:lineRule="auto"/>
              <w:jc w:val="center"/>
              <w:rPr>
                <w:rFonts w:hint="eastAsia" w:ascii="宋体" w:hAnsi="宋体" w:cs="宋体"/>
                <w:color w:val="auto"/>
                <w:szCs w:val="21"/>
                <w:highlight w:val="none"/>
              </w:rPr>
            </w:pPr>
          </w:p>
        </w:tc>
        <w:tc>
          <w:tcPr>
            <w:tcW w:w="923" w:type="dxa"/>
            <w:vAlign w:val="center"/>
          </w:tcPr>
          <w:p w14:paraId="3F0F3A47">
            <w:pPr>
              <w:snapToGrid w:val="0"/>
              <w:spacing w:line="360" w:lineRule="auto"/>
              <w:jc w:val="center"/>
              <w:rPr>
                <w:rFonts w:hint="eastAsia" w:ascii="宋体" w:hAnsi="宋体" w:cs="宋体"/>
                <w:color w:val="auto"/>
                <w:szCs w:val="21"/>
                <w:highlight w:val="none"/>
              </w:rPr>
            </w:pPr>
          </w:p>
        </w:tc>
        <w:tc>
          <w:tcPr>
            <w:tcW w:w="957" w:type="dxa"/>
            <w:vAlign w:val="center"/>
          </w:tcPr>
          <w:p w14:paraId="463B854B">
            <w:pPr>
              <w:snapToGrid w:val="0"/>
              <w:spacing w:line="360" w:lineRule="auto"/>
              <w:jc w:val="center"/>
              <w:rPr>
                <w:rFonts w:hint="eastAsia" w:ascii="宋体" w:hAnsi="宋体" w:cs="宋体"/>
                <w:color w:val="auto"/>
                <w:szCs w:val="21"/>
                <w:highlight w:val="none"/>
              </w:rPr>
            </w:pPr>
          </w:p>
        </w:tc>
        <w:tc>
          <w:tcPr>
            <w:tcW w:w="681" w:type="dxa"/>
            <w:vAlign w:val="center"/>
          </w:tcPr>
          <w:p w14:paraId="74755D5E">
            <w:pPr>
              <w:snapToGrid w:val="0"/>
              <w:spacing w:line="360" w:lineRule="auto"/>
              <w:jc w:val="center"/>
              <w:rPr>
                <w:rFonts w:hint="eastAsia" w:ascii="宋体" w:hAnsi="宋体" w:cs="宋体"/>
                <w:color w:val="auto"/>
                <w:szCs w:val="21"/>
                <w:highlight w:val="none"/>
              </w:rPr>
            </w:pPr>
          </w:p>
        </w:tc>
        <w:tc>
          <w:tcPr>
            <w:tcW w:w="1200" w:type="dxa"/>
            <w:vAlign w:val="center"/>
          </w:tcPr>
          <w:p w14:paraId="558BD828">
            <w:pPr>
              <w:snapToGrid w:val="0"/>
              <w:spacing w:line="360" w:lineRule="auto"/>
              <w:jc w:val="center"/>
              <w:rPr>
                <w:rFonts w:hint="eastAsia" w:ascii="宋体" w:hAnsi="宋体" w:cs="宋体"/>
                <w:color w:val="auto"/>
                <w:szCs w:val="21"/>
                <w:highlight w:val="none"/>
              </w:rPr>
            </w:pPr>
          </w:p>
        </w:tc>
        <w:tc>
          <w:tcPr>
            <w:tcW w:w="1200" w:type="dxa"/>
            <w:vAlign w:val="center"/>
          </w:tcPr>
          <w:p w14:paraId="70F05DDB">
            <w:pPr>
              <w:snapToGrid w:val="0"/>
              <w:spacing w:line="360" w:lineRule="auto"/>
              <w:jc w:val="center"/>
              <w:rPr>
                <w:rFonts w:hint="eastAsia" w:ascii="宋体" w:hAnsi="宋体" w:cs="宋体"/>
                <w:color w:val="auto"/>
                <w:szCs w:val="21"/>
                <w:highlight w:val="none"/>
              </w:rPr>
            </w:pPr>
          </w:p>
        </w:tc>
      </w:tr>
      <w:tr w14:paraId="235E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493D3EEF">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051" w:type="dxa"/>
            <w:vAlign w:val="center"/>
          </w:tcPr>
          <w:p w14:paraId="4DA429B2">
            <w:pPr>
              <w:snapToGrid w:val="0"/>
              <w:spacing w:line="360" w:lineRule="auto"/>
              <w:jc w:val="center"/>
              <w:rPr>
                <w:rFonts w:hint="eastAsia" w:ascii="宋体" w:hAnsi="宋体" w:cs="宋体"/>
                <w:color w:val="auto"/>
                <w:szCs w:val="21"/>
                <w:highlight w:val="none"/>
              </w:rPr>
            </w:pPr>
          </w:p>
        </w:tc>
        <w:tc>
          <w:tcPr>
            <w:tcW w:w="900" w:type="dxa"/>
            <w:vAlign w:val="center"/>
          </w:tcPr>
          <w:p w14:paraId="2DE06775">
            <w:pPr>
              <w:snapToGrid w:val="0"/>
              <w:spacing w:line="360" w:lineRule="auto"/>
              <w:jc w:val="center"/>
              <w:rPr>
                <w:rFonts w:hint="eastAsia" w:ascii="宋体" w:hAnsi="宋体" w:cs="宋体"/>
                <w:color w:val="auto"/>
                <w:szCs w:val="21"/>
                <w:highlight w:val="none"/>
              </w:rPr>
            </w:pPr>
          </w:p>
        </w:tc>
        <w:tc>
          <w:tcPr>
            <w:tcW w:w="1004" w:type="dxa"/>
            <w:vAlign w:val="center"/>
          </w:tcPr>
          <w:p w14:paraId="14EDCC86">
            <w:pPr>
              <w:snapToGrid w:val="0"/>
              <w:spacing w:line="360" w:lineRule="auto"/>
              <w:jc w:val="center"/>
              <w:rPr>
                <w:rFonts w:hint="eastAsia" w:ascii="宋体" w:hAnsi="宋体" w:cs="宋体"/>
                <w:color w:val="auto"/>
                <w:szCs w:val="21"/>
                <w:highlight w:val="none"/>
              </w:rPr>
            </w:pPr>
          </w:p>
        </w:tc>
        <w:tc>
          <w:tcPr>
            <w:tcW w:w="923" w:type="dxa"/>
            <w:vAlign w:val="center"/>
          </w:tcPr>
          <w:p w14:paraId="01CBDC11">
            <w:pPr>
              <w:snapToGrid w:val="0"/>
              <w:spacing w:line="360" w:lineRule="auto"/>
              <w:jc w:val="center"/>
              <w:rPr>
                <w:rFonts w:hint="eastAsia" w:ascii="宋体" w:hAnsi="宋体" w:cs="宋体"/>
                <w:color w:val="auto"/>
                <w:szCs w:val="21"/>
                <w:highlight w:val="none"/>
              </w:rPr>
            </w:pPr>
          </w:p>
        </w:tc>
        <w:tc>
          <w:tcPr>
            <w:tcW w:w="957" w:type="dxa"/>
            <w:vAlign w:val="center"/>
          </w:tcPr>
          <w:p w14:paraId="04C6322D">
            <w:pPr>
              <w:snapToGrid w:val="0"/>
              <w:spacing w:line="360" w:lineRule="auto"/>
              <w:jc w:val="center"/>
              <w:rPr>
                <w:rFonts w:hint="eastAsia" w:ascii="宋体" w:hAnsi="宋体" w:cs="宋体"/>
                <w:color w:val="auto"/>
                <w:szCs w:val="21"/>
                <w:highlight w:val="none"/>
              </w:rPr>
            </w:pPr>
          </w:p>
        </w:tc>
        <w:tc>
          <w:tcPr>
            <w:tcW w:w="681" w:type="dxa"/>
            <w:vAlign w:val="center"/>
          </w:tcPr>
          <w:p w14:paraId="427F8C17">
            <w:pPr>
              <w:snapToGrid w:val="0"/>
              <w:spacing w:line="360" w:lineRule="auto"/>
              <w:jc w:val="center"/>
              <w:rPr>
                <w:rFonts w:hint="eastAsia" w:ascii="宋体" w:hAnsi="宋体" w:cs="宋体"/>
                <w:color w:val="auto"/>
                <w:szCs w:val="21"/>
                <w:highlight w:val="none"/>
              </w:rPr>
            </w:pPr>
          </w:p>
        </w:tc>
        <w:tc>
          <w:tcPr>
            <w:tcW w:w="1200" w:type="dxa"/>
            <w:vAlign w:val="center"/>
          </w:tcPr>
          <w:p w14:paraId="322E317A">
            <w:pPr>
              <w:snapToGrid w:val="0"/>
              <w:spacing w:line="360" w:lineRule="auto"/>
              <w:jc w:val="center"/>
              <w:rPr>
                <w:rFonts w:hint="eastAsia" w:ascii="宋体" w:hAnsi="宋体" w:cs="宋体"/>
                <w:color w:val="auto"/>
                <w:szCs w:val="21"/>
                <w:highlight w:val="none"/>
              </w:rPr>
            </w:pPr>
          </w:p>
        </w:tc>
        <w:tc>
          <w:tcPr>
            <w:tcW w:w="1200" w:type="dxa"/>
            <w:vAlign w:val="center"/>
          </w:tcPr>
          <w:p w14:paraId="312CEBCA">
            <w:pPr>
              <w:snapToGrid w:val="0"/>
              <w:spacing w:line="360" w:lineRule="auto"/>
              <w:jc w:val="center"/>
              <w:rPr>
                <w:rFonts w:hint="eastAsia" w:ascii="宋体" w:hAnsi="宋体" w:cs="宋体"/>
                <w:color w:val="auto"/>
                <w:szCs w:val="21"/>
                <w:highlight w:val="none"/>
              </w:rPr>
            </w:pPr>
          </w:p>
        </w:tc>
      </w:tr>
      <w:tr w14:paraId="6AFA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78E3FBF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051" w:type="dxa"/>
            <w:vAlign w:val="center"/>
          </w:tcPr>
          <w:p w14:paraId="5D46D646">
            <w:pPr>
              <w:snapToGrid w:val="0"/>
              <w:spacing w:line="360" w:lineRule="auto"/>
              <w:jc w:val="center"/>
              <w:rPr>
                <w:rFonts w:hint="eastAsia" w:ascii="宋体" w:hAnsi="宋体" w:cs="宋体"/>
                <w:color w:val="auto"/>
                <w:szCs w:val="21"/>
                <w:highlight w:val="none"/>
              </w:rPr>
            </w:pPr>
          </w:p>
        </w:tc>
        <w:tc>
          <w:tcPr>
            <w:tcW w:w="900" w:type="dxa"/>
            <w:vAlign w:val="center"/>
          </w:tcPr>
          <w:p w14:paraId="019732A5">
            <w:pPr>
              <w:snapToGrid w:val="0"/>
              <w:spacing w:line="360" w:lineRule="auto"/>
              <w:jc w:val="center"/>
              <w:rPr>
                <w:rFonts w:hint="eastAsia" w:ascii="宋体" w:hAnsi="宋体" w:cs="宋体"/>
                <w:color w:val="auto"/>
                <w:szCs w:val="21"/>
                <w:highlight w:val="none"/>
              </w:rPr>
            </w:pPr>
          </w:p>
        </w:tc>
        <w:tc>
          <w:tcPr>
            <w:tcW w:w="1004" w:type="dxa"/>
            <w:vAlign w:val="center"/>
          </w:tcPr>
          <w:p w14:paraId="207E970B">
            <w:pPr>
              <w:snapToGrid w:val="0"/>
              <w:spacing w:line="360" w:lineRule="auto"/>
              <w:jc w:val="center"/>
              <w:rPr>
                <w:rFonts w:hint="eastAsia" w:ascii="宋体" w:hAnsi="宋体" w:cs="宋体"/>
                <w:color w:val="auto"/>
                <w:szCs w:val="21"/>
                <w:highlight w:val="none"/>
              </w:rPr>
            </w:pPr>
          </w:p>
        </w:tc>
        <w:tc>
          <w:tcPr>
            <w:tcW w:w="923" w:type="dxa"/>
            <w:vAlign w:val="center"/>
          </w:tcPr>
          <w:p w14:paraId="33755631">
            <w:pPr>
              <w:snapToGrid w:val="0"/>
              <w:spacing w:line="360" w:lineRule="auto"/>
              <w:jc w:val="center"/>
              <w:rPr>
                <w:rFonts w:hint="eastAsia" w:ascii="宋体" w:hAnsi="宋体" w:cs="宋体"/>
                <w:color w:val="auto"/>
                <w:szCs w:val="21"/>
                <w:highlight w:val="none"/>
              </w:rPr>
            </w:pPr>
          </w:p>
        </w:tc>
        <w:tc>
          <w:tcPr>
            <w:tcW w:w="957" w:type="dxa"/>
            <w:vAlign w:val="center"/>
          </w:tcPr>
          <w:p w14:paraId="377868EF">
            <w:pPr>
              <w:snapToGrid w:val="0"/>
              <w:spacing w:line="360" w:lineRule="auto"/>
              <w:jc w:val="center"/>
              <w:rPr>
                <w:rFonts w:hint="eastAsia" w:ascii="宋体" w:hAnsi="宋体" w:cs="宋体"/>
                <w:color w:val="auto"/>
                <w:szCs w:val="21"/>
                <w:highlight w:val="none"/>
              </w:rPr>
            </w:pPr>
          </w:p>
        </w:tc>
        <w:tc>
          <w:tcPr>
            <w:tcW w:w="681" w:type="dxa"/>
            <w:vAlign w:val="center"/>
          </w:tcPr>
          <w:p w14:paraId="215E73D4">
            <w:pPr>
              <w:snapToGrid w:val="0"/>
              <w:spacing w:line="360" w:lineRule="auto"/>
              <w:jc w:val="center"/>
              <w:rPr>
                <w:rFonts w:hint="eastAsia" w:ascii="宋体" w:hAnsi="宋体" w:cs="宋体"/>
                <w:color w:val="auto"/>
                <w:szCs w:val="21"/>
                <w:highlight w:val="none"/>
              </w:rPr>
            </w:pPr>
          </w:p>
        </w:tc>
        <w:tc>
          <w:tcPr>
            <w:tcW w:w="1200" w:type="dxa"/>
            <w:vAlign w:val="center"/>
          </w:tcPr>
          <w:p w14:paraId="3F8E4377">
            <w:pPr>
              <w:snapToGrid w:val="0"/>
              <w:spacing w:line="360" w:lineRule="auto"/>
              <w:jc w:val="center"/>
              <w:rPr>
                <w:rFonts w:hint="eastAsia" w:ascii="宋体" w:hAnsi="宋体" w:cs="宋体"/>
                <w:color w:val="auto"/>
                <w:szCs w:val="21"/>
                <w:highlight w:val="none"/>
              </w:rPr>
            </w:pPr>
          </w:p>
        </w:tc>
        <w:tc>
          <w:tcPr>
            <w:tcW w:w="1200" w:type="dxa"/>
            <w:vAlign w:val="center"/>
          </w:tcPr>
          <w:p w14:paraId="4FBEEF97">
            <w:pPr>
              <w:snapToGrid w:val="0"/>
              <w:spacing w:line="360" w:lineRule="auto"/>
              <w:jc w:val="center"/>
              <w:rPr>
                <w:rFonts w:hint="eastAsia" w:ascii="宋体" w:hAnsi="宋体" w:cs="宋体"/>
                <w:color w:val="auto"/>
                <w:szCs w:val="21"/>
                <w:highlight w:val="none"/>
              </w:rPr>
            </w:pPr>
          </w:p>
        </w:tc>
      </w:tr>
      <w:tr w14:paraId="1D0E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625" w:type="dxa"/>
            <w:gridSpan w:val="9"/>
            <w:vAlign w:val="center"/>
          </w:tcPr>
          <w:p w14:paraId="213583CF">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合计金额（人民币）：</w:t>
            </w:r>
            <w:r>
              <w:rPr>
                <w:rFonts w:hint="eastAsia" w:ascii="宋体" w:hAnsi="宋体" w:cs="宋体"/>
                <w:color w:val="auto"/>
                <w:szCs w:val="21"/>
                <w:highlight w:val="none"/>
                <w:u w:val="single"/>
              </w:rPr>
              <w:t>（大写）                       （小写：      ）</w:t>
            </w:r>
          </w:p>
        </w:tc>
      </w:tr>
    </w:tbl>
    <w:p w14:paraId="4D7FFE91">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第二条　标的质量及权利保证</w:t>
      </w:r>
    </w:p>
    <w:p w14:paraId="4255CDA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1.乙方保证所提供标的的名称、商标品牌、生产厂家、规格型号、技术参数、质量等相关内容必须与甲方竞争性谈判文件、乙方响应文件及有关承诺相一致，且满足项目实施要求。</w:t>
      </w:r>
    </w:p>
    <w:p w14:paraId="70BE61D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2.乙方保证所提供的货物必须是全新、未使用的原装产品，且在正常安装、使用和保养条件下，其使用寿命期内各项指标均达到响应文件的承诺。</w:t>
      </w:r>
    </w:p>
    <w:p w14:paraId="52BD6D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3.乙方保证所提供的货物（包含但不限于配套软硬件设备及其伴随服务等；下同）必须是没有任何抵押、质押、查封或其他权利瑕疵，甲方正常使用不会侵犯任何第三方合法权益。</w:t>
      </w:r>
    </w:p>
    <w:p w14:paraId="4817BD61">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第三条　履行时间（期限）、地点和方式</w:t>
      </w:r>
    </w:p>
    <w:p w14:paraId="51C8FCD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1.履行时间（期限）：</w:t>
      </w:r>
      <w:r>
        <w:rPr>
          <w:rFonts w:hint="eastAsia" w:ascii="宋体" w:hAnsi="宋体" w:cs="宋体"/>
          <w:iCs/>
          <w:color w:val="auto"/>
          <w:szCs w:val="21"/>
          <w:highlight w:val="none"/>
        </w:rPr>
        <w:t>自合同签订之日起</w:t>
      </w:r>
      <w:r>
        <w:rPr>
          <w:rFonts w:hint="eastAsia" w:ascii="宋体" w:hAnsi="宋体" w:cs="宋体"/>
          <w:iCs/>
          <w:color w:val="auto"/>
          <w:szCs w:val="21"/>
          <w:highlight w:val="none"/>
          <w:u w:val="single"/>
        </w:rPr>
        <w:t>300个日历日</w:t>
      </w:r>
      <w:r>
        <w:rPr>
          <w:rFonts w:hint="eastAsia" w:ascii="宋体" w:hAnsi="宋体" w:cs="宋体"/>
          <w:iCs/>
          <w:color w:val="auto"/>
          <w:szCs w:val="21"/>
          <w:highlight w:val="none"/>
        </w:rPr>
        <w:t>内完成交货并安装调试完毕。</w:t>
      </w:r>
    </w:p>
    <w:p w14:paraId="2699A731">
      <w:pPr>
        <w:snapToGrid w:val="0"/>
        <w:spacing w:line="360" w:lineRule="auto"/>
        <w:ind w:firstLine="420" w:firstLineChars="200"/>
        <w:rPr>
          <w:rFonts w:hint="eastAsia" w:ascii="宋体" w:hAnsi="宋体" w:cs="宋体"/>
          <w:i/>
          <w:color w:val="auto"/>
          <w:szCs w:val="21"/>
          <w:highlight w:val="none"/>
        </w:rPr>
      </w:pPr>
      <w:r>
        <w:rPr>
          <w:rFonts w:hint="eastAsia" w:ascii="宋体" w:hAnsi="宋体" w:cs="宋体"/>
          <w:color w:val="auto"/>
          <w:szCs w:val="21"/>
          <w:highlight w:val="none"/>
        </w:rPr>
        <w:t>2.履行地点：广西梧州市甲方指定地点</w:t>
      </w:r>
      <w:r>
        <w:rPr>
          <w:rFonts w:hint="eastAsia" w:ascii="宋体" w:hAnsi="宋体" w:cs="宋体"/>
          <w:i/>
          <w:color w:val="auto"/>
          <w:szCs w:val="21"/>
          <w:highlight w:val="none"/>
        </w:rPr>
        <w:t>。</w:t>
      </w:r>
    </w:p>
    <w:p w14:paraId="6FAFD4C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3.履行方式</w:t>
      </w:r>
    </w:p>
    <w:p w14:paraId="47827ED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（1）乙方负责货物运输，货物的运输方式：</w:t>
      </w:r>
      <w:r>
        <w:rPr>
          <w:rFonts w:hint="eastAsia" w:ascii="宋体" w:hAnsi="宋体" w:cs="宋体"/>
          <w:color w:val="auto"/>
          <w:szCs w:val="21"/>
          <w:highlight w:val="none"/>
          <w:u w:val="single"/>
        </w:rPr>
        <w:t>不限</w:t>
      </w:r>
      <w:r>
        <w:rPr>
          <w:rFonts w:hint="eastAsia" w:ascii="宋体" w:hAnsi="宋体" w:cs="宋体"/>
          <w:color w:val="auto"/>
          <w:szCs w:val="21"/>
          <w:highlight w:val="none"/>
        </w:rPr>
        <w:t>。</w:t>
      </w:r>
    </w:p>
    <w:p w14:paraId="74486F3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（2）交货方式</w:t>
      </w:r>
    </w:p>
    <w:p w14:paraId="19DEA56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仿宋_GB2312"/>
          <w:color w:val="auto"/>
          <w:szCs w:val="21"/>
          <w:highlight w:val="none"/>
        </w:rPr>
        <w:t>乙方将货物送到甲方指定地点，并负责卸货。</w:t>
      </w:r>
    </w:p>
    <w:p w14:paraId="0D7B80B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□甲方自行到乙方指定地点提货。</w:t>
      </w:r>
    </w:p>
    <w:p w14:paraId="560687D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w:t>
      </w:r>
      <w:r>
        <w:rPr>
          <w:rFonts w:hint="eastAsia" w:ascii="宋体" w:hAnsi="宋体" w:cs="宋体"/>
          <w:color w:val="auto"/>
          <w:szCs w:val="21"/>
          <w:highlight w:val="none"/>
          <w:u w:val="single"/>
        </w:rPr>
        <w:t>甲方不接受任何耗损</w:t>
      </w:r>
      <w:r>
        <w:rPr>
          <w:rFonts w:hint="eastAsia" w:ascii="宋体" w:hAnsi="宋体" w:cs="宋体"/>
          <w:color w:val="auto"/>
          <w:szCs w:val="21"/>
          <w:highlight w:val="none"/>
        </w:rPr>
        <w:t>。</w:t>
      </w:r>
    </w:p>
    <w:p w14:paraId="5396DB69">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第四条　包装方式</w:t>
      </w:r>
    </w:p>
    <w:p w14:paraId="5D6C38D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1.乙方提供的货物均应按响应文件承诺的要求的包装材料、包装标准、包装方式进行包装。</w:t>
      </w:r>
    </w:p>
    <w:p w14:paraId="1BCD66F3">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2.乙方应在货物发运前对其进行满足运输距离、防水、防潮、防震、防锈和防破损装卸等要求包装，以保证货物安全运达甲方指定地点。</w:t>
      </w:r>
    </w:p>
    <w:p w14:paraId="31F33F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3.货物的使用说明书（货物属于进口产品的，供货时应同时附上中文使用说明书）、质量检验证明书、质量合格证、随配附件和工具以及清单一并附于货物包装内。</w:t>
      </w:r>
    </w:p>
    <w:p w14:paraId="5BE1DA41">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第五条　合同价款及支付</w:t>
      </w:r>
    </w:p>
    <w:p w14:paraId="027ED538">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1.本合同以人民币付款。</w:t>
      </w:r>
    </w:p>
    <w:p w14:paraId="56C68482">
      <w:pPr>
        <w:snapToGrid w:val="0"/>
        <w:spacing w:line="360" w:lineRule="auto"/>
        <w:ind w:firstLine="420" w:firstLineChars="200"/>
        <w:rPr>
          <w:rFonts w:hint="eastAsia" w:ascii="宋体" w:hAnsi="宋体" w:cs="宋体"/>
          <w:color w:val="auto"/>
          <w:kern w:val="0"/>
          <w:szCs w:val="21"/>
          <w:highlight w:val="none"/>
        </w:rPr>
      </w:pPr>
      <w:bookmarkStart w:id="100" w:name="OLE_LINK14"/>
      <w:bookmarkStart w:id="101" w:name="OLE_LINK13"/>
      <w:r>
        <w:rPr>
          <w:rFonts w:hint="eastAsia" w:ascii="宋体" w:hAnsi="宋体" w:cs="宋体"/>
          <w:color w:val="auto"/>
          <w:kern w:val="0"/>
          <w:szCs w:val="21"/>
          <w:highlight w:val="none"/>
        </w:rPr>
        <w:t>2.合同价款</w:t>
      </w:r>
      <w:bookmarkEnd w:id="100"/>
      <w:bookmarkEnd w:id="101"/>
      <w:r>
        <w:rPr>
          <w:rFonts w:hint="eastAsia" w:ascii="宋体" w:hAnsi="宋体" w:cs="宋体"/>
          <w:color w:val="auto"/>
          <w:kern w:val="0"/>
          <w:szCs w:val="21"/>
          <w:highlight w:val="none"/>
        </w:rPr>
        <w:t>（或者报酬）：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8D64DCB">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3.合同价款包括竞标报价包含竞标货物（包括备品备件、专用工具等）的价格（包括已在中国境内的进口货物完税后的仓库交货价、展室交货价或者货架交货价），竞标货物运输（含保险）、安装（如有）、调试、检验、验收、技术服务、培训、售后服务和谈判文件要求提供的所有伴随</w:t>
      </w:r>
      <w:r>
        <w:rPr>
          <w:rFonts w:hint="eastAsia" w:ascii="宋体" w:hAnsi="宋体" w:cs="宋体"/>
          <w:color w:val="auto"/>
          <w:kern w:val="0"/>
          <w:szCs w:val="21"/>
          <w:highlight w:val="none"/>
        </w:rPr>
        <w:t>服务、工程等费用和税费。</w:t>
      </w:r>
    </w:p>
    <w:p w14:paraId="707311B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4.付款进度安排：</w:t>
      </w:r>
      <w:r>
        <w:rPr>
          <w:rFonts w:ascii="宋体" w:hAnsi="宋体" w:cs="宋体"/>
          <w:color w:val="auto"/>
          <w:szCs w:val="21"/>
          <w:highlight w:val="none"/>
        </w:rPr>
        <w:t>1.第一次付款：签订合同后10日内支付合同金额的50%款项(待资金下达到位后方可支付)；2.第二次付款：设备到货</w:t>
      </w:r>
      <w:r>
        <w:rPr>
          <w:rFonts w:hint="eastAsia" w:ascii="宋体" w:hAnsi="宋体" w:cs="宋体"/>
          <w:color w:val="auto"/>
          <w:szCs w:val="21"/>
          <w:highlight w:val="none"/>
        </w:rPr>
        <w:t>并开箱验货完成</w:t>
      </w:r>
      <w:r>
        <w:rPr>
          <w:rFonts w:ascii="宋体" w:hAnsi="宋体" w:cs="宋体"/>
          <w:color w:val="auto"/>
          <w:szCs w:val="21"/>
          <w:highlight w:val="none"/>
        </w:rPr>
        <w:t>后支付合同金额</w:t>
      </w:r>
      <w:r>
        <w:rPr>
          <w:rFonts w:hint="eastAsia" w:ascii="宋体" w:hAnsi="宋体" w:cs="宋体"/>
          <w:color w:val="auto"/>
          <w:szCs w:val="21"/>
          <w:highlight w:val="none"/>
        </w:rPr>
        <w:t>的</w:t>
      </w:r>
      <w:r>
        <w:rPr>
          <w:rFonts w:ascii="宋体" w:hAnsi="宋体" w:cs="宋体"/>
          <w:color w:val="auto"/>
          <w:szCs w:val="21"/>
          <w:highlight w:val="none"/>
        </w:rPr>
        <w:t>35%款项；3.第三次付款：</w:t>
      </w:r>
      <w:r>
        <w:rPr>
          <w:rFonts w:hint="eastAsia" w:ascii="宋体" w:hAnsi="宋体" w:cs="宋体"/>
          <w:color w:val="auto"/>
          <w:szCs w:val="21"/>
          <w:highlight w:val="none"/>
        </w:rPr>
        <w:t>合同完工验收合格后视</w:t>
      </w:r>
      <w:r>
        <w:rPr>
          <w:rFonts w:ascii="宋体" w:hAnsi="宋体" w:cs="宋体"/>
          <w:color w:val="auto"/>
          <w:szCs w:val="21"/>
          <w:highlight w:val="none"/>
        </w:rPr>
        <w:t>2025</w:t>
      </w:r>
      <w:r>
        <w:rPr>
          <w:rFonts w:hint="eastAsia" w:ascii="宋体" w:hAnsi="宋体" w:cs="宋体"/>
          <w:color w:val="auto"/>
          <w:szCs w:val="21"/>
          <w:highlight w:val="none"/>
        </w:rPr>
        <w:t>年度上级资金下达情况支付合同款的15%，剩余合同款在</w:t>
      </w:r>
      <w:r>
        <w:rPr>
          <w:rFonts w:ascii="宋体" w:hAnsi="宋体" w:cs="宋体"/>
          <w:color w:val="auto"/>
          <w:szCs w:val="21"/>
          <w:highlight w:val="none"/>
        </w:rPr>
        <w:t>2026</w:t>
      </w:r>
      <w:r>
        <w:rPr>
          <w:rFonts w:hint="eastAsia" w:ascii="宋体" w:hAnsi="宋体" w:cs="宋体"/>
          <w:color w:val="auto"/>
          <w:szCs w:val="21"/>
          <w:highlight w:val="none"/>
        </w:rPr>
        <w:t>年下达资金后支付（无息）。</w:t>
      </w:r>
    </w:p>
    <w:p w14:paraId="097AFFA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注：乙方在达到付款条件后提出付款申请，报监理单位或甲方审核，同时提供正式发票给甲方。甲方收到付款申请及发票后</w:t>
      </w:r>
      <w:r>
        <w:rPr>
          <w:rFonts w:ascii="宋体" w:hAnsi="宋体" w:cs="宋体"/>
          <w:color w:val="auto"/>
          <w:szCs w:val="21"/>
          <w:highlight w:val="none"/>
        </w:rPr>
        <w:t>10个工作日内付款。</w:t>
      </w:r>
      <w:r>
        <w:rPr>
          <w:rFonts w:hint="eastAsia" w:ascii="宋体" w:hAnsi="宋体" w:cs="宋体"/>
          <w:color w:val="auto"/>
          <w:szCs w:val="21"/>
          <w:highlight w:val="none"/>
        </w:rPr>
        <w:t xml:space="preserve"> </w:t>
      </w:r>
    </w:p>
    <w:p w14:paraId="66473D0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5.资金支付方式：银行转账。</w:t>
      </w:r>
    </w:p>
    <w:p w14:paraId="55FCD131">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第六条　履约验收方案、交付标准和方法</w:t>
      </w:r>
    </w:p>
    <w:p w14:paraId="5EF21F9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出厂检验：乙方交货前应对产品作出全面检查和对包含但不限于货物的中文装箱清单、用户手册、原厂保修卡、合格证等验收文件进行整理，并列出清单，作为甲方收货验收和使用的技术条件依据，检验的结果应随货物交甲方。</w:t>
      </w:r>
    </w:p>
    <w:p w14:paraId="09B3A99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到货检验：送货时乙方须提前【3】天通知甲方货物的到货时间，以便甲方准备接收货物的相应工作。乙方将货物运达约定的交货地点后，甲方在收到乙方验收申请后5个工作日内对乙方提交的货物依据谈判文件要求、响应文件响应和国家标准或行业标准进行现场初步验收（不作为最终验收合格的依据）。对外观、说明书符合要求的，给予签收；对不符合要求或有质量问题的货物不予签收，可立即要求退换，乙方不得拒绝和延误。甲方可以自行验收，也可以委托第三方机构组织验收。</w:t>
      </w:r>
    </w:p>
    <w:p w14:paraId="4C7D103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安装调试检验：甲方对乙方提供的货物在使用前进行安装调试时，乙方需负责安装并培训甲方的使用操作人员，并协助采购人一起调试，直到符合技术要求，甲方才做最终验收。验收时乙方必须在现场，验收完毕后作出验收结果报告。对技术复杂的货物，甲方可请国家认可的专业检测机构及专家参与验收，并由其出具质量检测报告，相关费用由乙方承担。</w:t>
      </w:r>
    </w:p>
    <w:p w14:paraId="74E40770">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4、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6AFE3E62">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5、验收书一式捌份，甲方执伍份，乙方执两份、受托第三方机构一份（如有）。</w:t>
      </w:r>
    </w:p>
    <w:p w14:paraId="36AC289E">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6、验收结论不合格的，乙方应自收到验收不合格通知书之日起3日内及时予以解决。经乙方对验收结论不合格的货物进行整改后，仍然达不到要求的，经双方协商，可按以下办法处理：</w:t>
      </w:r>
    </w:p>
    <w:p w14:paraId="059F0859">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①更换：由乙方承担所发生的全部费用。</w:t>
      </w:r>
    </w:p>
    <w:p w14:paraId="410FF4BB">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②贬值处理：由甲乙双方合议定价。</w:t>
      </w:r>
    </w:p>
    <w:p w14:paraId="1C2C7ED4">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7、交付标准和方法</w:t>
      </w:r>
    </w:p>
    <w:p w14:paraId="720A5D22">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（1）除售后服务验收外，验收结论合格的，乙方应自收到验收合格通知书后3日内向甲方交付使用，甲方正式接受之日起视为乙方完成交付。</w:t>
      </w:r>
    </w:p>
    <w:p w14:paraId="12A3E48E">
      <w:pPr>
        <w:snapToGrid w:val="0"/>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（2）货物的所有权和风险自交付时起由乙方转移至甲方，货物交付给甲方之前所有风险均由乙方承担。</w:t>
      </w:r>
    </w:p>
    <w:p w14:paraId="3483D129">
      <w:pPr>
        <w:snapToGrid w:val="0"/>
        <w:spacing w:line="360" w:lineRule="auto"/>
        <w:ind w:firstLine="420" w:firstLineChars="200"/>
        <w:rPr>
          <w:rFonts w:hint="eastAsia" w:ascii="宋体" w:hAnsi="宋体" w:cs="宋体"/>
          <w:b/>
          <w:color w:val="auto"/>
          <w:szCs w:val="21"/>
          <w:highlight w:val="none"/>
        </w:rPr>
      </w:pPr>
      <w:r>
        <w:rPr>
          <w:rFonts w:hint="eastAsia" w:ascii="宋体" w:hAnsi="宋体" w:cs="仿宋_GB2312"/>
          <w:color w:val="auto"/>
          <w:szCs w:val="21"/>
          <w:highlight w:val="none"/>
        </w:rPr>
        <w:t>8、验收过程中所产生的一切费用均由乙方承担。报价时应考虑相关费用。</w:t>
      </w:r>
    </w:p>
    <w:p w14:paraId="3FFBE6DD">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第七条  质保期及售后服务</w:t>
      </w:r>
    </w:p>
    <w:p w14:paraId="3DD4856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1.按国家有关产品“三包”规定执行“三包”，质保期2年。</w:t>
      </w:r>
    </w:p>
    <w:p w14:paraId="1D0D8C9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2.售后服务费用包含在报价中，售后服务内容如下： </w:t>
      </w:r>
    </w:p>
    <w:p w14:paraId="2BD7591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（1）乙方负责送货到甲方现场，在甲方要求的时间内按合同提供的整套设备的并安装调试；货物到位后的安装、调试、培训，均由乙方负责提供。</w:t>
      </w:r>
    </w:p>
    <w:p w14:paraId="7F81B83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（2）货物到货后，设备到货后，乙方和甲方应在现场进行清点核对，清点核对过程中如果发现因包装或运输不当引起的货物外观或内部的损坏，乙方承担所有责任。</w:t>
      </w:r>
    </w:p>
    <w:p w14:paraId="2E84452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（3）乙方交货时须提供产品说明书、保修卡、合格证产品目录、图纸、操作手册、试用说明、维护手册或服务指南等供货商品的配套资料。</w:t>
      </w:r>
    </w:p>
    <w:p w14:paraId="235D03A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（4）响应时间：乙方接到通知后应在24小时内到甲方指定现场，按国家及行业标准进行及时处理，若未能在48小时内完成问题处理的，由乙方负责必须提供备用机。</w:t>
      </w:r>
    </w:p>
    <w:p w14:paraId="42617FB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（5）技术培训要求：在甲方当地，乙方应配置专业技术人员提供现场技术和保存培训，保证使用人员正常操作设备的各种功能。</w:t>
      </w:r>
    </w:p>
    <w:p w14:paraId="316CB6B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（6）乙方的响应设备，在质保期如有质量监督部门要求对产品进行检测、检验时，必须派出厂方代表协助检查，无论产品有无质量问题，乙方均应承担全部费用及相应的责任。</w:t>
      </w:r>
    </w:p>
    <w:p w14:paraId="32A974C6">
      <w:pPr>
        <w:spacing w:line="360" w:lineRule="auto"/>
        <w:ind w:left="420" w:leftChars="200"/>
        <w:jc w:val="left"/>
        <w:rPr>
          <w:rFonts w:hint="eastAsia" w:ascii="宋体" w:hAnsi="宋体"/>
          <w:color w:val="auto"/>
          <w:szCs w:val="21"/>
          <w:highlight w:val="none"/>
        </w:rPr>
      </w:pPr>
      <w:r>
        <w:rPr>
          <w:rFonts w:hint="eastAsia" w:ascii="宋体" w:hAnsi="宋体"/>
          <w:color w:val="auto"/>
          <w:szCs w:val="21"/>
          <w:highlight w:val="none"/>
        </w:rPr>
        <w:t>3.乙方提供的服务承诺和售后服务具体约定事项。（见合同附件）</w:t>
      </w:r>
    </w:p>
    <w:p w14:paraId="29F1ACEB">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第八条　履约保证金</w:t>
      </w:r>
    </w:p>
    <w:p w14:paraId="378376CF">
      <w:pPr>
        <w:autoSpaceDE w:val="0"/>
        <w:autoSpaceDN w:val="0"/>
        <w:snapToGrid w:val="0"/>
        <w:spacing w:line="360" w:lineRule="auto"/>
        <w:ind w:firstLine="420" w:firstLineChars="200"/>
        <w:textAlignment w:val="bottom"/>
        <w:rPr>
          <w:rFonts w:hint="eastAsia" w:ascii="宋体" w:hAnsi="宋体" w:cs="宋体"/>
          <w:color w:val="auto"/>
          <w:szCs w:val="21"/>
          <w:highlight w:val="none"/>
        </w:rPr>
      </w:pPr>
      <w:r>
        <w:rPr>
          <w:rFonts w:hint="eastAsia" w:ascii="宋体" w:hAnsi="宋体" w:cs="宋体"/>
          <w:color w:val="auto"/>
          <w:szCs w:val="21"/>
          <w:highlight w:val="none"/>
        </w:rPr>
        <w:t>1.履约保证金金额：</w:t>
      </w:r>
      <w:r>
        <w:rPr>
          <w:rFonts w:hint="eastAsia" w:ascii="宋体" w:hAnsi="宋体" w:cs="宋体"/>
          <w:iCs/>
          <w:color w:val="auto"/>
          <w:szCs w:val="21"/>
          <w:highlight w:val="none"/>
          <w:u w:val="single"/>
        </w:rPr>
        <w:t>合同价款2%</w:t>
      </w:r>
      <w:r>
        <w:rPr>
          <w:rFonts w:hint="eastAsia" w:ascii="宋体" w:hAnsi="宋体" w:cs="宋体"/>
          <w:color w:val="auto"/>
          <w:szCs w:val="21"/>
          <w:highlight w:val="none"/>
        </w:rPr>
        <w:t>。</w:t>
      </w:r>
    </w:p>
    <w:p w14:paraId="4971A8F5">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第九条　违约责任</w:t>
      </w:r>
    </w:p>
    <w:p w14:paraId="286B9CF7">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1.合同一方不履行合同义务、履行合同义务不符合约定或者违反合同项下所作保证的，应向对方承担继续履行、采取修理、更换、退货等补救措施，并赔偿损失等违约责任。</w:t>
      </w:r>
    </w:p>
    <w:p w14:paraId="43718107">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2.乙方未能按时交付货物的，应向甲方支付迟延交付违约金。迟延交付违约金的计算方法如下：</w:t>
      </w:r>
    </w:p>
    <w:p w14:paraId="746FC674">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（1）从迟交的第一周到第四周，每日迟延交付违约金为合同价款（报酬）的</w:t>
      </w:r>
      <w:r>
        <w:rPr>
          <w:rFonts w:hint="eastAsia" w:ascii="宋体" w:hAnsi="宋体" w:cs="宋体"/>
          <w:i/>
          <w:color w:val="auto"/>
          <w:kern w:val="0"/>
          <w:szCs w:val="21"/>
          <w:highlight w:val="none"/>
          <w:u w:val="single"/>
        </w:rPr>
        <w:t>0.5%</w:t>
      </w:r>
      <w:r>
        <w:rPr>
          <w:rFonts w:hint="eastAsia" w:ascii="宋体" w:hAnsi="宋体" w:cs="宋体"/>
          <w:color w:val="auto"/>
          <w:kern w:val="0"/>
          <w:szCs w:val="21"/>
          <w:highlight w:val="none"/>
        </w:rPr>
        <w:t>；</w:t>
      </w:r>
    </w:p>
    <w:p w14:paraId="7F1D32F8">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（2）从迟交的第五周到第八周，每日迟延交付违约金为合同价款（报酬）的</w:t>
      </w:r>
      <w:r>
        <w:rPr>
          <w:rFonts w:hint="eastAsia" w:ascii="宋体" w:hAnsi="宋体" w:cs="宋体"/>
          <w:i/>
          <w:color w:val="auto"/>
          <w:kern w:val="0"/>
          <w:szCs w:val="21"/>
          <w:highlight w:val="none"/>
          <w:u w:val="single"/>
        </w:rPr>
        <w:t>1%</w:t>
      </w:r>
      <w:r>
        <w:rPr>
          <w:rFonts w:hint="eastAsia" w:ascii="宋体" w:hAnsi="宋体" w:cs="宋体"/>
          <w:color w:val="auto"/>
          <w:kern w:val="0"/>
          <w:szCs w:val="21"/>
          <w:highlight w:val="none"/>
        </w:rPr>
        <w:t>；</w:t>
      </w:r>
    </w:p>
    <w:p w14:paraId="1E39446A">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（3）迟延八周仍未能交付（涉疫情、救灾、应急等急需物的，乙方迟延</w:t>
      </w:r>
      <w:r>
        <w:rPr>
          <w:rFonts w:hint="eastAsia" w:ascii="宋体" w:hAnsi="宋体" w:cs="宋体"/>
          <w:color w:val="auto"/>
          <w:kern w:val="0"/>
          <w:szCs w:val="21"/>
          <w:highlight w:val="none"/>
          <w:u w:val="single"/>
        </w:rPr>
        <w:t>30</w:t>
      </w:r>
      <w:r>
        <w:rPr>
          <w:rFonts w:hint="eastAsia" w:ascii="宋体" w:hAnsi="宋体" w:cs="宋体"/>
          <w:color w:val="auto"/>
          <w:kern w:val="0"/>
          <w:szCs w:val="21"/>
          <w:highlight w:val="none"/>
        </w:rPr>
        <w:t>日不能交付）的，视为乙方不具备履约能力，甲方有权单方通知乙方解除合同，要求乙方退还已收款项并支付合同总金额30%的违约金。如甲方不行使单方解除权的，迟延交付违约金的支付不能免除乙方继续交付相关合同货物的义务，但如迟延交付必然导致合同货物安装、调试、验收等工作推迟的，相关工作应相应顺延。</w:t>
      </w:r>
    </w:p>
    <w:p w14:paraId="160254C7">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3.如乙方提供的货物</w:t>
      </w:r>
      <w:r>
        <w:rPr>
          <w:rFonts w:hint="eastAsia" w:ascii="宋体" w:hAnsi="宋体" w:cs="宋体"/>
          <w:color w:val="auto"/>
          <w:szCs w:val="21"/>
          <w:highlight w:val="none"/>
        </w:rPr>
        <w:t>名称、商标品牌、生产厂家、规格型号、技术参数等相关内容与甲方竞争性谈判文件、乙方响应文件及有关承诺不一致，或不能满足甲方项目实施要求的，乙方应按照甲方要求限期调换。乙方拒绝调换或经调换仍存在前述相关问题的，</w:t>
      </w:r>
      <w:r>
        <w:rPr>
          <w:rFonts w:hint="eastAsia" w:ascii="宋体" w:hAnsi="宋体" w:cs="宋体"/>
          <w:color w:val="auto"/>
          <w:kern w:val="0"/>
          <w:szCs w:val="21"/>
          <w:highlight w:val="none"/>
        </w:rPr>
        <w:t>视为乙方不具备履约能力，甲方有权单方通知乙方解除合同，要求乙方退还已收款项并支付合同总金额30%的违约金。因调换逾期交付的，按照本条第2款处理。</w:t>
      </w:r>
    </w:p>
    <w:p w14:paraId="727B0798">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4.如乙方提供的货物存在质量问题、权利瑕疵等情形，</w:t>
      </w:r>
      <w:r>
        <w:rPr>
          <w:rFonts w:hint="eastAsia" w:ascii="宋体" w:hAnsi="宋体" w:cs="宋体"/>
          <w:color w:val="auto"/>
          <w:szCs w:val="21"/>
          <w:highlight w:val="none"/>
        </w:rPr>
        <w:t>应按照甲方要求限期调换，乙方拒绝调换或经调换仍存在前述相关问题的，</w:t>
      </w:r>
      <w:r>
        <w:rPr>
          <w:rFonts w:hint="eastAsia" w:ascii="宋体" w:hAnsi="宋体" w:cs="宋体"/>
          <w:color w:val="auto"/>
          <w:kern w:val="0"/>
          <w:szCs w:val="21"/>
          <w:highlight w:val="none"/>
        </w:rPr>
        <w:t>视为乙方不具备履约能力，甲方有权单方通知乙方解除合同，要求乙方退还已收款项并支付合同总金额30%的违约金。如因前述原因导致甲方、甲方工作人员或任何第三方人员伤亡和财产损失（包含但不限于货物本身毁损、因货物知识产权侵权赔偿责任等）的，全部法律责任及全部损失由乙方承担。因调换逾期交付的，按照本条第2款处理。</w:t>
      </w:r>
    </w:p>
    <w:p w14:paraId="74DF3FFC">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5.乙方未按本合同和响应文件承诺提供售后服务的，甲方有权选聘有相应资质的第三方提供，全部费用由乙方承担，且视乙方违约情节，要求按本合同价款（报酬）的</w:t>
      </w:r>
      <w:r>
        <w:rPr>
          <w:rFonts w:hint="eastAsia" w:ascii="宋体" w:hAnsi="宋体" w:cs="宋体"/>
          <w:color w:val="auto"/>
          <w:kern w:val="0"/>
          <w:szCs w:val="21"/>
          <w:highlight w:val="none"/>
          <w:u w:val="single"/>
        </w:rPr>
        <w:t>30</w:t>
      </w:r>
      <w:r>
        <w:rPr>
          <w:rFonts w:hint="eastAsia" w:ascii="宋体" w:hAnsi="宋体" w:cs="宋体"/>
          <w:color w:val="auto"/>
          <w:kern w:val="0"/>
          <w:szCs w:val="21"/>
          <w:highlight w:val="none"/>
        </w:rPr>
        <w:t>%向甲方支付违约金。</w:t>
      </w:r>
    </w:p>
    <w:p w14:paraId="33A6AACC">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6.甲方未能按合同约定支付合同价款的，应向乙方支付延迟付款违约金。迟延付款违约金的计算方法如下：</w:t>
      </w:r>
    </w:p>
    <w:p w14:paraId="1BF31E84">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（1）从迟付的第一周到第四周，每周迟延付款违约金为迟延付款金额的</w:t>
      </w:r>
      <w:r>
        <w:rPr>
          <w:rFonts w:hint="eastAsia" w:ascii="宋体" w:hAnsi="宋体" w:cs="宋体"/>
          <w:i/>
          <w:color w:val="auto"/>
          <w:kern w:val="0"/>
          <w:szCs w:val="21"/>
          <w:highlight w:val="none"/>
          <w:u w:val="single"/>
        </w:rPr>
        <w:t>0.5%</w:t>
      </w:r>
      <w:r>
        <w:rPr>
          <w:rFonts w:hint="eastAsia" w:ascii="宋体" w:hAnsi="宋体" w:cs="宋体"/>
          <w:color w:val="auto"/>
          <w:kern w:val="0"/>
          <w:szCs w:val="21"/>
          <w:highlight w:val="none"/>
        </w:rPr>
        <w:t>；</w:t>
      </w:r>
    </w:p>
    <w:p w14:paraId="58E66F97">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（2）从迟付的第五周到第八周，每周迟延付款违约金为迟延付款金额的</w:t>
      </w:r>
      <w:r>
        <w:rPr>
          <w:rFonts w:hint="eastAsia" w:ascii="宋体" w:hAnsi="宋体" w:cs="宋体"/>
          <w:i/>
          <w:color w:val="auto"/>
          <w:kern w:val="0"/>
          <w:szCs w:val="21"/>
          <w:highlight w:val="none"/>
          <w:u w:val="single"/>
        </w:rPr>
        <w:t>1%</w:t>
      </w:r>
      <w:r>
        <w:rPr>
          <w:rFonts w:hint="eastAsia" w:ascii="宋体" w:hAnsi="宋体" w:cs="宋体"/>
          <w:color w:val="auto"/>
          <w:kern w:val="0"/>
          <w:szCs w:val="21"/>
          <w:highlight w:val="none"/>
        </w:rPr>
        <w:t>；</w:t>
      </w:r>
    </w:p>
    <w:p w14:paraId="1B53D231">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（3）从迟付第九周起，每周迟延付款违约金为迟延付款金额的</w:t>
      </w:r>
      <w:r>
        <w:rPr>
          <w:rFonts w:hint="eastAsia" w:ascii="宋体" w:hAnsi="宋体" w:cs="宋体"/>
          <w:i/>
          <w:color w:val="auto"/>
          <w:kern w:val="0"/>
          <w:szCs w:val="21"/>
          <w:highlight w:val="none"/>
          <w:u w:val="single"/>
        </w:rPr>
        <w:t>1.5%</w:t>
      </w:r>
      <w:r>
        <w:rPr>
          <w:rFonts w:hint="eastAsia" w:ascii="宋体" w:hAnsi="宋体" w:cs="宋体"/>
          <w:color w:val="auto"/>
          <w:kern w:val="0"/>
          <w:szCs w:val="21"/>
          <w:highlight w:val="none"/>
        </w:rPr>
        <w:t>。在计算迟延付款违约金时，迟付不足一周的按一周计算。迟延付款违约金的总额不得超过合同价格的</w:t>
      </w:r>
      <w:r>
        <w:rPr>
          <w:rFonts w:hint="eastAsia" w:ascii="宋体" w:hAnsi="宋体" w:cs="宋体"/>
          <w:color w:val="auto"/>
          <w:kern w:val="0"/>
          <w:szCs w:val="21"/>
          <w:highlight w:val="none"/>
          <w:u w:val="single"/>
        </w:rPr>
        <w:t>30%</w:t>
      </w:r>
      <w:r>
        <w:rPr>
          <w:rFonts w:hint="eastAsia" w:ascii="宋体" w:hAnsi="宋体" w:cs="宋体"/>
          <w:color w:val="auto"/>
          <w:kern w:val="0"/>
          <w:szCs w:val="21"/>
          <w:highlight w:val="none"/>
        </w:rPr>
        <w:t>。</w:t>
      </w:r>
    </w:p>
    <w:p w14:paraId="79B36F93">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7.因某一方原因导致变更、中止或者终止政府采购合同的，该方应当对另一方受到的损失予以赔偿或者补偿。</w:t>
      </w:r>
    </w:p>
    <w:p w14:paraId="73CC4912">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8.其他违约责任按《中华人民共和国民法典》处理。</w:t>
      </w:r>
    </w:p>
    <w:p w14:paraId="7F1C1C50">
      <w:pPr>
        <w:snapToGrid w:val="0"/>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第十条  不可抗力事件处理</w:t>
      </w:r>
    </w:p>
    <w:p w14:paraId="7477351A">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1.在合同有效期内，任何一方因不可抗力事件导致不能履行合同，则合同履行期可延长，其延长期与不可抗力影响期相同。</w:t>
      </w:r>
    </w:p>
    <w:p w14:paraId="1C3D1305">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2.不可抗力事件发生后，应立即通知对方，并寄送有关权威机构出具的证明。</w:t>
      </w:r>
    </w:p>
    <w:p w14:paraId="6E0F61E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3.不可抗力事件延续达60日的，双方应通过友好协商，确定是否继续履行合同。</w:t>
      </w:r>
    </w:p>
    <w:p w14:paraId="5F2CF3BA">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第十一条  合同争议解决</w:t>
      </w:r>
    </w:p>
    <w:p w14:paraId="5A8F019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1.因货物质量问题发生争议的，应邀请国家认可的质量检测机构对货物质量进行鉴定。货物符合标准的，鉴定费由甲方承担；货物不符合标准的，鉴定费由乙方承担。</w:t>
      </w:r>
    </w:p>
    <w:p w14:paraId="3B3D8BBF">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2.因履行本合同引起的或者与本合同有关的争议，甲乙双方应首先通过友好协商解决，如果协商不能解决，按下列</w:t>
      </w:r>
      <w:r>
        <w:rPr>
          <w:rFonts w:hint="eastAsia" w:ascii="宋体" w:hAnsi="宋体" w:cs="宋体"/>
          <w:color w:val="auto"/>
          <w:szCs w:val="21"/>
          <w:highlight w:val="none"/>
          <w:u w:val="single"/>
        </w:rPr>
        <w:t>(2)</w:t>
      </w:r>
      <w:r>
        <w:rPr>
          <w:rFonts w:hint="eastAsia" w:ascii="宋体" w:hAnsi="宋体" w:cs="宋体"/>
          <w:color w:val="auto"/>
          <w:szCs w:val="21"/>
          <w:highlight w:val="none"/>
        </w:rPr>
        <w:t>方式解决：</w:t>
      </w:r>
    </w:p>
    <w:p w14:paraId="43270291">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仲裁委员会申请仲裁；</w:t>
      </w:r>
    </w:p>
    <w:p w14:paraId="4A9A48E5">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（2）向甲方所在地人民法院提起诉讼。</w:t>
      </w:r>
    </w:p>
    <w:p w14:paraId="1BEB5954">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第十二条　合同的变更、中止或者终止</w:t>
      </w:r>
    </w:p>
    <w:p w14:paraId="2ECEA0B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除《中华人民共和国政府采购法》第五十条规定的情形外，本合同一经签订，甲乙双方不得擅自变更、中止或者终止合同。</w:t>
      </w:r>
    </w:p>
    <w:p w14:paraId="47F864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2.采购合同继续履行将损害国家利益和社会公共利益的，双方当事人应当变更、中止或者终止合同。有过错的一方应当承担赔偿责任，双方都有过错的，各自承担相应的责任。</w:t>
      </w:r>
    </w:p>
    <w:p w14:paraId="1F466B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3.乙方不具备履约能力，甲方有权单方通知乙</w:t>
      </w:r>
      <w:r>
        <w:rPr>
          <w:rFonts w:hint="eastAsia"/>
          <w:color w:val="auto"/>
          <w:highlight w:val="none"/>
          <w:lang w:eastAsia="zh-CN"/>
        </w:rPr>
        <w:t>即时</w:t>
      </w:r>
      <w:r>
        <w:rPr>
          <w:rFonts w:hint="eastAsia" w:ascii="宋体" w:hAnsi="宋体" w:cs="宋体"/>
          <w:color w:val="auto"/>
          <w:szCs w:val="21"/>
          <w:highlight w:val="none"/>
        </w:rPr>
        <w:t>解除合同，要求乙方退还已收款项并支付合同总金额30%的违约金。</w:t>
      </w:r>
    </w:p>
    <w:p w14:paraId="6BA1FB39">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第十三条　</w:t>
      </w:r>
      <w:r>
        <w:rPr>
          <w:rFonts w:hint="eastAsia" w:ascii="宋体" w:hAnsi="宋体" w:cs="宋体"/>
          <w:b/>
          <w:color w:val="auto"/>
          <w:kern w:val="0"/>
          <w:szCs w:val="21"/>
          <w:highlight w:val="none"/>
        </w:rPr>
        <w:t>合</w:t>
      </w:r>
      <w:r>
        <w:rPr>
          <w:rFonts w:hint="eastAsia" w:ascii="宋体" w:hAnsi="宋体" w:cs="宋体"/>
          <w:b/>
          <w:color w:val="auto"/>
          <w:spacing w:val="-2"/>
          <w:kern w:val="0"/>
          <w:szCs w:val="21"/>
          <w:highlight w:val="none"/>
        </w:rPr>
        <w:t>同</w:t>
      </w:r>
      <w:r>
        <w:rPr>
          <w:rFonts w:hint="eastAsia" w:ascii="宋体" w:hAnsi="宋体" w:cs="宋体"/>
          <w:b/>
          <w:color w:val="auto"/>
          <w:kern w:val="0"/>
          <w:szCs w:val="21"/>
          <w:highlight w:val="none"/>
        </w:rPr>
        <w:t>文</w:t>
      </w:r>
      <w:r>
        <w:rPr>
          <w:rFonts w:hint="eastAsia" w:ascii="宋体" w:hAnsi="宋体" w:cs="宋体"/>
          <w:b/>
          <w:color w:val="auto"/>
          <w:spacing w:val="-2"/>
          <w:kern w:val="0"/>
          <w:szCs w:val="21"/>
          <w:highlight w:val="none"/>
        </w:rPr>
        <w:t>件构成</w:t>
      </w:r>
    </w:p>
    <w:p w14:paraId="402FA78D">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1.政府采购合同</w:t>
      </w:r>
    </w:p>
    <w:p w14:paraId="7F3BB126">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2.成交通知书；</w:t>
      </w:r>
    </w:p>
    <w:p w14:paraId="3007F258">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3.响应文件；</w:t>
      </w:r>
    </w:p>
    <w:p w14:paraId="3BE8F768">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4.竞争性谈判文件及更正公告（澄清或补充通知）；</w:t>
      </w:r>
    </w:p>
    <w:p w14:paraId="736817A9">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5.标准、规范及有关技术文件；</w:t>
      </w:r>
    </w:p>
    <w:p w14:paraId="7B60A826">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6.双方约定的其他合同文件。</w:t>
      </w:r>
    </w:p>
    <w:p w14:paraId="461FC073">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上述合同文件互相补充和解释。如果合同文件之间存在矛盾或者不一致之处，以上述文件的排列顺序在先者为准。</w:t>
      </w:r>
    </w:p>
    <w:p w14:paraId="4B26E55A">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第十四条　知识产权和保密要求</w:t>
      </w:r>
    </w:p>
    <w:p w14:paraId="2E3984E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1.甲方在履行合同过程中提供给乙方的全部图纸、文件和其他含有数据和信息的资料，其知识产权属于甲方。</w:t>
      </w:r>
    </w:p>
    <w:p w14:paraId="6FACC8F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2.除采购文件采购需求另有约定外，甲方不因签署和履行合同而享有乙方在履行合同过程中提供给甲方的图纸、文件、配套软件、电子辅助程序和其他含有数据和信息的资料的知识产权，但甲方有权免费使用。</w:t>
      </w:r>
    </w:p>
    <w:p w14:paraId="52A6A24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5DABF25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3日内未作表示，甲方可以自己的名义进行这些索赔或诉讼，因此发生的费用和遭受的全部损失（包含但不限于直接经济损失，可期待利益损失，合同总金额30%的声誉损失或惩罚性违约金，为维权而支付的诉讼费、鉴定费、评估费、律师代理费等；全文同此）均应由乙方承担。</w:t>
      </w:r>
    </w:p>
    <w:p w14:paraId="287C626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否则，乙方应赔偿因此导致甲方的全部损失。</w:t>
      </w:r>
    </w:p>
    <w:p w14:paraId="46D6B8E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6.乙方保证将要交付的货物的所有权完全属于乙方且无任何抵押、质押、查封等产权瑕疵。</w:t>
      </w:r>
    </w:p>
    <w:p w14:paraId="367FEFA0">
      <w:pPr>
        <w:snapToGrid w:val="0"/>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第十五条  合同生效及其它</w:t>
      </w:r>
    </w:p>
    <w:p w14:paraId="65189D12">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1.合同经双方法定代表人或者委托代理人签字并加盖单位公章后生效（委托代理人签字的需后附授权委托书，格式自拟）。</w:t>
      </w:r>
    </w:p>
    <w:p w14:paraId="7C4EB4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2.合同执行中涉及采购资金和采购内容修改或者补充的，并签书面补充协议报财政部门备案，方可作为主合同不可分割的一部分。</w:t>
      </w:r>
    </w:p>
    <w:p w14:paraId="726E66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3.合同生效后，甲乙双方不得因姓名、名称的变更或者法定代表人、负责人、承办人的变动而不履行合同义务。</w:t>
      </w:r>
    </w:p>
    <w:p w14:paraId="10551BBD">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4.本合同未尽事宜，遵照《中华人民共和国民法典》有关条文执行。</w:t>
      </w:r>
    </w:p>
    <w:p w14:paraId="2C15D29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仿宋"/>
          <w:bCs/>
          <w:color w:val="auto"/>
          <w:szCs w:val="21"/>
          <w:highlight w:val="none"/>
        </w:rPr>
        <w:t>本合同由甲乙双方在广西政府采购云平台线上审核并签章，签订完成后可在广西政府采购云平台下载存档电子采购合同</w:t>
      </w:r>
      <w:r>
        <w:rPr>
          <w:rFonts w:hint="eastAsia" w:ascii="宋体" w:hAnsi="宋体" w:cs="宋体"/>
          <w:color w:val="auto"/>
          <w:szCs w:val="21"/>
          <w:highlight w:val="none"/>
        </w:rPr>
        <w:t>。</w:t>
      </w:r>
    </w:p>
    <w:p w14:paraId="5C3CB5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本合同落款处甲乙双方所留联系方式均为真实、合法、有效信息，作为双方通知、法院诉讼文书等送达地址；任何一方联系方式变更的，应在变更之日起2日内书面通知对方，否则因此导致的一切不利后果均由未尽到通知</w:t>
      </w:r>
      <w:r>
        <w:rPr>
          <w:rFonts w:hint="eastAsia" w:ascii="宋体" w:hAnsi="宋体" w:cs="宋体"/>
          <w:color w:val="auto"/>
          <w:szCs w:val="21"/>
          <w:highlight w:val="none"/>
          <w:lang w:val="en-US" w:eastAsia="zh-CN"/>
        </w:rPr>
        <w:t>义务</w:t>
      </w:r>
      <w:r>
        <w:rPr>
          <w:rFonts w:hint="eastAsia" w:ascii="宋体" w:hAnsi="宋体" w:cs="宋体"/>
          <w:color w:val="auto"/>
          <w:szCs w:val="21"/>
          <w:highlight w:val="none"/>
        </w:rPr>
        <w:t>的一方承担；双方通知、法院诉讼文书等根据所留信息送达，一经发出，满3日均视为送达成功。</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68EB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14:paraId="20D41664">
            <w:pPr>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 xml:space="preserve">甲方（章）           </w:t>
            </w:r>
          </w:p>
          <w:p w14:paraId="036BCABB">
            <w:pPr>
              <w:snapToGrid w:val="0"/>
              <w:spacing w:line="480" w:lineRule="exact"/>
              <w:ind w:firstLine="1890" w:firstLineChars="900"/>
              <w:rPr>
                <w:rFonts w:hint="eastAsia" w:ascii="宋体" w:hAnsi="宋体" w:cs="宋体"/>
                <w:color w:val="auto"/>
                <w:szCs w:val="21"/>
                <w:highlight w:val="none"/>
              </w:rPr>
            </w:pPr>
            <w:r>
              <w:rPr>
                <w:rFonts w:hint="eastAsia" w:ascii="宋体" w:hAnsi="宋体" w:cs="宋体"/>
                <w:color w:val="auto"/>
                <w:szCs w:val="21"/>
                <w:highlight w:val="none"/>
              </w:rPr>
              <w:t>年   月   日</w:t>
            </w:r>
          </w:p>
        </w:tc>
        <w:tc>
          <w:tcPr>
            <w:tcW w:w="4517" w:type="dxa"/>
            <w:vAlign w:val="center"/>
          </w:tcPr>
          <w:p w14:paraId="594D1796">
            <w:pPr>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14:paraId="7D8EC369">
            <w:pPr>
              <w:snapToGrid w:val="0"/>
              <w:spacing w:line="480" w:lineRule="exact"/>
              <w:ind w:firstLine="1890" w:firstLineChars="900"/>
              <w:rPr>
                <w:rFonts w:hint="eastAsia" w:ascii="宋体" w:hAnsi="宋体" w:cs="宋体"/>
                <w:color w:val="auto"/>
                <w:szCs w:val="21"/>
                <w:highlight w:val="none"/>
              </w:rPr>
            </w:pPr>
            <w:r>
              <w:rPr>
                <w:rFonts w:hint="eastAsia" w:ascii="宋体" w:hAnsi="宋体" w:cs="宋体"/>
                <w:color w:val="auto"/>
                <w:szCs w:val="21"/>
                <w:highlight w:val="none"/>
              </w:rPr>
              <w:t>年   月   日</w:t>
            </w:r>
          </w:p>
        </w:tc>
      </w:tr>
      <w:tr w14:paraId="646A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2D6FD276">
            <w:pPr>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单位地址：</w:t>
            </w:r>
          </w:p>
        </w:tc>
        <w:tc>
          <w:tcPr>
            <w:tcW w:w="4517" w:type="dxa"/>
            <w:vAlign w:val="center"/>
          </w:tcPr>
          <w:p w14:paraId="35E9C658">
            <w:pPr>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单位地址：</w:t>
            </w:r>
          </w:p>
        </w:tc>
      </w:tr>
      <w:tr w14:paraId="1B75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tcPr>
          <w:p w14:paraId="75A35E06">
            <w:pPr>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法定代表人或者委托代理人（签字）：</w:t>
            </w:r>
          </w:p>
        </w:tc>
        <w:tc>
          <w:tcPr>
            <w:tcW w:w="4517" w:type="dxa"/>
          </w:tcPr>
          <w:p w14:paraId="175B0FAF">
            <w:pPr>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法定代表人或者委托代理人（签字）：</w:t>
            </w:r>
          </w:p>
        </w:tc>
      </w:tr>
      <w:tr w14:paraId="67D6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4516" w:type="dxa"/>
          </w:tcPr>
          <w:p w14:paraId="7FB0B2E0">
            <w:pPr>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4517" w:type="dxa"/>
          </w:tcPr>
          <w:p w14:paraId="38CB3C54">
            <w:pPr>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联系人：</w:t>
            </w:r>
          </w:p>
        </w:tc>
      </w:tr>
      <w:tr w14:paraId="254D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1E919ADB">
            <w:pPr>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4517" w:type="dxa"/>
            <w:vAlign w:val="center"/>
          </w:tcPr>
          <w:p w14:paraId="52EE9169">
            <w:pPr>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联系电话：</w:t>
            </w:r>
          </w:p>
        </w:tc>
      </w:tr>
      <w:tr w14:paraId="21B0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14:paraId="1E7A4175">
            <w:pPr>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电子邮箱：</w:t>
            </w:r>
          </w:p>
        </w:tc>
        <w:tc>
          <w:tcPr>
            <w:tcW w:w="4517" w:type="dxa"/>
            <w:vAlign w:val="center"/>
          </w:tcPr>
          <w:p w14:paraId="532DDE26">
            <w:pPr>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电子邮箱：</w:t>
            </w:r>
          </w:p>
        </w:tc>
      </w:tr>
      <w:tr w14:paraId="6949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14:paraId="0144C368">
            <w:pPr>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4517" w:type="dxa"/>
            <w:vAlign w:val="center"/>
          </w:tcPr>
          <w:p w14:paraId="46092E7E">
            <w:pPr>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p>
        </w:tc>
      </w:tr>
      <w:tr w14:paraId="2677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43503D62">
            <w:pPr>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银行账号：</w:t>
            </w:r>
          </w:p>
        </w:tc>
        <w:tc>
          <w:tcPr>
            <w:tcW w:w="4517" w:type="dxa"/>
            <w:vAlign w:val="center"/>
          </w:tcPr>
          <w:p w14:paraId="784FBFA0">
            <w:pPr>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银行账号：</w:t>
            </w:r>
          </w:p>
        </w:tc>
      </w:tr>
      <w:tr w14:paraId="73F1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4ADCE181">
            <w:pPr>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4517" w:type="dxa"/>
            <w:vAlign w:val="center"/>
          </w:tcPr>
          <w:p w14:paraId="16C3E33D">
            <w:pPr>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邮政编码：</w:t>
            </w:r>
          </w:p>
        </w:tc>
      </w:tr>
      <w:tr w14:paraId="4D9E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0CE3C38F">
            <w:pPr>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统一社会信用代码：</w:t>
            </w:r>
          </w:p>
        </w:tc>
        <w:tc>
          <w:tcPr>
            <w:tcW w:w="4517" w:type="dxa"/>
            <w:vAlign w:val="center"/>
          </w:tcPr>
          <w:p w14:paraId="18D20F35">
            <w:pPr>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统一社会信用代码：</w:t>
            </w:r>
          </w:p>
        </w:tc>
      </w:tr>
      <w:tr w14:paraId="39D3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4509D238">
            <w:pPr>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签约时间：    年  月  日</w:t>
            </w:r>
          </w:p>
        </w:tc>
        <w:tc>
          <w:tcPr>
            <w:tcW w:w="4517" w:type="dxa"/>
            <w:vAlign w:val="center"/>
          </w:tcPr>
          <w:p w14:paraId="24D27B5F">
            <w:pPr>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 xml:space="preserve">签约地点：    </w:t>
            </w:r>
          </w:p>
        </w:tc>
      </w:tr>
    </w:tbl>
    <w:p w14:paraId="0AB4717A">
      <w:pPr>
        <w:spacing w:line="360" w:lineRule="auto"/>
        <w:ind w:firstLine="420"/>
        <w:rPr>
          <w:rFonts w:hint="eastAsia" w:ascii="宋体" w:hAnsi="宋体" w:cs="宋体"/>
          <w:color w:val="auto"/>
          <w:kern w:val="0"/>
          <w:szCs w:val="21"/>
          <w:highlight w:val="none"/>
        </w:rPr>
      </w:pPr>
    </w:p>
    <w:sectPr>
      <w:footerReference r:id="rId5" w:type="firs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方正小标宋简体">
    <w:altName w:val="仿宋_GB2312"/>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37A72">
    <w:pPr>
      <w:pStyle w:val="15"/>
      <w:jc w:val="center"/>
    </w:pPr>
    <w:r>
      <w:fldChar w:fldCharType="begin"/>
    </w:r>
    <w:r>
      <w:instrText xml:space="preserve"> PAGE   \* MERGEFORMAT </w:instrText>
    </w:r>
    <w:r>
      <w:fldChar w:fldCharType="separate"/>
    </w:r>
    <w:r>
      <w:rPr>
        <w:lang w:val="zh-CN"/>
      </w:rPr>
      <w:t>8</w:t>
    </w:r>
    <w:r>
      <w:fldChar w:fldCharType="end"/>
    </w:r>
  </w:p>
  <w:p w14:paraId="0E3D3FAF">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21635">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50675A">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QcouLsQBAACQAwAADgAAAAAAAAABACAAAAAeAQAAZHJzL2Uyb0RvYy54bWxQ&#10;SwUGAAAAAAYABgBZAQAAVAUAAAAA&#10;">
              <v:fill on="f" focussize="0,0"/>
              <v:stroke on="f"/>
              <v:imagedata o:title=""/>
              <o:lock v:ext="edit" aspectratio="f"/>
              <v:textbox inset="0mm,0mm,0mm,0mm" style="mso-fit-shape-to-text:t;">
                <w:txbxContent>
                  <w:p w14:paraId="4D50675A">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0EDE5">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F2E3C"/>
    <w:multiLevelType w:val="singleLevel"/>
    <w:tmpl w:val="E80F2E3C"/>
    <w:lvl w:ilvl="0" w:tentative="0">
      <w:start w:val="1"/>
      <w:numFmt w:val="decimal"/>
      <w:suff w:val="nothing"/>
      <w:lvlText w:val="%1"/>
      <w:lvlJc w:val="center"/>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wODgzNjJkNjNmYzUzYzg0ZTg5ODJmM2IxY2M4YWMifQ=="/>
  </w:docVars>
  <w:rsids>
    <w:rsidRoot w:val="00F34B14"/>
    <w:rsid w:val="00000672"/>
    <w:rsid w:val="00001799"/>
    <w:rsid w:val="00002D29"/>
    <w:rsid w:val="000040C5"/>
    <w:rsid w:val="00004514"/>
    <w:rsid w:val="00004A8A"/>
    <w:rsid w:val="00005E55"/>
    <w:rsid w:val="00005FDF"/>
    <w:rsid w:val="000060DF"/>
    <w:rsid w:val="00006586"/>
    <w:rsid w:val="00010D39"/>
    <w:rsid w:val="000112BB"/>
    <w:rsid w:val="0001149B"/>
    <w:rsid w:val="0001172C"/>
    <w:rsid w:val="00012854"/>
    <w:rsid w:val="00012EA6"/>
    <w:rsid w:val="000139DC"/>
    <w:rsid w:val="00013D8C"/>
    <w:rsid w:val="00013DFE"/>
    <w:rsid w:val="000141EA"/>
    <w:rsid w:val="00014385"/>
    <w:rsid w:val="00014B02"/>
    <w:rsid w:val="000166C4"/>
    <w:rsid w:val="00016960"/>
    <w:rsid w:val="00017396"/>
    <w:rsid w:val="000177DB"/>
    <w:rsid w:val="00020227"/>
    <w:rsid w:val="000203E4"/>
    <w:rsid w:val="00020455"/>
    <w:rsid w:val="00022731"/>
    <w:rsid w:val="00022792"/>
    <w:rsid w:val="0002392D"/>
    <w:rsid w:val="00024B43"/>
    <w:rsid w:val="00025382"/>
    <w:rsid w:val="00025636"/>
    <w:rsid w:val="00025E36"/>
    <w:rsid w:val="00026627"/>
    <w:rsid w:val="00026886"/>
    <w:rsid w:val="00030496"/>
    <w:rsid w:val="000329A1"/>
    <w:rsid w:val="000329E0"/>
    <w:rsid w:val="000332E6"/>
    <w:rsid w:val="000333A0"/>
    <w:rsid w:val="000352E9"/>
    <w:rsid w:val="00036A07"/>
    <w:rsid w:val="00036E33"/>
    <w:rsid w:val="00037E2D"/>
    <w:rsid w:val="00040571"/>
    <w:rsid w:val="0004156E"/>
    <w:rsid w:val="00041597"/>
    <w:rsid w:val="0004440C"/>
    <w:rsid w:val="00045880"/>
    <w:rsid w:val="000462CB"/>
    <w:rsid w:val="00046B5E"/>
    <w:rsid w:val="0004783A"/>
    <w:rsid w:val="000509D9"/>
    <w:rsid w:val="000552A6"/>
    <w:rsid w:val="0005572D"/>
    <w:rsid w:val="00055D41"/>
    <w:rsid w:val="00057CEC"/>
    <w:rsid w:val="00060DCE"/>
    <w:rsid w:val="000623B4"/>
    <w:rsid w:val="000634A7"/>
    <w:rsid w:val="00063E85"/>
    <w:rsid w:val="00063F81"/>
    <w:rsid w:val="00064847"/>
    <w:rsid w:val="0006484B"/>
    <w:rsid w:val="00065BBC"/>
    <w:rsid w:val="000673E2"/>
    <w:rsid w:val="000711E4"/>
    <w:rsid w:val="00072AED"/>
    <w:rsid w:val="00073F47"/>
    <w:rsid w:val="00074973"/>
    <w:rsid w:val="00075B7E"/>
    <w:rsid w:val="00077C70"/>
    <w:rsid w:val="00080B57"/>
    <w:rsid w:val="000817D1"/>
    <w:rsid w:val="00081BA3"/>
    <w:rsid w:val="00081D2E"/>
    <w:rsid w:val="0008267B"/>
    <w:rsid w:val="00082D02"/>
    <w:rsid w:val="00083B91"/>
    <w:rsid w:val="0008520B"/>
    <w:rsid w:val="000871B8"/>
    <w:rsid w:val="00087DB6"/>
    <w:rsid w:val="00090639"/>
    <w:rsid w:val="000913BE"/>
    <w:rsid w:val="000918F8"/>
    <w:rsid w:val="00092442"/>
    <w:rsid w:val="0009588E"/>
    <w:rsid w:val="000959EE"/>
    <w:rsid w:val="00095B2F"/>
    <w:rsid w:val="00095B51"/>
    <w:rsid w:val="00097DA0"/>
    <w:rsid w:val="000A0D6B"/>
    <w:rsid w:val="000A0EEE"/>
    <w:rsid w:val="000A1389"/>
    <w:rsid w:val="000A166E"/>
    <w:rsid w:val="000A17D0"/>
    <w:rsid w:val="000A2B0E"/>
    <w:rsid w:val="000A398F"/>
    <w:rsid w:val="000A4AEE"/>
    <w:rsid w:val="000A509C"/>
    <w:rsid w:val="000A6007"/>
    <w:rsid w:val="000A65A6"/>
    <w:rsid w:val="000A7275"/>
    <w:rsid w:val="000A7A12"/>
    <w:rsid w:val="000A7AD8"/>
    <w:rsid w:val="000A7CA5"/>
    <w:rsid w:val="000B039A"/>
    <w:rsid w:val="000B1801"/>
    <w:rsid w:val="000B19B3"/>
    <w:rsid w:val="000B1D0C"/>
    <w:rsid w:val="000B2790"/>
    <w:rsid w:val="000B2D03"/>
    <w:rsid w:val="000B3815"/>
    <w:rsid w:val="000B3C7B"/>
    <w:rsid w:val="000B6C95"/>
    <w:rsid w:val="000C0C58"/>
    <w:rsid w:val="000C1679"/>
    <w:rsid w:val="000C2898"/>
    <w:rsid w:val="000C2F89"/>
    <w:rsid w:val="000C435F"/>
    <w:rsid w:val="000C4635"/>
    <w:rsid w:val="000C548E"/>
    <w:rsid w:val="000C6DE4"/>
    <w:rsid w:val="000D01EB"/>
    <w:rsid w:val="000D056E"/>
    <w:rsid w:val="000D0675"/>
    <w:rsid w:val="000D0A89"/>
    <w:rsid w:val="000D1389"/>
    <w:rsid w:val="000D1798"/>
    <w:rsid w:val="000D1A2A"/>
    <w:rsid w:val="000D2626"/>
    <w:rsid w:val="000D4A06"/>
    <w:rsid w:val="000D54D4"/>
    <w:rsid w:val="000D73DD"/>
    <w:rsid w:val="000D7D9B"/>
    <w:rsid w:val="000E18E2"/>
    <w:rsid w:val="000E28AB"/>
    <w:rsid w:val="000E2E3E"/>
    <w:rsid w:val="000E33C5"/>
    <w:rsid w:val="000E3583"/>
    <w:rsid w:val="000E3AF0"/>
    <w:rsid w:val="000E3D53"/>
    <w:rsid w:val="000E4E04"/>
    <w:rsid w:val="000E6EC9"/>
    <w:rsid w:val="000E70B4"/>
    <w:rsid w:val="000F3281"/>
    <w:rsid w:val="000F3733"/>
    <w:rsid w:val="000F4D88"/>
    <w:rsid w:val="000F5B1B"/>
    <w:rsid w:val="000F64AA"/>
    <w:rsid w:val="000F7AF4"/>
    <w:rsid w:val="000F7C33"/>
    <w:rsid w:val="000F7E7E"/>
    <w:rsid w:val="000F7F0C"/>
    <w:rsid w:val="00100246"/>
    <w:rsid w:val="001004D6"/>
    <w:rsid w:val="00100D90"/>
    <w:rsid w:val="00103918"/>
    <w:rsid w:val="00104324"/>
    <w:rsid w:val="00104889"/>
    <w:rsid w:val="00104897"/>
    <w:rsid w:val="00104EDE"/>
    <w:rsid w:val="00105372"/>
    <w:rsid w:val="00106BEE"/>
    <w:rsid w:val="00113134"/>
    <w:rsid w:val="00113AC0"/>
    <w:rsid w:val="00113E75"/>
    <w:rsid w:val="00114851"/>
    <w:rsid w:val="00115E11"/>
    <w:rsid w:val="00115F56"/>
    <w:rsid w:val="00117CBD"/>
    <w:rsid w:val="0012006A"/>
    <w:rsid w:val="00120990"/>
    <w:rsid w:val="001217B5"/>
    <w:rsid w:val="00121979"/>
    <w:rsid w:val="00122064"/>
    <w:rsid w:val="00125004"/>
    <w:rsid w:val="001263B8"/>
    <w:rsid w:val="00126763"/>
    <w:rsid w:val="00130217"/>
    <w:rsid w:val="00130783"/>
    <w:rsid w:val="001312CB"/>
    <w:rsid w:val="00131B75"/>
    <w:rsid w:val="00132B47"/>
    <w:rsid w:val="00132E64"/>
    <w:rsid w:val="001351CB"/>
    <w:rsid w:val="001359A2"/>
    <w:rsid w:val="00135E37"/>
    <w:rsid w:val="00136020"/>
    <w:rsid w:val="00136445"/>
    <w:rsid w:val="00140132"/>
    <w:rsid w:val="00141C9C"/>
    <w:rsid w:val="001434BE"/>
    <w:rsid w:val="0014479F"/>
    <w:rsid w:val="001452B4"/>
    <w:rsid w:val="00145404"/>
    <w:rsid w:val="0014550E"/>
    <w:rsid w:val="00146EC6"/>
    <w:rsid w:val="001478D2"/>
    <w:rsid w:val="00150CC9"/>
    <w:rsid w:val="00152A87"/>
    <w:rsid w:val="00154486"/>
    <w:rsid w:val="00156D0E"/>
    <w:rsid w:val="0016086E"/>
    <w:rsid w:val="00160D0C"/>
    <w:rsid w:val="00161172"/>
    <w:rsid w:val="0016139E"/>
    <w:rsid w:val="00161E65"/>
    <w:rsid w:val="00162597"/>
    <w:rsid w:val="001629AF"/>
    <w:rsid w:val="0016428A"/>
    <w:rsid w:val="001647C9"/>
    <w:rsid w:val="001661A3"/>
    <w:rsid w:val="0016782B"/>
    <w:rsid w:val="00173256"/>
    <w:rsid w:val="001733E1"/>
    <w:rsid w:val="00173F74"/>
    <w:rsid w:val="00175086"/>
    <w:rsid w:val="001750B2"/>
    <w:rsid w:val="00175BA6"/>
    <w:rsid w:val="00176CA7"/>
    <w:rsid w:val="001778C5"/>
    <w:rsid w:val="00177E56"/>
    <w:rsid w:val="00177F0A"/>
    <w:rsid w:val="00180669"/>
    <w:rsid w:val="00182B6B"/>
    <w:rsid w:val="00183088"/>
    <w:rsid w:val="00185617"/>
    <w:rsid w:val="0019171E"/>
    <w:rsid w:val="0019220F"/>
    <w:rsid w:val="001928B1"/>
    <w:rsid w:val="00194ED5"/>
    <w:rsid w:val="00195424"/>
    <w:rsid w:val="001955FF"/>
    <w:rsid w:val="00197EDD"/>
    <w:rsid w:val="001A02B3"/>
    <w:rsid w:val="001A04BB"/>
    <w:rsid w:val="001A08D0"/>
    <w:rsid w:val="001A14B1"/>
    <w:rsid w:val="001A1B39"/>
    <w:rsid w:val="001A2492"/>
    <w:rsid w:val="001A2E69"/>
    <w:rsid w:val="001A3377"/>
    <w:rsid w:val="001A3C34"/>
    <w:rsid w:val="001A3EDE"/>
    <w:rsid w:val="001A4222"/>
    <w:rsid w:val="001A50EA"/>
    <w:rsid w:val="001A5AB8"/>
    <w:rsid w:val="001A5E24"/>
    <w:rsid w:val="001A6D8B"/>
    <w:rsid w:val="001B079E"/>
    <w:rsid w:val="001B0CDA"/>
    <w:rsid w:val="001B0E26"/>
    <w:rsid w:val="001B125A"/>
    <w:rsid w:val="001B1E05"/>
    <w:rsid w:val="001B1EBA"/>
    <w:rsid w:val="001B2142"/>
    <w:rsid w:val="001B26CF"/>
    <w:rsid w:val="001B2F2B"/>
    <w:rsid w:val="001B327A"/>
    <w:rsid w:val="001B35DE"/>
    <w:rsid w:val="001B3A13"/>
    <w:rsid w:val="001B59FF"/>
    <w:rsid w:val="001B636D"/>
    <w:rsid w:val="001B65D7"/>
    <w:rsid w:val="001B6752"/>
    <w:rsid w:val="001B6768"/>
    <w:rsid w:val="001B6F1F"/>
    <w:rsid w:val="001B7636"/>
    <w:rsid w:val="001B7ECC"/>
    <w:rsid w:val="001C1AED"/>
    <w:rsid w:val="001C25A7"/>
    <w:rsid w:val="001C318C"/>
    <w:rsid w:val="001C4287"/>
    <w:rsid w:val="001C4479"/>
    <w:rsid w:val="001C76B7"/>
    <w:rsid w:val="001C76FB"/>
    <w:rsid w:val="001D2764"/>
    <w:rsid w:val="001D3697"/>
    <w:rsid w:val="001D51DE"/>
    <w:rsid w:val="001D540E"/>
    <w:rsid w:val="001D58A1"/>
    <w:rsid w:val="001D5A8A"/>
    <w:rsid w:val="001D709B"/>
    <w:rsid w:val="001D735E"/>
    <w:rsid w:val="001D73C8"/>
    <w:rsid w:val="001D74D4"/>
    <w:rsid w:val="001D7E1F"/>
    <w:rsid w:val="001E0756"/>
    <w:rsid w:val="001E0A8D"/>
    <w:rsid w:val="001E0FFB"/>
    <w:rsid w:val="001E129E"/>
    <w:rsid w:val="001E2B9F"/>
    <w:rsid w:val="001E4A8D"/>
    <w:rsid w:val="001E5A94"/>
    <w:rsid w:val="001E7648"/>
    <w:rsid w:val="001F127B"/>
    <w:rsid w:val="001F2A2E"/>
    <w:rsid w:val="001F2E3D"/>
    <w:rsid w:val="001F3B72"/>
    <w:rsid w:val="001F3C63"/>
    <w:rsid w:val="001F4460"/>
    <w:rsid w:val="001F5DAF"/>
    <w:rsid w:val="001F637C"/>
    <w:rsid w:val="001F6B6C"/>
    <w:rsid w:val="001F711A"/>
    <w:rsid w:val="001F75B0"/>
    <w:rsid w:val="001F7686"/>
    <w:rsid w:val="00200CE5"/>
    <w:rsid w:val="002014DB"/>
    <w:rsid w:val="00201E12"/>
    <w:rsid w:val="002031E2"/>
    <w:rsid w:val="002033B5"/>
    <w:rsid w:val="0020382C"/>
    <w:rsid w:val="00203CB0"/>
    <w:rsid w:val="0020437A"/>
    <w:rsid w:val="00204B5F"/>
    <w:rsid w:val="0020532C"/>
    <w:rsid w:val="00205D23"/>
    <w:rsid w:val="0021064F"/>
    <w:rsid w:val="002114C7"/>
    <w:rsid w:val="002118F3"/>
    <w:rsid w:val="00212756"/>
    <w:rsid w:val="0021302C"/>
    <w:rsid w:val="00213045"/>
    <w:rsid w:val="00213483"/>
    <w:rsid w:val="00213B1C"/>
    <w:rsid w:val="00214202"/>
    <w:rsid w:val="002146F3"/>
    <w:rsid w:val="002148E3"/>
    <w:rsid w:val="00215373"/>
    <w:rsid w:val="0021552D"/>
    <w:rsid w:val="002156AE"/>
    <w:rsid w:val="00217861"/>
    <w:rsid w:val="002204C9"/>
    <w:rsid w:val="0022054D"/>
    <w:rsid w:val="0022290A"/>
    <w:rsid w:val="00222BB5"/>
    <w:rsid w:val="00224DE1"/>
    <w:rsid w:val="00225664"/>
    <w:rsid w:val="002269DC"/>
    <w:rsid w:val="00227F2D"/>
    <w:rsid w:val="0023089D"/>
    <w:rsid w:val="00231851"/>
    <w:rsid w:val="002319FB"/>
    <w:rsid w:val="00231B89"/>
    <w:rsid w:val="002355BE"/>
    <w:rsid w:val="00236DE9"/>
    <w:rsid w:val="00237D5A"/>
    <w:rsid w:val="00237EA9"/>
    <w:rsid w:val="00241300"/>
    <w:rsid w:val="00241D3C"/>
    <w:rsid w:val="0024274D"/>
    <w:rsid w:val="002439AB"/>
    <w:rsid w:val="002450D5"/>
    <w:rsid w:val="00245587"/>
    <w:rsid w:val="00245F2B"/>
    <w:rsid w:val="002464EB"/>
    <w:rsid w:val="00246F95"/>
    <w:rsid w:val="00247F3A"/>
    <w:rsid w:val="00250122"/>
    <w:rsid w:val="00250755"/>
    <w:rsid w:val="00250AE3"/>
    <w:rsid w:val="00251C4A"/>
    <w:rsid w:val="0025271C"/>
    <w:rsid w:val="00252A91"/>
    <w:rsid w:val="002533CD"/>
    <w:rsid w:val="002544C1"/>
    <w:rsid w:val="00254EAB"/>
    <w:rsid w:val="002557AF"/>
    <w:rsid w:val="002561FA"/>
    <w:rsid w:val="00256474"/>
    <w:rsid w:val="002566B1"/>
    <w:rsid w:val="002575E3"/>
    <w:rsid w:val="002603C1"/>
    <w:rsid w:val="002609A1"/>
    <w:rsid w:val="002612B1"/>
    <w:rsid w:val="00264CEA"/>
    <w:rsid w:val="00266165"/>
    <w:rsid w:val="0027125E"/>
    <w:rsid w:val="00271767"/>
    <w:rsid w:val="00272293"/>
    <w:rsid w:val="002723C8"/>
    <w:rsid w:val="00272676"/>
    <w:rsid w:val="00273CBE"/>
    <w:rsid w:val="00277441"/>
    <w:rsid w:val="002802D7"/>
    <w:rsid w:val="0028232C"/>
    <w:rsid w:val="002827F1"/>
    <w:rsid w:val="00282EC3"/>
    <w:rsid w:val="002835B0"/>
    <w:rsid w:val="0028407E"/>
    <w:rsid w:val="0028410F"/>
    <w:rsid w:val="00286603"/>
    <w:rsid w:val="00286A98"/>
    <w:rsid w:val="00286FB5"/>
    <w:rsid w:val="00287763"/>
    <w:rsid w:val="00290606"/>
    <w:rsid w:val="00290F9D"/>
    <w:rsid w:val="002918A7"/>
    <w:rsid w:val="00291D6D"/>
    <w:rsid w:val="00291FF1"/>
    <w:rsid w:val="002923F6"/>
    <w:rsid w:val="00293361"/>
    <w:rsid w:val="00293770"/>
    <w:rsid w:val="00295287"/>
    <w:rsid w:val="002952B1"/>
    <w:rsid w:val="00295D11"/>
    <w:rsid w:val="00295FA0"/>
    <w:rsid w:val="00297A7A"/>
    <w:rsid w:val="002A0C3A"/>
    <w:rsid w:val="002A1130"/>
    <w:rsid w:val="002A1493"/>
    <w:rsid w:val="002A14D3"/>
    <w:rsid w:val="002A1880"/>
    <w:rsid w:val="002A1D47"/>
    <w:rsid w:val="002A23B7"/>
    <w:rsid w:val="002A3A57"/>
    <w:rsid w:val="002A6D22"/>
    <w:rsid w:val="002A6DEF"/>
    <w:rsid w:val="002A7411"/>
    <w:rsid w:val="002A7C24"/>
    <w:rsid w:val="002B013E"/>
    <w:rsid w:val="002B058D"/>
    <w:rsid w:val="002B0C16"/>
    <w:rsid w:val="002B11C9"/>
    <w:rsid w:val="002B169E"/>
    <w:rsid w:val="002B2621"/>
    <w:rsid w:val="002B2AC5"/>
    <w:rsid w:val="002B3528"/>
    <w:rsid w:val="002B3539"/>
    <w:rsid w:val="002B3B2B"/>
    <w:rsid w:val="002B6D17"/>
    <w:rsid w:val="002B7C76"/>
    <w:rsid w:val="002C0C1C"/>
    <w:rsid w:val="002C184E"/>
    <w:rsid w:val="002C29C1"/>
    <w:rsid w:val="002C54C2"/>
    <w:rsid w:val="002C58F6"/>
    <w:rsid w:val="002C5D34"/>
    <w:rsid w:val="002C5EA7"/>
    <w:rsid w:val="002C661A"/>
    <w:rsid w:val="002C730C"/>
    <w:rsid w:val="002D0AF5"/>
    <w:rsid w:val="002D1C54"/>
    <w:rsid w:val="002D2231"/>
    <w:rsid w:val="002D25FC"/>
    <w:rsid w:val="002D318B"/>
    <w:rsid w:val="002D3380"/>
    <w:rsid w:val="002D4925"/>
    <w:rsid w:val="002D4AC6"/>
    <w:rsid w:val="002D5C7B"/>
    <w:rsid w:val="002D6DFC"/>
    <w:rsid w:val="002D7648"/>
    <w:rsid w:val="002D7909"/>
    <w:rsid w:val="002D7E56"/>
    <w:rsid w:val="002E109C"/>
    <w:rsid w:val="002E115E"/>
    <w:rsid w:val="002E193E"/>
    <w:rsid w:val="002E1D76"/>
    <w:rsid w:val="002E243C"/>
    <w:rsid w:val="002E26C4"/>
    <w:rsid w:val="002E4B37"/>
    <w:rsid w:val="002E4BF9"/>
    <w:rsid w:val="002E6F5B"/>
    <w:rsid w:val="002F0631"/>
    <w:rsid w:val="002F16DD"/>
    <w:rsid w:val="002F199D"/>
    <w:rsid w:val="002F23B2"/>
    <w:rsid w:val="002F2AC5"/>
    <w:rsid w:val="002F4084"/>
    <w:rsid w:val="002F4672"/>
    <w:rsid w:val="002F4A08"/>
    <w:rsid w:val="002F4ADB"/>
    <w:rsid w:val="002F50E5"/>
    <w:rsid w:val="002F531E"/>
    <w:rsid w:val="002F5ACC"/>
    <w:rsid w:val="002F6C2C"/>
    <w:rsid w:val="002F704B"/>
    <w:rsid w:val="002F70A6"/>
    <w:rsid w:val="002F72C3"/>
    <w:rsid w:val="002F768C"/>
    <w:rsid w:val="002F7D1E"/>
    <w:rsid w:val="00300F92"/>
    <w:rsid w:val="00301839"/>
    <w:rsid w:val="00302929"/>
    <w:rsid w:val="00302F0F"/>
    <w:rsid w:val="00303243"/>
    <w:rsid w:val="00303BCC"/>
    <w:rsid w:val="00303F2B"/>
    <w:rsid w:val="00303F8D"/>
    <w:rsid w:val="00304541"/>
    <w:rsid w:val="00304580"/>
    <w:rsid w:val="0030586A"/>
    <w:rsid w:val="003074C5"/>
    <w:rsid w:val="00307A3C"/>
    <w:rsid w:val="00307FA4"/>
    <w:rsid w:val="00310CC1"/>
    <w:rsid w:val="00310FFE"/>
    <w:rsid w:val="0031202C"/>
    <w:rsid w:val="00313026"/>
    <w:rsid w:val="0031421F"/>
    <w:rsid w:val="00314B31"/>
    <w:rsid w:val="00314B36"/>
    <w:rsid w:val="00315158"/>
    <w:rsid w:val="00315346"/>
    <w:rsid w:val="00315A65"/>
    <w:rsid w:val="00316CEC"/>
    <w:rsid w:val="00317BA7"/>
    <w:rsid w:val="00320BE2"/>
    <w:rsid w:val="00321886"/>
    <w:rsid w:val="00321902"/>
    <w:rsid w:val="00322F03"/>
    <w:rsid w:val="00323694"/>
    <w:rsid w:val="00324D63"/>
    <w:rsid w:val="003255AF"/>
    <w:rsid w:val="003256EB"/>
    <w:rsid w:val="003259DB"/>
    <w:rsid w:val="00331060"/>
    <w:rsid w:val="00331A48"/>
    <w:rsid w:val="003330C9"/>
    <w:rsid w:val="0033364C"/>
    <w:rsid w:val="00334415"/>
    <w:rsid w:val="00334F92"/>
    <w:rsid w:val="0033691E"/>
    <w:rsid w:val="00336CCB"/>
    <w:rsid w:val="0033745F"/>
    <w:rsid w:val="00337631"/>
    <w:rsid w:val="00337F44"/>
    <w:rsid w:val="003411D1"/>
    <w:rsid w:val="003416BA"/>
    <w:rsid w:val="00341BD6"/>
    <w:rsid w:val="00342A8A"/>
    <w:rsid w:val="00342F99"/>
    <w:rsid w:val="00344726"/>
    <w:rsid w:val="003454A4"/>
    <w:rsid w:val="00350E6C"/>
    <w:rsid w:val="003518A6"/>
    <w:rsid w:val="00351CB0"/>
    <w:rsid w:val="00351E7F"/>
    <w:rsid w:val="00352953"/>
    <w:rsid w:val="00354062"/>
    <w:rsid w:val="00355C0D"/>
    <w:rsid w:val="003566A9"/>
    <w:rsid w:val="00356988"/>
    <w:rsid w:val="00356B20"/>
    <w:rsid w:val="00356E94"/>
    <w:rsid w:val="00357128"/>
    <w:rsid w:val="0035755E"/>
    <w:rsid w:val="00357A80"/>
    <w:rsid w:val="00361B8B"/>
    <w:rsid w:val="00361B95"/>
    <w:rsid w:val="00363F39"/>
    <w:rsid w:val="00364AB0"/>
    <w:rsid w:val="003667B0"/>
    <w:rsid w:val="003667DD"/>
    <w:rsid w:val="00366B48"/>
    <w:rsid w:val="00367764"/>
    <w:rsid w:val="00370316"/>
    <w:rsid w:val="00370DC7"/>
    <w:rsid w:val="0037156C"/>
    <w:rsid w:val="00371CBD"/>
    <w:rsid w:val="00373CBE"/>
    <w:rsid w:val="003740CC"/>
    <w:rsid w:val="0037435E"/>
    <w:rsid w:val="00374E79"/>
    <w:rsid w:val="00375388"/>
    <w:rsid w:val="00375FB9"/>
    <w:rsid w:val="00376851"/>
    <w:rsid w:val="00376FA2"/>
    <w:rsid w:val="0037708F"/>
    <w:rsid w:val="00377A3B"/>
    <w:rsid w:val="00377E3C"/>
    <w:rsid w:val="00380BBE"/>
    <w:rsid w:val="00381775"/>
    <w:rsid w:val="00381D70"/>
    <w:rsid w:val="00382128"/>
    <w:rsid w:val="0038235E"/>
    <w:rsid w:val="003829D0"/>
    <w:rsid w:val="00382FBA"/>
    <w:rsid w:val="0038444F"/>
    <w:rsid w:val="00384E83"/>
    <w:rsid w:val="00385333"/>
    <w:rsid w:val="00387051"/>
    <w:rsid w:val="00387712"/>
    <w:rsid w:val="00387ECF"/>
    <w:rsid w:val="0039021B"/>
    <w:rsid w:val="00390429"/>
    <w:rsid w:val="00392A7A"/>
    <w:rsid w:val="0039327C"/>
    <w:rsid w:val="003933A2"/>
    <w:rsid w:val="0039366C"/>
    <w:rsid w:val="003938F3"/>
    <w:rsid w:val="00393EC8"/>
    <w:rsid w:val="00394BC6"/>
    <w:rsid w:val="00395E42"/>
    <w:rsid w:val="00396052"/>
    <w:rsid w:val="00396A2D"/>
    <w:rsid w:val="00396FC3"/>
    <w:rsid w:val="003A0B61"/>
    <w:rsid w:val="003A1554"/>
    <w:rsid w:val="003A1A94"/>
    <w:rsid w:val="003A204E"/>
    <w:rsid w:val="003A2909"/>
    <w:rsid w:val="003A2D25"/>
    <w:rsid w:val="003A39B2"/>
    <w:rsid w:val="003A4DDB"/>
    <w:rsid w:val="003A5A11"/>
    <w:rsid w:val="003A60E7"/>
    <w:rsid w:val="003A6E03"/>
    <w:rsid w:val="003B0B6A"/>
    <w:rsid w:val="003B0F79"/>
    <w:rsid w:val="003B1483"/>
    <w:rsid w:val="003B1CFD"/>
    <w:rsid w:val="003B29CF"/>
    <w:rsid w:val="003B40A0"/>
    <w:rsid w:val="003B41B5"/>
    <w:rsid w:val="003B54DF"/>
    <w:rsid w:val="003B5F96"/>
    <w:rsid w:val="003B6659"/>
    <w:rsid w:val="003B7733"/>
    <w:rsid w:val="003C0166"/>
    <w:rsid w:val="003C350C"/>
    <w:rsid w:val="003C3903"/>
    <w:rsid w:val="003C3BA0"/>
    <w:rsid w:val="003C4580"/>
    <w:rsid w:val="003C52D8"/>
    <w:rsid w:val="003C5C5E"/>
    <w:rsid w:val="003C6746"/>
    <w:rsid w:val="003C7133"/>
    <w:rsid w:val="003C7555"/>
    <w:rsid w:val="003C7898"/>
    <w:rsid w:val="003D010A"/>
    <w:rsid w:val="003D0FF5"/>
    <w:rsid w:val="003D2D1B"/>
    <w:rsid w:val="003D30AB"/>
    <w:rsid w:val="003D3D94"/>
    <w:rsid w:val="003D48C7"/>
    <w:rsid w:val="003D4B26"/>
    <w:rsid w:val="003D4C08"/>
    <w:rsid w:val="003D51ED"/>
    <w:rsid w:val="003D7CE8"/>
    <w:rsid w:val="003E1032"/>
    <w:rsid w:val="003E1904"/>
    <w:rsid w:val="003E285E"/>
    <w:rsid w:val="003E3300"/>
    <w:rsid w:val="003E65AC"/>
    <w:rsid w:val="003E6E24"/>
    <w:rsid w:val="003E72B9"/>
    <w:rsid w:val="003E7ED4"/>
    <w:rsid w:val="003F0E52"/>
    <w:rsid w:val="003F0EF2"/>
    <w:rsid w:val="003F0F6B"/>
    <w:rsid w:val="003F1F40"/>
    <w:rsid w:val="003F1FE3"/>
    <w:rsid w:val="003F3865"/>
    <w:rsid w:val="003F3A0A"/>
    <w:rsid w:val="003F4632"/>
    <w:rsid w:val="003F47BA"/>
    <w:rsid w:val="003F6617"/>
    <w:rsid w:val="00401081"/>
    <w:rsid w:val="00402332"/>
    <w:rsid w:val="004025C2"/>
    <w:rsid w:val="00403E55"/>
    <w:rsid w:val="00404532"/>
    <w:rsid w:val="00404681"/>
    <w:rsid w:val="0040496D"/>
    <w:rsid w:val="00405010"/>
    <w:rsid w:val="0040595A"/>
    <w:rsid w:val="00406923"/>
    <w:rsid w:val="0040713A"/>
    <w:rsid w:val="0040763D"/>
    <w:rsid w:val="004105B0"/>
    <w:rsid w:val="00410624"/>
    <w:rsid w:val="00410EC5"/>
    <w:rsid w:val="0041250F"/>
    <w:rsid w:val="004133A8"/>
    <w:rsid w:val="00413821"/>
    <w:rsid w:val="00413D43"/>
    <w:rsid w:val="004141A3"/>
    <w:rsid w:val="00414909"/>
    <w:rsid w:val="00415E66"/>
    <w:rsid w:val="00415F54"/>
    <w:rsid w:val="00416112"/>
    <w:rsid w:val="00416DF0"/>
    <w:rsid w:val="00417AE0"/>
    <w:rsid w:val="00417BAA"/>
    <w:rsid w:val="00420BA9"/>
    <w:rsid w:val="00420D7A"/>
    <w:rsid w:val="004223DE"/>
    <w:rsid w:val="0042293E"/>
    <w:rsid w:val="00422A10"/>
    <w:rsid w:val="00423D86"/>
    <w:rsid w:val="00424D17"/>
    <w:rsid w:val="00425DFD"/>
    <w:rsid w:val="004263A3"/>
    <w:rsid w:val="00426C6C"/>
    <w:rsid w:val="00427713"/>
    <w:rsid w:val="00427CCC"/>
    <w:rsid w:val="0043013A"/>
    <w:rsid w:val="00430421"/>
    <w:rsid w:val="00430B4F"/>
    <w:rsid w:val="004314B1"/>
    <w:rsid w:val="00431E65"/>
    <w:rsid w:val="00432589"/>
    <w:rsid w:val="00432A94"/>
    <w:rsid w:val="0043366D"/>
    <w:rsid w:val="00433827"/>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648"/>
    <w:rsid w:val="0044684E"/>
    <w:rsid w:val="004479CA"/>
    <w:rsid w:val="004503A4"/>
    <w:rsid w:val="00450555"/>
    <w:rsid w:val="00450DC6"/>
    <w:rsid w:val="004516A5"/>
    <w:rsid w:val="00451FE8"/>
    <w:rsid w:val="00452179"/>
    <w:rsid w:val="004522E3"/>
    <w:rsid w:val="00452E99"/>
    <w:rsid w:val="004535AE"/>
    <w:rsid w:val="00453C42"/>
    <w:rsid w:val="0045463A"/>
    <w:rsid w:val="00454AC9"/>
    <w:rsid w:val="00454E26"/>
    <w:rsid w:val="004554A3"/>
    <w:rsid w:val="00455A6E"/>
    <w:rsid w:val="00456758"/>
    <w:rsid w:val="004569CD"/>
    <w:rsid w:val="004578EB"/>
    <w:rsid w:val="00460303"/>
    <w:rsid w:val="00460697"/>
    <w:rsid w:val="00462593"/>
    <w:rsid w:val="00465EEF"/>
    <w:rsid w:val="00466D03"/>
    <w:rsid w:val="0046711B"/>
    <w:rsid w:val="00467312"/>
    <w:rsid w:val="00471156"/>
    <w:rsid w:val="00472429"/>
    <w:rsid w:val="004725E5"/>
    <w:rsid w:val="004726FE"/>
    <w:rsid w:val="00472751"/>
    <w:rsid w:val="00473128"/>
    <w:rsid w:val="00475078"/>
    <w:rsid w:val="00475226"/>
    <w:rsid w:val="004779A0"/>
    <w:rsid w:val="004808E3"/>
    <w:rsid w:val="00481016"/>
    <w:rsid w:val="004814D3"/>
    <w:rsid w:val="0048204C"/>
    <w:rsid w:val="004821BB"/>
    <w:rsid w:val="00482233"/>
    <w:rsid w:val="0048261A"/>
    <w:rsid w:val="004826FE"/>
    <w:rsid w:val="004827D5"/>
    <w:rsid w:val="004830C9"/>
    <w:rsid w:val="00483347"/>
    <w:rsid w:val="00483E2E"/>
    <w:rsid w:val="00484B69"/>
    <w:rsid w:val="00485406"/>
    <w:rsid w:val="0048590F"/>
    <w:rsid w:val="004867A5"/>
    <w:rsid w:val="00486D60"/>
    <w:rsid w:val="00487C87"/>
    <w:rsid w:val="00490BB8"/>
    <w:rsid w:val="00492A25"/>
    <w:rsid w:val="00492F3E"/>
    <w:rsid w:val="0049474A"/>
    <w:rsid w:val="004961EA"/>
    <w:rsid w:val="00496350"/>
    <w:rsid w:val="00496F91"/>
    <w:rsid w:val="00497274"/>
    <w:rsid w:val="00497708"/>
    <w:rsid w:val="0049797C"/>
    <w:rsid w:val="00497C2C"/>
    <w:rsid w:val="00497E9D"/>
    <w:rsid w:val="004A07AC"/>
    <w:rsid w:val="004A1405"/>
    <w:rsid w:val="004A1FC6"/>
    <w:rsid w:val="004A3C03"/>
    <w:rsid w:val="004A3DB7"/>
    <w:rsid w:val="004A3FB3"/>
    <w:rsid w:val="004A5088"/>
    <w:rsid w:val="004A5255"/>
    <w:rsid w:val="004A6097"/>
    <w:rsid w:val="004A6CB0"/>
    <w:rsid w:val="004A70FF"/>
    <w:rsid w:val="004A7CCC"/>
    <w:rsid w:val="004B1B84"/>
    <w:rsid w:val="004B29AC"/>
    <w:rsid w:val="004B35DF"/>
    <w:rsid w:val="004B3627"/>
    <w:rsid w:val="004B3F3A"/>
    <w:rsid w:val="004B4779"/>
    <w:rsid w:val="004B4922"/>
    <w:rsid w:val="004B57DF"/>
    <w:rsid w:val="004C03A0"/>
    <w:rsid w:val="004C04AB"/>
    <w:rsid w:val="004C2138"/>
    <w:rsid w:val="004C2ED0"/>
    <w:rsid w:val="004C32D4"/>
    <w:rsid w:val="004C3940"/>
    <w:rsid w:val="004C4BE4"/>
    <w:rsid w:val="004C51FD"/>
    <w:rsid w:val="004C534B"/>
    <w:rsid w:val="004C65A8"/>
    <w:rsid w:val="004C6F74"/>
    <w:rsid w:val="004C786C"/>
    <w:rsid w:val="004C7963"/>
    <w:rsid w:val="004D17E7"/>
    <w:rsid w:val="004D2F63"/>
    <w:rsid w:val="004D35BA"/>
    <w:rsid w:val="004D4701"/>
    <w:rsid w:val="004D47C7"/>
    <w:rsid w:val="004D618D"/>
    <w:rsid w:val="004D62A9"/>
    <w:rsid w:val="004D6AEE"/>
    <w:rsid w:val="004D6FC3"/>
    <w:rsid w:val="004D7476"/>
    <w:rsid w:val="004E0306"/>
    <w:rsid w:val="004E0572"/>
    <w:rsid w:val="004E25A8"/>
    <w:rsid w:val="004E2AA0"/>
    <w:rsid w:val="004E3930"/>
    <w:rsid w:val="004E3ED9"/>
    <w:rsid w:val="004E5866"/>
    <w:rsid w:val="004E5D94"/>
    <w:rsid w:val="004E6097"/>
    <w:rsid w:val="004E61EF"/>
    <w:rsid w:val="004E6772"/>
    <w:rsid w:val="004E76A7"/>
    <w:rsid w:val="004E7736"/>
    <w:rsid w:val="004E7B03"/>
    <w:rsid w:val="004F0064"/>
    <w:rsid w:val="004F06AC"/>
    <w:rsid w:val="004F1AE6"/>
    <w:rsid w:val="004F243F"/>
    <w:rsid w:val="004F3E0C"/>
    <w:rsid w:val="004F6A2D"/>
    <w:rsid w:val="004F7160"/>
    <w:rsid w:val="004F71A2"/>
    <w:rsid w:val="00500258"/>
    <w:rsid w:val="0050175E"/>
    <w:rsid w:val="00501A99"/>
    <w:rsid w:val="00503180"/>
    <w:rsid w:val="0050417C"/>
    <w:rsid w:val="00505450"/>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0F9E"/>
    <w:rsid w:val="0053274E"/>
    <w:rsid w:val="0053358A"/>
    <w:rsid w:val="00534668"/>
    <w:rsid w:val="00534DDD"/>
    <w:rsid w:val="00535291"/>
    <w:rsid w:val="00535A94"/>
    <w:rsid w:val="00537874"/>
    <w:rsid w:val="00540204"/>
    <w:rsid w:val="00540578"/>
    <w:rsid w:val="005407D2"/>
    <w:rsid w:val="00540808"/>
    <w:rsid w:val="0054080E"/>
    <w:rsid w:val="00540EA1"/>
    <w:rsid w:val="00541F62"/>
    <w:rsid w:val="00542AD8"/>
    <w:rsid w:val="0054358E"/>
    <w:rsid w:val="00543AF4"/>
    <w:rsid w:val="00544191"/>
    <w:rsid w:val="00544F39"/>
    <w:rsid w:val="0054515D"/>
    <w:rsid w:val="00547835"/>
    <w:rsid w:val="00547EFB"/>
    <w:rsid w:val="00552563"/>
    <w:rsid w:val="005531DF"/>
    <w:rsid w:val="00553874"/>
    <w:rsid w:val="00553ACC"/>
    <w:rsid w:val="00554AD8"/>
    <w:rsid w:val="00554F78"/>
    <w:rsid w:val="005556A5"/>
    <w:rsid w:val="00556BF7"/>
    <w:rsid w:val="00562149"/>
    <w:rsid w:val="005630D8"/>
    <w:rsid w:val="00563FFD"/>
    <w:rsid w:val="00565855"/>
    <w:rsid w:val="005677CE"/>
    <w:rsid w:val="00567B5D"/>
    <w:rsid w:val="00573733"/>
    <w:rsid w:val="00574554"/>
    <w:rsid w:val="00576089"/>
    <w:rsid w:val="005764B1"/>
    <w:rsid w:val="00576A56"/>
    <w:rsid w:val="00576D06"/>
    <w:rsid w:val="005779E4"/>
    <w:rsid w:val="00580AC5"/>
    <w:rsid w:val="00580EB3"/>
    <w:rsid w:val="00581A2A"/>
    <w:rsid w:val="0058289C"/>
    <w:rsid w:val="00582C35"/>
    <w:rsid w:val="00582DC6"/>
    <w:rsid w:val="005836C7"/>
    <w:rsid w:val="00583E30"/>
    <w:rsid w:val="0058408E"/>
    <w:rsid w:val="00585374"/>
    <w:rsid w:val="00586F3C"/>
    <w:rsid w:val="00590B77"/>
    <w:rsid w:val="005913A3"/>
    <w:rsid w:val="00591DCD"/>
    <w:rsid w:val="00591E6C"/>
    <w:rsid w:val="00594A7B"/>
    <w:rsid w:val="00594AFA"/>
    <w:rsid w:val="0059580E"/>
    <w:rsid w:val="00596A6F"/>
    <w:rsid w:val="005976E1"/>
    <w:rsid w:val="005A048B"/>
    <w:rsid w:val="005A0541"/>
    <w:rsid w:val="005A1525"/>
    <w:rsid w:val="005A1EC3"/>
    <w:rsid w:val="005A252B"/>
    <w:rsid w:val="005A2A71"/>
    <w:rsid w:val="005A3204"/>
    <w:rsid w:val="005A3341"/>
    <w:rsid w:val="005A3FA1"/>
    <w:rsid w:val="005A46EC"/>
    <w:rsid w:val="005A4847"/>
    <w:rsid w:val="005A494F"/>
    <w:rsid w:val="005B0160"/>
    <w:rsid w:val="005B0185"/>
    <w:rsid w:val="005B07EC"/>
    <w:rsid w:val="005B09D8"/>
    <w:rsid w:val="005B120C"/>
    <w:rsid w:val="005B24F3"/>
    <w:rsid w:val="005B2B11"/>
    <w:rsid w:val="005B2E00"/>
    <w:rsid w:val="005B370E"/>
    <w:rsid w:val="005B4DA3"/>
    <w:rsid w:val="005B5BEE"/>
    <w:rsid w:val="005B77D2"/>
    <w:rsid w:val="005C019B"/>
    <w:rsid w:val="005C144E"/>
    <w:rsid w:val="005C14A8"/>
    <w:rsid w:val="005C30F5"/>
    <w:rsid w:val="005C357E"/>
    <w:rsid w:val="005C3951"/>
    <w:rsid w:val="005C51A5"/>
    <w:rsid w:val="005C557A"/>
    <w:rsid w:val="005C61DD"/>
    <w:rsid w:val="005C6438"/>
    <w:rsid w:val="005C6B8B"/>
    <w:rsid w:val="005D02E3"/>
    <w:rsid w:val="005D0310"/>
    <w:rsid w:val="005D039C"/>
    <w:rsid w:val="005D1F34"/>
    <w:rsid w:val="005D2529"/>
    <w:rsid w:val="005D2C1F"/>
    <w:rsid w:val="005D34B2"/>
    <w:rsid w:val="005D3B54"/>
    <w:rsid w:val="005D40CD"/>
    <w:rsid w:val="005D6B59"/>
    <w:rsid w:val="005D7037"/>
    <w:rsid w:val="005E03E4"/>
    <w:rsid w:val="005E0454"/>
    <w:rsid w:val="005E171D"/>
    <w:rsid w:val="005E34C2"/>
    <w:rsid w:val="005E35C6"/>
    <w:rsid w:val="005E5B01"/>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6A62"/>
    <w:rsid w:val="005F77C8"/>
    <w:rsid w:val="0060058E"/>
    <w:rsid w:val="00602740"/>
    <w:rsid w:val="00602A3C"/>
    <w:rsid w:val="00603BE3"/>
    <w:rsid w:val="00603EFD"/>
    <w:rsid w:val="006041DF"/>
    <w:rsid w:val="0060475B"/>
    <w:rsid w:val="00604FB6"/>
    <w:rsid w:val="00605387"/>
    <w:rsid w:val="00606302"/>
    <w:rsid w:val="006072EF"/>
    <w:rsid w:val="006076FD"/>
    <w:rsid w:val="00607BA3"/>
    <w:rsid w:val="0061143F"/>
    <w:rsid w:val="006114D8"/>
    <w:rsid w:val="00611585"/>
    <w:rsid w:val="00612931"/>
    <w:rsid w:val="00613601"/>
    <w:rsid w:val="00613791"/>
    <w:rsid w:val="00613AAB"/>
    <w:rsid w:val="00614505"/>
    <w:rsid w:val="006148C7"/>
    <w:rsid w:val="006150D6"/>
    <w:rsid w:val="00617EEE"/>
    <w:rsid w:val="006210FE"/>
    <w:rsid w:val="00622811"/>
    <w:rsid w:val="00622894"/>
    <w:rsid w:val="00622BB7"/>
    <w:rsid w:val="00622F3B"/>
    <w:rsid w:val="00623389"/>
    <w:rsid w:val="0062352A"/>
    <w:rsid w:val="00625E45"/>
    <w:rsid w:val="006265C4"/>
    <w:rsid w:val="00627383"/>
    <w:rsid w:val="00627733"/>
    <w:rsid w:val="006301BB"/>
    <w:rsid w:val="00632605"/>
    <w:rsid w:val="00633F8D"/>
    <w:rsid w:val="006341EF"/>
    <w:rsid w:val="00634BED"/>
    <w:rsid w:val="00635A4A"/>
    <w:rsid w:val="00635FB9"/>
    <w:rsid w:val="00636148"/>
    <w:rsid w:val="00637774"/>
    <w:rsid w:val="0064024C"/>
    <w:rsid w:val="00640291"/>
    <w:rsid w:val="00641FAC"/>
    <w:rsid w:val="006432A5"/>
    <w:rsid w:val="00643664"/>
    <w:rsid w:val="00643CAA"/>
    <w:rsid w:val="00652137"/>
    <w:rsid w:val="00652680"/>
    <w:rsid w:val="00652A09"/>
    <w:rsid w:val="006530A1"/>
    <w:rsid w:val="00653CDE"/>
    <w:rsid w:val="006540B4"/>
    <w:rsid w:val="0065636A"/>
    <w:rsid w:val="00656C3C"/>
    <w:rsid w:val="00657003"/>
    <w:rsid w:val="00657126"/>
    <w:rsid w:val="006572C1"/>
    <w:rsid w:val="00657930"/>
    <w:rsid w:val="00660238"/>
    <w:rsid w:val="006602EF"/>
    <w:rsid w:val="00660F41"/>
    <w:rsid w:val="00661277"/>
    <w:rsid w:val="006616FE"/>
    <w:rsid w:val="006619D1"/>
    <w:rsid w:val="00663FEA"/>
    <w:rsid w:val="00664253"/>
    <w:rsid w:val="006647AE"/>
    <w:rsid w:val="00664803"/>
    <w:rsid w:val="006661A4"/>
    <w:rsid w:val="006670E0"/>
    <w:rsid w:val="00667532"/>
    <w:rsid w:val="006704FD"/>
    <w:rsid w:val="0067294B"/>
    <w:rsid w:val="00673AA4"/>
    <w:rsid w:val="00674187"/>
    <w:rsid w:val="0067508F"/>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02"/>
    <w:rsid w:val="006942AE"/>
    <w:rsid w:val="0069483C"/>
    <w:rsid w:val="00695421"/>
    <w:rsid w:val="006968B7"/>
    <w:rsid w:val="00696D4B"/>
    <w:rsid w:val="006978B1"/>
    <w:rsid w:val="00697BD3"/>
    <w:rsid w:val="00697DFA"/>
    <w:rsid w:val="006A0C53"/>
    <w:rsid w:val="006A10F3"/>
    <w:rsid w:val="006A16D5"/>
    <w:rsid w:val="006A1772"/>
    <w:rsid w:val="006A1780"/>
    <w:rsid w:val="006A25A5"/>
    <w:rsid w:val="006A2790"/>
    <w:rsid w:val="006A3CEC"/>
    <w:rsid w:val="006A3F75"/>
    <w:rsid w:val="006A4FB3"/>
    <w:rsid w:val="006A5A3E"/>
    <w:rsid w:val="006A6CA7"/>
    <w:rsid w:val="006A7008"/>
    <w:rsid w:val="006A703E"/>
    <w:rsid w:val="006A7BE3"/>
    <w:rsid w:val="006B01D1"/>
    <w:rsid w:val="006B16EA"/>
    <w:rsid w:val="006B1780"/>
    <w:rsid w:val="006B224E"/>
    <w:rsid w:val="006B376E"/>
    <w:rsid w:val="006B4589"/>
    <w:rsid w:val="006B6805"/>
    <w:rsid w:val="006B6BBE"/>
    <w:rsid w:val="006B6DE0"/>
    <w:rsid w:val="006B7D5F"/>
    <w:rsid w:val="006C32F4"/>
    <w:rsid w:val="006C3C54"/>
    <w:rsid w:val="006C40F4"/>
    <w:rsid w:val="006C427B"/>
    <w:rsid w:val="006C4D5D"/>
    <w:rsid w:val="006C4E5A"/>
    <w:rsid w:val="006C4F9F"/>
    <w:rsid w:val="006C61AB"/>
    <w:rsid w:val="006C650D"/>
    <w:rsid w:val="006C748D"/>
    <w:rsid w:val="006C74E2"/>
    <w:rsid w:val="006D0C1D"/>
    <w:rsid w:val="006D0CE1"/>
    <w:rsid w:val="006D2004"/>
    <w:rsid w:val="006D2A8C"/>
    <w:rsid w:val="006D2E9D"/>
    <w:rsid w:val="006D4C1E"/>
    <w:rsid w:val="006D4C42"/>
    <w:rsid w:val="006D5809"/>
    <w:rsid w:val="006D630A"/>
    <w:rsid w:val="006D668D"/>
    <w:rsid w:val="006D7363"/>
    <w:rsid w:val="006D74F2"/>
    <w:rsid w:val="006E04C8"/>
    <w:rsid w:val="006E0712"/>
    <w:rsid w:val="006E0754"/>
    <w:rsid w:val="006E08D8"/>
    <w:rsid w:val="006E2668"/>
    <w:rsid w:val="006E2D39"/>
    <w:rsid w:val="006E32B0"/>
    <w:rsid w:val="006E36D8"/>
    <w:rsid w:val="006E396A"/>
    <w:rsid w:val="006E3A73"/>
    <w:rsid w:val="006E5DD8"/>
    <w:rsid w:val="006E5EA1"/>
    <w:rsid w:val="006E7ABC"/>
    <w:rsid w:val="006F0760"/>
    <w:rsid w:val="006F0FF1"/>
    <w:rsid w:val="006F11E2"/>
    <w:rsid w:val="006F12F5"/>
    <w:rsid w:val="006F2574"/>
    <w:rsid w:val="006F3231"/>
    <w:rsid w:val="006F3DE3"/>
    <w:rsid w:val="006F511F"/>
    <w:rsid w:val="006F54B3"/>
    <w:rsid w:val="006F61D8"/>
    <w:rsid w:val="006F62B7"/>
    <w:rsid w:val="006F70BC"/>
    <w:rsid w:val="006F713A"/>
    <w:rsid w:val="006F76BF"/>
    <w:rsid w:val="00700077"/>
    <w:rsid w:val="007066A4"/>
    <w:rsid w:val="00706F37"/>
    <w:rsid w:val="00707D09"/>
    <w:rsid w:val="00711208"/>
    <w:rsid w:val="0071209F"/>
    <w:rsid w:val="007125A2"/>
    <w:rsid w:val="00712DA3"/>
    <w:rsid w:val="00713CC1"/>
    <w:rsid w:val="00713F79"/>
    <w:rsid w:val="007148A8"/>
    <w:rsid w:val="00714AA4"/>
    <w:rsid w:val="007171E0"/>
    <w:rsid w:val="0072033C"/>
    <w:rsid w:val="00720B1B"/>
    <w:rsid w:val="00720EC1"/>
    <w:rsid w:val="00721062"/>
    <w:rsid w:val="00721E5D"/>
    <w:rsid w:val="007229D4"/>
    <w:rsid w:val="00722CD9"/>
    <w:rsid w:val="007230F8"/>
    <w:rsid w:val="007233F4"/>
    <w:rsid w:val="00724044"/>
    <w:rsid w:val="00724049"/>
    <w:rsid w:val="007244E1"/>
    <w:rsid w:val="007248D3"/>
    <w:rsid w:val="00725137"/>
    <w:rsid w:val="007263ED"/>
    <w:rsid w:val="00727A43"/>
    <w:rsid w:val="00727FF2"/>
    <w:rsid w:val="007323E0"/>
    <w:rsid w:val="00733791"/>
    <w:rsid w:val="0073391B"/>
    <w:rsid w:val="00733DE2"/>
    <w:rsid w:val="007352EA"/>
    <w:rsid w:val="007364E5"/>
    <w:rsid w:val="0073792F"/>
    <w:rsid w:val="00740DA6"/>
    <w:rsid w:val="00741A0E"/>
    <w:rsid w:val="00741D1E"/>
    <w:rsid w:val="00741EE2"/>
    <w:rsid w:val="00742367"/>
    <w:rsid w:val="00742EAA"/>
    <w:rsid w:val="00743818"/>
    <w:rsid w:val="007439E2"/>
    <w:rsid w:val="00743D6F"/>
    <w:rsid w:val="00743DD8"/>
    <w:rsid w:val="007441FB"/>
    <w:rsid w:val="00744517"/>
    <w:rsid w:val="00744810"/>
    <w:rsid w:val="00747DE2"/>
    <w:rsid w:val="007504BF"/>
    <w:rsid w:val="007506CD"/>
    <w:rsid w:val="0075267F"/>
    <w:rsid w:val="007526EC"/>
    <w:rsid w:val="0075310C"/>
    <w:rsid w:val="00753347"/>
    <w:rsid w:val="00753C48"/>
    <w:rsid w:val="00754C97"/>
    <w:rsid w:val="00754FE4"/>
    <w:rsid w:val="00755538"/>
    <w:rsid w:val="00756236"/>
    <w:rsid w:val="00756271"/>
    <w:rsid w:val="00756521"/>
    <w:rsid w:val="00756AB7"/>
    <w:rsid w:val="00760477"/>
    <w:rsid w:val="00761AF4"/>
    <w:rsid w:val="00762071"/>
    <w:rsid w:val="007623FB"/>
    <w:rsid w:val="0076376A"/>
    <w:rsid w:val="0076500F"/>
    <w:rsid w:val="0076504E"/>
    <w:rsid w:val="00765E6A"/>
    <w:rsid w:val="00767EA0"/>
    <w:rsid w:val="0077068F"/>
    <w:rsid w:val="0077408D"/>
    <w:rsid w:val="00774270"/>
    <w:rsid w:val="00775679"/>
    <w:rsid w:val="00775803"/>
    <w:rsid w:val="00777B32"/>
    <w:rsid w:val="0078051E"/>
    <w:rsid w:val="00781FDD"/>
    <w:rsid w:val="00782A9F"/>
    <w:rsid w:val="0078508A"/>
    <w:rsid w:val="00786D5C"/>
    <w:rsid w:val="00786E96"/>
    <w:rsid w:val="00787F93"/>
    <w:rsid w:val="007907CA"/>
    <w:rsid w:val="007913A1"/>
    <w:rsid w:val="00791E6D"/>
    <w:rsid w:val="007928DC"/>
    <w:rsid w:val="007939CC"/>
    <w:rsid w:val="00794AD7"/>
    <w:rsid w:val="007967F8"/>
    <w:rsid w:val="00796FB8"/>
    <w:rsid w:val="007A0A5E"/>
    <w:rsid w:val="007A11C2"/>
    <w:rsid w:val="007A2063"/>
    <w:rsid w:val="007A2367"/>
    <w:rsid w:val="007A41BF"/>
    <w:rsid w:val="007A490A"/>
    <w:rsid w:val="007A581D"/>
    <w:rsid w:val="007A7B95"/>
    <w:rsid w:val="007B0297"/>
    <w:rsid w:val="007B0F53"/>
    <w:rsid w:val="007B1DD8"/>
    <w:rsid w:val="007B21AE"/>
    <w:rsid w:val="007B2570"/>
    <w:rsid w:val="007B3113"/>
    <w:rsid w:val="007B3304"/>
    <w:rsid w:val="007B332B"/>
    <w:rsid w:val="007B394D"/>
    <w:rsid w:val="007B7490"/>
    <w:rsid w:val="007B774A"/>
    <w:rsid w:val="007C0525"/>
    <w:rsid w:val="007C0B56"/>
    <w:rsid w:val="007C13F7"/>
    <w:rsid w:val="007C218D"/>
    <w:rsid w:val="007C2D28"/>
    <w:rsid w:val="007C363C"/>
    <w:rsid w:val="007C3E22"/>
    <w:rsid w:val="007C5153"/>
    <w:rsid w:val="007C67C6"/>
    <w:rsid w:val="007C707A"/>
    <w:rsid w:val="007C7E59"/>
    <w:rsid w:val="007D0B91"/>
    <w:rsid w:val="007D0F53"/>
    <w:rsid w:val="007D1452"/>
    <w:rsid w:val="007D1E29"/>
    <w:rsid w:val="007D460C"/>
    <w:rsid w:val="007D4682"/>
    <w:rsid w:val="007D4AD3"/>
    <w:rsid w:val="007D4C8D"/>
    <w:rsid w:val="007D5195"/>
    <w:rsid w:val="007D5D19"/>
    <w:rsid w:val="007D5FDC"/>
    <w:rsid w:val="007D6232"/>
    <w:rsid w:val="007D6D68"/>
    <w:rsid w:val="007E01DA"/>
    <w:rsid w:val="007E02C4"/>
    <w:rsid w:val="007E1603"/>
    <w:rsid w:val="007E32DA"/>
    <w:rsid w:val="007E4998"/>
    <w:rsid w:val="007E4A9C"/>
    <w:rsid w:val="007E6914"/>
    <w:rsid w:val="007E7F78"/>
    <w:rsid w:val="007F0C8B"/>
    <w:rsid w:val="007F1517"/>
    <w:rsid w:val="007F1D44"/>
    <w:rsid w:val="007F2C13"/>
    <w:rsid w:val="007F2CEC"/>
    <w:rsid w:val="007F55DE"/>
    <w:rsid w:val="007F5605"/>
    <w:rsid w:val="007F6147"/>
    <w:rsid w:val="007F6FCD"/>
    <w:rsid w:val="007F78FF"/>
    <w:rsid w:val="00800F6C"/>
    <w:rsid w:val="008025BE"/>
    <w:rsid w:val="00804C86"/>
    <w:rsid w:val="008051FC"/>
    <w:rsid w:val="008055A9"/>
    <w:rsid w:val="008070EB"/>
    <w:rsid w:val="00807376"/>
    <w:rsid w:val="00810E8E"/>
    <w:rsid w:val="0081142D"/>
    <w:rsid w:val="00812462"/>
    <w:rsid w:val="008131C3"/>
    <w:rsid w:val="008140A5"/>
    <w:rsid w:val="0081481D"/>
    <w:rsid w:val="00814BE8"/>
    <w:rsid w:val="00814F6E"/>
    <w:rsid w:val="00815B84"/>
    <w:rsid w:val="00816F2B"/>
    <w:rsid w:val="00821A3D"/>
    <w:rsid w:val="00821B36"/>
    <w:rsid w:val="00822037"/>
    <w:rsid w:val="00822969"/>
    <w:rsid w:val="00823E0A"/>
    <w:rsid w:val="00823FC6"/>
    <w:rsid w:val="00823FFC"/>
    <w:rsid w:val="00824811"/>
    <w:rsid w:val="00825C74"/>
    <w:rsid w:val="00826AB9"/>
    <w:rsid w:val="00826E0E"/>
    <w:rsid w:val="0082731F"/>
    <w:rsid w:val="00827D11"/>
    <w:rsid w:val="00827E0F"/>
    <w:rsid w:val="00827F6E"/>
    <w:rsid w:val="00831758"/>
    <w:rsid w:val="0083279F"/>
    <w:rsid w:val="00833B7F"/>
    <w:rsid w:val="00833FAA"/>
    <w:rsid w:val="00834906"/>
    <w:rsid w:val="00836075"/>
    <w:rsid w:val="00836417"/>
    <w:rsid w:val="008411F9"/>
    <w:rsid w:val="008413AB"/>
    <w:rsid w:val="00842D10"/>
    <w:rsid w:val="0084322B"/>
    <w:rsid w:val="00843B93"/>
    <w:rsid w:val="00843F81"/>
    <w:rsid w:val="00844087"/>
    <w:rsid w:val="0084519E"/>
    <w:rsid w:val="00846370"/>
    <w:rsid w:val="00847C2B"/>
    <w:rsid w:val="0085270D"/>
    <w:rsid w:val="008532BF"/>
    <w:rsid w:val="00853BF4"/>
    <w:rsid w:val="00854294"/>
    <w:rsid w:val="0085595B"/>
    <w:rsid w:val="00855F80"/>
    <w:rsid w:val="008566B8"/>
    <w:rsid w:val="0085788B"/>
    <w:rsid w:val="00857A9E"/>
    <w:rsid w:val="00857DE2"/>
    <w:rsid w:val="0086353C"/>
    <w:rsid w:val="0086407F"/>
    <w:rsid w:val="00864BFE"/>
    <w:rsid w:val="00864E79"/>
    <w:rsid w:val="00866111"/>
    <w:rsid w:val="0086661F"/>
    <w:rsid w:val="00866A0D"/>
    <w:rsid w:val="00866DB5"/>
    <w:rsid w:val="0086784E"/>
    <w:rsid w:val="00867AF1"/>
    <w:rsid w:val="00870445"/>
    <w:rsid w:val="00872118"/>
    <w:rsid w:val="00872827"/>
    <w:rsid w:val="00872888"/>
    <w:rsid w:val="00872A32"/>
    <w:rsid w:val="00872D92"/>
    <w:rsid w:val="00872E21"/>
    <w:rsid w:val="00874ECA"/>
    <w:rsid w:val="00876EAE"/>
    <w:rsid w:val="00880F95"/>
    <w:rsid w:val="008819C6"/>
    <w:rsid w:val="00882B44"/>
    <w:rsid w:val="00882FE5"/>
    <w:rsid w:val="008845A4"/>
    <w:rsid w:val="008852F8"/>
    <w:rsid w:val="00885960"/>
    <w:rsid w:val="00886138"/>
    <w:rsid w:val="00886E66"/>
    <w:rsid w:val="008871B0"/>
    <w:rsid w:val="0089217C"/>
    <w:rsid w:val="008928A1"/>
    <w:rsid w:val="00893671"/>
    <w:rsid w:val="00895838"/>
    <w:rsid w:val="00895A72"/>
    <w:rsid w:val="00895CDF"/>
    <w:rsid w:val="008968C7"/>
    <w:rsid w:val="00897A55"/>
    <w:rsid w:val="00897E60"/>
    <w:rsid w:val="008A0FC9"/>
    <w:rsid w:val="008A1956"/>
    <w:rsid w:val="008A20B6"/>
    <w:rsid w:val="008A2B5F"/>
    <w:rsid w:val="008A40D3"/>
    <w:rsid w:val="008A469C"/>
    <w:rsid w:val="008A484A"/>
    <w:rsid w:val="008A5877"/>
    <w:rsid w:val="008A6539"/>
    <w:rsid w:val="008A701C"/>
    <w:rsid w:val="008B05DD"/>
    <w:rsid w:val="008B17E8"/>
    <w:rsid w:val="008B1925"/>
    <w:rsid w:val="008B1A5F"/>
    <w:rsid w:val="008B266C"/>
    <w:rsid w:val="008B2D03"/>
    <w:rsid w:val="008B2E7C"/>
    <w:rsid w:val="008B42EB"/>
    <w:rsid w:val="008B45A7"/>
    <w:rsid w:val="008B4A70"/>
    <w:rsid w:val="008B502F"/>
    <w:rsid w:val="008B5A88"/>
    <w:rsid w:val="008B6AFE"/>
    <w:rsid w:val="008B7034"/>
    <w:rsid w:val="008B7227"/>
    <w:rsid w:val="008C191C"/>
    <w:rsid w:val="008C1DA4"/>
    <w:rsid w:val="008C2CD5"/>
    <w:rsid w:val="008C3618"/>
    <w:rsid w:val="008C37C2"/>
    <w:rsid w:val="008C3F20"/>
    <w:rsid w:val="008C43AD"/>
    <w:rsid w:val="008C59FB"/>
    <w:rsid w:val="008C6687"/>
    <w:rsid w:val="008C68F0"/>
    <w:rsid w:val="008C6F92"/>
    <w:rsid w:val="008C731F"/>
    <w:rsid w:val="008C74D9"/>
    <w:rsid w:val="008D01FF"/>
    <w:rsid w:val="008D1052"/>
    <w:rsid w:val="008D124C"/>
    <w:rsid w:val="008D1BB3"/>
    <w:rsid w:val="008D22AE"/>
    <w:rsid w:val="008D234A"/>
    <w:rsid w:val="008D2600"/>
    <w:rsid w:val="008D566C"/>
    <w:rsid w:val="008D58D9"/>
    <w:rsid w:val="008D6426"/>
    <w:rsid w:val="008D66EA"/>
    <w:rsid w:val="008D6E59"/>
    <w:rsid w:val="008D7155"/>
    <w:rsid w:val="008D7DE4"/>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4CA"/>
    <w:rsid w:val="008F49B9"/>
    <w:rsid w:val="008F49D3"/>
    <w:rsid w:val="008F6519"/>
    <w:rsid w:val="008F7012"/>
    <w:rsid w:val="008F7B17"/>
    <w:rsid w:val="00900042"/>
    <w:rsid w:val="0090034B"/>
    <w:rsid w:val="00902623"/>
    <w:rsid w:val="00902890"/>
    <w:rsid w:val="00904BE4"/>
    <w:rsid w:val="0090504A"/>
    <w:rsid w:val="00905188"/>
    <w:rsid w:val="00905D7E"/>
    <w:rsid w:val="009063B7"/>
    <w:rsid w:val="00906B83"/>
    <w:rsid w:val="00907037"/>
    <w:rsid w:val="0091114B"/>
    <w:rsid w:val="0091160A"/>
    <w:rsid w:val="00913258"/>
    <w:rsid w:val="0091564D"/>
    <w:rsid w:val="009156DA"/>
    <w:rsid w:val="00915859"/>
    <w:rsid w:val="00916BC5"/>
    <w:rsid w:val="0091726A"/>
    <w:rsid w:val="00920184"/>
    <w:rsid w:val="00920A19"/>
    <w:rsid w:val="00920EA4"/>
    <w:rsid w:val="00921792"/>
    <w:rsid w:val="00921BEA"/>
    <w:rsid w:val="00923998"/>
    <w:rsid w:val="00923DB4"/>
    <w:rsid w:val="0092430E"/>
    <w:rsid w:val="009249D7"/>
    <w:rsid w:val="00925EC9"/>
    <w:rsid w:val="0092625F"/>
    <w:rsid w:val="009268A9"/>
    <w:rsid w:val="00927B37"/>
    <w:rsid w:val="009301B2"/>
    <w:rsid w:val="009313DD"/>
    <w:rsid w:val="00931BDE"/>
    <w:rsid w:val="009321B1"/>
    <w:rsid w:val="00932ED7"/>
    <w:rsid w:val="0093357E"/>
    <w:rsid w:val="0093422D"/>
    <w:rsid w:val="00934325"/>
    <w:rsid w:val="00934DD7"/>
    <w:rsid w:val="009369A9"/>
    <w:rsid w:val="00936CF7"/>
    <w:rsid w:val="00937201"/>
    <w:rsid w:val="0093734A"/>
    <w:rsid w:val="00937783"/>
    <w:rsid w:val="00940FE1"/>
    <w:rsid w:val="00942306"/>
    <w:rsid w:val="009424B8"/>
    <w:rsid w:val="009425A2"/>
    <w:rsid w:val="009433A4"/>
    <w:rsid w:val="0094435B"/>
    <w:rsid w:val="00944668"/>
    <w:rsid w:val="00944DC6"/>
    <w:rsid w:val="0094515F"/>
    <w:rsid w:val="0094537D"/>
    <w:rsid w:val="0094573F"/>
    <w:rsid w:val="009458B0"/>
    <w:rsid w:val="00945B52"/>
    <w:rsid w:val="00945DC0"/>
    <w:rsid w:val="00945F05"/>
    <w:rsid w:val="00946348"/>
    <w:rsid w:val="009471AD"/>
    <w:rsid w:val="009478A2"/>
    <w:rsid w:val="00950404"/>
    <w:rsid w:val="00952060"/>
    <w:rsid w:val="00954800"/>
    <w:rsid w:val="00955643"/>
    <w:rsid w:val="00955FBB"/>
    <w:rsid w:val="0095694B"/>
    <w:rsid w:val="00956BD5"/>
    <w:rsid w:val="009574BB"/>
    <w:rsid w:val="009577B5"/>
    <w:rsid w:val="009608E6"/>
    <w:rsid w:val="00961779"/>
    <w:rsid w:val="00962EB1"/>
    <w:rsid w:val="00966522"/>
    <w:rsid w:val="00967D3F"/>
    <w:rsid w:val="00967E78"/>
    <w:rsid w:val="00970D7E"/>
    <w:rsid w:val="00970F18"/>
    <w:rsid w:val="00971CF1"/>
    <w:rsid w:val="009721E9"/>
    <w:rsid w:val="00972A58"/>
    <w:rsid w:val="00973772"/>
    <w:rsid w:val="009738FC"/>
    <w:rsid w:val="00975E1E"/>
    <w:rsid w:val="00975E70"/>
    <w:rsid w:val="00977CD6"/>
    <w:rsid w:val="00982481"/>
    <w:rsid w:val="00982D26"/>
    <w:rsid w:val="0098330E"/>
    <w:rsid w:val="009833DD"/>
    <w:rsid w:val="009840AB"/>
    <w:rsid w:val="009849E9"/>
    <w:rsid w:val="00984C84"/>
    <w:rsid w:val="009866F3"/>
    <w:rsid w:val="00987812"/>
    <w:rsid w:val="00990225"/>
    <w:rsid w:val="0099244B"/>
    <w:rsid w:val="00993186"/>
    <w:rsid w:val="009947B6"/>
    <w:rsid w:val="00994FCC"/>
    <w:rsid w:val="00995150"/>
    <w:rsid w:val="009957F3"/>
    <w:rsid w:val="00995D67"/>
    <w:rsid w:val="009970BF"/>
    <w:rsid w:val="009A013B"/>
    <w:rsid w:val="009A02F4"/>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314F"/>
    <w:rsid w:val="009B439C"/>
    <w:rsid w:val="009B4A6C"/>
    <w:rsid w:val="009B5777"/>
    <w:rsid w:val="009B5779"/>
    <w:rsid w:val="009B62A1"/>
    <w:rsid w:val="009B6753"/>
    <w:rsid w:val="009B6A26"/>
    <w:rsid w:val="009C079D"/>
    <w:rsid w:val="009C0D70"/>
    <w:rsid w:val="009C13D1"/>
    <w:rsid w:val="009C2913"/>
    <w:rsid w:val="009C3008"/>
    <w:rsid w:val="009C5AFE"/>
    <w:rsid w:val="009C6606"/>
    <w:rsid w:val="009C6CE5"/>
    <w:rsid w:val="009C6D50"/>
    <w:rsid w:val="009C7547"/>
    <w:rsid w:val="009D1678"/>
    <w:rsid w:val="009D1693"/>
    <w:rsid w:val="009D2721"/>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2E26"/>
    <w:rsid w:val="009F4FCF"/>
    <w:rsid w:val="009F5DE2"/>
    <w:rsid w:val="009F65F4"/>
    <w:rsid w:val="009F676B"/>
    <w:rsid w:val="009F6EA6"/>
    <w:rsid w:val="00A00340"/>
    <w:rsid w:val="00A004DF"/>
    <w:rsid w:val="00A00D29"/>
    <w:rsid w:val="00A00FD5"/>
    <w:rsid w:val="00A019A8"/>
    <w:rsid w:val="00A01B03"/>
    <w:rsid w:val="00A02C66"/>
    <w:rsid w:val="00A03861"/>
    <w:rsid w:val="00A0464C"/>
    <w:rsid w:val="00A04D48"/>
    <w:rsid w:val="00A054E0"/>
    <w:rsid w:val="00A05ABE"/>
    <w:rsid w:val="00A0663F"/>
    <w:rsid w:val="00A066CE"/>
    <w:rsid w:val="00A0740B"/>
    <w:rsid w:val="00A075A9"/>
    <w:rsid w:val="00A11042"/>
    <w:rsid w:val="00A133D8"/>
    <w:rsid w:val="00A1477B"/>
    <w:rsid w:val="00A14E97"/>
    <w:rsid w:val="00A15209"/>
    <w:rsid w:val="00A20069"/>
    <w:rsid w:val="00A20280"/>
    <w:rsid w:val="00A2244D"/>
    <w:rsid w:val="00A2253D"/>
    <w:rsid w:val="00A22AEC"/>
    <w:rsid w:val="00A2418A"/>
    <w:rsid w:val="00A247B8"/>
    <w:rsid w:val="00A24D39"/>
    <w:rsid w:val="00A24D8F"/>
    <w:rsid w:val="00A252D3"/>
    <w:rsid w:val="00A25B8B"/>
    <w:rsid w:val="00A26130"/>
    <w:rsid w:val="00A269AF"/>
    <w:rsid w:val="00A269C3"/>
    <w:rsid w:val="00A26ECA"/>
    <w:rsid w:val="00A3142C"/>
    <w:rsid w:val="00A324C1"/>
    <w:rsid w:val="00A337DB"/>
    <w:rsid w:val="00A33E07"/>
    <w:rsid w:val="00A3467F"/>
    <w:rsid w:val="00A3551A"/>
    <w:rsid w:val="00A376E8"/>
    <w:rsid w:val="00A37E69"/>
    <w:rsid w:val="00A37F8E"/>
    <w:rsid w:val="00A405FA"/>
    <w:rsid w:val="00A41737"/>
    <w:rsid w:val="00A42B8F"/>
    <w:rsid w:val="00A43254"/>
    <w:rsid w:val="00A43896"/>
    <w:rsid w:val="00A43A26"/>
    <w:rsid w:val="00A447A0"/>
    <w:rsid w:val="00A4598B"/>
    <w:rsid w:val="00A459F5"/>
    <w:rsid w:val="00A45FC0"/>
    <w:rsid w:val="00A46B32"/>
    <w:rsid w:val="00A47301"/>
    <w:rsid w:val="00A47448"/>
    <w:rsid w:val="00A47ECC"/>
    <w:rsid w:val="00A5008C"/>
    <w:rsid w:val="00A50171"/>
    <w:rsid w:val="00A5102E"/>
    <w:rsid w:val="00A51083"/>
    <w:rsid w:val="00A5132E"/>
    <w:rsid w:val="00A51533"/>
    <w:rsid w:val="00A51547"/>
    <w:rsid w:val="00A51E68"/>
    <w:rsid w:val="00A52F3B"/>
    <w:rsid w:val="00A531D4"/>
    <w:rsid w:val="00A55ACD"/>
    <w:rsid w:val="00A55CFA"/>
    <w:rsid w:val="00A575B8"/>
    <w:rsid w:val="00A647B1"/>
    <w:rsid w:val="00A64DEF"/>
    <w:rsid w:val="00A65E4E"/>
    <w:rsid w:val="00A665DF"/>
    <w:rsid w:val="00A67F1B"/>
    <w:rsid w:val="00A67FCC"/>
    <w:rsid w:val="00A716DC"/>
    <w:rsid w:val="00A71ABE"/>
    <w:rsid w:val="00A7217B"/>
    <w:rsid w:val="00A7293E"/>
    <w:rsid w:val="00A72EE4"/>
    <w:rsid w:val="00A73067"/>
    <w:rsid w:val="00A737C4"/>
    <w:rsid w:val="00A739A6"/>
    <w:rsid w:val="00A73BB5"/>
    <w:rsid w:val="00A75EF9"/>
    <w:rsid w:val="00A76BC9"/>
    <w:rsid w:val="00A76FD8"/>
    <w:rsid w:val="00A77566"/>
    <w:rsid w:val="00A80563"/>
    <w:rsid w:val="00A80A18"/>
    <w:rsid w:val="00A8311C"/>
    <w:rsid w:val="00A84BC8"/>
    <w:rsid w:val="00A84C5F"/>
    <w:rsid w:val="00A86973"/>
    <w:rsid w:val="00A8721F"/>
    <w:rsid w:val="00A8740B"/>
    <w:rsid w:val="00A87519"/>
    <w:rsid w:val="00A90DE4"/>
    <w:rsid w:val="00A9246D"/>
    <w:rsid w:val="00A93644"/>
    <w:rsid w:val="00A93BD0"/>
    <w:rsid w:val="00A95D69"/>
    <w:rsid w:val="00A975A4"/>
    <w:rsid w:val="00AA2001"/>
    <w:rsid w:val="00AA2B5C"/>
    <w:rsid w:val="00AA4E59"/>
    <w:rsid w:val="00AA5328"/>
    <w:rsid w:val="00AA5393"/>
    <w:rsid w:val="00AA5771"/>
    <w:rsid w:val="00AA63D4"/>
    <w:rsid w:val="00AA6767"/>
    <w:rsid w:val="00AB03FD"/>
    <w:rsid w:val="00AB23FD"/>
    <w:rsid w:val="00AB38CB"/>
    <w:rsid w:val="00AB3BEC"/>
    <w:rsid w:val="00AB44E4"/>
    <w:rsid w:val="00AB4AEB"/>
    <w:rsid w:val="00AB5352"/>
    <w:rsid w:val="00AB56AE"/>
    <w:rsid w:val="00AB62D5"/>
    <w:rsid w:val="00AB65B5"/>
    <w:rsid w:val="00AB6DCD"/>
    <w:rsid w:val="00AB6EE0"/>
    <w:rsid w:val="00AB7D91"/>
    <w:rsid w:val="00AC2DFD"/>
    <w:rsid w:val="00AC352D"/>
    <w:rsid w:val="00AC39B7"/>
    <w:rsid w:val="00AC40B7"/>
    <w:rsid w:val="00AC531F"/>
    <w:rsid w:val="00AC6121"/>
    <w:rsid w:val="00AC626D"/>
    <w:rsid w:val="00AC6CB1"/>
    <w:rsid w:val="00AD0091"/>
    <w:rsid w:val="00AD23D8"/>
    <w:rsid w:val="00AD23EF"/>
    <w:rsid w:val="00AD307B"/>
    <w:rsid w:val="00AD41B3"/>
    <w:rsid w:val="00AD4C48"/>
    <w:rsid w:val="00AD57AF"/>
    <w:rsid w:val="00AD6267"/>
    <w:rsid w:val="00AD6DEC"/>
    <w:rsid w:val="00AD7317"/>
    <w:rsid w:val="00AE01A8"/>
    <w:rsid w:val="00AE0CBD"/>
    <w:rsid w:val="00AE123A"/>
    <w:rsid w:val="00AE1D09"/>
    <w:rsid w:val="00AE28A7"/>
    <w:rsid w:val="00AE33A6"/>
    <w:rsid w:val="00AE3446"/>
    <w:rsid w:val="00AE3715"/>
    <w:rsid w:val="00AE3729"/>
    <w:rsid w:val="00AE55B2"/>
    <w:rsid w:val="00AE5C6A"/>
    <w:rsid w:val="00AE65F7"/>
    <w:rsid w:val="00AE7280"/>
    <w:rsid w:val="00AF033A"/>
    <w:rsid w:val="00AF1699"/>
    <w:rsid w:val="00AF3896"/>
    <w:rsid w:val="00AF6C33"/>
    <w:rsid w:val="00B0098A"/>
    <w:rsid w:val="00B00A5F"/>
    <w:rsid w:val="00B0225F"/>
    <w:rsid w:val="00B029B8"/>
    <w:rsid w:val="00B02F60"/>
    <w:rsid w:val="00B032B8"/>
    <w:rsid w:val="00B04B46"/>
    <w:rsid w:val="00B0534D"/>
    <w:rsid w:val="00B06368"/>
    <w:rsid w:val="00B06FC6"/>
    <w:rsid w:val="00B07163"/>
    <w:rsid w:val="00B07429"/>
    <w:rsid w:val="00B12FE6"/>
    <w:rsid w:val="00B1303F"/>
    <w:rsid w:val="00B1364A"/>
    <w:rsid w:val="00B13D3C"/>
    <w:rsid w:val="00B1525C"/>
    <w:rsid w:val="00B16715"/>
    <w:rsid w:val="00B171B4"/>
    <w:rsid w:val="00B174A8"/>
    <w:rsid w:val="00B17910"/>
    <w:rsid w:val="00B20F18"/>
    <w:rsid w:val="00B21516"/>
    <w:rsid w:val="00B22639"/>
    <w:rsid w:val="00B22CE0"/>
    <w:rsid w:val="00B23738"/>
    <w:rsid w:val="00B23BEF"/>
    <w:rsid w:val="00B247BB"/>
    <w:rsid w:val="00B25806"/>
    <w:rsid w:val="00B25C11"/>
    <w:rsid w:val="00B25EDF"/>
    <w:rsid w:val="00B25EE6"/>
    <w:rsid w:val="00B26B53"/>
    <w:rsid w:val="00B3115A"/>
    <w:rsid w:val="00B31A5C"/>
    <w:rsid w:val="00B33C19"/>
    <w:rsid w:val="00B34861"/>
    <w:rsid w:val="00B34BBC"/>
    <w:rsid w:val="00B34CB7"/>
    <w:rsid w:val="00B35F6E"/>
    <w:rsid w:val="00B363BD"/>
    <w:rsid w:val="00B369F7"/>
    <w:rsid w:val="00B36A99"/>
    <w:rsid w:val="00B37537"/>
    <w:rsid w:val="00B37E8B"/>
    <w:rsid w:val="00B41B81"/>
    <w:rsid w:val="00B42980"/>
    <w:rsid w:val="00B434B2"/>
    <w:rsid w:val="00B434C7"/>
    <w:rsid w:val="00B43D45"/>
    <w:rsid w:val="00B44771"/>
    <w:rsid w:val="00B4650E"/>
    <w:rsid w:val="00B468F2"/>
    <w:rsid w:val="00B46B45"/>
    <w:rsid w:val="00B46F6B"/>
    <w:rsid w:val="00B47286"/>
    <w:rsid w:val="00B47894"/>
    <w:rsid w:val="00B50234"/>
    <w:rsid w:val="00B51794"/>
    <w:rsid w:val="00B51BF4"/>
    <w:rsid w:val="00B52C68"/>
    <w:rsid w:val="00B542FE"/>
    <w:rsid w:val="00B55A1B"/>
    <w:rsid w:val="00B561DB"/>
    <w:rsid w:val="00B57494"/>
    <w:rsid w:val="00B61DCE"/>
    <w:rsid w:val="00B62188"/>
    <w:rsid w:val="00B62467"/>
    <w:rsid w:val="00B62F79"/>
    <w:rsid w:val="00B62F82"/>
    <w:rsid w:val="00B6325B"/>
    <w:rsid w:val="00B648FA"/>
    <w:rsid w:val="00B662FF"/>
    <w:rsid w:val="00B72C80"/>
    <w:rsid w:val="00B730B4"/>
    <w:rsid w:val="00B74340"/>
    <w:rsid w:val="00B744E0"/>
    <w:rsid w:val="00B7481A"/>
    <w:rsid w:val="00B74F2F"/>
    <w:rsid w:val="00B756FB"/>
    <w:rsid w:val="00B769BC"/>
    <w:rsid w:val="00B77349"/>
    <w:rsid w:val="00B7761E"/>
    <w:rsid w:val="00B80A37"/>
    <w:rsid w:val="00B80A3D"/>
    <w:rsid w:val="00B823E0"/>
    <w:rsid w:val="00B82B78"/>
    <w:rsid w:val="00B83199"/>
    <w:rsid w:val="00B83E3C"/>
    <w:rsid w:val="00B84662"/>
    <w:rsid w:val="00B85402"/>
    <w:rsid w:val="00B864A3"/>
    <w:rsid w:val="00B86C2A"/>
    <w:rsid w:val="00B902A5"/>
    <w:rsid w:val="00B90420"/>
    <w:rsid w:val="00B913E4"/>
    <w:rsid w:val="00B91DB9"/>
    <w:rsid w:val="00B93EFE"/>
    <w:rsid w:val="00B94956"/>
    <w:rsid w:val="00B94C7F"/>
    <w:rsid w:val="00B956B5"/>
    <w:rsid w:val="00B95904"/>
    <w:rsid w:val="00B95C3A"/>
    <w:rsid w:val="00B95FCE"/>
    <w:rsid w:val="00BA0D44"/>
    <w:rsid w:val="00BA0E26"/>
    <w:rsid w:val="00BA31BF"/>
    <w:rsid w:val="00BA43FC"/>
    <w:rsid w:val="00BA478B"/>
    <w:rsid w:val="00BA5224"/>
    <w:rsid w:val="00BA7456"/>
    <w:rsid w:val="00BA7925"/>
    <w:rsid w:val="00BA7B27"/>
    <w:rsid w:val="00BA7E3B"/>
    <w:rsid w:val="00BB079C"/>
    <w:rsid w:val="00BB32A1"/>
    <w:rsid w:val="00BB39C1"/>
    <w:rsid w:val="00BB5555"/>
    <w:rsid w:val="00BB5D16"/>
    <w:rsid w:val="00BB6180"/>
    <w:rsid w:val="00BB69E6"/>
    <w:rsid w:val="00BB7714"/>
    <w:rsid w:val="00BC108A"/>
    <w:rsid w:val="00BC1B7A"/>
    <w:rsid w:val="00BC2BC7"/>
    <w:rsid w:val="00BC2C17"/>
    <w:rsid w:val="00BC3ACD"/>
    <w:rsid w:val="00BC5C09"/>
    <w:rsid w:val="00BC6E73"/>
    <w:rsid w:val="00BD0014"/>
    <w:rsid w:val="00BD01D8"/>
    <w:rsid w:val="00BD1B17"/>
    <w:rsid w:val="00BD2512"/>
    <w:rsid w:val="00BD255F"/>
    <w:rsid w:val="00BD383D"/>
    <w:rsid w:val="00BD3BD6"/>
    <w:rsid w:val="00BD4236"/>
    <w:rsid w:val="00BD5CCA"/>
    <w:rsid w:val="00BD5CD4"/>
    <w:rsid w:val="00BD6EF9"/>
    <w:rsid w:val="00BD77DD"/>
    <w:rsid w:val="00BE0ACB"/>
    <w:rsid w:val="00BE1915"/>
    <w:rsid w:val="00BE1A90"/>
    <w:rsid w:val="00BE2C0A"/>
    <w:rsid w:val="00BE3537"/>
    <w:rsid w:val="00BE360F"/>
    <w:rsid w:val="00BE50FD"/>
    <w:rsid w:val="00BE51CA"/>
    <w:rsid w:val="00BE5E5A"/>
    <w:rsid w:val="00BE6D47"/>
    <w:rsid w:val="00BE7032"/>
    <w:rsid w:val="00BE7330"/>
    <w:rsid w:val="00BF01C5"/>
    <w:rsid w:val="00BF045B"/>
    <w:rsid w:val="00BF066A"/>
    <w:rsid w:val="00BF361C"/>
    <w:rsid w:val="00BF4342"/>
    <w:rsid w:val="00BF5050"/>
    <w:rsid w:val="00BF5422"/>
    <w:rsid w:val="00BF54CF"/>
    <w:rsid w:val="00BF59B1"/>
    <w:rsid w:val="00BF6A78"/>
    <w:rsid w:val="00BF6E19"/>
    <w:rsid w:val="00BF79B4"/>
    <w:rsid w:val="00C0099F"/>
    <w:rsid w:val="00C01427"/>
    <w:rsid w:val="00C016A1"/>
    <w:rsid w:val="00C04AAB"/>
    <w:rsid w:val="00C058AF"/>
    <w:rsid w:val="00C124C1"/>
    <w:rsid w:val="00C128AE"/>
    <w:rsid w:val="00C136D6"/>
    <w:rsid w:val="00C13D5B"/>
    <w:rsid w:val="00C17AE2"/>
    <w:rsid w:val="00C20F27"/>
    <w:rsid w:val="00C215CF"/>
    <w:rsid w:val="00C2244B"/>
    <w:rsid w:val="00C2263D"/>
    <w:rsid w:val="00C22B0D"/>
    <w:rsid w:val="00C22F55"/>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60B3"/>
    <w:rsid w:val="00C36363"/>
    <w:rsid w:val="00C3679B"/>
    <w:rsid w:val="00C37027"/>
    <w:rsid w:val="00C3778D"/>
    <w:rsid w:val="00C405A3"/>
    <w:rsid w:val="00C42752"/>
    <w:rsid w:val="00C42973"/>
    <w:rsid w:val="00C44F9C"/>
    <w:rsid w:val="00C46D58"/>
    <w:rsid w:val="00C4730E"/>
    <w:rsid w:val="00C47EE9"/>
    <w:rsid w:val="00C5019C"/>
    <w:rsid w:val="00C5034F"/>
    <w:rsid w:val="00C51202"/>
    <w:rsid w:val="00C514D3"/>
    <w:rsid w:val="00C52479"/>
    <w:rsid w:val="00C5291F"/>
    <w:rsid w:val="00C52BC8"/>
    <w:rsid w:val="00C52C59"/>
    <w:rsid w:val="00C5349E"/>
    <w:rsid w:val="00C5354B"/>
    <w:rsid w:val="00C54467"/>
    <w:rsid w:val="00C54D3D"/>
    <w:rsid w:val="00C55116"/>
    <w:rsid w:val="00C55A30"/>
    <w:rsid w:val="00C5787F"/>
    <w:rsid w:val="00C57C58"/>
    <w:rsid w:val="00C6028F"/>
    <w:rsid w:val="00C6036D"/>
    <w:rsid w:val="00C608F1"/>
    <w:rsid w:val="00C631E1"/>
    <w:rsid w:val="00C638D8"/>
    <w:rsid w:val="00C63C84"/>
    <w:rsid w:val="00C63D26"/>
    <w:rsid w:val="00C641EB"/>
    <w:rsid w:val="00C65053"/>
    <w:rsid w:val="00C65BD9"/>
    <w:rsid w:val="00C66061"/>
    <w:rsid w:val="00C661D6"/>
    <w:rsid w:val="00C66F69"/>
    <w:rsid w:val="00C67223"/>
    <w:rsid w:val="00C67CFF"/>
    <w:rsid w:val="00C707B8"/>
    <w:rsid w:val="00C7084B"/>
    <w:rsid w:val="00C71C15"/>
    <w:rsid w:val="00C71F3D"/>
    <w:rsid w:val="00C72F53"/>
    <w:rsid w:val="00C74035"/>
    <w:rsid w:val="00C76FF4"/>
    <w:rsid w:val="00C77818"/>
    <w:rsid w:val="00C77AE3"/>
    <w:rsid w:val="00C8063F"/>
    <w:rsid w:val="00C81549"/>
    <w:rsid w:val="00C829A1"/>
    <w:rsid w:val="00C83B36"/>
    <w:rsid w:val="00C84F8A"/>
    <w:rsid w:val="00C85209"/>
    <w:rsid w:val="00C8618F"/>
    <w:rsid w:val="00C87AB9"/>
    <w:rsid w:val="00C90372"/>
    <w:rsid w:val="00C9041F"/>
    <w:rsid w:val="00C91A45"/>
    <w:rsid w:val="00C91ED2"/>
    <w:rsid w:val="00C91FB4"/>
    <w:rsid w:val="00C94D41"/>
    <w:rsid w:val="00C95745"/>
    <w:rsid w:val="00C962E3"/>
    <w:rsid w:val="00C965BD"/>
    <w:rsid w:val="00C96717"/>
    <w:rsid w:val="00C97997"/>
    <w:rsid w:val="00CA08FE"/>
    <w:rsid w:val="00CA0FAC"/>
    <w:rsid w:val="00CA2513"/>
    <w:rsid w:val="00CA25C0"/>
    <w:rsid w:val="00CA3451"/>
    <w:rsid w:val="00CA4948"/>
    <w:rsid w:val="00CA52F9"/>
    <w:rsid w:val="00CA568B"/>
    <w:rsid w:val="00CA7500"/>
    <w:rsid w:val="00CB0696"/>
    <w:rsid w:val="00CB1239"/>
    <w:rsid w:val="00CB19FE"/>
    <w:rsid w:val="00CB304C"/>
    <w:rsid w:val="00CB53E8"/>
    <w:rsid w:val="00CB594A"/>
    <w:rsid w:val="00CB5CB2"/>
    <w:rsid w:val="00CB6979"/>
    <w:rsid w:val="00CC0A3D"/>
    <w:rsid w:val="00CC2373"/>
    <w:rsid w:val="00CC3D24"/>
    <w:rsid w:val="00CC3F91"/>
    <w:rsid w:val="00CC40B6"/>
    <w:rsid w:val="00CC4B0A"/>
    <w:rsid w:val="00CC544A"/>
    <w:rsid w:val="00CC57EA"/>
    <w:rsid w:val="00CC5954"/>
    <w:rsid w:val="00CC6C4E"/>
    <w:rsid w:val="00CC6DD8"/>
    <w:rsid w:val="00CD05A2"/>
    <w:rsid w:val="00CD19DA"/>
    <w:rsid w:val="00CD29D4"/>
    <w:rsid w:val="00CD38F5"/>
    <w:rsid w:val="00CD437E"/>
    <w:rsid w:val="00CD4AE5"/>
    <w:rsid w:val="00CD5833"/>
    <w:rsid w:val="00CD5A89"/>
    <w:rsid w:val="00CD5DAD"/>
    <w:rsid w:val="00CD72C5"/>
    <w:rsid w:val="00CD79A7"/>
    <w:rsid w:val="00CE0789"/>
    <w:rsid w:val="00CE1A03"/>
    <w:rsid w:val="00CE2346"/>
    <w:rsid w:val="00CE3529"/>
    <w:rsid w:val="00CE35C8"/>
    <w:rsid w:val="00CE3962"/>
    <w:rsid w:val="00CE4222"/>
    <w:rsid w:val="00CE5105"/>
    <w:rsid w:val="00CE56BD"/>
    <w:rsid w:val="00CE5EC0"/>
    <w:rsid w:val="00CE6F9F"/>
    <w:rsid w:val="00CE773B"/>
    <w:rsid w:val="00CE781A"/>
    <w:rsid w:val="00CF10FC"/>
    <w:rsid w:val="00CF1D74"/>
    <w:rsid w:val="00CF2BE2"/>
    <w:rsid w:val="00CF3157"/>
    <w:rsid w:val="00CF55F9"/>
    <w:rsid w:val="00CF71A6"/>
    <w:rsid w:val="00CF7495"/>
    <w:rsid w:val="00CF7671"/>
    <w:rsid w:val="00CF7C5B"/>
    <w:rsid w:val="00D01CF9"/>
    <w:rsid w:val="00D02246"/>
    <w:rsid w:val="00D0334D"/>
    <w:rsid w:val="00D0374D"/>
    <w:rsid w:val="00D05A76"/>
    <w:rsid w:val="00D07384"/>
    <w:rsid w:val="00D07BEF"/>
    <w:rsid w:val="00D07F1D"/>
    <w:rsid w:val="00D10558"/>
    <w:rsid w:val="00D1203E"/>
    <w:rsid w:val="00D13E70"/>
    <w:rsid w:val="00D16C58"/>
    <w:rsid w:val="00D17019"/>
    <w:rsid w:val="00D170C1"/>
    <w:rsid w:val="00D178DE"/>
    <w:rsid w:val="00D17C6E"/>
    <w:rsid w:val="00D21168"/>
    <w:rsid w:val="00D235C8"/>
    <w:rsid w:val="00D2384A"/>
    <w:rsid w:val="00D2438C"/>
    <w:rsid w:val="00D26C3F"/>
    <w:rsid w:val="00D27185"/>
    <w:rsid w:val="00D31CA2"/>
    <w:rsid w:val="00D32B84"/>
    <w:rsid w:val="00D337AE"/>
    <w:rsid w:val="00D33AB3"/>
    <w:rsid w:val="00D33F24"/>
    <w:rsid w:val="00D346B7"/>
    <w:rsid w:val="00D346B8"/>
    <w:rsid w:val="00D35AC8"/>
    <w:rsid w:val="00D35D34"/>
    <w:rsid w:val="00D36F87"/>
    <w:rsid w:val="00D37E4E"/>
    <w:rsid w:val="00D42E6C"/>
    <w:rsid w:val="00D43218"/>
    <w:rsid w:val="00D43B80"/>
    <w:rsid w:val="00D44236"/>
    <w:rsid w:val="00D44AE2"/>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5538"/>
    <w:rsid w:val="00D664BF"/>
    <w:rsid w:val="00D66D8B"/>
    <w:rsid w:val="00D676C4"/>
    <w:rsid w:val="00D71CE6"/>
    <w:rsid w:val="00D72A1C"/>
    <w:rsid w:val="00D73580"/>
    <w:rsid w:val="00D73802"/>
    <w:rsid w:val="00D73868"/>
    <w:rsid w:val="00D73C2C"/>
    <w:rsid w:val="00D73D52"/>
    <w:rsid w:val="00D74042"/>
    <w:rsid w:val="00D7453F"/>
    <w:rsid w:val="00D745E7"/>
    <w:rsid w:val="00D77495"/>
    <w:rsid w:val="00D774ED"/>
    <w:rsid w:val="00D777F6"/>
    <w:rsid w:val="00D77F88"/>
    <w:rsid w:val="00D8002D"/>
    <w:rsid w:val="00D8047C"/>
    <w:rsid w:val="00D81EAA"/>
    <w:rsid w:val="00D8259F"/>
    <w:rsid w:val="00D825F2"/>
    <w:rsid w:val="00D828B1"/>
    <w:rsid w:val="00D84F27"/>
    <w:rsid w:val="00D850D4"/>
    <w:rsid w:val="00D862D1"/>
    <w:rsid w:val="00D873C6"/>
    <w:rsid w:val="00D91027"/>
    <w:rsid w:val="00D94C7D"/>
    <w:rsid w:val="00D94CA4"/>
    <w:rsid w:val="00D94FB4"/>
    <w:rsid w:val="00D95E99"/>
    <w:rsid w:val="00DA098C"/>
    <w:rsid w:val="00DA1A3A"/>
    <w:rsid w:val="00DA2712"/>
    <w:rsid w:val="00DA2C65"/>
    <w:rsid w:val="00DA395D"/>
    <w:rsid w:val="00DA6D33"/>
    <w:rsid w:val="00DB16B8"/>
    <w:rsid w:val="00DB1869"/>
    <w:rsid w:val="00DB1D52"/>
    <w:rsid w:val="00DB1F62"/>
    <w:rsid w:val="00DB2E03"/>
    <w:rsid w:val="00DB2E97"/>
    <w:rsid w:val="00DB3369"/>
    <w:rsid w:val="00DB3742"/>
    <w:rsid w:val="00DB3F4B"/>
    <w:rsid w:val="00DB61A4"/>
    <w:rsid w:val="00DB67C1"/>
    <w:rsid w:val="00DB70CD"/>
    <w:rsid w:val="00DB70F4"/>
    <w:rsid w:val="00DB7343"/>
    <w:rsid w:val="00DC1056"/>
    <w:rsid w:val="00DC211E"/>
    <w:rsid w:val="00DC21D8"/>
    <w:rsid w:val="00DC282A"/>
    <w:rsid w:val="00DC34DC"/>
    <w:rsid w:val="00DC3CC6"/>
    <w:rsid w:val="00DC514A"/>
    <w:rsid w:val="00DC64EC"/>
    <w:rsid w:val="00DC67B1"/>
    <w:rsid w:val="00DC7833"/>
    <w:rsid w:val="00DC7CE9"/>
    <w:rsid w:val="00DD132B"/>
    <w:rsid w:val="00DD1725"/>
    <w:rsid w:val="00DD2427"/>
    <w:rsid w:val="00DD2A18"/>
    <w:rsid w:val="00DD36DA"/>
    <w:rsid w:val="00DD5B1A"/>
    <w:rsid w:val="00DD61E8"/>
    <w:rsid w:val="00DD62C0"/>
    <w:rsid w:val="00DD7859"/>
    <w:rsid w:val="00DE03AC"/>
    <w:rsid w:val="00DE0A1D"/>
    <w:rsid w:val="00DE15B2"/>
    <w:rsid w:val="00DE1A9A"/>
    <w:rsid w:val="00DE3D2C"/>
    <w:rsid w:val="00DE59F8"/>
    <w:rsid w:val="00DE5E82"/>
    <w:rsid w:val="00DE5FA6"/>
    <w:rsid w:val="00DE6494"/>
    <w:rsid w:val="00DE6AA1"/>
    <w:rsid w:val="00DE74D7"/>
    <w:rsid w:val="00DE7EF7"/>
    <w:rsid w:val="00DF106A"/>
    <w:rsid w:val="00DF1185"/>
    <w:rsid w:val="00DF1299"/>
    <w:rsid w:val="00DF1A70"/>
    <w:rsid w:val="00DF23A8"/>
    <w:rsid w:val="00DF2F27"/>
    <w:rsid w:val="00DF6CCC"/>
    <w:rsid w:val="00DF6D0C"/>
    <w:rsid w:val="00DF6DC2"/>
    <w:rsid w:val="00DF6F64"/>
    <w:rsid w:val="00DF721E"/>
    <w:rsid w:val="00DF7C87"/>
    <w:rsid w:val="00E009B0"/>
    <w:rsid w:val="00E031C0"/>
    <w:rsid w:val="00E03AFE"/>
    <w:rsid w:val="00E03D5C"/>
    <w:rsid w:val="00E046A9"/>
    <w:rsid w:val="00E04C0F"/>
    <w:rsid w:val="00E0570B"/>
    <w:rsid w:val="00E057B2"/>
    <w:rsid w:val="00E05996"/>
    <w:rsid w:val="00E068D9"/>
    <w:rsid w:val="00E10B87"/>
    <w:rsid w:val="00E1478B"/>
    <w:rsid w:val="00E14FAC"/>
    <w:rsid w:val="00E15007"/>
    <w:rsid w:val="00E16EC7"/>
    <w:rsid w:val="00E1714F"/>
    <w:rsid w:val="00E17995"/>
    <w:rsid w:val="00E21576"/>
    <w:rsid w:val="00E21801"/>
    <w:rsid w:val="00E219CE"/>
    <w:rsid w:val="00E23961"/>
    <w:rsid w:val="00E24071"/>
    <w:rsid w:val="00E24EBC"/>
    <w:rsid w:val="00E2522C"/>
    <w:rsid w:val="00E2599B"/>
    <w:rsid w:val="00E27383"/>
    <w:rsid w:val="00E2793D"/>
    <w:rsid w:val="00E30281"/>
    <w:rsid w:val="00E31AFA"/>
    <w:rsid w:val="00E324EE"/>
    <w:rsid w:val="00E359FF"/>
    <w:rsid w:val="00E36083"/>
    <w:rsid w:val="00E36AA7"/>
    <w:rsid w:val="00E36E39"/>
    <w:rsid w:val="00E405F1"/>
    <w:rsid w:val="00E43054"/>
    <w:rsid w:val="00E434C4"/>
    <w:rsid w:val="00E44FE4"/>
    <w:rsid w:val="00E45490"/>
    <w:rsid w:val="00E46013"/>
    <w:rsid w:val="00E477C3"/>
    <w:rsid w:val="00E5048D"/>
    <w:rsid w:val="00E50AC4"/>
    <w:rsid w:val="00E51077"/>
    <w:rsid w:val="00E5132D"/>
    <w:rsid w:val="00E51741"/>
    <w:rsid w:val="00E51A87"/>
    <w:rsid w:val="00E51E16"/>
    <w:rsid w:val="00E52151"/>
    <w:rsid w:val="00E53730"/>
    <w:rsid w:val="00E53C46"/>
    <w:rsid w:val="00E54511"/>
    <w:rsid w:val="00E548BE"/>
    <w:rsid w:val="00E54978"/>
    <w:rsid w:val="00E55809"/>
    <w:rsid w:val="00E55DC3"/>
    <w:rsid w:val="00E57577"/>
    <w:rsid w:val="00E62043"/>
    <w:rsid w:val="00E626B9"/>
    <w:rsid w:val="00E627C9"/>
    <w:rsid w:val="00E630F3"/>
    <w:rsid w:val="00E65198"/>
    <w:rsid w:val="00E664FB"/>
    <w:rsid w:val="00E66F0D"/>
    <w:rsid w:val="00E6799C"/>
    <w:rsid w:val="00E70615"/>
    <w:rsid w:val="00E71A5E"/>
    <w:rsid w:val="00E7207B"/>
    <w:rsid w:val="00E7347A"/>
    <w:rsid w:val="00E746F4"/>
    <w:rsid w:val="00E75325"/>
    <w:rsid w:val="00E75A47"/>
    <w:rsid w:val="00E75D8C"/>
    <w:rsid w:val="00E7746B"/>
    <w:rsid w:val="00E77771"/>
    <w:rsid w:val="00E777F2"/>
    <w:rsid w:val="00E779ED"/>
    <w:rsid w:val="00E802C9"/>
    <w:rsid w:val="00E80EDD"/>
    <w:rsid w:val="00E80F0A"/>
    <w:rsid w:val="00E81A6A"/>
    <w:rsid w:val="00E8291B"/>
    <w:rsid w:val="00E8395F"/>
    <w:rsid w:val="00E83BAE"/>
    <w:rsid w:val="00E8473F"/>
    <w:rsid w:val="00E857EB"/>
    <w:rsid w:val="00E85E41"/>
    <w:rsid w:val="00E85EA1"/>
    <w:rsid w:val="00E8610B"/>
    <w:rsid w:val="00E86C86"/>
    <w:rsid w:val="00E91044"/>
    <w:rsid w:val="00E910D3"/>
    <w:rsid w:val="00E9214B"/>
    <w:rsid w:val="00E923CF"/>
    <w:rsid w:val="00E9335F"/>
    <w:rsid w:val="00E95111"/>
    <w:rsid w:val="00EA061E"/>
    <w:rsid w:val="00EA14C8"/>
    <w:rsid w:val="00EA19D3"/>
    <w:rsid w:val="00EA2358"/>
    <w:rsid w:val="00EA2C8B"/>
    <w:rsid w:val="00EA3582"/>
    <w:rsid w:val="00EA6649"/>
    <w:rsid w:val="00EB05D0"/>
    <w:rsid w:val="00EB07C5"/>
    <w:rsid w:val="00EB107E"/>
    <w:rsid w:val="00EB1D49"/>
    <w:rsid w:val="00EB42DD"/>
    <w:rsid w:val="00EB559F"/>
    <w:rsid w:val="00EB5F3D"/>
    <w:rsid w:val="00EB6EC2"/>
    <w:rsid w:val="00EC1CEB"/>
    <w:rsid w:val="00EC268C"/>
    <w:rsid w:val="00EC3602"/>
    <w:rsid w:val="00EC3753"/>
    <w:rsid w:val="00EC3CB8"/>
    <w:rsid w:val="00EC3D46"/>
    <w:rsid w:val="00EC4E71"/>
    <w:rsid w:val="00EC569A"/>
    <w:rsid w:val="00EC6667"/>
    <w:rsid w:val="00ED0365"/>
    <w:rsid w:val="00ED0865"/>
    <w:rsid w:val="00ED094F"/>
    <w:rsid w:val="00ED16B6"/>
    <w:rsid w:val="00ED1C60"/>
    <w:rsid w:val="00ED2EB9"/>
    <w:rsid w:val="00ED31FA"/>
    <w:rsid w:val="00ED4469"/>
    <w:rsid w:val="00ED5F23"/>
    <w:rsid w:val="00ED6DC0"/>
    <w:rsid w:val="00ED79CE"/>
    <w:rsid w:val="00ED7A7A"/>
    <w:rsid w:val="00EE038C"/>
    <w:rsid w:val="00EE040B"/>
    <w:rsid w:val="00EE06A3"/>
    <w:rsid w:val="00EE10C7"/>
    <w:rsid w:val="00EE47C5"/>
    <w:rsid w:val="00EE490C"/>
    <w:rsid w:val="00EE4E02"/>
    <w:rsid w:val="00EE613B"/>
    <w:rsid w:val="00EE7E17"/>
    <w:rsid w:val="00EF2C8E"/>
    <w:rsid w:val="00EF3A0D"/>
    <w:rsid w:val="00EF3CEB"/>
    <w:rsid w:val="00EF41A8"/>
    <w:rsid w:val="00EF44FB"/>
    <w:rsid w:val="00EF4D3C"/>
    <w:rsid w:val="00EF5554"/>
    <w:rsid w:val="00EF5AD8"/>
    <w:rsid w:val="00EF5D2F"/>
    <w:rsid w:val="00EF63F5"/>
    <w:rsid w:val="00EF6758"/>
    <w:rsid w:val="00EF6B90"/>
    <w:rsid w:val="00EF70AE"/>
    <w:rsid w:val="00EF79F7"/>
    <w:rsid w:val="00F00418"/>
    <w:rsid w:val="00F006C0"/>
    <w:rsid w:val="00F019AA"/>
    <w:rsid w:val="00F0267E"/>
    <w:rsid w:val="00F02686"/>
    <w:rsid w:val="00F030DA"/>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281"/>
    <w:rsid w:val="00F17AD9"/>
    <w:rsid w:val="00F17F74"/>
    <w:rsid w:val="00F202C2"/>
    <w:rsid w:val="00F22756"/>
    <w:rsid w:val="00F23890"/>
    <w:rsid w:val="00F2447A"/>
    <w:rsid w:val="00F24638"/>
    <w:rsid w:val="00F2504D"/>
    <w:rsid w:val="00F2637F"/>
    <w:rsid w:val="00F263A8"/>
    <w:rsid w:val="00F268F7"/>
    <w:rsid w:val="00F27280"/>
    <w:rsid w:val="00F3053D"/>
    <w:rsid w:val="00F30BDB"/>
    <w:rsid w:val="00F30CF8"/>
    <w:rsid w:val="00F317E3"/>
    <w:rsid w:val="00F31EDF"/>
    <w:rsid w:val="00F32CDE"/>
    <w:rsid w:val="00F32D4C"/>
    <w:rsid w:val="00F34811"/>
    <w:rsid w:val="00F34B14"/>
    <w:rsid w:val="00F36A6A"/>
    <w:rsid w:val="00F40101"/>
    <w:rsid w:val="00F404F7"/>
    <w:rsid w:val="00F40CCA"/>
    <w:rsid w:val="00F41521"/>
    <w:rsid w:val="00F41975"/>
    <w:rsid w:val="00F41C0E"/>
    <w:rsid w:val="00F42D97"/>
    <w:rsid w:val="00F43F09"/>
    <w:rsid w:val="00F45A72"/>
    <w:rsid w:val="00F46723"/>
    <w:rsid w:val="00F50016"/>
    <w:rsid w:val="00F50647"/>
    <w:rsid w:val="00F5118A"/>
    <w:rsid w:val="00F51A21"/>
    <w:rsid w:val="00F5276E"/>
    <w:rsid w:val="00F529F9"/>
    <w:rsid w:val="00F52E9F"/>
    <w:rsid w:val="00F53304"/>
    <w:rsid w:val="00F53D40"/>
    <w:rsid w:val="00F545ED"/>
    <w:rsid w:val="00F5687F"/>
    <w:rsid w:val="00F575C7"/>
    <w:rsid w:val="00F60305"/>
    <w:rsid w:val="00F61B12"/>
    <w:rsid w:val="00F61CC5"/>
    <w:rsid w:val="00F62398"/>
    <w:rsid w:val="00F631E8"/>
    <w:rsid w:val="00F63223"/>
    <w:rsid w:val="00F63264"/>
    <w:rsid w:val="00F6379E"/>
    <w:rsid w:val="00F6407A"/>
    <w:rsid w:val="00F64142"/>
    <w:rsid w:val="00F657E9"/>
    <w:rsid w:val="00F70799"/>
    <w:rsid w:val="00F70906"/>
    <w:rsid w:val="00F70A8B"/>
    <w:rsid w:val="00F7166E"/>
    <w:rsid w:val="00F724FB"/>
    <w:rsid w:val="00F72578"/>
    <w:rsid w:val="00F72A26"/>
    <w:rsid w:val="00F733C3"/>
    <w:rsid w:val="00F756DD"/>
    <w:rsid w:val="00F75DB3"/>
    <w:rsid w:val="00F75F60"/>
    <w:rsid w:val="00F80047"/>
    <w:rsid w:val="00F8104D"/>
    <w:rsid w:val="00F81587"/>
    <w:rsid w:val="00F82571"/>
    <w:rsid w:val="00F85B72"/>
    <w:rsid w:val="00F86B6D"/>
    <w:rsid w:val="00F87483"/>
    <w:rsid w:val="00F8766F"/>
    <w:rsid w:val="00F9104C"/>
    <w:rsid w:val="00F91082"/>
    <w:rsid w:val="00F91A9A"/>
    <w:rsid w:val="00F93ABB"/>
    <w:rsid w:val="00F94D79"/>
    <w:rsid w:val="00F97E7E"/>
    <w:rsid w:val="00FA118A"/>
    <w:rsid w:val="00FA31C7"/>
    <w:rsid w:val="00FA472D"/>
    <w:rsid w:val="00FA7254"/>
    <w:rsid w:val="00FB0214"/>
    <w:rsid w:val="00FB080C"/>
    <w:rsid w:val="00FB12BC"/>
    <w:rsid w:val="00FB18F6"/>
    <w:rsid w:val="00FB2A52"/>
    <w:rsid w:val="00FB2F13"/>
    <w:rsid w:val="00FB539B"/>
    <w:rsid w:val="00FB6E19"/>
    <w:rsid w:val="00FB71F6"/>
    <w:rsid w:val="00FC1483"/>
    <w:rsid w:val="00FC1C47"/>
    <w:rsid w:val="00FC39ED"/>
    <w:rsid w:val="00FC4419"/>
    <w:rsid w:val="00FC47E2"/>
    <w:rsid w:val="00FC4AA5"/>
    <w:rsid w:val="00FC5148"/>
    <w:rsid w:val="00FC5528"/>
    <w:rsid w:val="00FC75AC"/>
    <w:rsid w:val="00FD01BF"/>
    <w:rsid w:val="00FD0525"/>
    <w:rsid w:val="00FD089D"/>
    <w:rsid w:val="00FD297D"/>
    <w:rsid w:val="00FD298C"/>
    <w:rsid w:val="00FD2D13"/>
    <w:rsid w:val="00FD3D26"/>
    <w:rsid w:val="00FD477E"/>
    <w:rsid w:val="00FD4789"/>
    <w:rsid w:val="00FD59FE"/>
    <w:rsid w:val="00FD6071"/>
    <w:rsid w:val="00FE0794"/>
    <w:rsid w:val="00FE1041"/>
    <w:rsid w:val="00FE24CB"/>
    <w:rsid w:val="00FE3166"/>
    <w:rsid w:val="00FE3320"/>
    <w:rsid w:val="00FE3473"/>
    <w:rsid w:val="00FE353B"/>
    <w:rsid w:val="00FE3E81"/>
    <w:rsid w:val="00FE4049"/>
    <w:rsid w:val="00FE4794"/>
    <w:rsid w:val="00FE5DF7"/>
    <w:rsid w:val="00FE5F72"/>
    <w:rsid w:val="00FF0231"/>
    <w:rsid w:val="00FF11EE"/>
    <w:rsid w:val="00FF1C9B"/>
    <w:rsid w:val="00FF1D49"/>
    <w:rsid w:val="00FF2562"/>
    <w:rsid w:val="00FF2CE1"/>
    <w:rsid w:val="00FF3A41"/>
    <w:rsid w:val="00FF3E5B"/>
    <w:rsid w:val="00FF544F"/>
    <w:rsid w:val="00FF57E4"/>
    <w:rsid w:val="00FF75D9"/>
    <w:rsid w:val="00FF78E5"/>
    <w:rsid w:val="02511F9D"/>
    <w:rsid w:val="02690099"/>
    <w:rsid w:val="03056ED3"/>
    <w:rsid w:val="03A300D1"/>
    <w:rsid w:val="03A314B8"/>
    <w:rsid w:val="03D82B98"/>
    <w:rsid w:val="03DB6322"/>
    <w:rsid w:val="03F83E8B"/>
    <w:rsid w:val="043C0407"/>
    <w:rsid w:val="073562D9"/>
    <w:rsid w:val="075C1AB8"/>
    <w:rsid w:val="07B72767"/>
    <w:rsid w:val="08077E72"/>
    <w:rsid w:val="089F3C3D"/>
    <w:rsid w:val="08E36F8D"/>
    <w:rsid w:val="09270E73"/>
    <w:rsid w:val="09593250"/>
    <w:rsid w:val="09CC2AAC"/>
    <w:rsid w:val="09D820EE"/>
    <w:rsid w:val="0A3E2F0D"/>
    <w:rsid w:val="0A652D3E"/>
    <w:rsid w:val="0B253A7F"/>
    <w:rsid w:val="0B3A48F0"/>
    <w:rsid w:val="0C3660F8"/>
    <w:rsid w:val="0C92213C"/>
    <w:rsid w:val="0D4F221D"/>
    <w:rsid w:val="0D84032B"/>
    <w:rsid w:val="0DE76FA1"/>
    <w:rsid w:val="0ED317E0"/>
    <w:rsid w:val="0F0A0484"/>
    <w:rsid w:val="10A27F31"/>
    <w:rsid w:val="10CA487C"/>
    <w:rsid w:val="11927058"/>
    <w:rsid w:val="126537F7"/>
    <w:rsid w:val="13AF4F03"/>
    <w:rsid w:val="14736E66"/>
    <w:rsid w:val="149B6AC2"/>
    <w:rsid w:val="14C637BF"/>
    <w:rsid w:val="15293653"/>
    <w:rsid w:val="1534169A"/>
    <w:rsid w:val="158F7703"/>
    <w:rsid w:val="15C03E03"/>
    <w:rsid w:val="162A25EB"/>
    <w:rsid w:val="16B5608C"/>
    <w:rsid w:val="16FD2A55"/>
    <w:rsid w:val="17366761"/>
    <w:rsid w:val="177C01F0"/>
    <w:rsid w:val="178057B9"/>
    <w:rsid w:val="17CE6630"/>
    <w:rsid w:val="18043E1F"/>
    <w:rsid w:val="195B09D0"/>
    <w:rsid w:val="19820BA0"/>
    <w:rsid w:val="1AFA16D5"/>
    <w:rsid w:val="1B4F19F8"/>
    <w:rsid w:val="1BD92184"/>
    <w:rsid w:val="1C5170A2"/>
    <w:rsid w:val="1D4061A8"/>
    <w:rsid w:val="1E004BE2"/>
    <w:rsid w:val="1E5A0A86"/>
    <w:rsid w:val="1E9B4F4B"/>
    <w:rsid w:val="1F063325"/>
    <w:rsid w:val="1FBC5DF5"/>
    <w:rsid w:val="1FC55574"/>
    <w:rsid w:val="203A5D23"/>
    <w:rsid w:val="20AE2B29"/>
    <w:rsid w:val="219A5199"/>
    <w:rsid w:val="21B83F86"/>
    <w:rsid w:val="21E55E66"/>
    <w:rsid w:val="221178A8"/>
    <w:rsid w:val="221213CF"/>
    <w:rsid w:val="22327A92"/>
    <w:rsid w:val="22965435"/>
    <w:rsid w:val="22BD6F35"/>
    <w:rsid w:val="231D53A2"/>
    <w:rsid w:val="23B7504C"/>
    <w:rsid w:val="23E21F0A"/>
    <w:rsid w:val="24571307"/>
    <w:rsid w:val="24BA2984"/>
    <w:rsid w:val="24C97D0D"/>
    <w:rsid w:val="25246333"/>
    <w:rsid w:val="2562393C"/>
    <w:rsid w:val="26446DE3"/>
    <w:rsid w:val="264D165B"/>
    <w:rsid w:val="26D7699F"/>
    <w:rsid w:val="274A5E17"/>
    <w:rsid w:val="2B09065E"/>
    <w:rsid w:val="2B774624"/>
    <w:rsid w:val="2BC068DD"/>
    <w:rsid w:val="2C7A72BE"/>
    <w:rsid w:val="2E804C4A"/>
    <w:rsid w:val="2F401D3C"/>
    <w:rsid w:val="2FA95C88"/>
    <w:rsid w:val="3041370F"/>
    <w:rsid w:val="30803872"/>
    <w:rsid w:val="31083A05"/>
    <w:rsid w:val="32453A27"/>
    <w:rsid w:val="325C464C"/>
    <w:rsid w:val="3263064A"/>
    <w:rsid w:val="32AC0C06"/>
    <w:rsid w:val="32DD434B"/>
    <w:rsid w:val="3537750C"/>
    <w:rsid w:val="3537798C"/>
    <w:rsid w:val="357F7ED5"/>
    <w:rsid w:val="35C13FC9"/>
    <w:rsid w:val="362E6D87"/>
    <w:rsid w:val="364257B6"/>
    <w:rsid w:val="36F834D1"/>
    <w:rsid w:val="374264D3"/>
    <w:rsid w:val="37DB7874"/>
    <w:rsid w:val="37EA5922"/>
    <w:rsid w:val="37F30863"/>
    <w:rsid w:val="38276B93"/>
    <w:rsid w:val="393F7DAD"/>
    <w:rsid w:val="39C57C56"/>
    <w:rsid w:val="39F57FAC"/>
    <w:rsid w:val="3A0B64A7"/>
    <w:rsid w:val="3AA77660"/>
    <w:rsid w:val="3AF74C02"/>
    <w:rsid w:val="3B5056C1"/>
    <w:rsid w:val="3C0059A5"/>
    <w:rsid w:val="3C134E78"/>
    <w:rsid w:val="3CCA2A44"/>
    <w:rsid w:val="3DF6345D"/>
    <w:rsid w:val="3E3B7B31"/>
    <w:rsid w:val="3EC357A9"/>
    <w:rsid w:val="3EE13701"/>
    <w:rsid w:val="3F1A4BB3"/>
    <w:rsid w:val="3F6371D0"/>
    <w:rsid w:val="3FC560F3"/>
    <w:rsid w:val="40192BA6"/>
    <w:rsid w:val="409070C5"/>
    <w:rsid w:val="42550A18"/>
    <w:rsid w:val="42DA422F"/>
    <w:rsid w:val="42F1008D"/>
    <w:rsid w:val="42F473A1"/>
    <w:rsid w:val="43931DE2"/>
    <w:rsid w:val="441E62C0"/>
    <w:rsid w:val="44274ACD"/>
    <w:rsid w:val="455A5922"/>
    <w:rsid w:val="45811C7C"/>
    <w:rsid w:val="45FA6B1E"/>
    <w:rsid w:val="46053138"/>
    <w:rsid w:val="468B3EFB"/>
    <w:rsid w:val="470A6193"/>
    <w:rsid w:val="47A762AD"/>
    <w:rsid w:val="47DC4F5C"/>
    <w:rsid w:val="48B40671"/>
    <w:rsid w:val="499B5738"/>
    <w:rsid w:val="499F244D"/>
    <w:rsid w:val="4A8F58C2"/>
    <w:rsid w:val="4AF96BC7"/>
    <w:rsid w:val="4BFB4050"/>
    <w:rsid w:val="4CEF36E2"/>
    <w:rsid w:val="4CEF795D"/>
    <w:rsid w:val="4CFD462D"/>
    <w:rsid w:val="4D3B1120"/>
    <w:rsid w:val="4F1162B1"/>
    <w:rsid w:val="4F372FFB"/>
    <w:rsid w:val="4FA76FA4"/>
    <w:rsid w:val="50114897"/>
    <w:rsid w:val="5040259D"/>
    <w:rsid w:val="513F391C"/>
    <w:rsid w:val="51564E44"/>
    <w:rsid w:val="516D4911"/>
    <w:rsid w:val="51707326"/>
    <w:rsid w:val="51F36455"/>
    <w:rsid w:val="52C10D75"/>
    <w:rsid w:val="53823A08"/>
    <w:rsid w:val="546262F4"/>
    <w:rsid w:val="549D4147"/>
    <w:rsid w:val="550A201B"/>
    <w:rsid w:val="550C4BD7"/>
    <w:rsid w:val="55397522"/>
    <w:rsid w:val="55572986"/>
    <w:rsid w:val="56537644"/>
    <w:rsid w:val="5682624E"/>
    <w:rsid w:val="57077E19"/>
    <w:rsid w:val="59351195"/>
    <w:rsid w:val="5A79429E"/>
    <w:rsid w:val="5A957D93"/>
    <w:rsid w:val="5AE85093"/>
    <w:rsid w:val="5B3760D9"/>
    <w:rsid w:val="5C2A2285"/>
    <w:rsid w:val="5CEA116D"/>
    <w:rsid w:val="5D2317D1"/>
    <w:rsid w:val="5E59266B"/>
    <w:rsid w:val="5F2913F5"/>
    <w:rsid w:val="5F80710D"/>
    <w:rsid w:val="606007BB"/>
    <w:rsid w:val="60AC7F66"/>
    <w:rsid w:val="618835DC"/>
    <w:rsid w:val="61BF10D9"/>
    <w:rsid w:val="61F67397"/>
    <w:rsid w:val="62165280"/>
    <w:rsid w:val="629F7BDB"/>
    <w:rsid w:val="640C7C21"/>
    <w:rsid w:val="64E45EF7"/>
    <w:rsid w:val="65136812"/>
    <w:rsid w:val="65FE4E01"/>
    <w:rsid w:val="66A57729"/>
    <w:rsid w:val="677435B2"/>
    <w:rsid w:val="67EF75F1"/>
    <w:rsid w:val="69124F16"/>
    <w:rsid w:val="69C64B0E"/>
    <w:rsid w:val="69CD5C14"/>
    <w:rsid w:val="69CF0D33"/>
    <w:rsid w:val="6AB24495"/>
    <w:rsid w:val="6B9946B3"/>
    <w:rsid w:val="6D1837C6"/>
    <w:rsid w:val="6DE76850"/>
    <w:rsid w:val="6E9A1018"/>
    <w:rsid w:val="6F082A4E"/>
    <w:rsid w:val="6FB20BD4"/>
    <w:rsid w:val="6FBA59BE"/>
    <w:rsid w:val="70195F54"/>
    <w:rsid w:val="70296B3E"/>
    <w:rsid w:val="70611204"/>
    <w:rsid w:val="719116A0"/>
    <w:rsid w:val="7224379C"/>
    <w:rsid w:val="7234593E"/>
    <w:rsid w:val="726C71D7"/>
    <w:rsid w:val="727E6E9F"/>
    <w:rsid w:val="72EF4CB6"/>
    <w:rsid w:val="74454ECC"/>
    <w:rsid w:val="74FA2C30"/>
    <w:rsid w:val="751029E3"/>
    <w:rsid w:val="75126EB7"/>
    <w:rsid w:val="76BC49EB"/>
    <w:rsid w:val="77000DA2"/>
    <w:rsid w:val="781E69D1"/>
    <w:rsid w:val="78340059"/>
    <w:rsid w:val="7ADD0453"/>
    <w:rsid w:val="7AF46346"/>
    <w:rsid w:val="7B0F5EBF"/>
    <w:rsid w:val="7B130FB9"/>
    <w:rsid w:val="7BDE0625"/>
    <w:rsid w:val="7BF64EDE"/>
    <w:rsid w:val="7C400C1E"/>
    <w:rsid w:val="7C595D7E"/>
    <w:rsid w:val="7CBF7F35"/>
    <w:rsid w:val="7D04795B"/>
    <w:rsid w:val="7DD11708"/>
    <w:rsid w:val="7EBC46EA"/>
    <w:rsid w:val="7EC167BD"/>
    <w:rsid w:val="7FF8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9"/>
    <w:pPr>
      <w:keepNext/>
      <w:keepLines/>
      <w:spacing w:before="260" w:after="260" w:line="416" w:lineRule="auto"/>
      <w:outlineLvl w:val="1"/>
    </w:pPr>
    <w:rPr>
      <w:rFonts w:ascii="Cambria" w:hAnsi="Cambria"/>
      <w:b/>
      <w:bCs/>
      <w:sz w:val="32"/>
      <w:szCs w:val="32"/>
    </w:rPr>
  </w:style>
  <w:style w:type="paragraph" w:styleId="4">
    <w:name w:val="heading 5"/>
    <w:basedOn w:val="1"/>
    <w:next w:val="5"/>
    <w:link w:val="29"/>
    <w:qFormat/>
    <w:uiPriority w:val="9"/>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7">
    <w:name w:val="annotation text"/>
    <w:basedOn w:val="1"/>
    <w:link w:val="30"/>
    <w:qFormat/>
    <w:uiPriority w:val="99"/>
    <w:pPr>
      <w:jc w:val="left"/>
    </w:pPr>
  </w:style>
  <w:style w:type="paragraph" w:styleId="8">
    <w:name w:val="Body Text 3"/>
    <w:basedOn w:val="1"/>
    <w:link w:val="31"/>
    <w:unhideWhenUsed/>
    <w:qFormat/>
    <w:uiPriority w:val="99"/>
    <w:pPr>
      <w:spacing w:after="120"/>
    </w:pPr>
    <w:rPr>
      <w:sz w:val="16"/>
      <w:szCs w:val="16"/>
    </w:rPr>
  </w:style>
  <w:style w:type="paragraph" w:styleId="9">
    <w:name w:val="Body Text"/>
    <w:basedOn w:val="1"/>
    <w:link w:val="32"/>
    <w:unhideWhenUsed/>
    <w:qFormat/>
    <w:uiPriority w:val="0"/>
    <w:pPr>
      <w:spacing w:after="120"/>
    </w:pPr>
  </w:style>
  <w:style w:type="paragraph" w:styleId="10">
    <w:name w:val="Body Text Indent"/>
    <w:basedOn w:val="1"/>
    <w:link w:val="33"/>
    <w:qFormat/>
    <w:uiPriority w:val="0"/>
    <w:pPr>
      <w:ind w:firstLine="830" w:firstLineChars="352"/>
    </w:pPr>
    <w:rPr>
      <w:rFonts w:ascii="仿宋_GB2312" w:eastAsia="仿宋_GB2312"/>
      <w:kern w:val="0"/>
      <w:sz w:val="32"/>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link w:val="34"/>
    <w:qFormat/>
    <w:uiPriority w:val="0"/>
    <w:rPr>
      <w:rFonts w:ascii="宋体" w:hAnsi="Courier New"/>
      <w:kern w:val="0"/>
      <w:sz w:val="20"/>
      <w:szCs w:val="21"/>
    </w:rPr>
  </w:style>
  <w:style w:type="paragraph" w:styleId="13">
    <w:name w:val="Date"/>
    <w:basedOn w:val="1"/>
    <w:next w:val="1"/>
    <w:link w:val="35"/>
    <w:unhideWhenUsed/>
    <w:qFormat/>
    <w:uiPriority w:val="99"/>
    <w:pPr>
      <w:ind w:left="100" w:leftChars="2500"/>
    </w:pPr>
  </w:style>
  <w:style w:type="paragraph" w:styleId="14">
    <w:name w:val="Balloon Text"/>
    <w:basedOn w:val="1"/>
    <w:semiHidden/>
    <w:qFormat/>
    <w:uiPriority w:val="0"/>
    <w:rPr>
      <w:sz w:val="18"/>
      <w:szCs w:val="18"/>
    </w:rPr>
  </w:style>
  <w:style w:type="paragraph" w:styleId="15">
    <w:name w:val="footer"/>
    <w:basedOn w:val="1"/>
    <w:link w:val="36"/>
    <w:unhideWhenUsed/>
    <w:qFormat/>
    <w:uiPriority w:val="99"/>
    <w:pPr>
      <w:tabs>
        <w:tab w:val="center" w:pos="4153"/>
        <w:tab w:val="right" w:pos="8306"/>
      </w:tabs>
      <w:snapToGrid w:val="0"/>
      <w:jc w:val="left"/>
    </w:pPr>
    <w:rPr>
      <w:kern w:val="0"/>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tabs>
        <w:tab w:val="right" w:leader="dot" w:pos="8296"/>
      </w:tabs>
      <w:ind w:left="420" w:leftChars="200"/>
    </w:pPr>
  </w:style>
  <w:style w:type="paragraph" w:styleId="19">
    <w:name w:val="Normal (Web)"/>
    <w:basedOn w:val="1"/>
    <w:unhideWhenUsed/>
    <w:qFormat/>
    <w:uiPriority w:val="99"/>
    <w:rPr>
      <w:rFonts w:ascii="Calibri" w:hAnsi="Calibri"/>
      <w:kern w:val="0"/>
      <w:sz w:val="24"/>
    </w:rPr>
  </w:style>
  <w:style w:type="paragraph" w:styleId="20">
    <w:name w:val="annotation subject"/>
    <w:basedOn w:val="7"/>
    <w:next w:val="7"/>
    <w:link w:val="38"/>
    <w:qFormat/>
    <w:uiPriority w:val="99"/>
    <w:rPr>
      <w:b/>
      <w:bCs/>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basedOn w:val="23"/>
    <w:qFormat/>
    <w:uiPriority w:val="22"/>
    <w:rPr>
      <w:b/>
    </w:rPr>
  </w:style>
  <w:style w:type="character" w:styleId="25">
    <w:name w:val="Hyperlink"/>
    <w:unhideWhenUsed/>
    <w:qFormat/>
    <w:uiPriority w:val="99"/>
    <w:rPr>
      <w:color w:val="0000FF"/>
      <w:u w:val="single"/>
    </w:rPr>
  </w:style>
  <w:style w:type="character" w:styleId="26">
    <w:name w:val="annotation reference"/>
    <w:qFormat/>
    <w:uiPriority w:val="99"/>
    <w:rPr>
      <w:sz w:val="21"/>
      <w:szCs w:val="21"/>
    </w:rPr>
  </w:style>
  <w:style w:type="character" w:customStyle="1" w:styleId="27">
    <w:name w:val="标题 1 字符1"/>
    <w:link w:val="2"/>
    <w:qFormat/>
    <w:uiPriority w:val="0"/>
    <w:rPr>
      <w:b/>
      <w:bCs/>
      <w:kern w:val="44"/>
      <w:sz w:val="44"/>
      <w:szCs w:val="44"/>
    </w:rPr>
  </w:style>
  <w:style w:type="character" w:customStyle="1" w:styleId="28">
    <w:name w:val="标题 2 字符"/>
    <w:link w:val="3"/>
    <w:qFormat/>
    <w:uiPriority w:val="9"/>
    <w:rPr>
      <w:rFonts w:ascii="Cambria" w:hAnsi="Cambria" w:eastAsia="宋体" w:cs="Times New Roman"/>
      <w:b/>
      <w:bCs/>
      <w:kern w:val="2"/>
      <w:sz w:val="32"/>
      <w:szCs w:val="32"/>
    </w:rPr>
  </w:style>
  <w:style w:type="character" w:customStyle="1" w:styleId="29">
    <w:name w:val="标题 5 字符"/>
    <w:link w:val="4"/>
    <w:semiHidden/>
    <w:qFormat/>
    <w:uiPriority w:val="9"/>
    <w:rPr>
      <w:rFonts w:ascii="Times New Roman" w:hAnsi="Times New Roman"/>
      <w:b/>
      <w:bCs/>
      <w:kern w:val="2"/>
      <w:sz w:val="28"/>
      <w:szCs w:val="28"/>
    </w:rPr>
  </w:style>
  <w:style w:type="character" w:customStyle="1" w:styleId="30">
    <w:name w:val="批注文字 字符"/>
    <w:link w:val="7"/>
    <w:qFormat/>
    <w:uiPriority w:val="99"/>
    <w:rPr>
      <w:rFonts w:ascii="Times New Roman" w:hAnsi="Times New Roman"/>
      <w:kern w:val="2"/>
      <w:sz w:val="21"/>
      <w:szCs w:val="24"/>
    </w:rPr>
  </w:style>
  <w:style w:type="character" w:customStyle="1" w:styleId="31">
    <w:name w:val="正文文本 3 字符"/>
    <w:link w:val="8"/>
    <w:semiHidden/>
    <w:qFormat/>
    <w:uiPriority w:val="99"/>
    <w:rPr>
      <w:rFonts w:ascii="Times New Roman" w:hAnsi="Times New Roman"/>
      <w:kern w:val="2"/>
      <w:sz w:val="16"/>
      <w:szCs w:val="16"/>
    </w:rPr>
  </w:style>
  <w:style w:type="character" w:customStyle="1" w:styleId="32">
    <w:name w:val="正文文本 字符"/>
    <w:link w:val="9"/>
    <w:qFormat/>
    <w:uiPriority w:val="0"/>
    <w:rPr>
      <w:rFonts w:ascii="Times New Roman" w:hAnsi="Times New Roman"/>
      <w:kern w:val="2"/>
      <w:sz w:val="21"/>
      <w:szCs w:val="24"/>
    </w:rPr>
  </w:style>
  <w:style w:type="character" w:customStyle="1" w:styleId="33">
    <w:name w:val="正文文本缩进 字符"/>
    <w:link w:val="10"/>
    <w:qFormat/>
    <w:uiPriority w:val="0"/>
    <w:rPr>
      <w:rFonts w:ascii="仿宋_GB2312" w:hAnsi="Times New Roman" w:eastAsia="仿宋_GB2312" w:cs="Times New Roman"/>
      <w:sz w:val="32"/>
      <w:szCs w:val="20"/>
    </w:rPr>
  </w:style>
  <w:style w:type="character" w:customStyle="1" w:styleId="34">
    <w:name w:val="纯文本 字符"/>
    <w:link w:val="12"/>
    <w:qFormat/>
    <w:uiPriority w:val="0"/>
    <w:rPr>
      <w:rFonts w:ascii="宋体" w:hAnsi="Courier New" w:eastAsia="宋体" w:cs="Courier New"/>
      <w:szCs w:val="21"/>
    </w:rPr>
  </w:style>
  <w:style w:type="character" w:customStyle="1" w:styleId="35">
    <w:name w:val="日期 字符"/>
    <w:link w:val="13"/>
    <w:semiHidden/>
    <w:qFormat/>
    <w:uiPriority w:val="99"/>
    <w:rPr>
      <w:rFonts w:ascii="Times New Roman" w:hAnsi="Times New Roman"/>
      <w:kern w:val="2"/>
      <w:sz w:val="21"/>
      <w:szCs w:val="24"/>
    </w:rPr>
  </w:style>
  <w:style w:type="character" w:customStyle="1" w:styleId="36">
    <w:name w:val="页脚 字符"/>
    <w:link w:val="15"/>
    <w:qFormat/>
    <w:uiPriority w:val="99"/>
    <w:rPr>
      <w:sz w:val="18"/>
      <w:szCs w:val="18"/>
    </w:rPr>
  </w:style>
  <w:style w:type="character" w:customStyle="1" w:styleId="37">
    <w:name w:val="页眉 字符"/>
    <w:link w:val="16"/>
    <w:qFormat/>
    <w:uiPriority w:val="99"/>
    <w:rPr>
      <w:sz w:val="18"/>
      <w:szCs w:val="18"/>
    </w:rPr>
  </w:style>
  <w:style w:type="character" w:customStyle="1" w:styleId="38">
    <w:name w:val="批注主题 字符"/>
    <w:link w:val="20"/>
    <w:qFormat/>
    <w:uiPriority w:val="99"/>
    <w:rPr>
      <w:rFonts w:ascii="Times New Roman" w:hAnsi="Times New Roman"/>
      <w:b/>
      <w:bCs/>
      <w:kern w:val="2"/>
      <w:sz w:val="21"/>
      <w:szCs w:val="24"/>
    </w:rPr>
  </w:style>
  <w:style w:type="paragraph" w:customStyle="1" w:styleId="39">
    <w:name w:val="Default"/>
    <w:qFormat/>
    <w:uiPriority w:val="0"/>
    <w:pPr>
      <w:widowControl w:val="0"/>
      <w:autoSpaceDE w:val="0"/>
      <w:autoSpaceDN w:val="0"/>
      <w:adjustRightInd w:val="0"/>
      <w:spacing w:after="160" w:line="278" w:lineRule="auto"/>
    </w:pPr>
    <w:rPr>
      <w:rFonts w:ascii="Arial" w:hAnsi="Arial" w:eastAsia="宋体" w:cs="Arial"/>
      <w:color w:val="000000"/>
      <w:sz w:val="24"/>
      <w:szCs w:val="24"/>
      <w:lang w:val="en-US" w:eastAsia="zh-CN" w:bidi="ar-SA"/>
    </w:rPr>
  </w:style>
  <w:style w:type="character" w:customStyle="1" w:styleId="40">
    <w:name w:val="页脚 Char"/>
    <w:qFormat/>
    <w:uiPriority w:val="99"/>
    <w:rPr>
      <w:lang w:eastAsia="zh-CN"/>
    </w:rPr>
  </w:style>
  <w:style w:type="character" w:customStyle="1" w:styleId="41">
    <w:name w:val="批注文字 Char1"/>
    <w:qFormat/>
    <w:uiPriority w:val="0"/>
    <w:rPr>
      <w:rFonts w:ascii="Times New Roman" w:hAnsi="Times New Roman"/>
      <w:kern w:val="2"/>
      <w:sz w:val="21"/>
      <w:szCs w:val="24"/>
    </w:rPr>
  </w:style>
  <w:style w:type="character" w:customStyle="1" w:styleId="42">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43">
    <w:name w:val="标题 1 字符"/>
    <w:qFormat/>
    <w:uiPriority w:val="9"/>
    <w:rPr>
      <w:b/>
      <w:bCs/>
      <w:kern w:val="44"/>
      <w:sz w:val="44"/>
      <w:szCs w:val="44"/>
    </w:rPr>
  </w:style>
  <w:style w:type="character" w:customStyle="1" w:styleId="44">
    <w:name w:val="批注文字 字符2"/>
    <w:qFormat/>
    <w:uiPriority w:val="0"/>
    <w:rPr>
      <w:rFonts w:ascii="Times New Roman" w:hAnsi="Times New Roman"/>
      <w:kern w:val="2"/>
      <w:sz w:val="21"/>
      <w:szCs w:val="24"/>
    </w:rPr>
  </w:style>
  <w:style w:type="character" w:customStyle="1" w:styleId="45">
    <w:name w:val="apple-style-span"/>
    <w:qFormat/>
    <w:uiPriority w:val="0"/>
  </w:style>
  <w:style w:type="character" w:customStyle="1" w:styleId="46">
    <w:name w:val="textcontents"/>
    <w:qFormat/>
    <w:uiPriority w:val="0"/>
  </w:style>
  <w:style w:type="character" w:customStyle="1" w:styleId="47">
    <w:name w:val="纯文本 Char1"/>
    <w:qFormat/>
    <w:uiPriority w:val="0"/>
    <w:rPr>
      <w:rFonts w:ascii="宋体" w:hAnsi="Courier New" w:eastAsia="宋体" w:cs="Courier New"/>
      <w:szCs w:val="21"/>
    </w:rPr>
  </w:style>
  <w:style w:type="character" w:customStyle="1" w:styleId="48">
    <w:name w:val="正文文本 Char1"/>
    <w:semiHidden/>
    <w:qFormat/>
    <w:locked/>
    <w:uiPriority w:val="0"/>
    <w:rPr>
      <w:kern w:val="2"/>
      <w:sz w:val="21"/>
      <w:szCs w:val="24"/>
    </w:rPr>
  </w:style>
  <w:style w:type="character" w:customStyle="1" w:styleId="49">
    <w:name w:val="正文文本缩进 字符1"/>
    <w:qFormat/>
    <w:uiPriority w:val="0"/>
    <w:rPr>
      <w:rFonts w:ascii="仿宋_GB2312" w:hAnsi="Times New Roman" w:eastAsia="仿宋_GB2312" w:cs="Times New Roman"/>
      <w:sz w:val="32"/>
      <w:szCs w:val="20"/>
    </w:rPr>
  </w:style>
  <w:style w:type="character" w:customStyle="1" w:styleId="50">
    <w:name w:val="批注文字 字符1"/>
    <w:qFormat/>
    <w:uiPriority w:val="0"/>
    <w:rPr>
      <w:kern w:val="2"/>
      <w:sz w:val="21"/>
      <w:szCs w:val="24"/>
    </w:rPr>
  </w:style>
  <w:style w:type="character" w:customStyle="1" w:styleId="51">
    <w:name w:val="纯文本 字符1"/>
    <w:qFormat/>
    <w:uiPriority w:val="0"/>
    <w:rPr>
      <w:rFonts w:ascii="宋体" w:hAnsi="Courier New"/>
    </w:rPr>
  </w:style>
  <w:style w:type="character" w:customStyle="1" w:styleId="52">
    <w:name w:val="正文2 Char Char"/>
    <w:link w:val="53"/>
    <w:qFormat/>
    <w:uiPriority w:val="0"/>
    <w:rPr>
      <w:kern w:val="2"/>
      <w:sz w:val="24"/>
    </w:rPr>
  </w:style>
  <w:style w:type="paragraph" w:customStyle="1" w:styleId="53">
    <w:name w:val="正文2"/>
    <w:basedOn w:val="1"/>
    <w:link w:val="52"/>
    <w:qFormat/>
    <w:uiPriority w:val="0"/>
    <w:pPr>
      <w:adjustRightInd w:val="0"/>
      <w:spacing w:before="156" w:line="360" w:lineRule="auto"/>
      <w:ind w:firstLine="510" w:firstLineChars="200"/>
    </w:pPr>
    <w:rPr>
      <w:sz w:val="24"/>
      <w:szCs w:val="20"/>
    </w:rPr>
  </w:style>
  <w:style w:type="character" w:customStyle="1" w:styleId="54">
    <w:name w:val="批注文字 Char2"/>
    <w:qFormat/>
    <w:uiPriority w:val="0"/>
    <w:rPr>
      <w:rFonts w:ascii="Times New Roman" w:hAnsi="Times New Roman"/>
      <w:kern w:val="2"/>
      <w:sz w:val="21"/>
      <w:szCs w:val="24"/>
    </w:rPr>
  </w:style>
  <w:style w:type="character" w:customStyle="1" w:styleId="55">
    <w:name w:val="纯文本 字符2"/>
    <w:qFormat/>
    <w:uiPriority w:val="0"/>
    <w:rPr>
      <w:rFonts w:ascii="宋体" w:hAnsi="Courier New" w:eastAsia="宋体" w:cs="Courier New"/>
      <w:szCs w:val="21"/>
    </w:rPr>
  </w:style>
  <w:style w:type="paragraph" w:styleId="56">
    <w:name w:val="List Paragraph"/>
    <w:basedOn w:val="1"/>
    <w:qFormat/>
    <w:uiPriority w:val="34"/>
    <w:pPr>
      <w:ind w:firstLine="420" w:firstLineChars="200"/>
    </w:pPr>
  </w:style>
  <w:style w:type="paragraph" w:customStyle="1" w:styleId="57">
    <w:name w:val="默认段落字体 Para Char Char Char Char Char Char Char Char Char1 Char Char Char Char"/>
    <w:basedOn w:val="1"/>
    <w:qFormat/>
    <w:uiPriority w:val="0"/>
    <w:rPr>
      <w:rFonts w:ascii="Tahoma" w:hAnsi="Tahoma"/>
      <w:sz w:val="24"/>
      <w:szCs w:val="20"/>
    </w:rPr>
  </w:style>
  <w:style w:type="paragraph" w:customStyle="1" w:styleId="58">
    <w:name w:val="Table Paragraph"/>
    <w:basedOn w:val="1"/>
    <w:qFormat/>
    <w:uiPriority w:val="1"/>
    <w:pPr>
      <w:jc w:val="left"/>
    </w:pPr>
    <w:rPr>
      <w:rFonts w:ascii="Calibri" w:hAnsi="Calibri"/>
      <w:kern w:val="0"/>
      <w:sz w:val="22"/>
      <w:szCs w:val="22"/>
      <w:lang w:eastAsia="en-US"/>
    </w:rPr>
  </w:style>
  <w:style w:type="paragraph" w:customStyle="1" w:styleId="5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0">
    <w:name w:val="列出段落1"/>
    <w:basedOn w:val="1"/>
    <w:qFormat/>
    <w:uiPriority w:val="0"/>
    <w:pPr>
      <w:ind w:firstLine="420" w:firstLineChars="200"/>
    </w:pPr>
    <w:rPr>
      <w:szCs w:val="21"/>
    </w:rPr>
  </w:style>
  <w:style w:type="paragraph" w:customStyle="1" w:styleId="6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62">
    <w:name w:val="&gt;合同 正文"/>
    <w:qFormat/>
    <w:uiPriority w:val="0"/>
    <w:pPr>
      <w:spacing w:line="288" w:lineRule="auto"/>
      <w:ind w:firstLine="200" w:firstLineChars="200"/>
    </w:pPr>
    <w:rPr>
      <w:rFonts w:ascii="宋体" w:hAnsi="宋体" w:eastAsia="宋体" w:cs="宋体"/>
      <w:color w:val="000000"/>
      <w:kern w:val="2"/>
      <w:sz w:val="21"/>
      <w:szCs w:val="21"/>
      <w:lang w:val="en-US" w:eastAsia="zh-CN" w:bidi="ar-SA"/>
    </w:rPr>
  </w:style>
  <w:style w:type="paragraph" w:customStyle="1" w:styleId="63">
    <w:name w:val="正文文本1"/>
    <w:basedOn w:val="1"/>
    <w:next w:val="39"/>
    <w:qFormat/>
    <w:uiPriority w:val="0"/>
    <w:pPr>
      <w:spacing w:line="288" w:lineRule="auto"/>
      <w:ind w:firstLine="482"/>
    </w:pPr>
    <w:rPr>
      <w:sz w:val="24"/>
      <w:szCs w:val="20"/>
    </w:rPr>
  </w:style>
  <w:style w:type="character" w:customStyle="1" w:styleId="64">
    <w:name w:val="批注引用1"/>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65">
    <w:name w:val="批注文字1"/>
    <w:basedOn w:val="1"/>
    <w:unhideWhenUsed/>
    <w:qFormat/>
    <w:uiPriority w:val="99"/>
    <w:pPr>
      <w:jc w:val="left"/>
    </w:pPr>
  </w:style>
  <w:style w:type="paragraph" w:customStyle="1" w:styleId="6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90</Pages>
  <Words>18306</Words>
  <Characters>19597</Characters>
  <Lines>2016</Lines>
  <Paragraphs>2029</Paragraphs>
  <TotalTime>64</TotalTime>
  <ScaleCrop>false</ScaleCrop>
  <LinksUpToDate>false</LinksUpToDate>
  <CharactersWithSpaces>19997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2025-08-25T00:19:00Z</dcterms:created>
  <dc:creator>唐冰</dc:creator>
  <cp:lastModifiedBy>……</cp:lastModifiedBy>
  <cp:lastPrinted>2020-04-02T08:20:00Z</cp:lastPrinted>
  <dcterms:modified xsi:type="dcterms:W3CDTF">2025-08-27T07:46:14Z</dcterms:modified>
  <dc:title>竞争性谈判文件规范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16973A9050104D5697C144BD6292ED1F_13</vt:lpwstr>
  </property>
  <property fmtid="{D5CDD505-2E9C-101B-9397-08002B2CF9AE}" pid="4" name="KSOTemplateDocerSaveRecord">
    <vt:lpwstr>eyJoZGlkIjoiNzYzZTkzZGQwYWM3ZTE4MDRmM2E0OWMxYjkxYTljNDQiLCJ1c2VySWQiOiI4NjE5NDc1MjMifQ==</vt:lpwstr>
  </property>
</Properties>
</file>