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0BA05">
      <w:pPr>
        <w:spacing w:before="312" w:beforeLines="100" w:after="156" w:afterLines="50" w:line="600" w:lineRule="exact"/>
        <w:jc w:val="center"/>
        <w:rPr>
          <w:rFonts w:hint="eastAsia" w:ascii="方正小标宋简体" w:hAnsi="宋体" w:eastAsia="方正小标宋简体"/>
          <w:color w:val="auto"/>
          <w:sz w:val="52"/>
          <w:szCs w:val="52"/>
          <w:highlight w:val="none"/>
        </w:rPr>
      </w:pPr>
    </w:p>
    <w:p w14:paraId="1C3A7BA4">
      <w:pPr>
        <w:spacing w:line="360" w:lineRule="auto"/>
        <w:jc w:val="center"/>
        <w:rPr>
          <w:rFonts w:hint="eastAsia" w:ascii="方正小标宋简体" w:hAnsi="宋体" w:eastAsia="方正小标宋简体"/>
          <w:color w:val="auto"/>
          <w:sz w:val="52"/>
          <w:szCs w:val="52"/>
          <w:highlight w:val="none"/>
        </w:rPr>
      </w:pPr>
      <w:bookmarkStart w:id="0" w:name="OLE_LINK1"/>
      <w:r>
        <w:rPr>
          <w:rFonts w:hint="eastAsia" w:ascii="方正小标宋简体" w:hAnsi="宋体" w:eastAsia="方正小标宋简体"/>
          <w:color w:val="auto"/>
          <w:sz w:val="52"/>
          <w:szCs w:val="52"/>
          <w:highlight w:val="none"/>
        </w:rPr>
        <w:t>云之龙咨询集团有限公司</w:t>
      </w:r>
    </w:p>
    <w:bookmarkEnd w:id="0"/>
    <w:p w14:paraId="0AC49480">
      <w:pPr>
        <w:spacing w:before="156" w:beforeLines="50" w:line="360" w:lineRule="auto"/>
        <w:jc w:val="center"/>
        <w:rPr>
          <w:rFonts w:hint="eastAsia" w:ascii="宋体" w:hAnsi="宋体"/>
          <w:i/>
          <w:color w:val="auto"/>
          <w:sz w:val="52"/>
          <w:szCs w:val="52"/>
          <w:highlight w:val="none"/>
        </w:rPr>
      </w:pPr>
    </w:p>
    <w:p w14:paraId="768438B6">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042E1E28">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4F37B05E">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754132A3">
      <w:pPr>
        <w:snapToGrid w:val="0"/>
        <w:spacing w:line="360" w:lineRule="auto"/>
        <w:rPr>
          <w:rFonts w:hint="eastAsia" w:ascii="仿宋_GB2312" w:hAnsi="宋体" w:eastAsia="仿宋_GB2312"/>
          <w:color w:val="auto"/>
          <w:sz w:val="30"/>
          <w:szCs w:val="72"/>
          <w:highlight w:val="none"/>
        </w:rPr>
      </w:pPr>
    </w:p>
    <w:p w14:paraId="341E2229">
      <w:pPr>
        <w:pStyle w:val="13"/>
        <w:snapToGrid w:val="0"/>
        <w:spacing w:line="360" w:lineRule="auto"/>
        <w:ind w:firstLine="1193" w:firstLineChars="396"/>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布草被服采购</w:t>
      </w:r>
    </w:p>
    <w:p w14:paraId="759578B3">
      <w:pPr>
        <w:snapToGrid w:val="0"/>
        <w:spacing w:line="360" w:lineRule="auto"/>
        <w:ind w:firstLine="1145" w:firstLineChars="400"/>
        <w:rPr>
          <w:rFonts w:hint="eastAsia"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WZZC2025-J1-990152-YZLZ</w:t>
      </w:r>
      <w:r>
        <w:rPr>
          <w:rFonts w:hint="eastAsia" w:ascii="仿宋_GB2312" w:hAnsi="宋体" w:eastAsia="仿宋_GB2312"/>
          <w:b/>
          <w:color w:val="auto"/>
          <w:sz w:val="30"/>
          <w:szCs w:val="48"/>
          <w:highlight w:val="none"/>
        </w:rPr>
        <w:t xml:space="preserve"> </w:t>
      </w:r>
    </w:p>
    <w:p w14:paraId="76F5C2BA">
      <w:pPr>
        <w:pStyle w:val="13"/>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w:t>
      </w:r>
      <w:r>
        <w:rPr>
          <w:rFonts w:hint="eastAsia" w:ascii="仿宋_GB2312" w:hAnsi="宋体" w:eastAsia="仿宋_GB2312"/>
          <w:b/>
          <w:bCs/>
          <w:color w:val="auto"/>
          <w:w w:val="95"/>
          <w:sz w:val="30"/>
          <w:szCs w:val="30"/>
          <w:highlight w:val="none"/>
          <w:lang w:eastAsia="zh-CN"/>
        </w:rPr>
        <w:t>梧州市工人医院</w:t>
      </w:r>
      <w:r>
        <w:rPr>
          <w:rFonts w:hint="eastAsia" w:ascii="仿宋_GB2312" w:hAnsi="宋体" w:eastAsia="仿宋_GB2312"/>
          <w:b/>
          <w:bCs/>
          <w:color w:val="auto"/>
          <w:w w:val="95"/>
          <w:sz w:val="30"/>
          <w:szCs w:val="30"/>
          <w:highlight w:val="none"/>
        </w:rPr>
        <w:t xml:space="preserve"> </w:t>
      </w:r>
    </w:p>
    <w:p w14:paraId="159568CB">
      <w:pPr>
        <w:pStyle w:val="13"/>
        <w:snapToGrid w:val="0"/>
        <w:spacing w:line="360" w:lineRule="auto"/>
        <w:ind w:firstLine="1125" w:firstLineChars="393"/>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r>
        <w:rPr>
          <w:rFonts w:hint="eastAsia" w:ascii="仿宋_GB2312" w:hAnsi="宋体" w:eastAsia="仿宋_GB2312"/>
          <w:b/>
          <w:bCs/>
          <w:color w:val="auto"/>
          <w:w w:val="95"/>
          <w:sz w:val="30"/>
          <w:szCs w:val="30"/>
          <w:highlight w:val="none"/>
          <w:lang w:eastAsia="zh-CN"/>
        </w:rPr>
        <w:t>云之龙咨询集团有限公司</w:t>
      </w:r>
    </w:p>
    <w:p w14:paraId="69047B42">
      <w:pPr>
        <w:pStyle w:val="13"/>
        <w:snapToGrid w:val="0"/>
        <w:spacing w:line="360" w:lineRule="auto"/>
        <w:ind w:firstLine="1125" w:firstLineChars="393"/>
        <w:jc w:val="both"/>
        <w:rPr>
          <w:rFonts w:hint="eastAsia" w:ascii="仿宋_GB2312" w:hAnsi="宋体" w:eastAsia="仿宋_GB2312"/>
          <w:b/>
          <w:bCs/>
          <w:color w:val="auto"/>
          <w:w w:val="95"/>
          <w:sz w:val="30"/>
          <w:szCs w:val="30"/>
          <w:highlight w:val="none"/>
        </w:rPr>
      </w:pPr>
    </w:p>
    <w:p w14:paraId="7D6C725F">
      <w:pPr>
        <w:pStyle w:val="13"/>
        <w:snapToGrid w:val="0"/>
        <w:spacing w:line="360" w:lineRule="auto"/>
        <w:ind w:firstLine="1125" w:firstLineChars="393"/>
        <w:jc w:val="both"/>
        <w:rPr>
          <w:rFonts w:hint="eastAsia" w:ascii="仿宋_GB2312" w:hAnsi="宋体" w:eastAsia="仿宋_GB2312"/>
          <w:b/>
          <w:bCs/>
          <w:color w:val="auto"/>
          <w:w w:val="95"/>
          <w:sz w:val="30"/>
          <w:szCs w:val="30"/>
          <w:highlight w:val="none"/>
        </w:rPr>
      </w:pPr>
    </w:p>
    <w:p w14:paraId="03E0EBCD">
      <w:pPr>
        <w:pStyle w:val="13"/>
        <w:snapToGrid w:val="0"/>
        <w:spacing w:line="360" w:lineRule="auto"/>
        <w:ind w:firstLine="841" w:firstLineChars="294"/>
        <w:rPr>
          <w:rFonts w:hint="eastAsia"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val="en-US" w:eastAsia="zh-CN"/>
        </w:rPr>
        <w:t>2025</w:t>
      </w:r>
      <w:r>
        <w:rPr>
          <w:rFonts w:hint="eastAsia" w:ascii="仿宋_GB2312" w:hAnsi="宋体" w:eastAsia="仿宋_GB2312" w:cs="Times New Roman"/>
          <w:b/>
          <w:bCs/>
          <w:color w:val="auto"/>
          <w:w w:val="95"/>
          <w:sz w:val="30"/>
          <w:szCs w:val="30"/>
          <w:highlight w:val="none"/>
        </w:rPr>
        <w:t>年</w:t>
      </w:r>
      <w:r>
        <w:rPr>
          <w:rFonts w:hint="eastAsia" w:ascii="仿宋_GB2312" w:hAnsi="宋体" w:eastAsia="仿宋_GB2312" w:cs="Times New Roman"/>
          <w:b/>
          <w:bCs/>
          <w:color w:val="auto"/>
          <w:w w:val="95"/>
          <w:sz w:val="30"/>
          <w:szCs w:val="30"/>
          <w:highlight w:val="none"/>
          <w:lang w:val="en-US" w:eastAsia="zh-CN"/>
        </w:rPr>
        <w:t>7</w:t>
      </w:r>
      <w:r>
        <w:rPr>
          <w:rFonts w:hint="eastAsia" w:ascii="仿宋_GB2312" w:hAnsi="宋体" w:eastAsia="仿宋_GB2312" w:cs="Times New Roman"/>
          <w:b/>
          <w:bCs/>
          <w:color w:val="auto"/>
          <w:w w:val="95"/>
          <w:sz w:val="30"/>
          <w:szCs w:val="30"/>
          <w:highlight w:val="none"/>
        </w:rPr>
        <w:t>月</w:t>
      </w:r>
      <w:r>
        <w:rPr>
          <w:rFonts w:hint="eastAsia" w:ascii="仿宋_GB2312" w:hAnsi="宋体" w:eastAsia="仿宋_GB2312" w:cs="Times New Roman"/>
          <w:b/>
          <w:bCs/>
          <w:color w:val="auto"/>
          <w:w w:val="95"/>
          <w:sz w:val="30"/>
          <w:szCs w:val="30"/>
          <w:highlight w:val="none"/>
          <w:lang w:val="en-US" w:eastAsia="zh-CN"/>
        </w:rPr>
        <w:t>7</w:t>
      </w:r>
      <w:r>
        <w:rPr>
          <w:rFonts w:hint="eastAsia" w:ascii="仿宋_GB2312" w:hAnsi="宋体" w:eastAsia="仿宋_GB2312" w:cs="Times New Roman"/>
          <w:b/>
          <w:bCs/>
          <w:color w:val="auto"/>
          <w:w w:val="95"/>
          <w:sz w:val="30"/>
          <w:szCs w:val="30"/>
          <w:highlight w:val="none"/>
        </w:rPr>
        <w:t>日</w:t>
      </w:r>
    </w:p>
    <w:p w14:paraId="7DDEE26F">
      <w:pPr>
        <w:tabs>
          <w:tab w:val="left" w:pos="1080"/>
        </w:tabs>
        <w:spacing w:line="360" w:lineRule="exact"/>
        <w:ind w:firstLine="480"/>
        <w:rPr>
          <w:rFonts w:hint="eastAsia" w:ascii="宋体" w:hAnsi="宋体"/>
          <w:b/>
          <w:color w:val="auto"/>
          <w:sz w:val="44"/>
          <w:szCs w:val="44"/>
          <w:highlight w:val="none"/>
        </w:rPr>
      </w:pPr>
      <w:r>
        <w:rPr>
          <w:rFonts w:ascii="仿宋_GB2312" w:hAnsi="宋体" w:eastAsia="仿宋_GB2312"/>
          <w:b/>
          <w:color w:val="auto"/>
          <w:sz w:val="30"/>
          <w:szCs w:val="30"/>
          <w:highlight w:val="none"/>
        </w:rPr>
        <w:br w:type="page"/>
      </w:r>
    </w:p>
    <w:p w14:paraId="6E83CFFA">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60F9F29A">
      <w:pPr>
        <w:spacing w:line="400" w:lineRule="exact"/>
        <w:jc w:val="center"/>
        <w:rPr>
          <w:rFonts w:hint="eastAsia" w:ascii="宋体" w:hAnsi="宋体"/>
          <w:b/>
          <w:color w:val="auto"/>
          <w:sz w:val="44"/>
          <w:szCs w:val="44"/>
          <w:highlight w:val="none"/>
        </w:rPr>
      </w:pPr>
    </w:p>
    <w:p w14:paraId="732E528A">
      <w:pPr>
        <w:pStyle w:val="2"/>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"_Toc74322008"</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第一章</w:t>
      </w:r>
      <w:r>
        <w:rPr>
          <w:rStyle w:val="24"/>
          <w:rFonts w:ascii="宋体" w:hAnsi="宋体"/>
          <w:b/>
          <w:color w:val="auto"/>
          <w:sz w:val="24"/>
          <w:highlight w:val="none"/>
        </w:rPr>
        <w:t xml:space="preserve"> </w:t>
      </w:r>
      <w:r>
        <w:rPr>
          <w:rStyle w:val="24"/>
          <w:rFonts w:hint="eastAsia" w:ascii="宋体" w:hAnsi="宋体"/>
          <w:b/>
          <w:color w:val="auto"/>
          <w:sz w:val="24"/>
          <w:highlight w:val="none"/>
        </w:rPr>
        <w:t>竞争性谈判公告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2CA440AD">
      <w:pPr>
        <w:pStyle w:val="2"/>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"_Toc74322009"</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第二章</w:t>
      </w:r>
      <w:r>
        <w:rPr>
          <w:rStyle w:val="24"/>
          <w:rFonts w:ascii="宋体" w:hAnsi="宋体"/>
          <w:b/>
          <w:color w:val="auto"/>
          <w:sz w:val="24"/>
          <w:highlight w:val="none"/>
        </w:rPr>
        <w:t xml:space="preserve"> </w:t>
      </w:r>
      <w:r>
        <w:rPr>
          <w:rStyle w:val="24"/>
          <w:rFonts w:hint="eastAsia" w:ascii="宋体" w:hAnsi="宋体"/>
          <w:b/>
          <w:color w:val="auto"/>
          <w:sz w:val="24"/>
          <w:highlight w:val="none"/>
        </w:rPr>
        <w:t>供应商须知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_Toc74322009 \h </w:instrText>
      </w:r>
      <w:r>
        <w:rPr>
          <w:rFonts w:ascii="宋体" w:hAnsi="宋体"/>
          <w:b/>
          <w:color w:val="auto"/>
          <w:sz w:val="24"/>
          <w:highlight w:val="none"/>
        </w:rPr>
        <w:fldChar w:fldCharType="separate"/>
      </w:r>
      <w:r>
        <w:rPr>
          <w:rFonts w:ascii="宋体" w:hAnsi="宋体"/>
          <w:b/>
          <w:color w:val="auto"/>
          <w:sz w:val="24"/>
          <w:highlight w:val="none"/>
        </w:rPr>
        <w:t>5</w:t>
      </w:r>
      <w:r>
        <w:rPr>
          <w:rFonts w:ascii="宋体" w:hAnsi="宋体"/>
          <w:b/>
          <w:color w:val="auto"/>
          <w:sz w:val="24"/>
          <w:highlight w:val="none"/>
        </w:rPr>
        <w:fldChar w:fldCharType="end"/>
      </w:r>
      <w:r>
        <w:rPr>
          <w:rFonts w:ascii="宋体" w:hAnsi="宋体"/>
          <w:b/>
          <w:color w:val="auto"/>
          <w:sz w:val="24"/>
          <w:highlight w:val="none"/>
        </w:rPr>
        <w:fldChar w:fldCharType="end"/>
      </w:r>
    </w:p>
    <w:p w14:paraId="59F78F12">
      <w:pPr>
        <w:pStyle w:val="2"/>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"_Toc74322010"</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第三章</w:t>
      </w:r>
      <w:r>
        <w:rPr>
          <w:rStyle w:val="24"/>
          <w:rFonts w:ascii="宋体" w:hAnsi="宋体"/>
          <w:b/>
          <w:color w:val="auto"/>
          <w:sz w:val="24"/>
          <w:highlight w:val="none"/>
        </w:rPr>
        <w:t xml:space="preserve"> </w:t>
      </w:r>
      <w:r>
        <w:rPr>
          <w:rStyle w:val="24"/>
          <w:rFonts w:hint="eastAsia" w:ascii="宋体" w:hAnsi="宋体"/>
          <w:b/>
          <w:color w:val="auto"/>
          <w:sz w:val="24"/>
          <w:highlight w:val="none"/>
        </w:rPr>
        <w:t>采购需求</w:t>
      </w:r>
      <w:bookmarkStart w:id="1" w:name="_Hlt82166985"/>
      <w:r>
        <w:rPr>
          <w:rFonts w:ascii="宋体" w:hAnsi="宋体"/>
          <w:b/>
          <w:color w:val="auto"/>
          <w:sz w:val="24"/>
          <w:highlight w:val="none"/>
        </w:rPr>
        <w:tab/>
      </w:r>
      <w:bookmarkEnd w:id="1"/>
      <w:r>
        <w:rPr>
          <w:rFonts w:ascii="宋体" w:hAnsi="宋体"/>
          <w:b/>
          <w:color w:val="auto"/>
          <w:sz w:val="24"/>
          <w:highlight w:val="none"/>
        </w:rPr>
        <w:fldChar w:fldCharType="begin"/>
      </w:r>
      <w:r>
        <w:rPr>
          <w:rFonts w:ascii="宋体" w:hAnsi="宋体"/>
          <w:b/>
          <w:color w:val="auto"/>
          <w:sz w:val="24"/>
          <w:highlight w:val="none"/>
        </w:rPr>
        <w:instrText xml:space="preserve"> PAGEREF _Toc74322010 \h </w:instrText>
      </w:r>
      <w:r>
        <w:rPr>
          <w:rFonts w:ascii="宋体" w:hAnsi="宋体"/>
          <w:b/>
          <w:color w:val="auto"/>
          <w:sz w:val="24"/>
          <w:highlight w:val="none"/>
        </w:rPr>
        <w:fldChar w:fldCharType="separate"/>
      </w:r>
      <w:r>
        <w:rPr>
          <w:rFonts w:ascii="宋体" w:hAnsi="宋体"/>
          <w:b/>
          <w:color w:val="auto"/>
          <w:sz w:val="24"/>
          <w:highlight w:val="none"/>
        </w:rPr>
        <w:t>22</w:t>
      </w:r>
      <w:r>
        <w:rPr>
          <w:rFonts w:ascii="宋体" w:hAnsi="宋体"/>
          <w:b/>
          <w:color w:val="auto"/>
          <w:sz w:val="24"/>
          <w:highlight w:val="none"/>
        </w:rPr>
        <w:fldChar w:fldCharType="end"/>
      </w:r>
      <w:r>
        <w:rPr>
          <w:rFonts w:ascii="宋体" w:hAnsi="宋体"/>
          <w:b/>
          <w:color w:val="auto"/>
          <w:sz w:val="24"/>
          <w:highlight w:val="none"/>
        </w:rPr>
        <w:fldChar w:fldCharType="end"/>
      </w:r>
    </w:p>
    <w:p w14:paraId="792FF365">
      <w:pPr>
        <w:pStyle w:val="2"/>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"_Toc74322011"</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第四章</w:t>
      </w:r>
      <w:r>
        <w:rPr>
          <w:rStyle w:val="24"/>
          <w:rFonts w:ascii="宋体" w:hAnsi="宋体"/>
          <w:b/>
          <w:color w:val="auto"/>
          <w:sz w:val="24"/>
          <w:highlight w:val="none"/>
        </w:rPr>
        <w:t xml:space="preserve"> </w:t>
      </w:r>
      <w:r>
        <w:rPr>
          <w:rStyle w:val="24"/>
          <w:rFonts w:hint="eastAsia" w:ascii="宋体" w:hAnsi="宋体"/>
          <w:b/>
          <w:color w:val="auto"/>
          <w:sz w:val="24"/>
          <w:highlight w:val="none"/>
        </w:rPr>
        <w:t>评审程序和评定成交的标准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_Toc74322011 \h </w:instrText>
      </w:r>
      <w:r>
        <w:rPr>
          <w:rFonts w:ascii="宋体" w:hAnsi="宋体"/>
          <w:b/>
          <w:color w:val="auto"/>
          <w:sz w:val="24"/>
          <w:highlight w:val="none"/>
        </w:rPr>
        <w:fldChar w:fldCharType="separate"/>
      </w:r>
      <w:r>
        <w:rPr>
          <w:rFonts w:ascii="宋体" w:hAnsi="宋体"/>
          <w:b/>
          <w:color w:val="auto"/>
          <w:sz w:val="24"/>
          <w:highlight w:val="none"/>
        </w:rPr>
        <w:t>47</w:t>
      </w:r>
      <w:r>
        <w:rPr>
          <w:rFonts w:ascii="宋体" w:hAnsi="宋体"/>
          <w:b/>
          <w:color w:val="auto"/>
          <w:sz w:val="24"/>
          <w:highlight w:val="none"/>
        </w:rPr>
        <w:fldChar w:fldCharType="end"/>
      </w:r>
      <w:r>
        <w:rPr>
          <w:rFonts w:ascii="宋体" w:hAnsi="宋体"/>
          <w:b/>
          <w:color w:val="auto"/>
          <w:sz w:val="24"/>
          <w:highlight w:val="none"/>
        </w:rPr>
        <w:fldChar w:fldCharType="end"/>
      </w:r>
    </w:p>
    <w:p w14:paraId="6BC89D76">
      <w:pPr>
        <w:pStyle w:val="2"/>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"_Toc74322012"</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第五章</w:t>
      </w:r>
      <w:r>
        <w:rPr>
          <w:rStyle w:val="24"/>
          <w:rFonts w:ascii="宋体" w:hAnsi="宋体"/>
          <w:b/>
          <w:color w:val="auto"/>
          <w:sz w:val="24"/>
          <w:highlight w:val="none"/>
        </w:rPr>
        <w:t xml:space="preserve"> </w:t>
      </w:r>
      <w:r>
        <w:rPr>
          <w:rStyle w:val="24"/>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_Toc74322012 \h </w:instrText>
      </w:r>
      <w:r>
        <w:rPr>
          <w:rFonts w:ascii="宋体" w:hAnsi="宋体"/>
          <w:b/>
          <w:color w:val="auto"/>
          <w:sz w:val="24"/>
          <w:highlight w:val="none"/>
        </w:rPr>
        <w:fldChar w:fldCharType="separate"/>
      </w:r>
      <w:r>
        <w:rPr>
          <w:rFonts w:ascii="宋体" w:hAnsi="宋体"/>
          <w:b/>
          <w:color w:val="auto"/>
          <w:sz w:val="24"/>
          <w:highlight w:val="none"/>
        </w:rPr>
        <w:t>53</w:t>
      </w:r>
      <w:r>
        <w:rPr>
          <w:rFonts w:ascii="宋体" w:hAnsi="宋体"/>
          <w:b/>
          <w:color w:val="auto"/>
          <w:sz w:val="24"/>
          <w:highlight w:val="none"/>
        </w:rPr>
        <w:fldChar w:fldCharType="end"/>
      </w:r>
      <w:r>
        <w:rPr>
          <w:rFonts w:ascii="宋体" w:hAnsi="宋体"/>
          <w:b/>
          <w:color w:val="auto"/>
          <w:sz w:val="24"/>
          <w:highlight w:val="none"/>
        </w:rPr>
        <w:fldChar w:fldCharType="end"/>
      </w:r>
    </w:p>
    <w:p w14:paraId="7AA11886">
      <w:pPr>
        <w:pStyle w:val="2"/>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Style w:val="24"/>
          <w:rFonts w:ascii="宋体" w:hAnsi="宋体"/>
          <w:b/>
          <w:color w:val="auto"/>
          <w:sz w:val="24"/>
          <w:highlight w:val="none"/>
        </w:rPr>
        <w:instrText xml:space="preserve"> </w:instrText>
      </w:r>
      <w:r>
        <w:rPr>
          <w:rFonts w:ascii="宋体" w:hAnsi="宋体"/>
          <w:b/>
          <w:color w:val="auto"/>
          <w:sz w:val="24"/>
          <w:highlight w:val="none"/>
        </w:rPr>
        <w:instrText xml:space="preserve">HYPERLINK \l "_Toc74322013"</w:instrText>
      </w:r>
      <w:r>
        <w:rPr>
          <w:rStyle w:val="24"/>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24"/>
          <w:rFonts w:hint="eastAsia" w:ascii="宋体" w:hAnsi="宋体"/>
          <w:b/>
          <w:color w:val="auto"/>
          <w:sz w:val="24"/>
          <w:highlight w:val="none"/>
        </w:rPr>
        <w:t>第六章</w:t>
      </w:r>
      <w:r>
        <w:rPr>
          <w:rStyle w:val="24"/>
          <w:rFonts w:ascii="宋体" w:hAnsi="宋体"/>
          <w:b/>
          <w:color w:val="auto"/>
          <w:sz w:val="24"/>
          <w:highlight w:val="none"/>
        </w:rPr>
        <w:t xml:space="preserve"> </w:t>
      </w:r>
      <w:r>
        <w:rPr>
          <w:rStyle w:val="24"/>
          <w:rFonts w:hint="eastAsia" w:ascii="宋体" w:hAnsi="宋体"/>
          <w:b/>
          <w:color w:val="auto"/>
          <w:sz w:val="24"/>
          <w:highlight w:val="none"/>
        </w:rPr>
        <w:t>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_Toc74322013 \h </w:instrText>
      </w:r>
      <w:r>
        <w:rPr>
          <w:rFonts w:ascii="宋体" w:hAnsi="宋体"/>
          <w:b/>
          <w:color w:val="auto"/>
          <w:sz w:val="24"/>
          <w:highlight w:val="none"/>
        </w:rPr>
        <w:fldChar w:fldCharType="separate"/>
      </w:r>
      <w:r>
        <w:rPr>
          <w:rFonts w:ascii="宋体" w:hAnsi="宋体"/>
          <w:b/>
          <w:color w:val="auto"/>
          <w:sz w:val="24"/>
          <w:highlight w:val="none"/>
        </w:rPr>
        <w:t>77</w:t>
      </w:r>
      <w:r>
        <w:rPr>
          <w:rFonts w:ascii="宋体" w:hAnsi="宋体"/>
          <w:b/>
          <w:color w:val="auto"/>
          <w:sz w:val="24"/>
          <w:highlight w:val="none"/>
        </w:rPr>
        <w:fldChar w:fldCharType="end"/>
      </w:r>
      <w:r>
        <w:rPr>
          <w:rFonts w:ascii="宋体" w:hAnsi="宋体"/>
          <w:b/>
          <w:color w:val="auto"/>
          <w:sz w:val="24"/>
          <w:highlight w:val="none"/>
        </w:rPr>
        <w:fldChar w:fldCharType="end"/>
      </w:r>
    </w:p>
    <w:p w14:paraId="4D6AB045">
      <w:pPr>
        <w:pStyle w:val="18"/>
        <w:tabs>
          <w:tab w:val="right" w:leader="dot" w:pos="8931"/>
          <w:tab w:val="clear" w:pos="8296"/>
        </w:tabs>
        <w:snapToGrid w:val="0"/>
        <w:spacing w:line="500" w:lineRule="atLeast"/>
        <w:ind w:left="0" w:leftChars="0"/>
        <w:rPr>
          <w:rFonts w:hint="eastAsia" w:ascii="宋体" w:hAnsi="宋体"/>
          <w:b/>
          <w:color w:val="auto"/>
          <w:sz w:val="24"/>
          <w:highlight w:val="none"/>
        </w:rPr>
      </w:pPr>
      <w:r>
        <w:rPr>
          <w:rFonts w:ascii="宋体" w:hAnsi="宋体"/>
          <w:b/>
          <w:color w:val="auto"/>
          <w:sz w:val="24"/>
          <w:highlight w:val="none"/>
        </w:rPr>
        <w:fldChar w:fldCharType="end"/>
      </w:r>
    </w:p>
    <w:p w14:paraId="5FA400EA">
      <w:pPr>
        <w:spacing w:line="400" w:lineRule="exact"/>
        <w:jc w:val="left"/>
        <w:rPr>
          <w:rFonts w:hint="eastAsia" w:ascii="宋体" w:hAnsi="宋体"/>
          <w:b/>
          <w:color w:val="auto"/>
          <w:sz w:val="32"/>
          <w:szCs w:val="32"/>
          <w:highlight w:val="none"/>
        </w:rPr>
      </w:pPr>
    </w:p>
    <w:p w14:paraId="0C54052C">
      <w:pPr>
        <w:spacing w:line="400" w:lineRule="exact"/>
        <w:jc w:val="center"/>
        <w:rPr>
          <w:rFonts w:hint="eastAsia" w:ascii="宋体" w:hAnsi="宋体"/>
          <w:b/>
          <w:color w:val="auto"/>
          <w:sz w:val="32"/>
          <w:szCs w:val="32"/>
          <w:highlight w:val="none"/>
        </w:rPr>
      </w:pPr>
    </w:p>
    <w:p w14:paraId="18ED8B32">
      <w:pPr>
        <w:spacing w:line="400" w:lineRule="exact"/>
        <w:jc w:val="center"/>
        <w:rPr>
          <w:rFonts w:hint="eastAsia" w:ascii="宋体" w:hAnsi="宋体"/>
          <w:b/>
          <w:color w:val="auto"/>
          <w:sz w:val="32"/>
          <w:szCs w:val="32"/>
          <w:highlight w:val="none"/>
        </w:rPr>
      </w:pPr>
    </w:p>
    <w:p w14:paraId="7C6D8E58">
      <w:pPr>
        <w:spacing w:line="400" w:lineRule="exact"/>
        <w:jc w:val="center"/>
        <w:rPr>
          <w:rFonts w:hint="eastAsia" w:ascii="宋体" w:hAnsi="宋体"/>
          <w:b/>
          <w:color w:val="auto"/>
          <w:sz w:val="32"/>
          <w:szCs w:val="32"/>
          <w:highlight w:val="none"/>
        </w:rPr>
      </w:pPr>
    </w:p>
    <w:p w14:paraId="212938AC">
      <w:pPr>
        <w:spacing w:line="400" w:lineRule="exact"/>
        <w:jc w:val="center"/>
        <w:rPr>
          <w:rFonts w:hint="eastAsia" w:ascii="宋体" w:hAnsi="宋体"/>
          <w:b/>
          <w:color w:val="auto"/>
          <w:sz w:val="32"/>
          <w:szCs w:val="32"/>
          <w:highlight w:val="none"/>
        </w:rPr>
      </w:pPr>
    </w:p>
    <w:p w14:paraId="60C431AD">
      <w:pPr>
        <w:spacing w:line="400" w:lineRule="exact"/>
        <w:rPr>
          <w:rFonts w:hint="eastAsia" w:ascii="宋体" w:hAnsi="宋体"/>
          <w:b/>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458FF612">
      <w:pPr>
        <w:pStyle w:val="3"/>
        <w:spacing w:after="100" w:line="480" w:lineRule="auto"/>
        <w:jc w:val="center"/>
        <w:rPr>
          <w:rFonts w:hint="eastAsia"/>
          <w:color w:val="auto"/>
          <w:highlight w:val="none"/>
        </w:rPr>
      </w:pPr>
      <w:bookmarkStart w:id="2" w:name="_Toc74322008"/>
      <w:r>
        <w:rPr>
          <w:rFonts w:hint="eastAsia"/>
          <w:color w:val="auto"/>
          <w:highlight w:val="none"/>
        </w:rPr>
        <w:t>第一章 竞争性谈判公告</w:t>
      </w:r>
      <w:bookmarkEnd w:id="2"/>
      <w:bookmarkStart w:id="86" w:name="_GoBack"/>
      <w:bookmarkEnd w:id="86"/>
    </w:p>
    <w:p w14:paraId="52E62BE1">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b/>
          <w:bCs/>
          <w:color w:val="auto"/>
          <w:sz w:val="32"/>
          <w:szCs w:val="32"/>
          <w:highlight w:val="none"/>
        </w:rPr>
      </w:pPr>
      <w:r>
        <w:rPr>
          <w:rFonts w:hint="eastAsia" w:ascii="宋体" w:hAnsi="宋体"/>
          <w:b/>
          <w:bCs/>
          <w:color w:val="auto"/>
          <w:sz w:val="32"/>
          <w:szCs w:val="32"/>
          <w:highlight w:val="none"/>
        </w:rPr>
        <w:t>竞争性谈判公告</w:t>
      </w:r>
    </w:p>
    <w:p w14:paraId="7A297AF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bookmarkStart w:id="3" w:name="_Hlk37430271"/>
      <w:r>
        <w:rPr>
          <w:rFonts w:hint="eastAsia" w:ascii="宋体" w:hAnsi="宋体"/>
          <w:color w:val="auto"/>
          <w:szCs w:val="21"/>
          <w:highlight w:val="none"/>
        </w:rPr>
        <w:t>项目概况</w:t>
      </w:r>
    </w:p>
    <w:p w14:paraId="418B9F5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lang w:eastAsia="zh-CN"/>
        </w:rPr>
        <w:t>布草被服采购</w:t>
      </w:r>
      <w:r>
        <w:rPr>
          <w:rFonts w:hint="eastAsia" w:ascii="宋体" w:hAnsi="宋体"/>
          <w:color w:val="auto"/>
          <w:szCs w:val="21"/>
          <w:highlight w:val="none"/>
        </w:rPr>
        <w:t xml:space="preserve"> 采购项目的潜在供应商应在广西政府采购云平台（https://www.gcy.zfcg.gxzf.gov.cn/）获取（下载）竞争性谈判文件，并于</w:t>
      </w:r>
      <w:r>
        <w:rPr>
          <w:rFonts w:hint="eastAsia" w:ascii="宋体" w:hAnsi="宋体"/>
          <w:color w:val="auto"/>
          <w:szCs w:val="21"/>
          <w:highlight w:val="none"/>
          <w:u w:val="single"/>
          <w:lang w:val="en-US" w:eastAsia="zh-CN"/>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14:paraId="094C21A5">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黑体" w:hAnsi="黑体" w:eastAsia="黑体"/>
          <w:color w:val="auto"/>
          <w:sz w:val="24"/>
          <w:highlight w:val="none"/>
        </w:rPr>
      </w:pPr>
      <w:bookmarkStart w:id="4" w:name="_Toc35393798"/>
      <w:bookmarkStart w:id="5" w:name="_Toc28359012"/>
      <w:bookmarkStart w:id="6" w:name="_Toc35393629"/>
      <w:bookmarkStart w:id="7" w:name="_Toc28359089"/>
      <w:bookmarkStart w:id="8" w:name="_Toc71366040"/>
      <w:bookmarkStart w:id="9" w:name="_Toc71365362"/>
      <w:r>
        <w:rPr>
          <w:rFonts w:hint="eastAsia" w:ascii="黑体" w:hAnsi="黑体" w:eastAsia="黑体"/>
          <w:color w:val="auto"/>
          <w:sz w:val="24"/>
          <w:highlight w:val="none"/>
        </w:rPr>
        <w:t>一、项目基本情况</w:t>
      </w:r>
      <w:bookmarkEnd w:id="4"/>
      <w:bookmarkEnd w:id="5"/>
      <w:bookmarkEnd w:id="6"/>
      <w:bookmarkEnd w:id="7"/>
      <w:bookmarkEnd w:id="8"/>
      <w:bookmarkEnd w:id="9"/>
    </w:p>
    <w:p w14:paraId="6BEAE8F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WZZC2025-J1-990152-YZLZ</w:t>
      </w:r>
    </w:p>
    <w:p w14:paraId="29D3C41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lang w:eastAsia="zh-CN"/>
        </w:rPr>
        <w:t>布草被服采购</w:t>
      </w:r>
    </w:p>
    <w:p w14:paraId="0F75171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采购方式：竞争性谈判</w:t>
      </w:r>
    </w:p>
    <w:p w14:paraId="72D4393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eastAsia="zh-CN"/>
        </w:rPr>
        <w:t>904729.95元</w:t>
      </w:r>
    </w:p>
    <w:p w14:paraId="79835F3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最高限价（如有）：</w:t>
      </w:r>
      <w:r>
        <w:rPr>
          <w:rFonts w:hint="eastAsia" w:ascii="宋体" w:hAnsi="宋体"/>
          <w:color w:val="auto"/>
          <w:szCs w:val="21"/>
          <w:highlight w:val="none"/>
          <w:lang w:val="en-US" w:eastAsia="zh-CN"/>
        </w:rPr>
        <w:t>折扣</w:t>
      </w:r>
      <w:r>
        <w:rPr>
          <w:rFonts w:hint="eastAsia" w:ascii="宋体" w:hAnsi="宋体"/>
          <w:color w:val="auto"/>
          <w:szCs w:val="21"/>
          <w:highlight w:val="none"/>
        </w:rPr>
        <w:t>≤99%</w:t>
      </w:r>
    </w:p>
    <w:p w14:paraId="1496E1D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采购需求：</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1376"/>
        <w:gridCol w:w="930"/>
        <w:gridCol w:w="5630"/>
      </w:tblGrid>
      <w:tr w14:paraId="6F483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77C9802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ascii="宋体" w:hAnsi="宋体"/>
                <w:color w:val="auto"/>
                <w:szCs w:val="21"/>
                <w:highlight w:val="none"/>
                <w:u w:val="single"/>
              </w:rPr>
              <w:t xml:space="preserve"> </w:t>
            </w:r>
            <w:r>
              <w:rPr>
                <w:rFonts w:hint="eastAsia" w:ascii="宋体" w:hAnsi="宋体"/>
                <w:color w:val="auto"/>
                <w:szCs w:val="21"/>
                <w:highlight w:val="none"/>
              </w:rPr>
              <w:t>分标；预算金额：</w:t>
            </w:r>
            <w:r>
              <w:rPr>
                <w:rFonts w:hint="eastAsia" w:ascii="宋体" w:hAnsi="宋体"/>
                <w:color w:val="auto"/>
                <w:szCs w:val="21"/>
                <w:highlight w:val="none"/>
                <w:lang w:eastAsia="zh-CN"/>
              </w:rPr>
              <w:t>904729.95元</w:t>
            </w:r>
          </w:p>
        </w:tc>
      </w:tr>
      <w:tr w14:paraId="3F69F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0EE0CE5E">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EA7C733">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标的的名称</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F0222DF">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数量及</w:t>
            </w:r>
          </w:p>
          <w:p w14:paraId="305C32B9">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单位</w:t>
            </w:r>
          </w:p>
        </w:tc>
        <w:tc>
          <w:tcPr>
            <w:tcW w:w="5630" w:type="dxa"/>
            <w:tcBorders>
              <w:top w:val="single" w:color="auto" w:sz="4" w:space="0"/>
              <w:left w:val="single" w:color="auto" w:sz="4" w:space="0"/>
              <w:bottom w:val="single" w:color="auto" w:sz="4" w:space="0"/>
              <w:right w:val="single" w:color="auto" w:sz="4" w:space="0"/>
            </w:tcBorders>
            <w:noWrap w:val="0"/>
            <w:vAlign w:val="center"/>
          </w:tcPr>
          <w:p w14:paraId="42118E2E">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简要技术需求或者服务要求</w:t>
            </w:r>
          </w:p>
        </w:tc>
      </w:tr>
      <w:tr w14:paraId="52358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138DB1F0">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01</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64F41101">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污物袋</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6AEF7DE">
            <w:pPr>
              <w:keepNext w:val="0"/>
              <w:keepLines w:val="0"/>
              <w:pageBreakBefore w:val="0"/>
              <w:kinsoku/>
              <w:wordWrap/>
              <w:overflowPunct/>
              <w:topLinePunct w:val="0"/>
              <w:autoSpaceDE/>
              <w:autoSpaceDN/>
              <w:bidi w:val="0"/>
              <w:adjustRightInd/>
              <w:snapToGrid w:val="0"/>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297只</w:t>
            </w:r>
          </w:p>
        </w:tc>
        <w:tc>
          <w:tcPr>
            <w:tcW w:w="5630" w:type="dxa"/>
            <w:tcBorders>
              <w:top w:val="single" w:color="auto" w:sz="4" w:space="0"/>
              <w:left w:val="single" w:color="auto" w:sz="4" w:space="0"/>
              <w:bottom w:val="single" w:color="auto" w:sz="4" w:space="0"/>
              <w:right w:val="single" w:color="auto" w:sz="4" w:space="0"/>
            </w:tcBorders>
            <w:noWrap w:val="0"/>
            <w:vAlign w:val="center"/>
          </w:tcPr>
          <w:p w14:paraId="6FD0D4B5">
            <w:pPr>
              <w:keepNext w:val="0"/>
              <w:keepLines w:val="0"/>
              <w:pageBreakBefore w:val="0"/>
              <w:numPr>
                <w:ilvl w:val="0"/>
                <w:numId w:val="0"/>
              </w:numPr>
              <w:kinsoku/>
              <w:wordWrap/>
              <w:overflowPunct/>
              <w:topLinePunct w:val="0"/>
              <w:autoSpaceDE/>
              <w:autoSpaceDN/>
              <w:bidi w:val="0"/>
              <w:adjustRightInd/>
              <w:snapToGrid w:val="0"/>
              <w:spacing w:line="400" w:lineRule="exact"/>
              <w:jc w:val="both"/>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r>
              <w:rPr>
                <w:rFonts w:hint="default" w:ascii="宋体" w:hAnsi="宋体" w:eastAsia="宋体"/>
                <w:color w:val="auto"/>
                <w:szCs w:val="21"/>
                <w:highlight w:val="none"/>
                <w:lang w:val="en-US" w:eastAsia="zh-CN"/>
              </w:rPr>
              <w:t>规格：缩水后110*50*50cm，允差±3%；</w:t>
            </w:r>
          </w:p>
          <w:p w14:paraId="64C75C38">
            <w:pPr>
              <w:keepNext w:val="0"/>
              <w:keepLines w:val="0"/>
              <w:pageBreakBefore w:val="0"/>
              <w:numPr>
                <w:ilvl w:val="0"/>
                <w:numId w:val="0"/>
              </w:numPr>
              <w:kinsoku/>
              <w:wordWrap/>
              <w:overflowPunct/>
              <w:topLinePunct w:val="0"/>
              <w:autoSpaceDE/>
              <w:autoSpaceDN/>
              <w:bidi w:val="0"/>
              <w:adjustRightInd/>
              <w:snapToGrid w:val="0"/>
              <w:spacing w:line="400" w:lineRule="exact"/>
              <w:jc w:val="both"/>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2.面料：合股涤卡白色医用布料。成份涤65%，棉35%，允差±2%；纱支45/2*21，允差±3%；密度≥138*71；</w:t>
            </w:r>
            <w:r>
              <w:rPr>
                <w:rFonts w:hint="eastAsia" w:ascii="宋体" w:hAnsi="宋体"/>
                <w:color w:val="auto"/>
                <w:szCs w:val="21"/>
                <w:highlight w:val="none"/>
              </w:rPr>
              <w:t>具体</w:t>
            </w:r>
            <w:r>
              <w:rPr>
                <w:rFonts w:hint="eastAsia" w:ascii="宋体" w:hAnsi="宋体" w:eastAsia="宋体"/>
                <w:color w:val="auto"/>
                <w:szCs w:val="21"/>
                <w:highlight w:val="none"/>
                <w:lang w:val="en-US" w:eastAsia="zh-CN"/>
              </w:rPr>
              <w:t>详见附件：采购需求。</w:t>
            </w:r>
          </w:p>
        </w:tc>
      </w:tr>
      <w:tr w14:paraId="17909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14:paraId="7492516E">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02</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E65FD2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消毒袋</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6074E22">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200只</w:t>
            </w:r>
          </w:p>
        </w:tc>
        <w:tc>
          <w:tcPr>
            <w:tcW w:w="5630" w:type="dxa"/>
            <w:tcBorders>
              <w:top w:val="single" w:color="auto" w:sz="4" w:space="0"/>
              <w:left w:val="single" w:color="auto" w:sz="4" w:space="0"/>
              <w:bottom w:val="single" w:color="auto" w:sz="4" w:space="0"/>
              <w:right w:val="single" w:color="auto" w:sz="4" w:space="0"/>
            </w:tcBorders>
            <w:noWrap w:val="0"/>
            <w:vAlign w:val="center"/>
          </w:tcPr>
          <w:p w14:paraId="39DB9644">
            <w:pPr>
              <w:keepNext w:val="0"/>
              <w:keepLines w:val="0"/>
              <w:pageBreakBefore w:val="0"/>
              <w:numPr>
                <w:ilvl w:val="0"/>
                <w:numId w:val="0"/>
              </w:numPr>
              <w:kinsoku/>
              <w:wordWrap/>
              <w:overflowPunct/>
              <w:topLinePunct w:val="0"/>
              <w:autoSpaceDE/>
              <w:autoSpaceDN/>
              <w:bidi w:val="0"/>
              <w:adjustRightInd/>
              <w:snapToGrid w:val="0"/>
              <w:spacing w:line="400" w:lineRule="exact"/>
              <w:jc w:val="both"/>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r>
              <w:rPr>
                <w:rFonts w:hint="default" w:ascii="宋体" w:hAnsi="宋体" w:eastAsia="宋体"/>
                <w:color w:val="auto"/>
                <w:szCs w:val="21"/>
                <w:highlight w:val="none"/>
                <w:lang w:val="en-US" w:eastAsia="zh-CN"/>
              </w:rPr>
              <w:t>规格：缩水后110*50*50cm，允差±3%；</w:t>
            </w:r>
          </w:p>
          <w:p w14:paraId="443952D9">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2.面料：合股涤卡白色医用布料。成份涤65%，棉35%，允差±2%；纱支45/2*21，允差±3%；密度≥138*71；</w:t>
            </w:r>
            <w:r>
              <w:rPr>
                <w:rFonts w:hint="eastAsia" w:ascii="宋体" w:hAnsi="宋体"/>
                <w:color w:val="auto"/>
                <w:szCs w:val="21"/>
                <w:highlight w:val="none"/>
              </w:rPr>
              <w:t>具体</w:t>
            </w:r>
            <w:r>
              <w:rPr>
                <w:rFonts w:hint="eastAsia" w:ascii="宋体" w:hAnsi="宋体" w:eastAsia="宋体"/>
                <w:color w:val="auto"/>
                <w:szCs w:val="21"/>
                <w:highlight w:val="none"/>
                <w:lang w:val="en-US" w:eastAsia="zh-CN"/>
              </w:rPr>
              <w:t>详见附件：采购需求。</w:t>
            </w:r>
          </w:p>
        </w:tc>
      </w:tr>
      <w:tr w14:paraId="1C273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noWrap w:val="0"/>
            <w:vAlign w:val="center"/>
          </w:tcPr>
          <w:p w14:paraId="74A9E54F">
            <w:pPr>
              <w:keepNext w:val="0"/>
              <w:keepLines w:val="0"/>
              <w:pageBreakBefore w:val="0"/>
              <w:kinsoku/>
              <w:wordWrap/>
              <w:overflowPunct/>
              <w:topLinePunct w:val="0"/>
              <w:autoSpaceDE/>
              <w:autoSpaceDN/>
              <w:bidi w:val="0"/>
              <w:adjustRightInd/>
              <w:snapToGrid w:val="0"/>
              <w:spacing w:line="400" w:lineRule="exact"/>
              <w:jc w:val="left"/>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......更多标的内容详见附件：采购需求。</w:t>
            </w:r>
          </w:p>
        </w:tc>
      </w:tr>
    </w:tbl>
    <w:p w14:paraId="1E3BE8F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合同履行期限：</w:t>
      </w:r>
      <w:r>
        <w:rPr>
          <w:rFonts w:hint="eastAsia" w:ascii="宋体" w:hAnsi="宋体"/>
          <w:color w:val="auto"/>
          <w:szCs w:val="21"/>
          <w:highlight w:val="none"/>
          <w:lang w:eastAsia="zh-CN"/>
        </w:rPr>
        <w:t>本项目采购量为年度采购预估量，供应商根据采购人每月需求量供货，采购量以年度12个月实际采购量为准。供应商自签订合同之日起3个工作日内与采购人确定式样与当月采购量。式样与当月采购量确认后在15日历日内完成交货</w:t>
      </w:r>
      <w:r>
        <w:rPr>
          <w:rFonts w:hint="eastAsia" w:ascii="宋体" w:hAnsi="宋体"/>
          <w:color w:val="auto"/>
          <w:szCs w:val="21"/>
          <w:highlight w:val="none"/>
          <w:lang w:eastAsia="zh-CN"/>
        </w:rPr>
        <w:t>。</w:t>
      </w:r>
    </w:p>
    <w:p w14:paraId="6881E4B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4A7DD828">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黑体" w:hAnsi="黑体" w:eastAsia="黑体"/>
          <w:color w:val="auto"/>
          <w:sz w:val="24"/>
          <w:highlight w:val="none"/>
        </w:rPr>
      </w:pPr>
      <w:bookmarkStart w:id="10" w:name="_Toc28359013"/>
      <w:bookmarkStart w:id="11" w:name="_Toc35393630"/>
      <w:bookmarkStart w:id="12" w:name="_Toc35393799"/>
      <w:bookmarkStart w:id="13" w:name="_Toc28359090"/>
      <w:bookmarkStart w:id="14" w:name="_Toc71366041"/>
      <w:bookmarkStart w:id="15" w:name="_Toc71365363"/>
      <w:r>
        <w:rPr>
          <w:rFonts w:hint="eastAsia" w:ascii="黑体" w:hAnsi="黑体" w:eastAsia="黑体"/>
          <w:color w:val="auto"/>
          <w:sz w:val="24"/>
          <w:highlight w:val="none"/>
        </w:rPr>
        <w:t>二、供应商的资格条件：</w:t>
      </w:r>
      <w:bookmarkEnd w:id="10"/>
      <w:bookmarkEnd w:id="11"/>
      <w:bookmarkEnd w:id="12"/>
      <w:bookmarkEnd w:id="13"/>
      <w:bookmarkEnd w:id="14"/>
      <w:bookmarkEnd w:id="15"/>
    </w:p>
    <w:p w14:paraId="1922CB3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bookmarkStart w:id="16" w:name="_Toc28359091"/>
      <w:bookmarkStart w:id="17" w:name="_Toc28359014"/>
      <w:r>
        <w:rPr>
          <w:rFonts w:hint="eastAsia" w:ascii="宋体" w:hAnsi="宋体"/>
          <w:color w:val="auto"/>
          <w:szCs w:val="21"/>
          <w:highlight w:val="none"/>
        </w:rPr>
        <w:t>1.满足《中华人民共和国政府采购法》第二十二条规定；</w:t>
      </w:r>
    </w:p>
    <w:p w14:paraId="5884D93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rPr>
        <w:t>本项目专门面向中小企业采购，提供的货物须全部由符合政策要求的中</w:t>
      </w:r>
      <w:r>
        <w:rPr>
          <w:rFonts w:hint="eastAsia" w:ascii="宋体" w:hAnsi="宋体"/>
          <w:color w:val="auto"/>
          <w:szCs w:val="21"/>
          <w:highlight w:val="none"/>
          <w:lang w:val="en-US" w:eastAsia="zh-CN"/>
        </w:rPr>
        <w:t>型</w:t>
      </w:r>
      <w:r>
        <w:rPr>
          <w:rFonts w:hint="eastAsia" w:ascii="宋体" w:hAnsi="宋体"/>
          <w:color w:val="auto"/>
          <w:szCs w:val="21"/>
          <w:highlight w:val="none"/>
        </w:rPr>
        <w:t>、小型或微型企业（包括监狱企业及残疾人福利单位）制造，须提供中小企业声明函【属于残疾人福利性单位的提供残疾人福利性单位声明函，属于监狱企业的提供由省级以上监狱管理局、戒毒管理局（含新疆生产建设兵团）出具的属于监狱企业的证明文件】</w:t>
      </w:r>
      <w:r>
        <w:rPr>
          <w:rFonts w:hint="eastAsia" w:ascii="宋体" w:hAnsi="宋体"/>
          <w:color w:val="auto"/>
          <w:szCs w:val="21"/>
          <w:highlight w:val="none"/>
          <w:lang w:eastAsia="zh-CN"/>
        </w:rPr>
        <w:t>；</w:t>
      </w:r>
    </w:p>
    <w:p w14:paraId="63FC8D8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无</w:t>
      </w:r>
      <w:r>
        <w:rPr>
          <w:rFonts w:hint="eastAsia" w:ascii="宋体" w:hAnsi="宋体"/>
          <w:color w:val="auto"/>
          <w:szCs w:val="21"/>
          <w:highlight w:val="none"/>
        </w:rPr>
        <w:t>。</w:t>
      </w:r>
    </w:p>
    <w:p w14:paraId="05CE330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黑体" w:hAnsi="黑体" w:eastAsia="黑体"/>
          <w:color w:val="auto"/>
          <w:sz w:val="24"/>
          <w:highlight w:val="none"/>
        </w:rPr>
      </w:pPr>
      <w:bookmarkStart w:id="18" w:name="_Toc71365364"/>
      <w:bookmarkStart w:id="19" w:name="_Toc35393631"/>
      <w:bookmarkStart w:id="20" w:name="_Toc71366042"/>
      <w:bookmarkStart w:id="21" w:name="_Toc35393800"/>
      <w:r>
        <w:rPr>
          <w:rFonts w:hint="eastAsia" w:ascii="黑体" w:hAnsi="黑体" w:eastAsia="黑体"/>
          <w:color w:val="auto"/>
          <w:sz w:val="24"/>
          <w:highlight w:val="none"/>
        </w:rPr>
        <w:t>三、获取竞争性谈判文件</w:t>
      </w:r>
      <w:bookmarkEnd w:id="16"/>
      <w:bookmarkEnd w:id="17"/>
      <w:bookmarkEnd w:id="18"/>
      <w:bookmarkEnd w:id="19"/>
      <w:bookmarkEnd w:id="20"/>
      <w:bookmarkEnd w:id="21"/>
    </w:p>
    <w:p w14:paraId="0A018F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lang w:val="en-US" w:eastAsia="zh-CN"/>
        </w:rPr>
        <w:t>2025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日至</w:t>
      </w:r>
      <w:r>
        <w:rPr>
          <w:rFonts w:hint="eastAsia" w:ascii="宋体" w:hAnsi="宋体" w:eastAsia="宋体" w:cs="宋体"/>
          <w:bCs/>
          <w:color w:val="auto"/>
          <w:kern w:val="0"/>
          <w:szCs w:val="21"/>
          <w:highlight w:val="none"/>
          <w:lang w:val="en-US" w:eastAsia="zh-CN"/>
        </w:rPr>
        <w:t>2025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日，每天上午</w:t>
      </w:r>
      <w:r>
        <w:rPr>
          <w:rFonts w:hint="eastAsia" w:ascii="宋体" w:hAnsi="宋体" w:eastAsia="宋体" w:cs="宋体"/>
          <w:bCs/>
          <w:color w:val="auto"/>
          <w:kern w:val="0"/>
          <w:szCs w:val="21"/>
          <w:highlight w:val="none"/>
          <w:lang w:val="en-US" w:eastAsia="zh-CN"/>
        </w:rPr>
        <w:t>8:00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12:00</w:t>
      </w:r>
      <w:r>
        <w:rPr>
          <w:rFonts w:hint="eastAsia" w:ascii="宋体" w:hAnsi="宋体" w:eastAsia="宋体" w:cs="宋体"/>
          <w:bCs/>
          <w:color w:val="auto"/>
          <w:kern w:val="0"/>
          <w:szCs w:val="21"/>
          <w:highlight w:val="none"/>
        </w:rPr>
        <w:t>，下午</w:t>
      </w:r>
      <w:r>
        <w:rPr>
          <w:rFonts w:hint="eastAsia" w:ascii="宋体" w:hAnsi="宋体" w:eastAsia="宋体" w:cs="宋体"/>
          <w:bCs/>
          <w:color w:val="auto"/>
          <w:kern w:val="0"/>
          <w:szCs w:val="21"/>
          <w:highlight w:val="none"/>
          <w:lang w:val="en-US" w:eastAsia="zh-CN"/>
        </w:rPr>
        <w:t>3:00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6:00</w:t>
      </w:r>
      <w:r>
        <w:rPr>
          <w:rFonts w:hint="eastAsia" w:ascii="宋体" w:hAnsi="宋体" w:eastAsia="宋体" w:cs="宋体"/>
          <w:bCs/>
          <w:color w:val="auto"/>
          <w:kern w:val="0"/>
          <w:szCs w:val="21"/>
          <w:highlight w:val="none"/>
        </w:rPr>
        <w:t>（北京时间）</w:t>
      </w:r>
    </w:p>
    <w:p w14:paraId="3920D2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地点：广西政府采购云平台（https://www.gcy.zfcg.gxzf.gov.cn/）</w:t>
      </w:r>
    </w:p>
    <w:p w14:paraId="2B4756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Cs/>
          <w:color w:val="auto"/>
          <w:kern w:val="0"/>
          <w:szCs w:val="21"/>
          <w:highlight w:val="none"/>
        </w:rPr>
      </w:pPr>
      <w:r>
        <w:rPr>
          <w:rFonts w:hint="eastAsia" w:ascii="宋体" w:hAnsi="宋体" w:eastAsia="宋体" w:cs="宋体"/>
          <w:bCs/>
          <w:color w:val="auto"/>
          <w:kern w:val="0"/>
          <w:szCs w:val="21"/>
          <w:highlight w:val="none"/>
        </w:rPr>
        <w:t>方式：网上下载。本项目不提供纸质文件，潜在供应商需使用账号登录或者使用CA登录广西政府采购云平台（http</w:t>
      </w:r>
      <w:r>
        <w:rPr>
          <w:rFonts w:hint="eastAsia" w:ascii="宋体" w:hAnsi="宋体" w:cs="宋体"/>
          <w:bCs/>
          <w:color w:val="auto"/>
          <w:kern w:val="0"/>
          <w:szCs w:val="21"/>
          <w:highlight w:val="none"/>
        </w:rPr>
        <w:t>s://www.gcy.zfcg.gxzf.gov.cn/）-进入“项目采购”应用，在获取采购文件菜单中选择项目，获取竞争性谈判文件。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制作需要基于广西政府采购云平台获取的谈判文件编制，</w:t>
      </w:r>
      <w:r>
        <w:rPr>
          <w:rFonts w:hint="eastAsia" w:ascii="宋体" w:hAnsi="宋体" w:cs="宋体"/>
          <w:bCs/>
          <w:color w:val="auto"/>
          <w:kern w:val="0"/>
          <w:szCs w:val="21"/>
          <w:highlight w:val="none"/>
        </w:rPr>
        <w:t>通过其他方式获取谈判文件的，将有可能导致供应商无法在广西政府采购云平台编制及上传响应文件。</w:t>
      </w:r>
    </w:p>
    <w:p w14:paraId="155090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 w:val="0"/>
          <w:iCs/>
          <w:color w:val="auto"/>
          <w:szCs w:val="21"/>
          <w:highlight w:val="none"/>
          <w:u w:val="single"/>
        </w:rPr>
        <w:t>0</w:t>
      </w:r>
      <w:r>
        <w:rPr>
          <w:rFonts w:hint="eastAsia" w:ascii="宋体" w:hAnsi="宋体" w:cs="宋体"/>
          <w:color w:val="auto"/>
          <w:szCs w:val="21"/>
          <w:highlight w:val="none"/>
        </w:rPr>
        <w:t>元</w:t>
      </w:r>
    </w:p>
    <w:p w14:paraId="27E37B86">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黑体" w:hAnsi="黑体" w:eastAsia="黑体"/>
          <w:color w:val="auto"/>
          <w:sz w:val="24"/>
          <w:highlight w:val="none"/>
        </w:rPr>
      </w:pPr>
      <w:bookmarkStart w:id="22" w:name="_Toc35393801"/>
      <w:bookmarkStart w:id="23" w:name="_Toc35393632"/>
      <w:bookmarkStart w:id="24" w:name="_Toc71365365"/>
      <w:bookmarkStart w:id="25" w:name="_Toc28359015"/>
      <w:bookmarkStart w:id="26" w:name="_Toc28359092"/>
      <w:bookmarkStart w:id="27" w:name="_Toc71366043"/>
      <w:r>
        <w:rPr>
          <w:rFonts w:hint="eastAsia" w:ascii="黑体" w:hAnsi="黑体" w:eastAsia="黑体"/>
          <w:color w:val="auto"/>
          <w:sz w:val="24"/>
          <w:highlight w:val="none"/>
        </w:rPr>
        <w:t>四、响应文件提交</w:t>
      </w:r>
      <w:bookmarkEnd w:id="22"/>
      <w:bookmarkEnd w:id="23"/>
      <w:bookmarkEnd w:id="24"/>
      <w:bookmarkEnd w:id="25"/>
      <w:bookmarkEnd w:id="26"/>
      <w:bookmarkEnd w:id="27"/>
    </w:p>
    <w:p w14:paraId="72FEB64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u w:val="single"/>
          <w:lang w:val="en-US" w:eastAsia="zh-CN"/>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rPr>
        <w:t>（北京时间，法定节假日除外）</w:t>
      </w:r>
    </w:p>
    <w:p w14:paraId="6EA5DF17">
      <w:pPr>
        <w:keepNext w:val="0"/>
        <w:keepLines w:val="0"/>
        <w:pageBreakBefore w:val="0"/>
        <w:kinsoku/>
        <w:wordWrap/>
        <w:overflowPunct/>
        <w:topLinePunct w:val="0"/>
        <w:autoSpaceDE/>
        <w:autoSpaceDN/>
        <w:bidi w:val="0"/>
        <w:adjustRightInd/>
        <w:spacing w:line="400" w:lineRule="exact"/>
        <w:ind w:left="422"/>
        <w:textAlignment w:val="auto"/>
        <w:rPr>
          <w:rFonts w:hint="eastAsia"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5A8EC957">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黑体" w:hAnsi="黑体" w:eastAsia="黑体"/>
          <w:color w:val="auto"/>
          <w:sz w:val="24"/>
          <w:highlight w:val="none"/>
        </w:rPr>
      </w:pPr>
      <w:bookmarkStart w:id="28" w:name="_Toc28359016"/>
      <w:bookmarkStart w:id="29" w:name="_Toc71366044"/>
      <w:bookmarkStart w:id="30" w:name="_Toc35393802"/>
      <w:bookmarkStart w:id="31" w:name="_Toc71365366"/>
      <w:bookmarkStart w:id="32" w:name="_Toc35393633"/>
      <w:bookmarkStart w:id="33" w:name="_Toc28359093"/>
      <w:r>
        <w:rPr>
          <w:rFonts w:hint="eastAsia" w:ascii="黑体" w:hAnsi="黑体" w:eastAsia="黑体"/>
          <w:color w:val="auto"/>
          <w:sz w:val="24"/>
          <w:highlight w:val="none"/>
        </w:rPr>
        <w:t>五、开启</w:t>
      </w:r>
      <w:bookmarkEnd w:id="28"/>
      <w:bookmarkEnd w:id="29"/>
      <w:bookmarkEnd w:id="30"/>
      <w:bookmarkEnd w:id="31"/>
      <w:bookmarkEnd w:id="32"/>
      <w:bookmarkEnd w:id="33"/>
    </w:p>
    <w:p w14:paraId="2BDE889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lang w:val="en-US" w:eastAsia="zh-CN"/>
        </w:rPr>
        <w:t>2025年7月11日15：30</w:t>
      </w:r>
      <w:r>
        <w:rPr>
          <w:rFonts w:hint="eastAsia" w:ascii="宋体" w:hAnsi="宋体"/>
          <w:bCs/>
          <w:color w:val="auto"/>
          <w:szCs w:val="21"/>
          <w:highlight w:val="none"/>
          <w:u w:val="single"/>
        </w:rPr>
        <w:t>（北京时间）</w:t>
      </w:r>
    </w:p>
    <w:p w14:paraId="5F71184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2071930A">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黑体" w:hAnsi="黑体" w:eastAsia="黑体"/>
          <w:color w:val="auto"/>
          <w:sz w:val="24"/>
          <w:highlight w:val="none"/>
        </w:rPr>
      </w:pPr>
      <w:bookmarkStart w:id="34" w:name="_Toc71365367"/>
      <w:bookmarkStart w:id="35" w:name="_Toc71366045"/>
      <w:bookmarkStart w:id="36" w:name="_Toc35393803"/>
      <w:bookmarkStart w:id="37" w:name="_Toc28359017"/>
      <w:bookmarkStart w:id="38" w:name="_Toc35393634"/>
      <w:bookmarkStart w:id="39" w:name="_Toc28359094"/>
      <w:r>
        <w:rPr>
          <w:rFonts w:hint="eastAsia" w:ascii="黑体" w:hAnsi="黑体" w:eastAsia="黑体"/>
          <w:color w:val="auto"/>
          <w:sz w:val="24"/>
          <w:highlight w:val="none"/>
        </w:rPr>
        <w:t>六、公告期限</w:t>
      </w:r>
      <w:bookmarkEnd w:id="34"/>
      <w:bookmarkEnd w:id="35"/>
      <w:bookmarkEnd w:id="36"/>
      <w:bookmarkEnd w:id="37"/>
      <w:bookmarkEnd w:id="38"/>
      <w:bookmarkEnd w:id="39"/>
    </w:p>
    <w:p w14:paraId="06B68A0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5CB03755">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黑体" w:hAnsi="黑体" w:eastAsia="黑体"/>
          <w:color w:val="auto"/>
          <w:sz w:val="24"/>
          <w:highlight w:val="none"/>
        </w:rPr>
      </w:pPr>
      <w:bookmarkStart w:id="40" w:name="_Toc71365368"/>
      <w:bookmarkStart w:id="41" w:name="_Toc35393804"/>
      <w:bookmarkStart w:id="42" w:name="_Toc71366046"/>
      <w:bookmarkStart w:id="43" w:name="_Toc35393635"/>
      <w:r>
        <w:rPr>
          <w:rFonts w:hint="eastAsia" w:ascii="黑体" w:hAnsi="黑体" w:eastAsia="黑体"/>
          <w:color w:val="auto"/>
          <w:sz w:val="24"/>
          <w:highlight w:val="none"/>
        </w:rPr>
        <w:t>七、其他补充事宜</w:t>
      </w:r>
      <w:bookmarkEnd w:id="40"/>
      <w:bookmarkEnd w:id="41"/>
      <w:bookmarkEnd w:id="42"/>
      <w:bookmarkEnd w:id="43"/>
    </w:p>
    <w:p w14:paraId="038B03E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0C057CF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www.ccgp.gov.cn（中国政府采购网）、zfcg.gxzf.gov.cn（广西壮族自治区政府采购网）、http://117.141.250.58:10030/info/107809（梧州市政府采购网）</w:t>
      </w:r>
    </w:p>
    <w:p w14:paraId="1781B6A6">
      <w:pPr>
        <w:keepNext w:val="0"/>
        <w:keepLines w:val="0"/>
        <w:pageBreakBefore w:val="0"/>
        <w:kinsoku/>
        <w:wordWrap/>
        <w:overflowPunct/>
        <w:topLinePunct w:val="0"/>
        <w:autoSpaceDE/>
        <w:autoSpaceDN/>
        <w:bidi w:val="0"/>
        <w:adjustRightInd/>
        <w:spacing w:line="400" w:lineRule="exact"/>
        <w:ind w:firstLine="424" w:firstLineChars="202"/>
        <w:textAlignment w:val="auto"/>
        <w:rPr>
          <w:rFonts w:hint="eastAsia" w:ascii="宋体" w:hAnsi="宋体" w:cs="宋体"/>
          <w:color w:val="auto"/>
          <w:kern w:val="0"/>
          <w:szCs w:val="21"/>
          <w:highlight w:val="none"/>
        </w:rPr>
      </w:pPr>
      <w:bookmarkStart w:id="44" w:name="_Hlk37429674"/>
      <w:bookmarkStart w:id="45" w:name="_Toc35393805"/>
      <w:bookmarkStart w:id="46" w:name="_Toc35393636"/>
      <w:bookmarkStart w:id="47" w:name="_Toc71366047"/>
      <w:bookmarkStart w:id="48" w:name="_Toc28359095"/>
      <w:bookmarkStart w:id="49" w:name="_Toc71365369"/>
      <w:bookmarkStart w:id="50" w:name="_Toc28359018"/>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12ABA64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（1）政府采购促进中小企业发展。</w:t>
      </w:r>
    </w:p>
    <w:p w14:paraId="7C72485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（2）政府采购支持采用本国产品的政策。</w:t>
      </w:r>
    </w:p>
    <w:p w14:paraId="74C9579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（3）强制采购节能产品；优先采购节能产品、环境标志产品。</w:t>
      </w:r>
    </w:p>
    <w:p w14:paraId="369CE4F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（4）政府采购促进残疾人就业政策。</w:t>
      </w:r>
    </w:p>
    <w:p w14:paraId="05D0943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i w:val="0"/>
          <w:iCs w:val="0"/>
          <w:color w:val="auto"/>
          <w:kern w:val="0"/>
          <w:szCs w:val="21"/>
          <w:highlight w:val="none"/>
        </w:rPr>
      </w:pPr>
      <w:r>
        <w:rPr>
          <w:rFonts w:hint="eastAsia" w:ascii="宋体" w:hAnsi="宋体" w:cs="宋体"/>
          <w:i w:val="0"/>
          <w:iCs w:val="0"/>
          <w:color w:val="auto"/>
          <w:kern w:val="0"/>
          <w:szCs w:val="21"/>
          <w:highlight w:val="none"/>
        </w:rPr>
        <w:t>（5）政府采购支持监狱企业发展。</w:t>
      </w:r>
    </w:p>
    <w:p w14:paraId="5B2CD31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3CD1EA0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”查看电子竞标具体操作流程。</w:t>
      </w:r>
    </w:p>
    <w:p w14:paraId="4EED2CC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w:t>
      </w:r>
      <w:r>
        <w:rPr>
          <w:rFonts w:hint="eastAsia" w:ascii="宋体" w:hAnsi="宋体" w:cs="宋体"/>
          <w:bCs/>
          <w:color w:val="auto"/>
          <w:kern w:val="0"/>
          <w:szCs w:val="21"/>
          <w:highlight w:val="none"/>
        </w:rPr>
        <w:t>请致电客服热线：95763或者0771-3381253</w:t>
      </w:r>
      <w:r>
        <w:rPr>
          <w:rFonts w:hint="eastAsia" w:ascii="宋体" w:hAnsi="宋体"/>
          <w:color w:val="auto"/>
          <w:szCs w:val="21"/>
          <w:highlight w:val="none"/>
        </w:rPr>
        <w:t>）</w:t>
      </w:r>
      <w:r>
        <w:rPr>
          <w:rFonts w:hint="eastAsia" w:ascii="宋体" w:hAnsi="宋体"/>
          <w:color w:val="auto"/>
          <w:szCs w:val="21"/>
          <w:highlight w:val="none"/>
        </w:rPr>
        <w:t>。</w:t>
      </w:r>
    </w:p>
    <w:p w14:paraId="6E8CCE4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1B6D09E">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3231F93">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（4）供应商需要在</w:t>
      </w:r>
      <w:r>
        <w:rPr>
          <w:rFonts w:hint="eastAsia" w:ascii="宋体" w:hAnsi="宋体" w:cs="宋体"/>
          <w:color w:val="auto"/>
          <w:kern w:val="0"/>
          <w:szCs w:val="21"/>
          <w:highlight w:val="none"/>
          <w:lang w:eastAsia="zh-CN"/>
        </w:rPr>
        <w:t>具备</w:t>
      </w:r>
      <w:r>
        <w:rPr>
          <w:rFonts w:hint="eastAsia" w:ascii="宋体" w:hAnsi="宋体" w:cs="宋体"/>
          <w:color w:val="auto"/>
          <w:kern w:val="0"/>
          <w:szCs w:val="21"/>
          <w:highlight w:val="none"/>
        </w:rPr>
        <w:t>摄像头及语音功能且互联网网络状况良好的电脑登录广西政府采购云平台远程开标大厅参与本次谈判，否则后果自负。</w:t>
      </w:r>
    </w:p>
    <w:bookmarkEnd w:id="44"/>
    <w:p w14:paraId="0F2519E5">
      <w:pPr>
        <w:keepNext w:val="0"/>
        <w:keepLines w:val="0"/>
        <w:pageBreakBefore w:val="0"/>
        <w:kinsoku/>
        <w:wordWrap/>
        <w:overflowPunct/>
        <w:topLinePunct w:val="0"/>
        <w:autoSpaceDE/>
        <w:autoSpaceDN/>
        <w:bidi w:val="0"/>
        <w:adjustRightInd/>
        <w:spacing w:line="400" w:lineRule="exact"/>
        <w:ind w:firstLine="360" w:firstLineChars="150"/>
        <w:textAlignment w:val="auto"/>
        <w:rPr>
          <w:rFonts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bookmarkEnd w:id="45"/>
      <w:bookmarkEnd w:id="46"/>
      <w:bookmarkEnd w:id="47"/>
      <w:bookmarkEnd w:id="48"/>
      <w:bookmarkEnd w:id="49"/>
      <w:bookmarkEnd w:id="50"/>
    </w:p>
    <w:p w14:paraId="6CC8CF0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bookmarkStart w:id="51" w:name="_Toc35393806"/>
      <w:bookmarkStart w:id="52" w:name="_Toc35393637"/>
      <w:bookmarkStart w:id="53" w:name="_Toc28359096"/>
      <w:bookmarkStart w:id="54" w:name="_Toc28359019"/>
      <w:r>
        <w:rPr>
          <w:rFonts w:hint="eastAsia" w:ascii="宋体" w:hAnsi="宋体" w:cs="宋体"/>
          <w:color w:val="auto"/>
          <w:kern w:val="0"/>
          <w:szCs w:val="21"/>
          <w:highlight w:val="none"/>
        </w:rPr>
        <w:t>1.采购人信息</w:t>
      </w:r>
      <w:bookmarkEnd w:id="51"/>
      <w:bookmarkEnd w:id="52"/>
      <w:bookmarkEnd w:id="53"/>
      <w:bookmarkEnd w:id="54"/>
    </w:p>
    <w:p w14:paraId="68953C01">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梧州市工人医院</w:t>
      </w:r>
    </w:p>
    <w:p w14:paraId="19E5CD93">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bCs/>
          <w:color w:val="auto"/>
          <w:szCs w:val="21"/>
          <w:highlight w:val="none"/>
          <w:u w:val="single"/>
        </w:rPr>
      </w:pPr>
      <w:bookmarkStart w:id="55" w:name="_Toc35393638"/>
      <w:bookmarkStart w:id="56" w:name="_Toc35393807"/>
      <w:bookmarkStart w:id="57" w:name="_Toc28359097"/>
      <w:bookmarkStart w:id="58" w:name="_Toc28359020"/>
      <w:r>
        <w:rPr>
          <w:rFonts w:hint="eastAsia" w:ascii="宋体" w:hAnsi="宋体"/>
          <w:bCs/>
          <w:color w:val="auto"/>
          <w:szCs w:val="21"/>
          <w:highlight w:val="none"/>
        </w:rPr>
        <w:t>地    址：</w:t>
      </w:r>
      <w:r>
        <w:rPr>
          <w:rFonts w:hint="eastAsia" w:ascii="宋体" w:hAnsi="宋体"/>
          <w:bCs/>
          <w:color w:val="auto"/>
          <w:szCs w:val="21"/>
          <w:highlight w:val="none"/>
          <w:u w:val="single"/>
        </w:rPr>
        <w:t>广西梧州市高地路南三巷1号</w:t>
      </w:r>
    </w:p>
    <w:p w14:paraId="1AB818CF">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联系方式：</w:t>
      </w:r>
      <w:r>
        <w:rPr>
          <w:rFonts w:hint="eastAsia" w:ascii="宋体" w:hAnsi="宋体"/>
          <w:bCs/>
          <w:color w:val="auto"/>
          <w:szCs w:val="21"/>
          <w:highlight w:val="none"/>
          <w:u w:val="single"/>
        </w:rPr>
        <w:t>叶先生，0774-2030686</w:t>
      </w:r>
    </w:p>
    <w:p w14:paraId="6812313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bookmarkEnd w:id="55"/>
      <w:bookmarkEnd w:id="56"/>
      <w:bookmarkEnd w:id="57"/>
      <w:bookmarkEnd w:id="58"/>
    </w:p>
    <w:p w14:paraId="76C007A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w:t>
      </w:r>
    </w:p>
    <w:p w14:paraId="109408E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梧州市新兴三路30号神冠豪都B栋1单元1008号房</w:t>
      </w:r>
    </w:p>
    <w:p w14:paraId="1C2D566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联系方式：</w:t>
      </w:r>
      <w:r>
        <w:rPr>
          <w:rFonts w:hint="eastAsia" w:ascii="宋体" w:hAnsi="宋体"/>
          <w:color w:val="auto"/>
          <w:szCs w:val="21"/>
          <w:highlight w:val="none"/>
          <w:u w:val="single"/>
          <w:lang w:eastAsia="zh-CN"/>
        </w:rPr>
        <w:t>周子然、陈丽莹</w:t>
      </w:r>
      <w:r>
        <w:rPr>
          <w:rFonts w:hint="eastAsia" w:ascii="宋体" w:hAnsi="宋体"/>
          <w:color w:val="auto"/>
          <w:szCs w:val="21"/>
          <w:highlight w:val="none"/>
          <w:u w:val="single"/>
        </w:rPr>
        <w:t>，0774-3859935</w:t>
      </w:r>
    </w:p>
    <w:p w14:paraId="1A913C1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Cs w:val="21"/>
          <w:highlight w:val="none"/>
        </w:rPr>
      </w:pPr>
      <w:bookmarkStart w:id="59" w:name="_Toc28359021"/>
      <w:bookmarkStart w:id="60" w:name="_Toc35393639"/>
      <w:bookmarkStart w:id="61" w:name="_Toc35393808"/>
      <w:bookmarkStart w:id="62" w:name="_Toc28359098"/>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59"/>
      <w:bookmarkEnd w:id="60"/>
      <w:bookmarkEnd w:id="61"/>
      <w:bookmarkEnd w:id="62"/>
    </w:p>
    <w:p w14:paraId="6CDFF520">
      <w:pPr>
        <w:pStyle w:val="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olor w:val="auto"/>
          <w:szCs w:val="21"/>
          <w:highlight w:val="none"/>
          <w:u w:val="none"/>
          <w:lang w:val="en-US" w:eastAsia="zh-CN"/>
        </w:rPr>
      </w:pPr>
      <w:r>
        <w:rPr>
          <w:rFonts w:hint="eastAsia" w:hAnsi="宋体"/>
          <w:color w:val="auto"/>
          <w:sz w:val="21"/>
          <w:highlight w:val="none"/>
        </w:rPr>
        <w:t>项目联系人：</w:t>
      </w:r>
      <w:r>
        <w:rPr>
          <w:rFonts w:hint="eastAsia" w:hAnsi="宋体"/>
          <w:color w:val="auto"/>
          <w:sz w:val="21"/>
          <w:highlight w:val="none"/>
          <w:u w:val="single"/>
          <w:lang w:eastAsia="zh-CN"/>
        </w:rPr>
        <w:t>周子然、陈丽莹</w:t>
      </w:r>
      <w:r>
        <w:rPr>
          <w:rFonts w:hint="eastAsia" w:hAnsi="宋体"/>
          <w:color w:val="auto"/>
          <w:sz w:val="21"/>
          <w:highlight w:val="none"/>
          <w:u w:val="single"/>
          <w:lang w:val="en-US" w:eastAsia="zh-CN"/>
        </w:rPr>
        <w:t xml:space="preserve">  </w:t>
      </w:r>
      <w:r>
        <w:rPr>
          <w:rFonts w:hint="eastAsia" w:ascii="宋体" w:hAnsi="宋体"/>
          <w:color w:val="auto"/>
          <w:szCs w:val="21"/>
          <w:highlight w:val="none"/>
        </w:rPr>
        <w:t>电　　话：</w:t>
      </w:r>
      <w:r>
        <w:rPr>
          <w:rFonts w:hint="eastAsia" w:ascii="宋体" w:hAnsi="宋体"/>
          <w:color w:val="auto"/>
          <w:szCs w:val="21"/>
          <w:highlight w:val="none"/>
          <w:u w:val="single"/>
        </w:rPr>
        <w:t>0774-3859935</w:t>
      </w:r>
      <w:r>
        <w:rPr>
          <w:rFonts w:hint="eastAsia" w:ascii="宋体" w:hAnsi="宋体"/>
          <w:color w:val="auto"/>
          <w:szCs w:val="21"/>
          <w:highlight w:val="none"/>
          <w:u w:val="none"/>
          <w:lang w:val="en-US" w:eastAsia="zh-CN"/>
        </w:rPr>
        <w:t xml:space="preserve"> </w:t>
      </w:r>
    </w:p>
    <w:p w14:paraId="6F4AD659">
      <w:pPr>
        <w:pStyle w:val="8"/>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eastAsia="宋体"/>
          <w:color w:val="auto"/>
          <w:highlight w:val="none"/>
          <w:lang w:val="en-US" w:eastAsia="zh-CN"/>
        </w:rPr>
      </w:pPr>
      <w:r>
        <w:rPr>
          <w:rFonts w:hint="eastAsia"/>
          <w:color w:val="auto"/>
          <w:highlight w:val="none"/>
          <w:lang w:val="en-US" w:eastAsia="zh-CN"/>
        </w:rPr>
        <w:t>附件：采购需求</w:t>
      </w:r>
    </w:p>
    <w:bookmarkEnd w:id="3"/>
    <w:p w14:paraId="65608862">
      <w:pPr>
        <w:pStyle w:val="3"/>
        <w:jc w:val="center"/>
        <w:rPr>
          <w:rFonts w:hint="eastAsia"/>
          <w:color w:val="auto"/>
          <w:highlight w:val="none"/>
        </w:rPr>
      </w:pPr>
      <w:bookmarkStart w:id="63" w:name="_Toc74322009"/>
      <w:r>
        <w:rPr>
          <w:rFonts w:hint="eastAsia"/>
          <w:color w:val="auto"/>
          <w:highlight w:val="none"/>
        </w:rPr>
        <w:br w:type="page"/>
      </w:r>
      <w:r>
        <w:rPr>
          <w:rFonts w:hint="eastAsia"/>
          <w:color w:val="auto"/>
          <w:highlight w:val="none"/>
        </w:rPr>
        <w:t>第二章 供应商须知</w:t>
      </w:r>
      <w:bookmarkEnd w:id="63"/>
    </w:p>
    <w:p w14:paraId="1575EB26">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63AD147E">
      <w:pPr>
        <w:spacing w:line="400" w:lineRule="exact"/>
        <w:jc w:val="center"/>
        <w:rPr>
          <w:rFonts w:hint="eastAsia" w:ascii="宋体" w:hAnsi="宋体"/>
          <w:b/>
          <w:color w:val="auto"/>
          <w:sz w:val="32"/>
          <w:szCs w:val="32"/>
          <w:highlight w:val="none"/>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751D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187DF09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0120924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7299E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5D45AA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13BE8D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14:paraId="75B8CCA0">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3224EE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52AFB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ECDF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AABF2F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597CA90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详见竞争性谈判公告</w:t>
            </w:r>
          </w:p>
        </w:tc>
      </w:tr>
      <w:tr w14:paraId="5ACEB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FC3C2A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0"/>
            <w:vAlign w:val="center"/>
          </w:tcPr>
          <w:p w14:paraId="43B30A27">
            <w:pPr>
              <w:spacing w:line="360" w:lineRule="auto"/>
              <w:rPr>
                <w:rFonts w:hint="eastAsia" w:ascii="宋体" w:hAnsi="宋体" w:cs="宋体"/>
                <w:color w:val="auto"/>
                <w:szCs w:val="21"/>
                <w:highlight w:val="none"/>
              </w:rPr>
            </w:pPr>
            <w:r>
              <w:rPr>
                <w:rFonts w:hint="eastAsia" w:ascii="宋体" w:hAnsi="宋体"/>
                <w:color w:val="auto"/>
                <w:szCs w:val="21"/>
                <w:highlight w:val="none"/>
              </w:rPr>
              <w:t>如接受联合体竞标，联合体竞标要求如下：</w:t>
            </w:r>
            <w:r>
              <w:rPr>
                <w:rFonts w:hint="eastAsia" w:ascii="宋体" w:hAnsi="宋体"/>
                <w:color w:val="auto"/>
                <w:szCs w:val="21"/>
                <w:highlight w:val="none"/>
                <w:lang w:eastAsia="zh-CN"/>
              </w:rPr>
              <w:t>无</w:t>
            </w:r>
          </w:p>
        </w:tc>
      </w:tr>
      <w:tr w14:paraId="5CB88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63CAD1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49A5B6F9">
            <w:pPr>
              <w:pStyle w:val="8"/>
              <w:spacing w:line="360" w:lineRule="auto"/>
              <w:rPr>
                <w:rFonts w:hint="eastAsia"/>
                <w:color w:val="auto"/>
                <w:highlight w:val="none"/>
                <w:lang w:val="en-US" w:eastAsia="zh-CN"/>
              </w:rPr>
            </w:pPr>
            <w:r>
              <w:rPr>
                <w:rFonts w:hint="eastAsia"/>
                <w:color w:val="auto"/>
                <w:highlight w:val="none"/>
                <w:lang w:val="en-US" w:eastAsia="zh-CN"/>
              </w:rPr>
              <w:t>☑不允许分包</w:t>
            </w:r>
          </w:p>
          <w:p w14:paraId="26646C89">
            <w:pPr>
              <w:pStyle w:val="8"/>
              <w:spacing w:line="360" w:lineRule="auto"/>
              <w:rPr>
                <w:rFonts w:hint="eastAsia"/>
                <w:color w:val="auto"/>
                <w:highlight w:val="none"/>
                <w:lang w:val="en-US" w:eastAsia="zh-CN"/>
              </w:rPr>
            </w:pPr>
            <w:r>
              <w:rPr>
                <w:rFonts w:hint="eastAsia"/>
                <w:color w:val="auto"/>
                <w:highlight w:val="none"/>
                <w:lang w:val="en-US" w:eastAsia="zh-CN"/>
              </w:rPr>
              <w:t>□允许分包</w:t>
            </w:r>
          </w:p>
          <w:p w14:paraId="007F66A8">
            <w:pPr>
              <w:pStyle w:val="8"/>
              <w:spacing w:line="360" w:lineRule="auto"/>
              <w:rPr>
                <w:rFonts w:hint="eastAsia"/>
                <w:color w:val="auto"/>
                <w:highlight w:val="none"/>
                <w:u w:val="single"/>
                <w:lang w:val="en-US" w:eastAsia="zh-CN"/>
              </w:rPr>
            </w:pPr>
            <w:r>
              <w:rPr>
                <w:rFonts w:hint="eastAsia"/>
                <w:color w:val="auto"/>
                <w:highlight w:val="none"/>
                <w:lang w:val="en-US" w:eastAsia="zh-CN"/>
              </w:rPr>
              <w:t>分包内容：</w:t>
            </w:r>
            <w:r>
              <w:rPr>
                <w:rFonts w:hint="eastAsia"/>
                <w:color w:val="auto"/>
                <w:highlight w:val="none"/>
                <w:u w:val="single"/>
                <w:lang w:val="en-US" w:eastAsia="zh-CN"/>
              </w:rPr>
              <w:t xml:space="preserve">                                     。</w:t>
            </w:r>
          </w:p>
          <w:p w14:paraId="4F24F091">
            <w:pPr>
              <w:pStyle w:val="8"/>
              <w:spacing w:line="360" w:lineRule="auto"/>
              <w:rPr>
                <w:rFonts w:hint="eastAsia"/>
                <w:color w:val="auto"/>
                <w:highlight w:val="none"/>
                <w:u w:val="single"/>
                <w:lang w:val="en-US" w:eastAsia="zh-CN"/>
              </w:rPr>
            </w:pPr>
            <w:r>
              <w:rPr>
                <w:rFonts w:hint="eastAsia"/>
                <w:color w:val="auto"/>
                <w:highlight w:val="none"/>
                <w:lang w:val="en-US" w:eastAsia="zh-CN"/>
              </w:rPr>
              <w:t>分包金额或者比例：</w:t>
            </w:r>
            <w:r>
              <w:rPr>
                <w:rFonts w:hint="eastAsia"/>
                <w:color w:val="auto"/>
                <w:highlight w:val="none"/>
                <w:u w:val="single"/>
                <w:lang w:val="en-US" w:eastAsia="zh-CN"/>
              </w:rPr>
              <w:t xml:space="preserve">                                     。</w:t>
            </w:r>
          </w:p>
          <w:p w14:paraId="42F5B006">
            <w:pPr>
              <w:pStyle w:val="8"/>
              <w:spacing w:line="360" w:lineRule="auto"/>
              <w:rPr>
                <w:rFonts w:hint="eastAsia"/>
                <w:color w:val="auto"/>
                <w:highlight w:val="none"/>
                <w:u w:val="single"/>
                <w:lang w:val="en-US" w:eastAsia="zh-CN"/>
              </w:rPr>
            </w:pPr>
            <w:r>
              <w:rPr>
                <w:rFonts w:hint="eastAsia" w:ascii="宋体" w:hAnsi="宋体"/>
                <w:color w:val="auto"/>
                <w:szCs w:val="21"/>
                <w:highlight w:val="none"/>
                <w:lang w:val="en-US" w:eastAsia="zh-CN"/>
              </w:rPr>
              <w:t>分包供应商必须具备的资质：</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w:t>
            </w:r>
          </w:p>
        </w:tc>
      </w:tr>
      <w:tr w14:paraId="7AB1F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71A6B1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7912" w:type="dxa"/>
            <w:noWrap w:val="0"/>
            <w:vAlign w:val="center"/>
          </w:tcPr>
          <w:p w14:paraId="5D68FD8E">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提供相同品牌产品（非单一产品采购项目的，指核心产品）的不同供应商最后报价相同时，按照下列方式确定一个供应商获得成交人推荐资格：</w:t>
            </w:r>
          </w:p>
          <w:p w14:paraId="1C76AB21">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p w14:paraId="3D159633">
            <w:pPr>
              <w:pStyle w:val="8"/>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☑技术参数正偏离项数多的优先、均无正偏离或正偏离项数一致时负偏离项数少的优先、质保期长优先、交付时间（交货期）短优先、响应时间短优先的顺序排列。</w:t>
            </w:r>
          </w:p>
        </w:tc>
      </w:tr>
      <w:tr w14:paraId="3B39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F008DA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5D9FFF21">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0BFD5DC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A0E5DAB">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rPr>
              <w:t>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DF0337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rPr>
              <w:t>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w:t>
            </w:r>
            <w:r>
              <w:rPr>
                <w:rFonts w:hint="eastAsia" w:ascii="宋体" w:hAnsi="宋体" w:cs="宋体"/>
                <w:color w:val="auto"/>
                <w:szCs w:val="21"/>
                <w:highlight w:val="none"/>
              </w:rPr>
              <w:t>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到响应文件提交截止时间止不足要求月数的只需提供从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BB95805">
            <w:pPr>
              <w:spacing w:line="360" w:lineRule="auto"/>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color w:val="auto"/>
                <w:szCs w:val="21"/>
                <w:highlight w:val="none"/>
              </w:rPr>
              <w:t>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法人或其他组织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73D39A8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05A36C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0EF96D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 竞标声明（格式后附）；（</w:t>
            </w:r>
            <w:r>
              <w:rPr>
                <w:rFonts w:hint="eastAsia" w:ascii="宋体" w:hAnsi="宋体" w:cs="宋体"/>
                <w:b/>
                <w:color w:val="auto"/>
                <w:szCs w:val="21"/>
                <w:highlight w:val="none"/>
              </w:rPr>
              <w:t>必须提供，否则响应文件按无效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F988280">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中小企业声明函（格式后附）；</w:t>
            </w:r>
            <w:r>
              <w:rPr>
                <w:rFonts w:hint="eastAsia"/>
                <w:color w:val="auto"/>
                <w:highlight w:val="none"/>
              </w:rPr>
              <w:t>【如属于残疾人福利性单位的提供残疾人福利性单位声明函，属于监狱企业的提供由省级以上监狱管理局、戒毒管理局（含新疆生产建设兵团）出具的属于监狱企业的证明文件】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1B27B17E">
            <w:pPr>
              <w:snapToGrid w:val="0"/>
              <w:spacing w:line="360" w:lineRule="auto"/>
              <w:jc w:val="left"/>
              <w:rPr>
                <w:rFonts w:hint="eastAsia" w:ascii="宋体" w:hAnsi="宋体" w:eastAsia="宋体"/>
                <w:i/>
                <w:color w:val="auto"/>
                <w:szCs w:val="21"/>
                <w:highlight w:val="none"/>
                <w:lang w:eastAsia="zh-CN"/>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除谈判文件规定必须提供以外，供应商认为需要提供的其他证明材料</w:t>
            </w:r>
            <w:r>
              <w:rPr>
                <w:rFonts w:hint="eastAsia" w:ascii="宋体" w:hAnsi="宋体" w:cs="宋体"/>
                <w:color w:val="auto"/>
                <w:szCs w:val="21"/>
                <w:highlight w:val="none"/>
                <w:lang w:eastAsia="zh-CN"/>
              </w:rPr>
              <w:t>。</w:t>
            </w:r>
          </w:p>
          <w:p w14:paraId="37ACA918">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132DFCD4">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p>
        </w:tc>
      </w:tr>
      <w:tr w14:paraId="2D561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33E561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noWrap w:val="0"/>
            <w:vAlign w:val="center"/>
          </w:tcPr>
          <w:p w14:paraId="54F653B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报价文件</w:t>
            </w:r>
          </w:p>
          <w:p w14:paraId="2714DB4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102A2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13191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16962E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noWrap w:val="0"/>
            <w:vAlign w:val="center"/>
          </w:tcPr>
          <w:p w14:paraId="3754B85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商务技术文件</w:t>
            </w:r>
          </w:p>
          <w:p w14:paraId="6B209D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5E27904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CF02B50">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3253B7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b/>
                <w:bCs/>
                <w:color w:val="auto"/>
                <w:highlight w:val="none"/>
              </w:rPr>
              <w:t>必须提供</w:t>
            </w:r>
            <w:r>
              <w:rPr>
                <w:rFonts w:hint="eastAsia" w:ascii="宋体" w:hAnsi="宋体" w:cs="宋体"/>
                <w:b/>
                <w:color w:val="auto"/>
                <w:szCs w:val="21"/>
                <w:highlight w:val="none"/>
              </w:rPr>
              <w:t>，否则响应文件按无效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75ACC2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38C5C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6A924F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5A25CC8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2B8E928B">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.供应商认为需要提供的其他有关资料。</w:t>
            </w:r>
          </w:p>
          <w:p w14:paraId="0D813927">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w:t>
            </w:r>
            <w:r>
              <w:rPr>
                <w:rFonts w:hint="eastAsia" w:ascii="宋体" w:hAnsi="宋体" w:eastAsia="宋体" w:cs="宋体"/>
                <w:b/>
                <w:bCs/>
                <w:color w:val="auto"/>
                <w:szCs w:val="21"/>
                <w:highlight w:val="none"/>
              </w:rPr>
              <w:t>响应</w:t>
            </w:r>
            <w:r>
              <w:rPr>
                <w:rFonts w:hint="eastAsia" w:ascii="宋体" w:hAnsi="宋体" w:cs="宋体"/>
                <w:b/>
                <w:color w:val="auto"/>
                <w:szCs w:val="21"/>
                <w:highlight w:val="none"/>
              </w:rPr>
              <w:t>处理。</w:t>
            </w:r>
          </w:p>
        </w:tc>
      </w:tr>
      <w:tr w14:paraId="0FAF4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8D10E3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5304494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竞报价包</w:t>
            </w:r>
            <w:r>
              <w:rPr>
                <w:rFonts w:hint="eastAsia" w:ascii="宋体" w:hAnsi="宋体" w:cs="宋体"/>
                <w:color w:val="auto"/>
                <w:szCs w:val="21"/>
                <w:highlight w:val="none"/>
                <w:lang w:val="en-US" w:eastAsia="zh-CN"/>
              </w:rPr>
              <w:t>括</w:t>
            </w:r>
            <w:r>
              <w:rPr>
                <w:rFonts w:ascii="宋体" w:hAnsi="宋体"/>
                <w:color w:val="auto"/>
                <w:szCs w:val="21"/>
                <w:highlight w:val="none"/>
              </w:rPr>
              <w:t>货物及货物运抵指定交货地点的各种费用和售后服务、税金、验收检验及其它所有费用的总和</w:t>
            </w:r>
            <w:r>
              <w:rPr>
                <w:rFonts w:hint="eastAsia" w:ascii="宋体" w:hAnsi="宋体" w:cs="宋体"/>
                <w:color w:val="auto"/>
                <w:szCs w:val="21"/>
                <w:highlight w:val="none"/>
              </w:rPr>
              <w:t>。</w:t>
            </w:r>
          </w:p>
        </w:tc>
      </w:tr>
      <w:tr w14:paraId="082FC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4BDCF2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6307ED73">
            <w:pPr>
              <w:pStyle w:val="7"/>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lang w:val="en-US" w:eastAsia="zh-CN"/>
              </w:rPr>
              <w:t>90</w:t>
            </w:r>
            <w:r>
              <w:rPr>
                <w:rFonts w:hint="eastAsia" w:ascii="宋体" w:hAnsi="宋体" w:cs="宋体"/>
                <w:color w:val="auto"/>
                <w:kern w:val="2"/>
                <w:sz w:val="21"/>
                <w:szCs w:val="21"/>
                <w:highlight w:val="none"/>
              </w:rPr>
              <w:t>日。</w:t>
            </w:r>
          </w:p>
        </w:tc>
      </w:tr>
      <w:tr w14:paraId="112C1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994121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5E0D9D3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p w14:paraId="3AF4DFBC">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本项目收取竞标保证金，具体规定如下：</w:t>
            </w:r>
          </w:p>
          <w:p w14:paraId="6C531F42">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竞标保证金人民币</w:t>
            </w:r>
            <w:r>
              <w:rPr>
                <w:rFonts w:hint="eastAsia" w:ascii="宋体" w:hAnsi="宋体" w:cs="宋体"/>
                <w:color w:val="auto"/>
                <w:kern w:val="0"/>
                <w:szCs w:val="21"/>
                <w:highlight w:val="none"/>
                <w:u w:val="single"/>
                <w:lang w:val="en-US" w:eastAsia="zh-CN"/>
              </w:rPr>
              <w:t>9000</w:t>
            </w:r>
            <w:r>
              <w:rPr>
                <w:rFonts w:hint="eastAsia" w:ascii="宋体" w:hAnsi="宋体" w:cs="宋体"/>
                <w:color w:val="auto"/>
                <w:kern w:val="0"/>
                <w:szCs w:val="21"/>
                <w:highlight w:val="none"/>
              </w:rPr>
              <w:t>元。</w:t>
            </w:r>
          </w:p>
          <w:p w14:paraId="38F9FDE4">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银行、保险机构出具的保函（包含电子保函），禁止采用现钞方式。采用银行转账方式的，在响应文件提交截止时间前交至指定账户并且到账（开户银行：中信银行南宁东葛支行，开户名称：云之龙咨询集团有限公司梧州分公司，银行账号：8113001013700074625）；采用支票、汇票、本票或者保函等方式的，在响应文件提交截止时间前，供应商必须提交单独密封的支票、汇票、本票或者保函原件（电子保函</w:t>
            </w:r>
            <w:r>
              <w:rPr>
                <w:rFonts w:hint="eastAsia" w:ascii="宋体" w:hAnsi="宋体" w:cs="宋体"/>
                <w:color w:val="auto"/>
                <w:kern w:val="0"/>
                <w:szCs w:val="21"/>
                <w:highlight w:val="none"/>
                <w:lang w:eastAsia="zh-CN"/>
              </w:rPr>
              <w:t>须提交复印件并加盖供应商公章</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否则视为无效竞标保证金</w:t>
            </w:r>
            <w:r>
              <w:rPr>
                <w:rFonts w:hint="eastAsia" w:ascii="宋体" w:hAnsi="宋体" w:cs="宋体"/>
                <w:color w:val="auto"/>
                <w:kern w:val="0"/>
                <w:szCs w:val="21"/>
                <w:highlight w:val="none"/>
              </w:rPr>
              <w:t>。</w:t>
            </w:r>
          </w:p>
          <w:p w14:paraId="31EC7C6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59E8EBD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892447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2.竞标保证金采用支票、汇票、本票或者银行、保险机构出具的保函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在响应文件提交截止时间前采用现场或邮寄方式（现场提交地址：梧州市新兴三路30号神冠豪都B栋1单元1008号房；邮寄地址：梧州市新兴三路30号神冠豪都B栋1单元1008号房，收件人：</w:t>
            </w:r>
            <w:r>
              <w:rPr>
                <w:rFonts w:hint="eastAsia"/>
                <w:color w:val="auto"/>
                <w:highlight w:val="none"/>
                <w:lang w:eastAsia="zh-CN"/>
              </w:rPr>
              <w:t>周子然、陈丽莹</w:t>
            </w:r>
            <w:r>
              <w:rPr>
                <w:rFonts w:hint="eastAsia"/>
                <w:color w:val="auto"/>
                <w:highlight w:val="none"/>
              </w:rPr>
              <w:t>，联系方式：0774-3859935）</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w:t>
            </w:r>
            <w:r>
              <w:rPr>
                <w:rFonts w:hint="eastAsia" w:ascii="宋体" w:hAnsi="宋体"/>
                <w:color w:val="auto"/>
                <w:szCs w:val="21"/>
                <w:highlight w:val="none"/>
                <w:lang w:eastAsia="zh-CN"/>
              </w:rPr>
              <w:t>须提交复印件并加盖供应商公章</w:t>
            </w:r>
            <w:r>
              <w:rPr>
                <w:rFonts w:hint="eastAsia" w:ascii="宋体" w:hAnsi="宋体"/>
                <w:color w:val="auto"/>
                <w:szCs w:val="21"/>
                <w:highlight w:val="none"/>
              </w:rPr>
              <w:t>）提交给采购人或者采购代理机构。</w:t>
            </w:r>
          </w:p>
          <w:p w14:paraId="563AED86">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14:paraId="4727341B">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5ED1AF17">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14:paraId="5EF40931">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3DE49897">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3AA1814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512D3500">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5.竞标保证金采用银行、保险机构出具的保函（包含电子保函）为有条件保函的，视为无效竞标保证金。</w:t>
            </w:r>
          </w:p>
        </w:tc>
      </w:tr>
      <w:tr w14:paraId="5A202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802AEA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7912" w:type="dxa"/>
            <w:noWrap w:val="0"/>
            <w:vAlign w:val="center"/>
          </w:tcPr>
          <w:p w14:paraId="098CD5B9">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p w14:paraId="4338B2C3">
            <w:pPr>
              <w:autoSpaceDE w:val="0"/>
              <w:autoSpaceDN w:val="0"/>
              <w:adjustRightIn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w:t>
            </w:r>
            <w:r>
              <w:rPr>
                <w:rFonts w:hint="eastAsia"/>
                <w:color w:val="auto"/>
                <w:highlight w:val="none"/>
              </w:rPr>
              <w:t>本项目接受电子备份响应文件。</w:t>
            </w:r>
          </w:p>
        </w:tc>
      </w:tr>
      <w:tr w14:paraId="16068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A00B27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14:paraId="4726F69A">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704F21B3">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430A3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1CDA7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3CE3E04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人。</w:t>
            </w:r>
          </w:p>
        </w:tc>
      </w:tr>
      <w:tr w14:paraId="4FBC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noWrap w:val="0"/>
            <w:vAlign w:val="center"/>
          </w:tcPr>
          <w:p w14:paraId="6DD5FC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noWrap w:val="0"/>
            <w:vAlign w:val="center"/>
          </w:tcPr>
          <w:p w14:paraId="0D6AED7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首次响应文件开启时间详见“竞争性谈判公告”</w:t>
            </w:r>
          </w:p>
          <w:p w14:paraId="346196F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 xml:space="preserve"> </w:t>
            </w:r>
            <w:r>
              <w:rPr>
                <w:rFonts w:hint="eastAsia" w:hAnsi="宋体"/>
                <w:color w:val="auto"/>
                <w:highlight w:val="none"/>
                <w:u w:val="single"/>
                <w:lang w:val="en-US" w:eastAsia="zh-CN"/>
              </w:rPr>
              <w:t>30</w:t>
            </w:r>
            <w:r>
              <w:rPr>
                <w:rFonts w:hAnsi="宋体"/>
                <w:color w:val="auto"/>
                <w:highlight w:val="none"/>
                <w:u w:val="single"/>
              </w:rPr>
              <w:t xml:space="preserve"> </w:t>
            </w:r>
            <w:r>
              <w:rPr>
                <w:rFonts w:hint="eastAsia" w:hAnsi="宋体"/>
                <w:color w:val="auto"/>
                <w:highlight w:val="none"/>
              </w:rPr>
              <w:t>分钟</w:t>
            </w:r>
          </w:p>
        </w:tc>
      </w:tr>
      <w:tr w14:paraId="72B6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65F79282">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26</w:t>
            </w:r>
          </w:p>
        </w:tc>
        <w:tc>
          <w:tcPr>
            <w:tcW w:w="7912" w:type="dxa"/>
            <w:noWrap w:val="0"/>
            <w:vAlign w:val="center"/>
          </w:tcPr>
          <w:p w14:paraId="3557C007">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14A1BEE8">
            <w:pPr>
              <w:spacing w:line="360" w:lineRule="auto"/>
              <w:contextualSpacing/>
              <w:rPr>
                <w:rFonts w:hint="eastAsia" w:ascii="宋体" w:hAnsi="宋体" w:cs="宋体"/>
                <w:i w:val="0"/>
                <w:iCs/>
                <w:color w:val="auto"/>
                <w:szCs w:val="21"/>
                <w:highlight w:val="none"/>
              </w:rPr>
            </w:pPr>
            <w:r>
              <w:rPr>
                <w:rFonts w:hint="eastAsia" w:ascii="宋体" w:hAnsi="宋体" w:cs="宋体"/>
                <w:i w:val="0"/>
                <w:iCs/>
                <w:color w:val="auto"/>
                <w:szCs w:val="21"/>
                <w:highlight w:val="none"/>
                <w:lang w:eastAsia="zh-CN"/>
              </w:rPr>
              <w:t>☑</w:t>
            </w:r>
            <w:r>
              <w:rPr>
                <w:rFonts w:hint="eastAsia" w:ascii="宋体" w:hAnsi="宋体" w:cs="宋体"/>
                <w:i w:val="0"/>
                <w:iCs/>
                <w:color w:val="auto"/>
                <w:szCs w:val="21"/>
                <w:highlight w:val="none"/>
              </w:rPr>
              <w:t>带“▲”的实质性要求正偏离项数多的优先、均无正偏离或者正偏离项数一致时负偏离项数少的优先、</w:t>
            </w:r>
            <w:r>
              <w:rPr>
                <w:rFonts w:hint="eastAsia" w:ascii="宋体" w:hAnsi="宋体" w:cs="宋体"/>
                <w:i w:val="0"/>
                <w:iCs/>
                <w:color w:val="auto"/>
                <w:szCs w:val="21"/>
                <w:highlight w:val="none"/>
                <w:lang w:eastAsia="zh-CN"/>
              </w:rPr>
              <w:t>质保期</w:t>
            </w:r>
            <w:r>
              <w:rPr>
                <w:rFonts w:hint="eastAsia" w:ascii="宋体" w:hAnsi="宋体" w:cs="宋体"/>
                <w:i w:val="0"/>
                <w:iCs/>
                <w:color w:val="auto"/>
                <w:szCs w:val="21"/>
                <w:highlight w:val="none"/>
              </w:rPr>
              <w:t>长优先、</w:t>
            </w:r>
            <w:r>
              <w:rPr>
                <w:rFonts w:hint="eastAsia" w:ascii="宋体" w:hAnsi="宋体" w:cs="宋体"/>
                <w:i w:val="0"/>
                <w:iCs/>
                <w:color w:val="auto"/>
                <w:szCs w:val="21"/>
                <w:highlight w:val="none"/>
                <w:lang w:eastAsia="zh-CN"/>
              </w:rPr>
              <w:t>交付时间（</w:t>
            </w:r>
            <w:r>
              <w:rPr>
                <w:rFonts w:hint="eastAsia" w:ascii="宋体" w:hAnsi="宋体" w:cs="宋体"/>
                <w:i w:val="0"/>
                <w:iCs/>
                <w:color w:val="auto"/>
                <w:szCs w:val="21"/>
                <w:highlight w:val="none"/>
              </w:rPr>
              <w:t>交货期</w:t>
            </w:r>
            <w:r>
              <w:rPr>
                <w:rFonts w:hint="eastAsia" w:ascii="宋体" w:hAnsi="宋体" w:cs="宋体"/>
                <w:i w:val="0"/>
                <w:iCs/>
                <w:color w:val="auto"/>
                <w:szCs w:val="21"/>
                <w:highlight w:val="none"/>
                <w:lang w:eastAsia="zh-CN"/>
              </w:rPr>
              <w:t>）</w:t>
            </w:r>
            <w:r>
              <w:rPr>
                <w:rFonts w:hint="eastAsia" w:ascii="宋体" w:hAnsi="宋体" w:cs="宋体"/>
                <w:i w:val="0"/>
                <w:iCs/>
                <w:color w:val="auto"/>
                <w:szCs w:val="21"/>
                <w:highlight w:val="none"/>
              </w:rPr>
              <w:t>短优先、响应时间短优先的顺序推荐。</w:t>
            </w:r>
          </w:p>
          <w:p w14:paraId="16EECB71">
            <w:pPr>
              <w:snapToGrid w:val="0"/>
              <w:spacing w:line="360" w:lineRule="auto"/>
              <w:rPr>
                <w:rFonts w:hint="eastAsia" w:ascii="宋体" w:hAnsi="宋体" w:cs="宋体"/>
                <w:color w:val="auto"/>
                <w:szCs w:val="21"/>
                <w:highlight w:val="none"/>
              </w:rPr>
            </w:pPr>
            <w:r>
              <w:rPr>
                <w:rFonts w:hint="eastAsia" w:ascii="宋体" w:hAnsi="宋体" w:cs="宋体"/>
                <w:i w:val="0"/>
                <w:iCs/>
                <w:color w:val="auto"/>
                <w:szCs w:val="21"/>
                <w:highlight w:val="none"/>
              </w:rPr>
              <w:t>□由谈判小组推荐代表随机抽取。</w:t>
            </w:r>
          </w:p>
        </w:tc>
      </w:tr>
      <w:tr w14:paraId="1D2A4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38B5971E">
            <w:pPr>
              <w:spacing w:line="360" w:lineRule="auto"/>
              <w:jc w:val="center"/>
              <w:rPr>
                <w:rFonts w:hint="eastAsia" w:ascii="宋体" w:hAnsi="宋体" w:cs="宋体"/>
                <w:color w:val="auto"/>
                <w:szCs w:val="21"/>
                <w:highlight w:val="none"/>
              </w:rPr>
            </w:pPr>
          </w:p>
        </w:tc>
        <w:tc>
          <w:tcPr>
            <w:tcW w:w="7912" w:type="dxa"/>
            <w:noWrap w:val="0"/>
            <w:vAlign w:val="center"/>
          </w:tcPr>
          <w:p w14:paraId="202CBCA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111A9E3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项。</w:t>
            </w:r>
          </w:p>
        </w:tc>
      </w:tr>
      <w:tr w14:paraId="6B489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46FE57E">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14:paraId="2122CE29">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本项目不收取履约保证金。</w:t>
            </w:r>
          </w:p>
          <w:p w14:paraId="673BC76C">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4D0CE99D">
            <w:pPr>
              <w:spacing w:line="360" w:lineRule="auto"/>
              <w:contextualSpacing/>
              <w:rPr>
                <w:rFonts w:hint="eastAsia" w:ascii="宋体" w:hAnsi="宋体"/>
                <w:color w:val="auto"/>
                <w:szCs w:val="21"/>
                <w:highlight w:val="none"/>
              </w:rPr>
            </w:pPr>
            <w:r>
              <w:rPr>
                <w:rFonts w:hint="eastAsia" w:ascii="宋体" w:hAnsi="宋体" w:cs="宋体"/>
                <w:color w:val="auto"/>
                <w:szCs w:val="21"/>
                <w:highlight w:val="none"/>
              </w:rPr>
              <w:t>履约保证金金额：每分标按成交金额的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rPr>
              <w:t>。</w:t>
            </w:r>
          </w:p>
          <w:p w14:paraId="6E21BF98">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履约保证金提交方式：银行转账、支票、汇票、本票或者银行、保险机构出具的保函等非现金方式（参照竞标保证金）。</w:t>
            </w:r>
          </w:p>
          <w:p w14:paraId="7B19F55C">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履约保证金缴纳期限</w:t>
            </w:r>
            <w:r>
              <w:rPr>
                <w:rFonts w:hint="eastAsia" w:ascii="宋体" w:hAnsi="宋体"/>
                <w:color w:val="auto"/>
                <w:szCs w:val="21"/>
                <w:highlight w:val="none"/>
                <w:lang w:eastAsia="zh-CN"/>
              </w:rPr>
              <w:t>：</w:t>
            </w:r>
            <w:r>
              <w:rPr>
                <w:i w:val="0"/>
                <w:iCs w:val="0"/>
                <w:color w:val="auto"/>
                <w:highlight w:val="none"/>
              </w:rPr>
              <w:t xml:space="preserve"> </w:t>
            </w:r>
            <w:r>
              <w:rPr>
                <w:rFonts w:hint="eastAsia" w:ascii="宋体" w:hAnsi="宋体"/>
                <w:i w:val="0"/>
                <w:iCs w:val="0"/>
                <w:color w:val="auto"/>
                <w:szCs w:val="21"/>
                <w:highlight w:val="none"/>
                <w:u w:val="single"/>
              </w:rPr>
              <w:t>自成交通知书发出之日起     日内</w:t>
            </w:r>
            <w:r>
              <w:rPr>
                <w:rFonts w:hint="eastAsia" w:ascii="宋体" w:hAnsi="宋体"/>
                <w:color w:val="auto"/>
                <w:szCs w:val="21"/>
                <w:highlight w:val="none"/>
              </w:rPr>
              <w:t>。</w:t>
            </w:r>
          </w:p>
          <w:p w14:paraId="75BC43D4">
            <w:pPr>
              <w:spacing w:line="360" w:lineRule="auto"/>
              <w:contextualSpacing/>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w:t>
            </w:r>
          </w:p>
          <w:p w14:paraId="24661C43">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6E817A4E">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p>
          <w:p w14:paraId="3928ACDE">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2F04EA6F">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p>
          <w:p w14:paraId="438F8B99">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备注：</w:t>
            </w:r>
          </w:p>
          <w:p w14:paraId="0BFFA42B">
            <w:pPr>
              <w:spacing w:line="360" w:lineRule="auto"/>
              <w:contextualSpacing/>
              <w:rPr>
                <w:rFonts w:hint="eastAsia" w:ascii="宋体" w:hAnsi="宋体" w:cs="宋体"/>
                <w:b/>
                <w:color w:val="auto"/>
                <w:kern w:val="0"/>
                <w:sz w:val="24"/>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b/>
                <w:color w:val="auto"/>
                <w:szCs w:val="21"/>
                <w:highlight w:val="none"/>
              </w:rPr>
              <w:t xml:space="preserve"> </w:t>
            </w:r>
            <w:bookmarkStart w:id="64"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64"/>
          </w:p>
          <w:p w14:paraId="49A601C8">
            <w:pPr>
              <w:spacing w:line="360" w:lineRule="auto"/>
              <w:contextualSpacing/>
              <w:rPr>
                <w:rFonts w:hint="eastAsia"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b/>
                <w:color w:val="auto"/>
                <w:szCs w:val="21"/>
                <w:highlight w:val="none"/>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cs="宋体"/>
                <w:b/>
                <w:color w:val="auto"/>
                <w:szCs w:val="21"/>
                <w:highlight w:val="none"/>
              </w:rPr>
              <w:t>3.</w:t>
            </w:r>
            <w:r>
              <w:rPr>
                <w:rFonts w:hint="eastAsia" w:ascii="宋体" w:hAnsi="宋体" w:cs="宋体"/>
                <w:b/>
                <w:color w:val="auto"/>
                <w:szCs w:val="21"/>
                <w:highlight w:val="none"/>
              </w:rPr>
              <w:t>采用银行、保险机构出具的保函的，必须为无条件保函，否则不予签订合同。</w:t>
            </w:r>
          </w:p>
          <w:p w14:paraId="1899DEB6">
            <w:pPr>
              <w:snapToGrid w:val="0"/>
              <w:spacing w:line="360" w:lineRule="auto"/>
              <w:rPr>
                <w:rFonts w:hint="eastAsia" w:ascii="宋体" w:hAns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4D8B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11E26B2">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noWrap w:val="0"/>
            <w:vAlign w:val="center"/>
          </w:tcPr>
          <w:p w14:paraId="33F1B44A">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108082B6">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4E92629A">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6749A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6261BB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14:paraId="56CB40A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6D23356C">
            <w:pPr>
              <w:pStyle w:val="13"/>
              <w:snapToGrid w:val="0"/>
              <w:spacing w:line="360" w:lineRule="auto"/>
              <w:rPr>
                <w:rFonts w:hint="eastAsia" w:ascii="宋体" w:hAnsi="宋体" w:eastAsia="宋体" w:cs="宋体"/>
                <w:color w:val="auto"/>
                <w:kern w:val="2"/>
                <w:sz w:val="21"/>
                <w:highlight w:val="none"/>
                <w:lang w:val="en-US" w:eastAsia="zh-CN"/>
              </w:rPr>
            </w:pPr>
            <w:r>
              <w:rPr>
                <w:rFonts w:hint="eastAsia" w:hAnsi="宋体" w:cs="宋体"/>
                <w:color w:val="auto"/>
                <w:kern w:val="2"/>
                <w:sz w:val="21"/>
                <w:highlight w:val="none"/>
                <w:lang w:val="en-US" w:eastAsia="zh-CN"/>
              </w:rPr>
              <w:t>质</w:t>
            </w:r>
            <w:r>
              <w:rPr>
                <w:rFonts w:hint="eastAsia" w:ascii="宋体" w:hAnsi="宋体" w:eastAsia="宋体" w:cs="宋体"/>
                <w:color w:val="auto"/>
                <w:kern w:val="2"/>
                <w:sz w:val="21"/>
                <w:highlight w:val="none"/>
                <w:lang w:val="en-US" w:eastAsia="zh-CN"/>
              </w:rPr>
              <w:t>疑联系部门及联系方式：云之龙咨询集团有限公司，联系电话：0774-3859935，通讯地址：（梧州市新兴三路30号神冠豪都B栋1单元1008号房）</w:t>
            </w:r>
          </w:p>
          <w:p w14:paraId="1BD702DA">
            <w:pPr>
              <w:pStyle w:val="13"/>
              <w:snapToGrid w:val="0"/>
              <w:spacing w:line="360" w:lineRule="auto"/>
              <w:rPr>
                <w:rFonts w:hint="eastAsia" w:hAnsi="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业务时间：工作日每天上午8时00分到12时00分，下午3时00分到6时00分。</w:t>
            </w:r>
          </w:p>
        </w:tc>
      </w:tr>
      <w:tr w14:paraId="6EC90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B3B2B0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noWrap w:val="0"/>
            <w:vAlign w:val="center"/>
          </w:tcPr>
          <w:p w14:paraId="098A29DE">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33AA3011">
            <w:pPr>
              <w:pStyle w:val="13"/>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☑本项目代理服务费由成交供应商一次性向采购代理机构支付。</w:t>
            </w:r>
          </w:p>
          <w:p w14:paraId="2199B844">
            <w:pPr>
              <w:pStyle w:val="13"/>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□采购人支付。</w:t>
            </w:r>
          </w:p>
          <w:p w14:paraId="54FA6304">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14:paraId="32CAE918">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□以成交金额为计费额，按本须知正文第32.1条规定的货物类标准采用差额定率累进法计算出收费基准价格，采购代理收费以收费基准价格收取。</w:t>
            </w:r>
          </w:p>
          <w:p w14:paraId="3D10F020">
            <w:pPr>
              <w:pStyle w:val="13"/>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壹万陆仟元整（</w:t>
            </w:r>
            <w:r>
              <w:rPr>
                <w:rFonts w:hint="default" w:ascii="Arial" w:hAnsi="Arial" w:cs="Arial"/>
                <w:color w:val="auto"/>
                <w:sz w:val="21"/>
                <w:highlight w:val="none"/>
                <w:u w:val="single"/>
                <w:lang w:val="en-US" w:eastAsia="zh-CN"/>
              </w:rPr>
              <w:t>¥</w:t>
            </w:r>
            <w:r>
              <w:rPr>
                <w:rFonts w:hint="eastAsia" w:hAnsi="宋体" w:cs="宋体"/>
                <w:color w:val="auto"/>
                <w:sz w:val="21"/>
                <w:highlight w:val="none"/>
                <w:u w:val="single"/>
                <w:lang w:val="en-US" w:eastAsia="zh-CN"/>
              </w:rPr>
              <w:t>16000.00）。</w:t>
            </w:r>
          </w:p>
          <w:p w14:paraId="319BA898">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304F1491">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开户名称：云之龙咨询集团有限公司梧州分公司</w:t>
            </w:r>
          </w:p>
          <w:p w14:paraId="7DD9E776">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开户银行：中信银行南宁东葛支行</w:t>
            </w:r>
          </w:p>
          <w:p w14:paraId="7BE0BA0B">
            <w:pPr>
              <w:pStyle w:val="13"/>
              <w:snapToGrid w:val="0"/>
              <w:spacing w:line="360" w:lineRule="auto"/>
              <w:rPr>
                <w:rFonts w:hint="eastAsia" w:hAnsi="宋体" w:cs="宋体"/>
                <w:color w:val="auto"/>
                <w:sz w:val="21"/>
                <w:highlight w:val="none"/>
                <w:u w:val="single"/>
                <w:lang w:val="en-US" w:eastAsia="zh-CN"/>
              </w:rPr>
            </w:pPr>
            <w:r>
              <w:rPr>
                <w:rFonts w:hint="eastAsia" w:hAnsi="宋体" w:cs="宋体"/>
                <w:color w:val="auto"/>
                <w:sz w:val="21"/>
                <w:highlight w:val="none"/>
                <w:lang w:val="en-US" w:eastAsia="zh-CN"/>
              </w:rPr>
              <w:t>银行账号：8113001014500158361</w:t>
            </w:r>
          </w:p>
        </w:tc>
      </w:tr>
      <w:tr w14:paraId="0BA10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B0E582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14:paraId="17428AA3">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解释：</w:t>
            </w:r>
            <w:r>
              <w:rPr>
                <w:rFonts w:hAnsi="宋体" w:cs="宋体"/>
                <w:color w:val="auto"/>
                <w:sz w:val="21"/>
                <w:highlight w:val="none"/>
                <w:lang w:val="en-US" w:eastAsia="zh-CN"/>
              </w:rPr>
              <w:t>构成本</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的各个组成文件应互为解释，互为说明；除</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中有特别规定外，仅适用于</w:t>
            </w:r>
            <w:r>
              <w:rPr>
                <w:rFonts w:hint="eastAsia" w:hAnsi="宋体" w:cs="宋体"/>
                <w:color w:val="auto"/>
                <w:sz w:val="21"/>
                <w:highlight w:val="none"/>
                <w:lang w:val="en-US" w:eastAsia="zh-CN"/>
              </w:rPr>
              <w:t>竞标</w:t>
            </w:r>
            <w:r>
              <w:rPr>
                <w:rFonts w:hAnsi="宋体" w:cs="宋体"/>
                <w:color w:val="auto"/>
                <w:sz w:val="21"/>
                <w:highlight w:val="none"/>
                <w:lang w:val="en-US" w:eastAsia="zh-CN"/>
              </w:rPr>
              <w:t>阶段的规定，按</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w:t>
            </w:r>
            <w:r>
              <w:rPr>
                <w:rFonts w:hint="eastAsia" w:hAnsi="宋体" w:cs="宋体"/>
                <w:color w:val="auto"/>
                <w:sz w:val="21"/>
                <w:highlight w:val="none"/>
                <w:lang w:val="en-US" w:eastAsia="zh-CN"/>
              </w:rPr>
              <w:t>竞争性谈判</w:t>
            </w:r>
            <w:r>
              <w:rPr>
                <w:rFonts w:hAnsi="宋体" w:cs="宋体"/>
                <w:color w:val="auto"/>
                <w:sz w:val="21"/>
                <w:highlight w:val="none"/>
                <w:lang w:val="en-US" w:eastAsia="zh-CN"/>
              </w:rPr>
              <w:t>公告、</w:t>
            </w:r>
            <w:r>
              <w:rPr>
                <w:rFonts w:hint="eastAsia" w:hAnsi="宋体" w:cs="宋体"/>
                <w:color w:val="auto"/>
                <w:sz w:val="21"/>
                <w:highlight w:val="none"/>
                <w:lang w:val="en-US" w:eastAsia="zh-CN"/>
              </w:rPr>
              <w:t>供应商</w:t>
            </w:r>
            <w:r>
              <w:rPr>
                <w:rFonts w:hAnsi="宋体" w:cs="宋体"/>
                <w:color w:val="auto"/>
                <w:sz w:val="21"/>
                <w:highlight w:val="none"/>
                <w:lang w:val="en-US" w:eastAsia="zh-CN"/>
              </w:rPr>
              <w:t>须知</w:t>
            </w:r>
            <w:r>
              <w:rPr>
                <w:rFonts w:hint="eastAsia" w:hAnsi="宋体" w:cs="宋体"/>
                <w:color w:val="auto"/>
                <w:sz w:val="21"/>
                <w:highlight w:val="none"/>
                <w:lang w:val="en-US" w:eastAsia="zh-CN"/>
              </w:rPr>
              <w:t>、采购需求</w:t>
            </w:r>
            <w:r>
              <w:rPr>
                <w:rFonts w:hAnsi="宋体" w:cs="宋体"/>
                <w:color w:val="auto"/>
                <w:sz w:val="21"/>
                <w:highlight w:val="none"/>
                <w:lang w:val="en-US" w:eastAsia="zh-CN"/>
              </w:rPr>
              <w:t>、</w:t>
            </w:r>
            <w:r>
              <w:rPr>
                <w:rFonts w:hint="eastAsia" w:hAnsi="宋体" w:cs="宋体"/>
                <w:color w:val="auto"/>
                <w:sz w:val="21"/>
                <w:highlight w:val="none"/>
                <w:lang w:val="en-US" w:eastAsia="zh-CN"/>
              </w:rPr>
              <w:t>评审程序和评定成交的标准</w:t>
            </w:r>
            <w:r>
              <w:rPr>
                <w:rFonts w:hAnsi="宋体" w:cs="宋体"/>
                <w:color w:val="auto"/>
                <w:sz w:val="21"/>
                <w:highlight w:val="none"/>
                <w:lang w:val="en-US" w:eastAsia="zh-CN"/>
              </w:rPr>
              <w:t>、</w:t>
            </w:r>
            <w:r>
              <w:rPr>
                <w:rFonts w:hint="eastAsia" w:hAnsi="宋体" w:cs="宋体"/>
                <w:color w:val="auto"/>
                <w:sz w:val="21"/>
                <w:highlight w:val="none"/>
                <w:lang w:val="en-US" w:eastAsia="zh-CN"/>
              </w:rPr>
              <w:t>响应</w:t>
            </w:r>
            <w:r>
              <w:rPr>
                <w:rFonts w:hAnsi="宋体" w:cs="宋体"/>
                <w:color w:val="auto"/>
                <w:sz w:val="21"/>
                <w:highlight w:val="none"/>
                <w:lang w:val="en-US" w:eastAsia="zh-CN"/>
              </w:rPr>
              <w:t>文件格式</w:t>
            </w:r>
            <w:r>
              <w:rPr>
                <w:rFonts w:hint="eastAsia" w:hAnsi="宋体" w:cs="宋体"/>
                <w:color w:val="auto"/>
                <w:sz w:val="21"/>
                <w:highlight w:val="none"/>
                <w:lang w:val="en-US" w:eastAsia="zh-CN"/>
              </w:rPr>
              <w:t>、合同文本</w:t>
            </w:r>
            <w:r>
              <w:rPr>
                <w:rFonts w:hAnsi="宋体" w:cs="宋体"/>
                <w:color w:val="auto"/>
                <w:sz w:val="21"/>
                <w:highlight w:val="none"/>
                <w:lang w:val="en-US" w:eastAsia="zh-CN"/>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与同步更新的</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不一致时以</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为准。按本款前述规定仍不能形成结论的，由</w:t>
            </w:r>
            <w:r>
              <w:rPr>
                <w:rFonts w:hint="eastAsia" w:hAnsi="宋体" w:cs="宋体"/>
                <w:color w:val="auto"/>
                <w:sz w:val="21"/>
                <w:highlight w:val="none"/>
                <w:lang w:val="en-US" w:eastAsia="zh-CN"/>
              </w:rPr>
              <w:t>采购</w:t>
            </w:r>
            <w:r>
              <w:rPr>
                <w:rFonts w:hAnsi="宋体" w:cs="宋体"/>
                <w:color w:val="auto"/>
                <w:sz w:val="21"/>
                <w:highlight w:val="none"/>
                <w:lang w:val="en-US" w:eastAsia="zh-CN"/>
              </w:rPr>
              <w:t>人</w:t>
            </w:r>
            <w:r>
              <w:rPr>
                <w:rFonts w:hint="eastAsia" w:hAnsi="宋体" w:cs="宋体"/>
                <w:color w:val="auto"/>
                <w:sz w:val="21"/>
                <w:highlight w:val="none"/>
                <w:lang w:val="en-US" w:eastAsia="zh-CN"/>
              </w:rPr>
              <w:t>或者采购代理机构</w:t>
            </w:r>
            <w:r>
              <w:rPr>
                <w:rFonts w:hAnsi="宋体" w:cs="宋体"/>
                <w:color w:val="auto"/>
                <w:sz w:val="21"/>
                <w:highlight w:val="none"/>
                <w:lang w:val="en-US" w:eastAsia="zh-CN"/>
              </w:rPr>
              <w:t>负责解释。</w:t>
            </w:r>
          </w:p>
        </w:tc>
      </w:tr>
      <w:tr w14:paraId="5329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C938E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noWrap w:val="0"/>
            <w:vAlign w:val="center"/>
          </w:tcPr>
          <w:p w14:paraId="49E134EE">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31F53BA5">
            <w:pPr>
              <w:pStyle w:val="13"/>
              <w:snapToGrid w:val="0"/>
              <w:spacing w:line="360" w:lineRule="auto"/>
              <w:rPr>
                <w:rFonts w:hAnsi="宋体" w:cs="宋体"/>
                <w:bCs/>
                <w:color w:val="auto"/>
                <w:sz w:val="21"/>
                <w:highlight w:val="none"/>
                <w:lang w:val="en-US" w:eastAsia="zh-CN"/>
              </w:rPr>
            </w:pPr>
            <w:r>
              <w:rPr>
                <w:rFonts w:hint="eastAsia" w:hAnsi="宋体" w:cs="宋体"/>
                <w:bCs/>
                <w:color w:val="auto"/>
                <w:sz w:val="21"/>
                <w:highlight w:val="none"/>
                <w:lang w:val="en-US" w:eastAsia="zh-CN"/>
              </w:rPr>
              <w:t>2.本谈判文件所称的“</w:t>
            </w:r>
            <w:r>
              <w:rPr>
                <w:rFonts w:hint="eastAsia" w:hAnsi="宋体"/>
                <w:color w:val="auto"/>
                <w:sz w:val="21"/>
                <w:highlight w:val="none"/>
                <w:lang w:val="en-US" w:eastAsia="zh-CN"/>
              </w:rPr>
              <w:t>电子签章”“</w:t>
            </w:r>
            <w:r>
              <w:rPr>
                <w:rFonts w:hint="eastAsia" w:hAnsi="宋体" w:cs="宋体"/>
                <w:bCs/>
                <w:color w:val="auto"/>
                <w:sz w:val="21"/>
                <w:highlight w:val="none"/>
                <w:lang w:val="en-US" w:eastAsia="zh-CN"/>
              </w:rPr>
              <w:t>电子签名”</w:t>
            </w:r>
            <w:r>
              <w:rPr>
                <w:rFonts w:hint="eastAsia" w:hAnsi="宋体"/>
                <w:color w:val="auto"/>
                <w:sz w:val="21"/>
                <w:highlight w:val="none"/>
                <w:lang w:val="en-US" w:eastAsia="zh-CN"/>
              </w:rPr>
              <w:t>，是指经广西政府采购云平台认可的CA认证的电子签名数据为表现形式的印章，可用于签署电子响应文件，电子印章与实物印章具有同等法律效力，不因其采用电子化表现形式而否定其法律效力。</w:t>
            </w:r>
          </w:p>
          <w:p w14:paraId="2A73C804">
            <w:pPr>
              <w:pStyle w:val="13"/>
              <w:snapToGrid w:val="0"/>
              <w:spacing w:line="360" w:lineRule="auto"/>
              <w:rPr>
                <w:rFonts w:hint="eastAsia" w:hAnsi="宋体" w:cs="宋体"/>
                <w:bCs/>
                <w:color w:val="auto"/>
                <w:sz w:val="21"/>
                <w:highlight w:val="none"/>
                <w:lang w:val="en-US" w:eastAsia="zh-CN"/>
              </w:rPr>
            </w:pPr>
            <w:r>
              <w:rPr>
                <w:rFonts w:hint="eastAsia" w:hAnsi="宋体" w:cs="宋体"/>
                <w:color w:val="auto"/>
                <w:sz w:val="21"/>
                <w:highlight w:val="none"/>
                <w:lang w:val="en-US" w:eastAsia="zh-CN"/>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lang w:val="en-US" w:eastAsia="zh-CN"/>
              </w:rPr>
              <w:t>营业执照或者执业许可证等证照上</w:t>
            </w:r>
            <w:r>
              <w:rPr>
                <w:rFonts w:hint="eastAsia" w:hAnsi="宋体" w:cs="宋体"/>
                <w:color w:val="auto"/>
                <w:sz w:val="21"/>
                <w:highlight w:val="none"/>
                <w:lang w:val="en-US" w:eastAsia="zh-CN"/>
              </w:rPr>
              <w:t>的负责人，本谈判文件所称自然人指参与竞标的自然人本人，</w:t>
            </w:r>
            <w:r>
              <w:rPr>
                <w:rFonts w:hint="eastAsia" w:hAnsi="宋体" w:cs="宋体"/>
                <w:bCs/>
                <w:color w:val="auto"/>
                <w:sz w:val="21"/>
                <w:highlight w:val="none"/>
                <w:lang w:val="en-US" w:eastAsia="zh-CN"/>
              </w:rPr>
              <w:t>且应具备独立承担民事责任能力，自然人应当为年满18岁以上成年人（十六周岁以上的未成年人，以自己的劳动收入为主要生活来源的，视为完全民事行为能力人）。</w:t>
            </w:r>
          </w:p>
          <w:p w14:paraId="6588BABA">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4.本谈判文件中描述供应商的“签字”是指供应商的法定代表人或者委托代理人亲自在文件规定签署处亲笔写上个人的名字的行为，私章、签字章、印鉴、影印等其他形式均不能代替亲笔签字。</w:t>
            </w:r>
          </w:p>
          <w:p w14:paraId="58D8FD66">
            <w:pPr>
              <w:pStyle w:val="13"/>
              <w:snapToGrid w:val="0"/>
              <w:spacing w:line="360" w:lineRule="auto"/>
              <w:rPr>
                <w:rFonts w:hint="eastAsia" w:hAnsi="宋体" w:cs="宋体"/>
                <w:color w:val="auto"/>
                <w:sz w:val="21"/>
                <w:highlight w:val="none"/>
                <w:lang w:val="en-US" w:eastAsia="zh-CN"/>
              </w:rPr>
            </w:pPr>
            <w:r>
              <w:rPr>
                <w:rFonts w:hAnsi="宋体" w:cs="宋体"/>
                <w:color w:val="auto"/>
                <w:sz w:val="21"/>
                <w:highlight w:val="none"/>
                <w:lang w:val="en-US" w:eastAsia="zh-CN"/>
              </w:rPr>
              <w:t>5.</w:t>
            </w:r>
            <w:r>
              <w:rPr>
                <w:rFonts w:hint="eastAsia" w:hAnsi="宋体" w:cs="宋体"/>
                <w:color w:val="auto"/>
                <w:sz w:val="21"/>
                <w:highlight w:val="none"/>
                <w:lang w:val="en-US" w:eastAsia="zh-CN"/>
              </w:rPr>
              <w:t>本谈判文件所称的“以上”“以下”“以内”“届满”，包括本数；所称的“不满”“超过”“以外”，不包括本数。</w:t>
            </w:r>
          </w:p>
        </w:tc>
      </w:tr>
    </w:tbl>
    <w:p w14:paraId="0512368F">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31EBAD7">
      <w:pPr>
        <w:spacing w:line="400" w:lineRule="exact"/>
        <w:jc w:val="center"/>
        <w:rPr>
          <w:rFonts w:hint="eastAsia" w:ascii="宋体" w:hAnsi="宋体"/>
          <w:b/>
          <w:color w:val="auto"/>
          <w:sz w:val="32"/>
          <w:szCs w:val="32"/>
          <w:highlight w:val="none"/>
        </w:rPr>
      </w:pPr>
    </w:p>
    <w:p w14:paraId="7B6CC202">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0CBDE184">
      <w:pPr>
        <w:spacing w:line="400" w:lineRule="exact"/>
        <w:rPr>
          <w:rFonts w:hint="eastAsia" w:ascii="宋体" w:hAnsi="宋体"/>
          <w:color w:val="auto"/>
          <w:szCs w:val="21"/>
          <w:highlight w:val="none"/>
        </w:rPr>
      </w:pPr>
    </w:p>
    <w:p w14:paraId="64A2887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6E1ACD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C64C9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5DD6B91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4CA47C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1C554EAF">
      <w:pPr>
        <w:spacing w:line="360" w:lineRule="auto"/>
        <w:ind w:firstLine="420" w:firstLineChars="200"/>
        <w:rPr>
          <w:rFonts w:hint="eastAsia"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14:paraId="003677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943B7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53EA02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626099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0BE66D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1913F7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5FD64F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“实质性要求”是指采购需求中带“▲”的条款或者不能负偏离的条款或者已经指明不满足按响应文件按无效处理的条款。</w:t>
      </w:r>
    </w:p>
    <w:p w14:paraId="196D11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1E82E5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655655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3282F2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2D4061F5">
      <w:pPr>
        <w:spacing w:line="360" w:lineRule="auto"/>
        <w:ind w:firstLine="482" w:firstLineChars="200"/>
        <w:contextualSpacing/>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07ED7C49">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34C7B4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1DDAF0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6A8FC52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63223A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F7330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756EF86C">
      <w:pPr>
        <w:spacing w:line="360" w:lineRule="auto"/>
        <w:ind w:firstLine="420" w:firstLineChars="200"/>
        <w:rPr>
          <w:rFonts w:ascii="宋体" w:hAnsi="宋体"/>
          <w:bCs/>
          <w:color w:val="auto"/>
          <w:szCs w:val="21"/>
          <w:highlight w:val="none"/>
        </w:rPr>
      </w:pPr>
      <w:bookmarkStart w:id="65" w:name="_Hlk66782192"/>
      <w:r>
        <w:rPr>
          <w:rFonts w:hint="eastAsia" w:ascii="宋体" w:hAnsi="宋体"/>
          <w:bCs/>
          <w:color w:val="auto"/>
          <w:szCs w:val="21"/>
          <w:highlight w:val="none"/>
        </w:rPr>
        <w:t>5.3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5"/>
    </w:p>
    <w:p w14:paraId="73167AA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11AEE0AD">
      <w:pPr>
        <w:pStyle w:val="5"/>
        <w:keepNext w:val="0"/>
        <w:keepLines w:val="0"/>
        <w:spacing w:before="0" w:after="0" w:line="360" w:lineRule="auto"/>
        <w:ind w:left="420" w:leftChars="200"/>
        <w:rPr>
          <w:rFonts w:hint="eastAsia" w:ascii="宋体" w:hAnsi="宋体"/>
          <w:b w:val="0"/>
          <w:color w:val="auto"/>
          <w:sz w:val="21"/>
          <w:szCs w:val="21"/>
          <w:highlight w:val="none"/>
        </w:rPr>
      </w:pPr>
      <w:bookmarkStart w:id="66" w:name="_Toc254970532"/>
      <w:bookmarkStart w:id="67" w:name="_Toc254970673"/>
      <w:r>
        <w:rPr>
          <w:rFonts w:hint="eastAsia" w:ascii="宋体" w:hAnsi="宋体"/>
          <w:b w:val="0"/>
          <w:color w:val="auto"/>
          <w:sz w:val="21"/>
          <w:szCs w:val="21"/>
          <w:highlight w:val="none"/>
        </w:rPr>
        <w:t>6.1本项目不允许转包。</w:t>
      </w:r>
    </w:p>
    <w:p w14:paraId="3E41F314">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w:t>
      </w:r>
      <w:r>
        <w:rPr>
          <w:rFonts w:hint="eastAsia" w:ascii="宋体" w:hAnsi="宋体"/>
          <w:b w:val="0"/>
          <w:color w:val="auto"/>
          <w:sz w:val="21"/>
          <w:szCs w:val="21"/>
          <w:highlight w:val="none"/>
          <w:lang w:eastAsia="zh-CN"/>
        </w:rPr>
        <w:t>应的</w:t>
      </w:r>
      <w:r>
        <w:rPr>
          <w:rFonts w:hint="eastAsia" w:ascii="宋体" w:hAnsi="宋体"/>
          <w:b w:val="0"/>
          <w:color w:val="auto"/>
          <w:sz w:val="21"/>
          <w:szCs w:val="21"/>
          <w:highlight w:val="none"/>
        </w:rPr>
        <w:t>行政许可。</w:t>
      </w:r>
    </w:p>
    <w:p w14:paraId="7FE75FA2">
      <w:pPr>
        <w:pStyle w:val="5"/>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71A5AE0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66"/>
      <w:bookmarkEnd w:id="67"/>
    </w:p>
    <w:p w14:paraId="1BFDE612">
      <w:pPr>
        <w:spacing w:line="360" w:lineRule="auto"/>
        <w:ind w:firstLine="420" w:firstLineChars="200"/>
        <w:rPr>
          <w:rFonts w:hint="eastAsia" w:ascii="宋体" w:hAnsi="宋体" w:cs="宋体"/>
          <w:color w:val="auto"/>
          <w:szCs w:val="21"/>
          <w:highlight w:val="none"/>
        </w:rPr>
      </w:pPr>
      <w:bookmarkStart w:id="68" w:name="_8.1提供相同品牌产品且通过资格审查、符合性审查的不同投标人参加同一合"/>
      <w:bookmarkEnd w:id="68"/>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4CE31B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03BDE1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p w14:paraId="36955A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625576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0B5C4C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6F69B1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CF0D6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7A0A66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F5A20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B4B6D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FBD31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0743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25E51B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093D3B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3C8E9D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645B6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65FFD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40B07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10F0DB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9" w:name="_Hlk54682620"/>
      <w:r>
        <w:rPr>
          <w:rFonts w:hint="eastAsia" w:ascii="宋体" w:hAnsi="宋体" w:cs="宋体"/>
          <w:color w:val="auto"/>
          <w:szCs w:val="21"/>
          <w:highlight w:val="none"/>
        </w:rPr>
        <w:t>，将报同级监督管理部门</w:t>
      </w:r>
      <w:bookmarkEnd w:id="69"/>
      <w:r>
        <w:rPr>
          <w:rFonts w:hint="eastAsia" w:ascii="宋体" w:hAnsi="宋体" w:cs="宋体"/>
          <w:color w:val="auto"/>
          <w:szCs w:val="21"/>
          <w:highlight w:val="none"/>
        </w:rPr>
        <w:t>：</w:t>
      </w:r>
    </w:p>
    <w:p w14:paraId="7AFE4B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FC1C3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D691B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69D1E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641F2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FBCCC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E459E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E88713C">
      <w:pPr>
        <w:spacing w:line="360" w:lineRule="auto"/>
        <w:ind w:left="1" w:firstLine="417" w:firstLineChars="199"/>
        <w:jc w:val="center"/>
        <w:rPr>
          <w:rFonts w:hint="eastAsia" w:ascii="宋体" w:hAnsi="宋体"/>
          <w:color w:val="auto"/>
          <w:highlight w:val="none"/>
        </w:rPr>
      </w:pPr>
      <w:bookmarkStart w:id="70" w:name="_Toc254970675"/>
      <w:bookmarkStart w:id="71" w:name="_Toc254970534"/>
    </w:p>
    <w:p w14:paraId="41E55890">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二、谈判文件</w:t>
      </w:r>
      <w:bookmarkEnd w:id="70"/>
      <w:bookmarkEnd w:id="71"/>
    </w:p>
    <w:p w14:paraId="351394BC">
      <w:pPr>
        <w:spacing w:line="360" w:lineRule="auto"/>
        <w:jc w:val="center"/>
        <w:rPr>
          <w:rFonts w:hint="eastAsia" w:ascii="宋体" w:hAnsi="宋体"/>
          <w:color w:val="auto"/>
          <w:szCs w:val="21"/>
          <w:highlight w:val="none"/>
        </w:rPr>
      </w:pPr>
    </w:p>
    <w:p w14:paraId="6951A17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58ADB1B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（1）竞争性谈判公告；</w:t>
      </w:r>
    </w:p>
    <w:p w14:paraId="37FF2F4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2B8F552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4137AC5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（4）响应文件格式</w:t>
      </w:r>
    </w:p>
    <w:p w14:paraId="50783C8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（5）合同文本；</w:t>
      </w:r>
    </w:p>
    <w:p w14:paraId="4553D64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（6）评审程序和评定成交的标准；</w:t>
      </w:r>
    </w:p>
    <w:p w14:paraId="02F894F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7641EB0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158DF0A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4B4A1EFA">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589BFD13">
      <w:pPr>
        <w:spacing w:line="360" w:lineRule="auto"/>
        <w:rPr>
          <w:rFonts w:hint="eastAsia" w:ascii="宋体" w:hAnsi="宋体"/>
          <w:color w:val="auto"/>
          <w:szCs w:val="21"/>
          <w:highlight w:val="none"/>
        </w:rPr>
      </w:pPr>
    </w:p>
    <w:p w14:paraId="57394E05">
      <w:pPr>
        <w:spacing w:line="360" w:lineRule="auto"/>
        <w:jc w:val="center"/>
        <w:rPr>
          <w:rFonts w:hint="eastAsia" w:ascii="宋体" w:hAnsi="宋体"/>
          <w:b/>
          <w:color w:val="auto"/>
          <w:szCs w:val="21"/>
          <w:highlight w:val="none"/>
        </w:rPr>
      </w:pPr>
      <w:r>
        <w:rPr>
          <w:rFonts w:hint="eastAsia" w:ascii="宋体" w:hAnsi="宋体"/>
          <w:b/>
          <w:color w:val="auto"/>
          <w:sz w:val="32"/>
          <w:szCs w:val="32"/>
          <w:highlight w:val="none"/>
        </w:rPr>
        <w:t>三、响应文件的编制</w:t>
      </w:r>
    </w:p>
    <w:p w14:paraId="07FF940B">
      <w:pPr>
        <w:spacing w:line="360" w:lineRule="auto"/>
        <w:rPr>
          <w:rFonts w:hint="eastAsia" w:ascii="宋体" w:hAnsi="宋体"/>
          <w:color w:val="auto"/>
          <w:szCs w:val="21"/>
          <w:highlight w:val="none"/>
        </w:rPr>
      </w:pPr>
    </w:p>
    <w:p w14:paraId="58AF8F3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07A10B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452DB96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1FF126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14:paraId="26063C01">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29947138">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35047043">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64304BA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E5D9D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491A567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5B9D49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46DCEDC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42AE0D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1AF6E468">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69585891">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3FCB39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0257A27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49188236">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0B144D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72B8B2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50DD64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14:paraId="398D14C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21D7F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36ABE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6CD6CA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01D8FE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14:paraId="3EDC8A5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5EA200D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17.2竞标保证金的退还</w:t>
      </w:r>
    </w:p>
    <w:p w14:paraId="4BAC77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 xml:space="preserve">成交供应商的竞标保证金自签订合同之日起5个工作日内退还。 </w:t>
      </w:r>
    </w:p>
    <w:p w14:paraId="30BCB63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17.3竞标保证金不计息。</w:t>
      </w:r>
    </w:p>
    <w:p w14:paraId="0B661DF3">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2BEEB88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11B3CE34">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46D3226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738825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310F16E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10AD1AD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1CDA4D3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14:paraId="6BD185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246700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756FBB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7E473B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F3A1D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42CCBCB">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009CDC1E">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color w:val="auto"/>
          <w:highlight w:val="none"/>
          <w:lang w:eastAsia="zh-CN"/>
        </w:rPr>
        <w:t>详见</w:t>
      </w:r>
      <w:r>
        <w:rPr>
          <w:rFonts w:hint="eastAsia" w:hAnsi="宋体"/>
          <w:bCs/>
          <w:color w:val="auto"/>
          <w:szCs w:val="21"/>
          <w:highlight w:val="none"/>
        </w:rPr>
        <w:t>“供应商须知前附表”。</w:t>
      </w:r>
    </w:p>
    <w:p w14:paraId="7894182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28E6F898">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2B6E0F7E">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14:paraId="4DE917B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CAC9D31">
      <w:pPr>
        <w:snapToGrid w:val="0"/>
        <w:spacing w:line="360" w:lineRule="auto"/>
        <w:ind w:firstLine="420"/>
        <w:jc w:val="left"/>
        <w:rPr>
          <w:rFonts w:hint="eastAsia" w:ascii="宋体" w:hAnsi="宋体"/>
          <w:color w:val="auto"/>
          <w:szCs w:val="21"/>
          <w:highlight w:val="none"/>
        </w:rPr>
      </w:pPr>
      <w:bookmarkStart w:id="72" w:name="_Toc254970543"/>
      <w:bookmarkStart w:id="73"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72"/>
    <w:bookmarkEnd w:id="73"/>
    <w:p w14:paraId="4C4008DB">
      <w:pPr>
        <w:pStyle w:val="52"/>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lang w:eastAsia="zh-CN"/>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4297BB7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60A8D8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2C4D38E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0C32324">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3F0534C4">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四、评审及谈判</w:t>
      </w:r>
    </w:p>
    <w:p w14:paraId="51CD02A2">
      <w:pPr>
        <w:spacing w:line="360" w:lineRule="auto"/>
        <w:ind w:left="420" w:firstLine="420"/>
        <w:rPr>
          <w:rFonts w:hint="eastAsia" w:ascii="宋体" w:hAnsi="宋体"/>
          <w:color w:val="auto"/>
          <w:szCs w:val="21"/>
          <w:highlight w:val="none"/>
        </w:rPr>
      </w:pPr>
    </w:p>
    <w:p w14:paraId="62CB6D7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2A38F3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2AB098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24EFD73">
      <w:pPr>
        <w:spacing w:line="360" w:lineRule="auto"/>
        <w:ind w:firstLine="420" w:firstLineChars="200"/>
        <w:rPr>
          <w:rFonts w:hint="eastAsia"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053F63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52F92B5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14:paraId="5234E343">
      <w:pPr>
        <w:spacing w:line="360" w:lineRule="auto"/>
        <w:ind w:firstLine="420"/>
        <w:rPr>
          <w:rFonts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358E1A7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14:paraId="2E1A8223">
      <w:pPr>
        <w:spacing w:line="360" w:lineRule="auto"/>
        <w:ind w:firstLine="420" w:firstLineChars="200"/>
        <w:rPr>
          <w:rFonts w:hint="eastAsia"/>
          <w:color w:val="auto"/>
          <w:highlight w:val="none"/>
        </w:rPr>
      </w:pPr>
      <w:r>
        <w:rPr>
          <w:rFonts w:hint="eastAsia"/>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07165FE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14:paraId="160F3038">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02DD4546">
      <w:pPr>
        <w:spacing w:line="360" w:lineRule="auto"/>
        <w:ind w:firstLine="420" w:firstLineChars="200"/>
        <w:rPr>
          <w:rFonts w:hint="eastAsia"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03E2AAB0">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219C1C65">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4C5A113F">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71D9E94F">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51C09526">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71D57A1D">
      <w:pPr>
        <w:spacing w:line="360" w:lineRule="auto"/>
        <w:ind w:firstLine="420" w:firstLineChars="200"/>
        <w:rPr>
          <w:rFonts w:hint="eastAsia"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285C5A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49E8C86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5CAC0546">
      <w:pPr>
        <w:pStyle w:val="8"/>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781CE8C4">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1E4B95F7">
      <w:pPr>
        <w:pStyle w:val="8"/>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69828C4E">
      <w:pPr>
        <w:pStyle w:val="8"/>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（2）出现影响采购公正的违法、违规行为的；</w:t>
      </w:r>
    </w:p>
    <w:p w14:paraId="73DFB399">
      <w:pPr>
        <w:pStyle w:val="8"/>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 评审程序和评定成交的标准”第3.7条规定的情形除外。</w:t>
      </w:r>
    </w:p>
    <w:p w14:paraId="2775BEE4">
      <w:pPr>
        <w:pStyle w:val="8"/>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02BB2FD1">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6B28A640">
      <w:pPr>
        <w:pStyle w:val="8"/>
        <w:spacing w:line="360" w:lineRule="auto"/>
        <w:ind w:firstLine="420" w:firstLineChars="200"/>
        <w:rPr>
          <w:rFonts w:hint="eastAsia"/>
          <w:color w:val="auto"/>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履约保证金的金额、提交方式、退付的时间和条件详见 “供应商须知前附表”。成交供应商未按规定提交履约保证金的，视为拒绝</w:t>
      </w:r>
      <w:r>
        <w:rPr>
          <w:rFonts w:ascii="宋体" w:hAnsi="宋体" w:cs="宋体"/>
          <w:color w:val="auto"/>
          <w:szCs w:val="21"/>
          <w:highlight w:val="none"/>
          <w:lang w:val="en-US" w:eastAsia="zh-CN"/>
        </w:rPr>
        <w:t>与采购人</w:t>
      </w:r>
      <w:r>
        <w:rPr>
          <w:rFonts w:hint="eastAsia" w:ascii="宋体" w:hAnsi="宋体" w:cs="宋体"/>
          <w:color w:val="auto"/>
          <w:szCs w:val="21"/>
          <w:highlight w:val="none"/>
          <w:lang w:val="en-US" w:eastAsia="zh-CN"/>
        </w:rPr>
        <w:t>签订合同。</w:t>
      </w:r>
    </w:p>
    <w:p w14:paraId="2FD4CB98">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.2在履约保证金退还日期前，若成交供应商的开户名称、开户银行、账号有变动的，请以书面形式通知履约保证金收取单位，否则由此产生的后果由成交供应商自负。</w:t>
      </w:r>
    </w:p>
    <w:p w14:paraId="1F88630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62CF255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7E13AD2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4266228F">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19D277E5">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3A7C73DC">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73110F2">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4E5A771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4CD02397">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7B69669">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0D8DE5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AF6C5C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47B77729">
      <w:pPr>
        <w:pStyle w:val="6"/>
        <w:spacing w:after="120" w:line="360" w:lineRule="auto"/>
        <w:rPr>
          <w:rFonts w:hint="eastAsia"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4BFADFD5">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5735D41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397031C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628DADA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4F80513">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D66FED5">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BEC27A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7D379A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7957865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13767E7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3354EDE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475678A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4FDD3D4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02547D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B124EB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81D891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F23367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8312326">
      <w:pPr>
        <w:spacing w:line="360" w:lineRule="auto"/>
        <w:ind w:firstLine="420" w:firstLineChars="200"/>
        <w:rPr>
          <w:rFonts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AB7958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14:paraId="6C486CB9">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.1代理服务收取标准详见“供应商须知前附表”，供应商为联合体的，可以由联合体中的一方或者多方共同交纳代理服务费：</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9C9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2F93BD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35D0924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4103BAE1">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509B91E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519A98D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20B3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3C02DEE">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7CA7EC6A">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423C297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51C1243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0A3E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D9FEFC1">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noWrap w:val="0"/>
            <w:vAlign w:val="top"/>
          </w:tcPr>
          <w:p w14:paraId="1347103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4AC58D2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2267F61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39B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4F0FC59">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noWrap w:val="0"/>
            <w:vAlign w:val="top"/>
          </w:tcPr>
          <w:p w14:paraId="1D59DA73">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632A00E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51BE522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2192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421072F">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noWrap w:val="0"/>
            <w:vAlign w:val="top"/>
          </w:tcPr>
          <w:p w14:paraId="262953B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5E0AA28A">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7B00E18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2C64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6D82CDC">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7863624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5711355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3059CB6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3816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DFF96B">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noWrap w:val="0"/>
            <w:vAlign w:val="top"/>
          </w:tcPr>
          <w:p w14:paraId="7A44736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2EB32C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264D311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41A4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3C84BD1">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noWrap w:val="0"/>
            <w:vAlign w:val="top"/>
          </w:tcPr>
          <w:p w14:paraId="7E81ACE3">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6985347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58E32CBF">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6CFC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1A4BECB">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noWrap w:val="0"/>
            <w:vAlign w:val="top"/>
          </w:tcPr>
          <w:p w14:paraId="7B216959">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47B2E109">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5368AAF3">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2940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A5BBD37">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noWrap w:val="0"/>
            <w:vAlign w:val="top"/>
          </w:tcPr>
          <w:p w14:paraId="17BBDE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1D54CB2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4E21D50C">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4679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E5180F3">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729F3B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6B7EE9A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7E14831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11EDB129">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xml:space="preserve">注： </w:t>
      </w:r>
    </w:p>
    <w:p w14:paraId="2F82D34D">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3D906A31">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2459D955">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7D82676E">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14:paraId="565648AB">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×1.1%＝ 0.55 万元</w:t>
      </w:r>
    </w:p>
    <w:p w14:paraId="49397856">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合计收费＝ 1.5 ＋ 0.55＝ 2.05 （万元）</w:t>
      </w:r>
    </w:p>
    <w:p w14:paraId="45F9A8CF">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14:paraId="3684C8A3">
      <w:pPr>
        <w:pStyle w:val="13"/>
        <w:spacing w:line="360" w:lineRule="auto"/>
        <w:ind w:firstLine="420" w:firstLineChars="200"/>
        <w:contextualSpacing/>
        <w:rPr>
          <w:rFonts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7D687B6C">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14:paraId="3447E34D">
      <w:pPr>
        <w:pStyle w:val="13"/>
        <w:spacing w:line="360" w:lineRule="auto"/>
        <w:ind w:firstLine="400" w:firstLineChars="200"/>
        <w:contextualSpacing/>
        <w:rPr>
          <w:rFonts w:hint="eastAsia" w:hAnsi="宋体"/>
          <w:color w:val="auto"/>
          <w:sz w:val="21"/>
          <w:highlight w:val="none"/>
        </w:rPr>
      </w:pPr>
      <w:r>
        <w:rPr>
          <w:rFonts w:hint="eastAsia" w:hAnsi="宋体"/>
          <w:color w:val="auto"/>
          <w:highlight w:val="none"/>
        </w:rPr>
        <w:t>3</w:t>
      </w:r>
      <w:r>
        <w:rPr>
          <w:rFonts w:hAnsi="宋体"/>
          <w:color w:val="auto"/>
          <w:highlight w:val="none"/>
        </w:rPr>
        <w:t>3.3</w:t>
      </w:r>
      <w:bookmarkStart w:id="74"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35C5B7CA">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C9B2442">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4AFF15E7">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26F778C">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66A8280F">
      <w:pPr>
        <w:spacing w:line="360" w:lineRule="auto"/>
        <w:ind w:firstLine="420" w:firstLineChars="200"/>
        <w:contextualSpacing/>
        <w:rPr>
          <w:rFonts w:hint="eastAsia" w:ascii="宋体" w:hAnsi="宋体" w:cs="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74"/>
    </w:p>
    <w:p w14:paraId="7644FFD3">
      <w:pPr>
        <w:pStyle w:val="10"/>
        <w:ind w:left="1" w:firstLine="3" w:firstLineChars="1"/>
        <w:rPr>
          <w:rFonts w:hint="eastAsia" w:ascii="宋体"/>
          <w:b/>
          <w:bCs/>
          <w:color w:val="auto"/>
          <w:sz w:val="18"/>
          <w:szCs w:val="18"/>
          <w:highlight w:val="none"/>
        </w:rPr>
      </w:pPr>
      <w:r>
        <w:rPr>
          <w:rFonts w:ascii="黑体" w:hAnsi="黑体" w:eastAsia="黑体" w:cs="黑体"/>
          <w:bCs/>
          <w:color w:val="auto"/>
          <w:sz w:val="32"/>
          <w:szCs w:val="32"/>
          <w:highlight w:val="none"/>
        </w:rPr>
        <w:br w:type="page"/>
      </w:r>
    </w:p>
    <w:p w14:paraId="2D7F8725">
      <w:pPr>
        <w:pStyle w:val="13"/>
        <w:snapToGrid w:val="0"/>
        <w:spacing w:before="120" w:after="120"/>
        <w:rPr>
          <w:rFonts w:hint="eastAsia" w:hAnsi="宋体"/>
          <w:color w:val="auto"/>
          <w:highlight w:val="none"/>
        </w:rPr>
      </w:pPr>
    </w:p>
    <w:p w14:paraId="11CAD6B4">
      <w:pPr>
        <w:jc w:val="left"/>
        <w:rPr>
          <w:rFonts w:hint="eastAsia" w:hAnsi="宋体"/>
          <w:b/>
          <w:color w:val="auto"/>
          <w:sz w:val="32"/>
          <w:szCs w:val="32"/>
          <w:highlight w:val="none"/>
        </w:rPr>
      </w:pPr>
    </w:p>
    <w:p w14:paraId="6FD3411D">
      <w:pPr>
        <w:pStyle w:val="3"/>
        <w:jc w:val="center"/>
        <w:rPr>
          <w:rFonts w:hint="eastAsia"/>
          <w:color w:val="auto"/>
          <w:highlight w:val="none"/>
        </w:rPr>
      </w:pPr>
      <w:bookmarkStart w:id="75" w:name="_Toc74322010"/>
      <w:r>
        <w:rPr>
          <w:rFonts w:hint="eastAsia"/>
          <w:color w:val="auto"/>
          <w:highlight w:val="none"/>
        </w:rPr>
        <w:t>第三章 采购需求</w:t>
      </w:r>
      <w:bookmarkEnd w:id="75"/>
    </w:p>
    <w:p w14:paraId="03E0CDB9">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79A9D235">
      <w:pPr>
        <w:spacing w:line="440" w:lineRule="exact"/>
        <w:jc w:val="left"/>
        <w:rPr>
          <w:rFonts w:hint="eastAsia" w:ascii="宋体" w:hAnsi="宋体" w:cs="宋体"/>
          <w:color w:val="auto"/>
          <w:szCs w:val="21"/>
          <w:highlight w:val="none"/>
        </w:rPr>
      </w:pPr>
    </w:p>
    <w:p w14:paraId="15F4188E">
      <w:pPr>
        <w:spacing w:line="360" w:lineRule="auto"/>
        <w:jc w:val="left"/>
        <w:rPr>
          <w:color w:val="auto"/>
          <w:highlight w:val="none"/>
        </w:rPr>
      </w:pPr>
      <w:r>
        <w:rPr>
          <w:rFonts w:hint="eastAsia" w:ascii="宋体" w:hAnsi="宋体" w:cs="宋体"/>
          <w:color w:val="auto"/>
          <w:szCs w:val="21"/>
          <w:highlight w:val="none"/>
        </w:rPr>
        <w:t>说明：</w:t>
      </w:r>
    </w:p>
    <w:p w14:paraId="2A6E7C8A">
      <w:pPr>
        <w:spacing w:line="360" w:lineRule="auto"/>
        <w:ind w:firstLine="420" w:firstLineChars="200"/>
        <w:jc w:val="left"/>
        <w:rPr>
          <w:rFonts w:hint="eastAsia" w:ascii="宋体" w:hAnsi="宋体" w:cs="宋体"/>
          <w:color w:val="auto"/>
          <w:szCs w:val="21"/>
          <w:highlight w:val="none"/>
        </w:rPr>
      </w:pPr>
      <w:r>
        <w:rPr>
          <w:rFonts w:hint="eastAsia"/>
          <w:color w:val="auto"/>
          <w:highlight w:val="none"/>
        </w:rPr>
        <w:t>1. 为落实政府采购政策需满足的要求</w:t>
      </w:r>
    </w:p>
    <w:p w14:paraId="17F8085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6898C2A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2968212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highlight w:val="none"/>
        </w:rPr>
        <w:t>根据《关于调整网络安全专用产品安全管理有关事项的公告》（</w:t>
      </w:r>
      <w:r>
        <w:rPr>
          <w:color w:val="auto"/>
          <w:highlight w:val="none"/>
        </w:rPr>
        <w:t>2023</w:t>
      </w:r>
      <w:r>
        <w:rPr>
          <w:rFonts w:hint="eastAsia"/>
          <w:color w:val="auto"/>
          <w:highlight w:val="none"/>
        </w:rPr>
        <w:t>年</w:t>
      </w:r>
      <w:r>
        <w:rPr>
          <w:color w:val="auto"/>
          <w:highlight w:val="none"/>
        </w:rPr>
        <w:t>1</w:t>
      </w:r>
      <w:r>
        <w:rPr>
          <w:rFonts w:hint="eastAsia"/>
          <w:color w:val="auto"/>
          <w:highlight w:val="none"/>
        </w:rPr>
        <w:t>号）规定，本项目采购需求中的产品如果包括《网络关键设备和网络安全专用产品目录》的网络安全专用产品，供应商在响应文件中应主动列明供货范围中属于网络安全专用产品的响应产品，并在响应文件（商务及技术文件）中提供由中国网信网（</w:t>
      </w:r>
      <w:r>
        <w:rPr>
          <w:color w:val="auto"/>
          <w:highlight w:val="none"/>
        </w:rPr>
        <w:t>http://www.cac.gov.cn/index.htm</w:t>
      </w:r>
      <w:r>
        <w:rPr>
          <w:rFonts w:hint="eastAsia"/>
          <w:color w:val="auto"/>
          <w:highlight w:val="none"/>
        </w:rPr>
        <w:t>）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响应文件按无效处理。如属于《网络关键设备和网络安全专用产品目录》中</w:t>
      </w:r>
      <w:r>
        <w:rPr>
          <w:color w:val="auto"/>
          <w:highlight w:val="none"/>
        </w:rPr>
        <w:t>“</w:t>
      </w:r>
      <w:r>
        <w:rPr>
          <w:rFonts w:hint="eastAsia"/>
          <w:color w:val="auto"/>
          <w:highlight w:val="none"/>
        </w:rPr>
        <w:t>二、网络安全专用产品</w:t>
      </w:r>
      <w:r>
        <w:rPr>
          <w:color w:val="auto"/>
          <w:highlight w:val="none"/>
        </w:rPr>
        <w:t>”</w:t>
      </w:r>
      <w:r>
        <w:rPr>
          <w:rFonts w:hint="eastAsia"/>
          <w:color w:val="auto"/>
          <w:highlight w:val="none"/>
        </w:rPr>
        <w:t>内</w:t>
      </w:r>
      <w:r>
        <w:rPr>
          <w:color w:val="auto"/>
          <w:highlight w:val="none"/>
        </w:rPr>
        <w:t>“</w:t>
      </w:r>
      <w:r>
        <w:rPr>
          <w:rFonts w:hint="eastAsia"/>
          <w:color w:val="auto"/>
          <w:highlight w:val="none"/>
        </w:rPr>
        <w:t>产品类别</w:t>
      </w:r>
      <w:r>
        <w:rPr>
          <w:color w:val="auto"/>
          <w:highlight w:val="none"/>
        </w:rPr>
        <w:t>”</w:t>
      </w:r>
      <w:r>
        <w:rPr>
          <w:rFonts w:hint="eastAsia"/>
          <w:color w:val="auto"/>
          <w:highlight w:val="none"/>
        </w:rPr>
        <w:t>中的所描述的产品，但不属于所列</w:t>
      </w:r>
      <w:r>
        <w:rPr>
          <w:color w:val="auto"/>
          <w:highlight w:val="none"/>
        </w:rPr>
        <w:t>“</w:t>
      </w:r>
      <w:r>
        <w:rPr>
          <w:rFonts w:hint="eastAsia"/>
          <w:color w:val="auto"/>
          <w:highlight w:val="none"/>
        </w:rPr>
        <w:t>产品描述</w:t>
      </w:r>
      <w:r>
        <w:rPr>
          <w:color w:val="auto"/>
          <w:highlight w:val="none"/>
        </w:rPr>
        <w:t>”</w:t>
      </w:r>
      <w:r>
        <w:rPr>
          <w:rFonts w:hint="eastAsia"/>
          <w:color w:val="auto"/>
          <w:highlight w:val="none"/>
        </w:rPr>
        <w:t>情形的，应提供相应的说明及证明材料。</w:t>
      </w:r>
    </w:p>
    <w:p w14:paraId="358816F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63ACE39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w:t>
      </w:r>
      <w:r>
        <w:rPr>
          <w:rFonts w:hint="eastAsia" w:ascii="宋体" w:hAnsi="宋体" w:cs="宋体"/>
          <w:color w:val="auto"/>
          <w:szCs w:val="21"/>
          <w:highlight w:val="none"/>
        </w:rPr>
        <w:t>商的情形。供应商可参照或者选用其他相当的品牌、型号或者生产供应商替代。</w:t>
      </w:r>
    </w:p>
    <w:p w14:paraId="6F5CD61A">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 供应商应根据自身实际情况如实响应谈判文件，对谈判文件提出的要求和条件作出明确响应，否则将作无效响应处理。对于重要技术条款或技术参数应当在响应文件中提供技术支持资料，技术支持资料以谈判文件中规定的形式为准，否则将视为无效技术支持资料。</w:t>
      </w:r>
    </w:p>
    <w:p w14:paraId="35529867">
      <w:pPr>
        <w:spacing w:line="360" w:lineRule="auto"/>
        <w:ind w:firstLine="424" w:firstLineChars="202"/>
        <w:jc w:val="left"/>
        <w:rPr>
          <w:rFonts w:hint="eastAsia" w:ascii="宋体" w:hAnsi="宋体"/>
          <w:color w:val="auto"/>
          <w:szCs w:val="21"/>
          <w:highlight w:val="none"/>
        </w:rPr>
      </w:pPr>
      <w:r>
        <w:rPr>
          <w:rFonts w:hint="eastAsia" w:ascii="宋体" w:hAnsi="宋体" w:cs="宋体"/>
          <w:color w:val="auto"/>
          <w:szCs w:val="21"/>
          <w:highlight w:val="none"/>
        </w:rPr>
        <w:t>5.</w:t>
      </w:r>
      <w:r>
        <w:rPr>
          <w:rFonts w:hint="eastAsia"/>
          <w:color w:val="auto"/>
          <w:highlight w:val="none"/>
        </w:rPr>
        <w:t>供应商必须自行为其竞标产品侵犯他人的知识产权或者专利成果的行为承担相应法律责任。</w:t>
      </w:r>
    </w:p>
    <w:p w14:paraId="308E0E46">
      <w:pPr>
        <w:spacing w:line="360" w:lineRule="auto"/>
        <w:ind w:firstLine="420" w:firstLineChars="200"/>
        <w:jc w:val="left"/>
        <w:rPr>
          <w:rFonts w:ascii="宋体" w:hAnsi="宋体" w:cs="Arial"/>
          <w:bCs/>
          <w:color w:val="auto"/>
          <w:szCs w:val="21"/>
          <w:highlight w:val="none"/>
          <w:u w:val="single"/>
        </w:rPr>
      </w:pPr>
      <w:bookmarkStart w:id="76" w:name="_Hlk48036094"/>
      <w:r>
        <w:rPr>
          <w:rFonts w:hint="eastAsia" w:ascii="宋体" w:hAnsi="宋体" w:eastAsia="宋体" w:cs="宋体"/>
          <w:color w:val="auto"/>
          <w:sz w:val="21"/>
          <w:szCs w:val="21"/>
          <w:highlight w:val="none"/>
          <w:lang w:val="en-US" w:eastAsia="zh-CN"/>
        </w:rPr>
        <w:t>6.所属行业依照《中小企业划型标准规定》（工信部联企业〔2011〕300号）及《国民经济行业分类》（GB/T4754-2017）的有关规定执行。本项目标的所属行业为“工业”。</w:t>
      </w:r>
    </w:p>
    <w:p w14:paraId="389C9068">
      <w:pPr>
        <w:spacing w:line="360" w:lineRule="auto"/>
        <w:ind w:firstLine="308" w:firstLineChars="147"/>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lang w:val="en-US" w:eastAsia="zh-CN"/>
        </w:rPr>
        <w:t>1</w:t>
      </w:r>
      <w:r>
        <w:rPr>
          <w:rFonts w:hint="eastAsia" w:ascii="宋体" w:hAnsi="宋体" w:cs="Arial"/>
          <w:bCs/>
          <w:color w:val="auto"/>
          <w:szCs w:val="21"/>
          <w:highlight w:val="none"/>
          <w:u w:val="single"/>
        </w:rPr>
        <w:t xml:space="preserve"> </w:t>
      </w:r>
      <w:r>
        <w:rPr>
          <w:rFonts w:hint="eastAsia" w:ascii="宋体" w:hAnsi="宋体"/>
          <w:b/>
          <w:color w:val="auto"/>
          <w:szCs w:val="21"/>
          <w:highlight w:val="none"/>
        </w:rPr>
        <w:t>分标      采购预算：</w:t>
      </w:r>
      <w:r>
        <w:rPr>
          <w:rFonts w:hint="eastAsia" w:ascii="宋体" w:hAnsi="宋体" w:cs="Arial"/>
          <w:bCs/>
          <w:color w:val="auto"/>
          <w:szCs w:val="21"/>
          <w:highlight w:val="none"/>
          <w:u w:val="single"/>
          <w:lang w:val="en-US" w:eastAsia="zh-CN"/>
        </w:rPr>
        <w:t>904729.95元</w:t>
      </w:r>
      <w:r>
        <w:rPr>
          <w:rFonts w:hint="eastAsia" w:ascii="宋体" w:hAnsi="宋体" w:cs="Arial"/>
          <w:bCs/>
          <w:color w:val="auto"/>
          <w:szCs w:val="21"/>
          <w:highlight w:val="none"/>
          <w:u w:val="single"/>
        </w:rPr>
        <w:t xml:space="preserve"> </w:t>
      </w:r>
    </w:p>
    <w:p w14:paraId="05937C6C">
      <w:pPr>
        <w:spacing w:line="360" w:lineRule="auto"/>
        <w:ind w:firstLine="310" w:firstLineChars="147"/>
        <w:jc w:val="left"/>
        <w:rPr>
          <w:rFonts w:hint="eastAsia" w:ascii="宋体" w:hAnsi="宋体"/>
          <w:b/>
          <w:color w:val="auto"/>
          <w:szCs w:val="21"/>
          <w:highlight w:val="none"/>
        </w:rPr>
      </w:pPr>
      <w:r>
        <w:rPr>
          <w:rFonts w:hint="eastAsia" w:ascii="宋体" w:hAnsi="宋体"/>
          <w:b/>
          <w:color w:val="auto"/>
          <w:szCs w:val="21"/>
          <w:highlight w:val="none"/>
        </w:rPr>
        <w:t>本</w:t>
      </w:r>
      <w:r>
        <w:rPr>
          <w:rFonts w:hint="eastAsia" w:ascii="宋体" w:hAnsi="宋体"/>
          <w:b/>
          <w:color w:val="auto"/>
          <w:szCs w:val="21"/>
          <w:highlight w:val="none"/>
          <w:lang w:val="en-US" w:eastAsia="zh-CN"/>
        </w:rPr>
        <w:t>项目</w:t>
      </w:r>
      <w:r>
        <w:rPr>
          <w:rFonts w:hint="eastAsia" w:ascii="宋体" w:hAnsi="宋体"/>
          <w:b/>
          <w:color w:val="auto"/>
          <w:szCs w:val="21"/>
          <w:highlight w:val="none"/>
        </w:rPr>
        <w:t>的核心产品</w:t>
      </w:r>
      <w:r>
        <w:rPr>
          <w:rFonts w:hint="eastAsia" w:ascii="宋体" w:hAnsi="宋体"/>
          <w:b/>
          <w:color w:val="auto"/>
          <w:szCs w:val="21"/>
          <w:highlight w:val="none"/>
          <w:lang w:val="en-US" w:eastAsia="zh-CN"/>
        </w:rPr>
        <w:t>为</w:t>
      </w:r>
      <w:r>
        <w:rPr>
          <w:rFonts w:hint="eastAsia" w:ascii="宋体" w:hAnsi="宋体"/>
          <w:b/>
          <w:color w:val="auto"/>
          <w:szCs w:val="21"/>
          <w:highlight w:val="none"/>
          <w:lang w:eastAsia="zh-CN"/>
        </w:rPr>
        <w:t>“</w:t>
      </w:r>
      <w:r>
        <w:rPr>
          <w:rFonts w:hint="eastAsia" w:ascii="宋体" w:hAnsi="宋体"/>
          <w:b/>
          <w:color w:val="auto"/>
          <w:szCs w:val="21"/>
          <w:highlight w:val="none"/>
        </w:rPr>
        <w:t>二、</w:t>
      </w:r>
      <w:r>
        <w:rPr>
          <w:rFonts w:hint="eastAsia" w:ascii="宋体" w:hAnsi="宋体" w:eastAsia="宋体" w:cs="宋体"/>
          <w:b/>
          <w:bCs/>
          <w:color w:val="auto"/>
          <w:sz w:val="21"/>
          <w:szCs w:val="21"/>
          <w:highlight w:val="none"/>
        </w:rPr>
        <w:t>床上用品布草类</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第</w:t>
      </w:r>
      <w:r>
        <w:rPr>
          <w:rFonts w:hint="eastAsia" w:ascii="宋体" w:hAnsi="宋体"/>
          <w:b/>
          <w:color w:val="auto"/>
          <w:szCs w:val="21"/>
          <w:highlight w:val="none"/>
        </w:rPr>
        <w:t>7项产品</w:t>
      </w:r>
      <w:r>
        <w:rPr>
          <w:rFonts w:hint="eastAsia" w:ascii="宋体" w:hAnsi="宋体"/>
          <w:b/>
          <w:color w:val="auto"/>
          <w:szCs w:val="21"/>
          <w:highlight w:val="none"/>
          <w:lang w:eastAsia="zh-CN"/>
        </w:rPr>
        <w:t>：“</w:t>
      </w:r>
      <w:r>
        <w:rPr>
          <w:rFonts w:hint="eastAsia" w:ascii="宋体" w:hAnsi="宋体"/>
          <w:b/>
          <w:color w:val="auto"/>
          <w:szCs w:val="21"/>
          <w:highlight w:val="none"/>
        </w:rPr>
        <w:t>浅灰兰缎条被套</w:t>
      </w:r>
      <w:r>
        <w:rPr>
          <w:rFonts w:hint="eastAsia" w:ascii="宋体" w:hAnsi="宋体"/>
          <w:b/>
          <w:color w:val="auto"/>
          <w:szCs w:val="21"/>
          <w:highlight w:val="none"/>
          <w:lang w:eastAsia="zh-CN"/>
        </w:rPr>
        <w:t>”</w:t>
      </w:r>
      <w:r>
        <w:rPr>
          <w:rFonts w:hint="eastAsia" w:ascii="宋体" w:hAnsi="宋体"/>
          <w:b/>
          <w:color w:val="auto"/>
          <w:szCs w:val="21"/>
          <w:highlight w:val="none"/>
        </w:rPr>
        <w:t>。</w:t>
      </w:r>
    </w:p>
    <w:tbl>
      <w:tblPr>
        <w:tblStyle w:val="21"/>
        <w:tblW w:w="9303" w:type="dxa"/>
        <w:tblInd w:w="-181"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646"/>
        <w:gridCol w:w="1605"/>
        <w:gridCol w:w="24"/>
        <w:gridCol w:w="996"/>
        <w:gridCol w:w="5101"/>
        <w:gridCol w:w="931"/>
      </w:tblGrid>
      <w:tr w14:paraId="77D7E55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0ECBFA0B">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0F84AB6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058678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数量及单位</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184D9DA2">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02E9BC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上限</w:t>
            </w:r>
            <w:r>
              <w:rPr>
                <w:rFonts w:hint="eastAsia" w:ascii="宋体" w:hAnsi="宋体" w:eastAsia="宋体" w:cs="宋体"/>
                <w:b/>
                <w:bCs/>
                <w:color w:val="auto"/>
                <w:sz w:val="21"/>
                <w:szCs w:val="21"/>
                <w:highlight w:val="none"/>
              </w:rPr>
              <w:t>单价（元）</w:t>
            </w:r>
          </w:p>
        </w:tc>
      </w:tr>
      <w:tr w14:paraId="535FC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9303" w:type="dxa"/>
            <w:gridSpan w:val="6"/>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0C635C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一、特殊定制布草类</w:t>
            </w:r>
          </w:p>
        </w:tc>
      </w:tr>
      <w:tr w14:paraId="2B82E53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130"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26C4B4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60EF779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污物袋</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2CF7425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297</w:t>
            </w:r>
            <w:r>
              <w:rPr>
                <w:rFonts w:hint="eastAsia" w:ascii="宋体" w:hAnsi="宋体" w:eastAsia="宋体" w:cs="宋体"/>
                <w:color w:val="auto"/>
                <w:sz w:val="21"/>
                <w:szCs w:val="21"/>
                <w:highlight w:val="none"/>
              </w:rPr>
              <w:t>只</w:t>
            </w:r>
          </w:p>
        </w:tc>
        <w:tc>
          <w:tcPr>
            <w:tcW w:w="5101" w:type="dxa"/>
            <w:vMerge w:val="restart"/>
            <w:tcBorders>
              <w:top w:val="single" w:color="000000" w:sz="4" w:space="0"/>
              <w:left w:val="single" w:color="000000" w:sz="4" w:space="0"/>
              <w:bottom w:val="single" w:color="000000" w:sz="4" w:space="0"/>
            </w:tcBorders>
            <w:noWrap w:val="0"/>
            <w:tcMar>
              <w:left w:w="103" w:type="dxa"/>
            </w:tcMar>
            <w:vAlign w:val="center"/>
          </w:tcPr>
          <w:p w14:paraId="21150A4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1.规格：缩水后110*50*50cm，允差±3%；</w:t>
            </w:r>
          </w:p>
          <w:p w14:paraId="063BD471">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面料：合股涤卡白色医用布料。成份涤65%，棉35%，允差±2%；纱支45/2*21，允差±3%；密度≥138*71；耐氯漂≥3级；干摩擦色牢度≥3级，耐皂洗色牢度≥3级；耐水色牢度≥3级；pH值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。其他要求符合</w:t>
            </w:r>
            <w:r>
              <w:rPr>
                <w:rFonts w:hint="eastAsia" w:ascii="宋体" w:hAnsi="宋体" w:eastAsia="宋体" w:cs="宋体"/>
                <w:color w:val="auto"/>
                <w:sz w:val="21"/>
                <w:szCs w:val="21"/>
                <w:highlight w:val="none"/>
                <w:lang w:eastAsia="zh-CN"/>
              </w:rPr>
              <w:t>《国家纺织产品基本安全技术规范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（GB18401-2010）</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eastAsia="zh-CN"/>
              </w:rPr>
              <w:t>。</w:t>
            </w:r>
          </w:p>
          <w:p w14:paraId="6A5BDF0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3.四边双锁边，每寸不少于13针。各部位线路顺直、整齐、牢固，起止针处应回针，关键部位要打套结。无走纱、无走线、不变形。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F46F7F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39</w:t>
            </w:r>
          </w:p>
        </w:tc>
      </w:tr>
      <w:tr w14:paraId="38FEE55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5237025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12792B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消毒袋</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7147F4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只</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12F9F40D">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4C8A99C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29.9</w:t>
            </w:r>
          </w:p>
        </w:tc>
      </w:tr>
      <w:tr w14:paraId="0C2C90B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64CFB4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01C1F48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约束带</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D92C83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条</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1774CF0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250-500cm，允差±3%；</w:t>
            </w:r>
            <w:r>
              <w:rPr>
                <w:rFonts w:hint="eastAsia" w:ascii="宋体" w:hAnsi="宋体" w:eastAsia="宋体" w:cs="宋体"/>
                <w:color w:val="auto"/>
                <w:sz w:val="21"/>
                <w:szCs w:val="21"/>
                <w:highlight w:val="none"/>
                <w:lang w:eastAsia="zh-CN"/>
              </w:rPr>
              <w:t>具体规格以成交后到现场测量尺寸，经采购人确认后为准</w:t>
            </w:r>
            <w:r>
              <w:rPr>
                <w:rFonts w:hint="eastAsia" w:ascii="宋体" w:hAnsi="宋体" w:eastAsia="宋体" w:cs="宋体"/>
                <w:color w:val="auto"/>
                <w:sz w:val="21"/>
                <w:szCs w:val="21"/>
                <w:highlight w:val="none"/>
              </w:rPr>
              <w:t>。</w:t>
            </w:r>
          </w:p>
          <w:p w14:paraId="541ABD1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成分100%棉，纱支21*21，允差±3%；密度≥108*58；耐氯漂≥3级；干摩擦色牢度：≥3，耐皂洗色牢度≥3级；耐水色牢度≥3级；耐汗渍色牢度≥3级；pH值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w:t>
            </w:r>
          </w:p>
          <w:p w14:paraId="1E525975">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3.填充物：水洗棉</w:t>
            </w:r>
            <w:r>
              <w:rPr>
                <w:rFonts w:hint="eastAsia" w:ascii="宋体" w:hAnsi="宋体" w:eastAsia="宋体" w:cs="宋体"/>
                <w:color w:val="auto"/>
                <w:sz w:val="21"/>
                <w:szCs w:val="21"/>
                <w:highlight w:val="none"/>
                <w:lang w:eastAsia="zh-CN"/>
              </w:rPr>
              <w:t>。</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36FC085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r>
      <w:tr w14:paraId="51D3DEC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4102FCA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1B6ED50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小孔巾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0E68F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条</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6EEA582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1.规格：缩水后50*50cm，允差±3%；</w:t>
            </w:r>
          </w:p>
          <w:p w14:paraId="15644E0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▲2.面料：使用整幅无接驳纯棉医用斜纹布料，100%棉；纱支21*21，允差±3%；密度≥108*58；耐氯漂≥3级；干摩擦色牢度：≥3，耐皂洗色牢度：≥3级；耐水色牢度≥3级；耐汗渍色牢度≥3级；pH 值4.0-8.5；甲醛含量≤75mg/kg。无异味，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70ABE56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val="en-US"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FC6994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19</w:t>
            </w:r>
          </w:p>
        </w:tc>
      </w:tr>
      <w:tr w14:paraId="65C7680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36A488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66E9FED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治疗巾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760CEE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7336E1C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80*60cm，允差±3%；</w:t>
            </w:r>
          </w:p>
          <w:p w14:paraId="16C81B8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标准。</w:t>
            </w:r>
          </w:p>
          <w:p w14:paraId="157230A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织物上印刷“单位”和“科室”字样</w:t>
            </w:r>
            <w:r>
              <w:rPr>
                <w:rFonts w:hint="eastAsia" w:ascii="宋体" w:hAnsi="宋体" w:eastAsia="宋体" w:cs="宋体"/>
                <w:color w:val="auto"/>
                <w:sz w:val="21"/>
                <w:szCs w:val="21"/>
                <w:highlight w:val="none"/>
                <w:lang w:val="en-US"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val="en-US"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34E9436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65D62F16">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3B072CA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3D97CF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双孔巾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7B7C5D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02FBE1A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70*70cm，允差±3%；</w:t>
            </w:r>
          </w:p>
          <w:p w14:paraId="773FE55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21*21，允差±3%；密度≥108*58；耐氯漂≥3 级；干摩擦色牢度：≥3，耐皂洗色牢度：≥3 级；耐水色牢度≥3 级；耐汗渍色牢度≥3 级；pH 值4.0-8.5；甲醛含量≤75mg/kg。无异味，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0DD8200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val="en-US"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val="en-US"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76E2CC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52E89EB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62602D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4568A3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人流孔巾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4F92616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4100DD1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120*120cm，允差±3%；</w:t>
            </w:r>
          </w:p>
          <w:p w14:paraId="6BF228D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042D247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val="en-US"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val="en-US"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9B89A2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7F37BC86">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6939BBB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273695A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白治疗巾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11821C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51BC892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80*60cm，允差±3%；</w:t>
            </w:r>
          </w:p>
          <w:p w14:paraId="4FF2184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05BF9E5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val="en-US"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val="en-US"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C0606B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r>
      <w:tr w14:paraId="70FD7EA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76BB83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167FB89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白市布小孔巾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5CE4A7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700</w:t>
            </w:r>
            <w:r>
              <w:rPr>
                <w:rFonts w:hint="eastAsia" w:ascii="宋体" w:hAnsi="宋体" w:eastAsia="宋体" w:cs="宋体"/>
                <w:color w:val="auto"/>
                <w:sz w:val="21"/>
                <w:szCs w:val="21"/>
                <w:highlight w:val="none"/>
              </w:rPr>
              <w:t>条</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63902F8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30*30cm，允差±3%；</w:t>
            </w:r>
          </w:p>
          <w:p w14:paraId="4603002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5EF87A0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188D88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r>
      <w:tr w14:paraId="694D359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76F6A45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1CE99C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双层治疗巾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31A15CD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69C56D0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150*65cm，允差±3%；</w:t>
            </w:r>
          </w:p>
          <w:p w14:paraId="58F820B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240393F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。采用双线锁边，各部位线路顺直、整齐、牢固，起止针处应回针，关键部位要打套结。无走纱、无走线、不变形。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823220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078CBEA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0B8EACD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14ABAB6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双层治疗巾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576521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条</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2E7C8FC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80*60cm，允差±3%；</w:t>
            </w:r>
          </w:p>
          <w:p w14:paraId="6B21077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619F903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。采用双线锁边，各部位线路顺直、整齐、牢固，起止针处应回针，关键部位要打套结。无走纱、无走线、不变形。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29B76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7062F08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17E99B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3F0AB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白市布双层治疗巾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31E99EF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294</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578F1A1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20*20cm，允差±3%；</w:t>
            </w:r>
          </w:p>
          <w:p w14:paraId="4AAE2C4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30C2E69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。采用双线锁边，各部位线路顺直、整齐、牢固，起止针处应回针，关键部位要打套结。无走纱、无走线、不变形。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E8D16B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7.8</w:t>
            </w:r>
          </w:p>
        </w:tc>
      </w:tr>
      <w:tr w14:paraId="203937EA">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748D36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8BFDC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双孔巾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70CF62F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62</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4791F30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380*300cm，允差±3%；</w:t>
            </w:r>
          </w:p>
          <w:p w14:paraId="333BA3B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▲2.面料：纯棉医用斜纹布料，100%棉；纱支 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03D6B4F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D74DB5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190</w:t>
            </w:r>
          </w:p>
        </w:tc>
      </w:tr>
      <w:tr w14:paraId="5ECCCFF6">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097B221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0E26E4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白市布</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38B5A26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米</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65F82D5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幅宽≥90cm 纯棉医用斜纹布料，100%棉；纱支 21*21；密度≥108*58；耐氯漂≥3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标准。</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EA07C3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r>
      <w:tr w14:paraId="408398E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95"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3F243C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037CAEE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灰涤卡</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5E092B7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米</w:t>
            </w:r>
          </w:p>
        </w:tc>
        <w:tc>
          <w:tcPr>
            <w:tcW w:w="5101" w:type="dxa"/>
            <w:vMerge w:val="restart"/>
            <w:tcBorders>
              <w:top w:val="single" w:color="000000" w:sz="4" w:space="0"/>
              <w:left w:val="single" w:color="000000" w:sz="4" w:space="0"/>
              <w:bottom w:val="single" w:color="000000" w:sz="4" w:space="0"/>
            </w:tcBorders>
            <w:noWrap w:val="0"/>
            <w:tcMar>
              <w:left w:w="103" w:type="dxa"/>
            </w:tcMar>
            <w:vAlign w:val="center"/>
          </w:tcPr>
          <w:p w14:paraId="3A1FFC8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▲幅宽≥150cm 合股涤卡白色医用布料，成分涤 65%，棉 35%，允差±2%；纱支 45/2*21，允差±3%；密度≥138*71；耐氯漂≥3 级；干摩擦色牢度≥3 级，耐皂洗色牢度≥3 级；耐水色牢度≥3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564EF58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13.5</w:t>
            </w:r>
          </w:p>
        </w:tc>
      </w:tr>
      <w:tr w14:paraId="71BEFA36">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74"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297A12C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32B3D9A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白涤卡</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52379EF0">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米</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16A74D9B">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6DA76B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13.5</w:t>
            </w:r>
          </w:p>
        </w:tc>
      </w:tr>
      <w:tr w14:paraId="09C7CF3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44329BB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4DE9C7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墨绿涤卡</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656D7BD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米</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1AFB1B36">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48A8E25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14.5</w:t>
            </w:r>
          </w:p>
        </w:tc>
      </w:tr>
      <w:tr w14:paraId="438995D6">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5BA5BDF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2E2F6A9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机纱带</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47A3EE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扎</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6C258B5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1.规格：长 150 *宽 6*厚 1.5mm，允差±3%。</w:t>
            </w:r>
          </w:p>
          <w:p w14:paraId="2CC5AFB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2.材质：纯棉线</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31CBDDB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r>
      <w:tr w14:paraId="31F32834">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614927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08E52E1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钮扣</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6521FBD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1193粒</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08D2A03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1.规格：01#-10#，</w:t>
            </w:r>
            <w:r>
              <w:rPr>
                <w:rFonts w:hint="eastAsia" w:ascii="宋体" w:hAnsi="宋体" w:eastAsia="宋体" w:cs="宋体"/>
                <w:color w:val="auto"/>
                <w:sz w:val="21"/>
                <w:szCs w:val="21"/>
                <w:highlight w:val="none"/>
              </w:rPr>
              <w:t>具体</w:t>
            </w:r>
            <w:r>
              <w:rPr>
                <w:rFonts w:hint="eastAsia" w:ascii="宋体" w:hAnsi="宋体" w:eastAsia="宋体" w:cs="宋体"/>
                <w:color w:val="auto"/>
                <w:sz w:val="21"/>
                <w:szCs w:val="21"/>
                <w:highlight w:val="none"/>
                <w:lang w:val="en-US" w:eastAsia="zh-CN"/>
              </w:rPr>
              <w:t>规格须</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每个月的使用需求由采购人确定</w:t>
            </w:r>
            <w:r>
              <w:rPr>
                <w:rFonts w:hint="eastAsia" w:ascii="宋体" w:hAnsi="宋体" w:eastAsia="宋体" w:cs="宋体"/>
                <w:color w:val="auto"/>
                <w:sz w:val="21"/>
                <w:szCs w:val="21"/>
                <w:highlight w:val="none"/>
              </w:rPr>
              <w:t>。</w:t>
            </w:r>
          </w:p>
          <w:p w14:paraId="6C8970E2">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2.材质：耐高温塑料</w:t>
            </w:r>
            <w:r>
              <w:rPr>
                <w:rFonts w:hint="eastAsia" w:ascii="宋体" w:hAnsi="宋体" w:eastAsia="宋体" w:cs="宋体"/>
                <w:color w:val="auto"/>
                <w:sz w:val="21"/>
                <w:szCs w:val="21"/>
                <w:highlight w:val="none"/>
                <w:lang w:eastAsia="zh-CN"/>
              </w:rPr>
              <w:t>。</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D260CB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0.15</w:t>
            </w:r>
          </w:p>
        </w:tc>
      </w:tr>
      <w:tr w14:paraId="21D2EAB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9303" w:type="dxa"/>
            <w:gridSpan w:val="6"/>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4666941A">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二、床上用品布草类</w:t>
            </w:r>
          </w:p>
        </w:tc>
      </w:tr>
      <w:tr w14:paraId="6935E61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13EBD80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65E4DB9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值班枕套</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25942B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400</w:t>
            </w:r>
            <w:r>
              <w:rPr>
                <w:rFonts w:hint="eastAsia" w:ascii="宋体" w:hAnsi="宋体" w:eastAsia="宋体" w:cs="宋体"/>
                <w:color w:val="auto"/>
                <w:sz w:val="21"/>
                <w:szCs w:val="21"/>
                <w:highlight w:val="none"/>
              </w:rPr>
              <w:t>只</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203DCDD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70*50cm，允差±3%；</w:t>
            </w:r>
          </w:p>
          <w:p w14:paraId="6E20DD8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▲2.面料：使用整幅无接驳纯棉粉色医用斜纹布料，</w:t>
            </w:r>
          </w:p>
          <w:p w14:paraId="629CAA9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100%棉；纱支 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69DD151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。采用双线锁边，各部位线路顺直、整齐、牢固，起止针处应回针，关键部位要打套结。无走纱、无走线、不变形。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C59B6B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4D577F1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3872711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3ADB153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值班床单</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3BBF39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3231B0E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160*280cm，允差±3%；</w:t>
            </w:r>
          </w:p>
          <w:p w14:paraId="2B5EABB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▲2.面料：使用整幅无接驳纯棉粉色医用斜纹布料，</w:t>
            </w:r>
          </w:p>
          <w:p w14:paraId="59C3954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100%棉；纱支 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7D6B8F5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。采用双线锁边，各部位线路顺直、整齐、牢固，起止针处应回针，关键部位要打套结。无走纱、无走线、不变形。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391707E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r>
      <w:tr w14:paraId="3F3D503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6C62157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469AFE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值班被套</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5E06A68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5A789B2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160*215cm，允差±3%；</w:t>
            </w:r>
          </w:p>
          <w:p w14:paraId="3428C5E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▲2.面料：使用整幅无接驳纯棉粉色医用斜纹布料，</w:t>
            </w:r>
          </w:p>
          <w:p w14:paraId="3BDD57F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100%棉；纱支 21*21，允差±3%；密度≥108*58；耐氯漂≥3级；干摩擦色牢度：≥3，耐皂洗色牢度：≥3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4F6A687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。采用双线锁边，各部位线路顺直、整齐、牢固，起止针处应回针，关键部位要打套结。无走纱、无走线、不变形。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500CAC2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79</w:t>
            </w:r>
          </w:p>
        </w:tc>
      </w:tr>
      <w:tr w14:paraId="235C7232">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4568DEF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D28473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浅灰兰缎条中单</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34A643C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1345B5C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120*190cm，允差±3%；</w:t>
            </w:r>
          </w:p>
          <w:p w14:paraId="6081B74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▲2.面料：使用整幅无接驳医用斜纹布料，纱支30*30，允差±3%；密度≥133*76；成分 棉 50%，涤 50%，允差±2%；耐氯漂≥3 级；干摩擦色牢度≥3，耐皂洗色牢度≥3 级；耐水色牢度≥3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6E159A4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BB9CBC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681C215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4122404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4ADADA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浅灰兰缎条枕套</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62E46E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2200</w:t>
            </w:r>
            <w:r>
              <w:rPr>
                <w:rFonts w:hint="eastAsia" w:ascii="宋体" w:hAnsi="宋体" w:eastAsia="宋体" w:cs="宋体"/>
                <w:color w:val="auto"/>
                <w:sz w:val="21"/>
                <w:szCs w:val="21"/>
                <w:highlight w:val="none"/>
              </w:rPr>
              <w:t>只</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74D61F2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68*48cm，允差±3%；</w:t>
            </w:r>
          </w:p>
          <w:p w14:paraId="611D98D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▲2.面料：使用整幅无接驳医用斜纹布料，纱支30*30，允差±3%；密度≥133*76；成分 棉 50%，涤 50%，允差±2%；耐氯漂≥3 级；干摩擦色牢度≥3，耐皂洗色牢度≥3 级；耐水色牢度≥3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标准。</w:t>
            </w:r>
          </w:p>
          <w:p w14:paraId="426821B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5AF43C6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r>
      <w:tr w14:paraId="2B64983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12D6B7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0C96AC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浅灰兰缎条床罩</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00AAA88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2150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5DDE871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215*95cm*35cm，允差±3%；</w:t>
            </w:r>
          </w:p>
          <w:p w14:paraId="68468EF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▲2.面料：使用整幅无接驳医用斜纹布料，纱支 30*30，允差±3%；密度≥133*76；成分 棉 50%，涤 50%，允差±2%；耐氯漂≥3 级；干摩擦色牢度≥3，耐皂洗色牢度≥3 级；耐水色牢度≥3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268061C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ADEEB7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w:t>
            </w:r>
          </w:p>
        </w:tc>
      </w:tr>
      <w:tr w14:paraId="7F86CC8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2FD8463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0DA44E8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浅灰兰缎条被套</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04C243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2150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6333028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215*170cm，允差±3%；</w:t>
            </w:r>
          </w:p>
          <w:p w14:paraId="725FF44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▲2.面料：使用整幅无接驳医用斜纹布料，纱支 30*30，允差±3%；密度≥133*76；成分 棉 50%，涤 50%，允差±2%；耐氯漂≥3 级；干摩擦色牢度≥3，耐皂洗色牢度≥3 级；耐水色牢度≥3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2C806B2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B5F345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82</w:t>
            </w:r>
          </w:p>
        </w:tc>
      </w:tr>
      <w:tr w14:paraId="72500813">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039550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091CF78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婴儿床罩</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092C86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5F31C4F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160*75*40cm，允差±3%；</w:t>
            </w:r>
          </w:p>
          <w:p w14:paraId="1E61A3A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40*40，允差±3%；密度≥133*72；耐氯漂≥3 级；干摩擦色牢度：≥3，耐皂洗色牢度≥3 级；耐水色牢度≥3 级；pH 值 4.0-7.5；甲醛含量≤20mg/kg。无异味，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标准。</w:t>
            </w:r>
          </w:p>
          <w:p w14:paraId="7986279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8616CF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55</w:t>
            </w:r>
          </w:p>
        </w:tc>
      </w:tr>
      <w:tr w14:paraId="6A74F59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765C0A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4A0B4F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婴儿床套</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362281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套</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1DFC6BF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45*80*20cm，允差±3%；</w:t>
            </w:r>
          </w:p>
          <w:p w14:paraId="175EAA5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40*40，允差±3%；密度≥133*72；耐氯漂≥3 级；干摩擦色牢度：≥3，耐皂洗色牢度≥3 级；耐水色牢度≥3 级；pH 值 4.0-7.5；甲醛含量≤20mg/kg。无异味，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。其他要求符合B18401-2010标准。</w:t>
            </w:r>
          </w:p>
          <w:p w14:paraId="24E3029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452EE8E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r>
      <w:tr w14:paraId="38D87934">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396256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94D9CC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婴儿被套</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3D9FDE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1396257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100*120cm，允差±3%；</w:t>
            </w:r>
          </w:p>
          <w:p w14:paraId="5D25427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40*40，允差±3%；密度≥133*72；耐氯漂≥3 级；干摩擦色牢度：≥3，耐皂洗色牢度≥3 级；耐水色牢度≥3 级；pH 值 4.0-7.5；甲醛含量≤20mg/kg。无异味，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标准。</w:t>
            </w:r>
          </w:p>
          <w:p w14:paraId="35B7E90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47B12E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r>
      <w:tr w14:paraId="1732ED7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69743D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3D9CA6A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婴儿中单</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56929B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4265BDD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1.规格：缩水后 60*90cm，允差±3%；</w:t>
            </w:r>
          </w:p>
          <w:p w14:paraId="7ED5B5E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▲2.面料：使用整幅无接驳纯棉医用斜纹布料，100%棉；纱支 40*40，允差±3%；密度≥133*72；耐氯漂≥3 级；干摩擦色牢度：≥3，耐皂洗色牢度≥3 级；耐水色牢度≥3 级；pH 值 4.0-7.5；甲醛含量≤20mg/kg。无异味，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。其他要求符合</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标准。</w:t>
            </w:r>
          </w:p>
          <w:p w14:paraId="1FCE1C3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5EDBD0A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r>
      <w:tr w14:paraId="1D379B7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097ABD4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43498A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枕芯</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1FBDC4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200只</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2B4979A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1.规格：60*40cm，允差±3%；</w:t>
            </w:r>
          </w:p>
          <w:p w14:paraId="36B0596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▲2.外套：使用整幅纯棉医用平纹布料，100%棉；纱支21*21，允差±3%；密度≥108*58；耐氯漂≥3 级；干摩擦色牢度：≥3，耐皂洗色牢度：≥3 级；耐水色牢度≥3 级；耐汗渍色牢度≥3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01CCB0C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3.填充物：珍珠棉；重量 1000 克，允差±5%。</w:t>
            </w:r>
          </w:p>
          <w:p w14:paraId="2D4C04B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4.织物上印刷“单位”和“科室”字样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E2F4A2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w:t>
            </w:r>
          </w:p>
        </w:tc>
      </w:tr>
      <w:tr w14:paraId="51DF356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79A56B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6337BBE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橡胶枕套</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2146A14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700</w:t>
            </w:r>
            <w:r>
              <w:rPr>
                <w:rFonts w:hint="eastAsia" w:ascii="宋体" w:hAnsi="宋体" w:eastAsia="宋体" w:cs="宋体"/>
                <w:color w:val="auto"/>
                <w:sz w:val="21"/>
                <w:szCs w:val="21"/>
                <w:highlight w:val="none"/>
              </w:rPr>
              <w:t>只</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2EA63F0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1.规格：70*50cm，允差±3%；</w:t>
            </w:r>
          </w:p>
          <w:p w14:paraId="7179B51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2.材质：防水复合面料，磨砂加厚 20 丝 PE。</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8C4EAA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r>
      <w:tr w14:paraId="15B1AF2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1BD153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611668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棉胎</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746A8BA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4452F94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1.规格：150*200cm，允差±3%；</w:t>
            </w:r>
          </w:p>
          <w:p w14:paraId="56FEE3F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2.重量：≥6斤</w:t>
            </w:r>
          </w:p>
          <w:p w14:paraId="0F64D47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▲3.材质：全新新疆一级纯棉花，絮用纤维长度≤13mm 及以下的短纤维含量不得超过 25%；</w:t>
            </w:r>
          </w:p>
          <w:p w14:paraId="0680F4B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艺：厚薄均匀、颜色均匀及四边要平直方正，被内无金属物或尖锐物等有危害性杂质或是其他不卫生物质，不含明显粉尘。被子用手轻压后，可以很快恢复原状。白色面纱每根可为单股，筋纱每根至少为两股。每层面纱在十平方厘米的范围内，不得少于 13 根；每层筋纱在整个棉胎范围内，纵向层不得少于 10 根，斜向层不得少于 15 根，并要等距分布。产品上印刷 “科室”字样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w:t>
            </w:r>
          </w:p>
          <w:p w14:paraId="2DBBE0A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5.其他要求符</w:t>
            </w:r>
            <w:r>
              <w:rPr>
                <w:rFonts w:hint="eastAsia" w:ascii="宋体" w:hAnsi="宋体" w:eastAsia="宋体" w:cs="宋体"/>
                <w:color w:val="auto"/>
                <w:sz w:val="21"/>
                <w:szCs w:val="21"/>
                <w:highlight w:val="none"/>
                <w:lang w:eastAsia="zh-CN"/>
              </w:rPr>
              <w:t>《梳棉胎》（GB/T 35932-2018）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《絮用纤维制品通用技术要求》（GB 18383-2007）</w:t>
            </w:r>
            <w:r>
              <w:rPr>
                <w:rFonts w:hint="eastAsia" w:ascii="宋体" w:hAnsi="宋体" w:eastAsia="宋体" w:cs="宋体"/>
                <w:color w:val="auto"/>
                <w:sz w:val="21"/>
                <w:szCs w:val="21"/>
                <w:highlight w:val="none"/>
              </w:rPr>
              <w:t xml:space="preserve"> 标准。</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22040D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130</w:t>
            </w:r>
          </w:p>
        </w:tc>
      </w:tr>
      <w:tr w14:paraId="4AC52C55">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1A974CA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C09AF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棉胎</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654127C0">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27C1FE0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1.规格：150*200cm，允差±3%。</w:t>
            </w:r>
          </w:p>
          <w:p w14:paraId="3B3CEA0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2.重量：≥8斤</w:t>
            </w:r>
          </w:p>
          <w:p w14:paraId="6540F37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▲3.材质：全新新疆一级纯棉花，絮用纤维长度≤13mm 及以下的短纤维含量不得超过 25%；</w:t>
            </w:r>
          </w:p>
          <w:p w14:paraId="05D127A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艺：厚薄均匀、颜色均匀及四边要平直方正，被内无金属物或尖锐物等有危害性杂质或是其他不卫生物质，不含明显粉尘。被子用手轻压后，可以很快恢复原状。白色面纱每根可为单股，筋纱每根至少为两股。每层面纱在十平方厘米的范围内，不得少于 13 根；每层筋纱在整个棉胎范围内，纵向层不得少于 10 根，斜向层不得少于 15 根，并要等距分布。产品上印刷 “科室”字样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w:t>
            </w:r>
          </w:p>
          <w:p w14:paraId="1663059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5.其他要求符合 </w:t>
            </w:r>
            <w:r>
              <w:rPr>
                <w:rFonts w:hint="eastAsia" w:ascii="宋体" w:hAnsi="宋体" w:eastAsia="宋体" w:cs="宋体"/>
                <w:color w:val="auto"/>
                <w:sz w:val="21"/>
                <w:szCs w:val="21"/>
                <w:highlight w:val="none"/>
                <w:lang w:eastAsia="zh-CN"/>
              </w:rPr>
              <w:t>《梳棉胎》（GB/T 35932-2018）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《絮用纤维制品通用技术要求》（GB 18383-2007）</w:t>
            </w:r>
            <w:r>
              <w:rPr>
                <w:rFonts w:hint="eastAsia" w:ascii="宋体" w:hAnsi="宋体" w:eastAsia="宋体" w:cs="宋体"/>
                <w:color w:val="auto"/>
                <w:sz w:val="21"/>
                <w:szCs w:val="21"/>
                <w:highlight w:val="none"/>
              </w:rPr>
              <w:t xml:space="preserve"> 标准。</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21EC18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160</w:t>
            </w:r>
          </w:p>
        </w:tc>
      </w:tr>
      <w:tr w14:paraId="673C71E6">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54"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3F7889F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243D115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棉胎</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57306F6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4E5B347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w:t>
            </w: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cm，允差±3%。</w:t>
            </w:r>
          </w:p>
          <w:p w14:paraId="4C22229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2.重量：≥4斤</w:t>
            </w:r>
          </w:p>
          <w:p w14:paraId="5573D04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▲3.材质：全新新疆一级纯棉花，絮用纤维长度≤13mm 及以下的短纤维含量不得超过 25%；</w:t>
            </w:r>
          </w:p>
          <w:p w14:paraId="3D340207">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工艺：厚薄均匀、颜色均匀及四边要平直方正，被内无金属物或尖锐物等有危害性杂质或是其他不卫生物质，不含明显粉尘。被子用手轻压后，可以很快恢复原状。白色面纱每根可为单股，筋纱每根至少为两股。每层面纱在十平方厘米的范围内，不得少于13根；每层筋纱在整个棉胎范围内，纵向层不得少于10根，斜向层不得少于15根，并要等距分布</w:t>
            </w:r>
            <w:r>
              <w:rPr>
                <w:rFonts w:hint="eastAsia" w:ascii="宋体" w:hAnsi="宋体" w:eastAsia="宋体" w:cs="宋体"/>
                <w:color w:val="auto"/>
                <w:sz w:val="21"/>
                <w:szCs w:val="21"/>
                <w:highlight w:val="none"/>
                <w:lang w:eastAsia="zh-CN"/>
              </w:rPr>
              <w:t>。</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34FC53B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100</w:t>
            </w:r>
          </w:p>
        </w:tc>
      </w:tr>
      <w:tr w14:paraId="355BDB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45158B6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520317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裖胎</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2B4884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2B544B8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1.规格：90*190cm，允差±3%。</w:t>
            </w:r>
          </w:p>
          <w:p w14:paraId="1A28D79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2.重量：≥4斤</w:t>
            </w:r>
          </w:p>
          <w:p w14:paraId="1419285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▲3.材质：全新新疆一级纯棉花，絮用纤维长度≤13mm 及以下的短纤维含量不得超过 25%；</w:t>
            </w:r>
          </w:p>
          <w:p w14:paraId="7C97118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艺：厚薄均匀、颜色均匀及四边要平直方正，被内无金属物或尖锐物等有危害性杂质或是其他不卫生物质，不含明显粉尘。被子用手轻压后，可以很快恢复原状。白色面纱每根可为单股，筋纱每根至少为两股。每层面纱在十平方厘米的范围内，不得少于13根；每层筋纱在整个棉胎范围内，纵向层不得少于10根，斜向层不得少于 15 根，并要等距分布。产品上印刷 “科室”字样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w:t>
            </w:r>
          </w:p>
          <w:p w14:paraId="108CD16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5.其他标准：符合 </w:t>
            </w:r>
            <w:r>
              <w:rPr>
                <w:rFonts w:hint="eastAsia" w:ascii="宋体" w:hAnsi="宋体" w:eastAsia="宋体" w:cs="宋体"/>
                <w:color w:val="auto"/>
                <w:sz w:val="21"/>
                <w:szCs w:val="21"/>
                <w:highlight w:val="none"/>
                <w:lang w:eastAsia="zh-CN"/>
              </w:rPr>
              <w:t>《梳棉胎》（GB/T 35932-2018）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《絮用纤维制品通用技术要求》（GB 18383-2007）</w:t>
            </w:r>
            <w:r>
              <w:rPr>
                <w:rFonts w:hint="eastAsia" w:ascii="宋体" w:hAnsi="宋体" w:eastAsia="宋体" w:cs="宋体"/>
                <w:color w:val="auto"/>
                <w:sz w:val="21"/>
                <w:szCs w:val="21"/>
                <w:highlight w:val="none"/>
              </w:rPr>
              <w:t>标准。</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2BCAAE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100</w:t>
            </w:r>
          </w:p>
        </w:tc>
      </w:tr>
      <w:tr w14:paraId="1915C10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70821C0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48C6A9C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橡胶单</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21A2A1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张</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419D293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1.规格：80*150cm，允差±3%。</w:t>
            </w:r>
          </w:p>
          <w:p w14:paraId="32D6B7B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2.材质：符合国家认证的食品卫生指标，耐血污，耐碱，耐尿酸，柔软性好。</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6BA576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6E63269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9303" w:type="dxa"/>
            <w:gridSpan w:val="6"/>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C533A1B">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三、医务人员、病人服装类</w:t>
            </w:r>
          </w:p>
        </w:tc>
      </w:tr>
      <w:tr w14:paraId="7A48839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57F461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266632E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急救服（分</w:t>
            </w:r>
          </w:p>
          <w:p w14:paraId="2D13B64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体短袖）女</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2AFFE83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套</w:t>
            </w:r>
          </w:p>
        </w:tc>
        <w:tc>
          <w:tcPr>
            <w:tcW w:w="5101" w:type="dxa"/>
            <w:vMerge w:val="restart"/>
            <w:tcBorders>
              <w:top w:val="single" w:color="000000" w:sz="4" w:space="0"/>
              <w:left w:val="single" w:color="000000" w:sz="4" w:space="0"/>
              <w:bottom w:val="single" w:color="000000" w:sz="4" w:space="0"/>
            </w:tcBorders>
            <w:noWrap w:val="0"/>
            <w:tcMar>
              <w:left w:w="103" w:type="dxa"/>
            </w:tcMar>
            <w:vAlign w:val="center"/>
          </w:tcPr>
          <w:p w14:paraId="668655F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1.规格：S，M，L，XL，XXL，XXXL，XXXXL，具体规格按采购人要求。</w:t>
            </w:r>
          </w:p>
          <w:p w14:paraId="2D68FB1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▲2.面料：合股涤卡医用布料。成分涤65%，棉35%，允差±2%；纱支45/2*21，允差±3%；密度≥138*71；</w:t>
            </w:r>
          </w:p>
          <w:p w14:paraId="3E74830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耐氯漂≥3 级；干摩擦色牢度≥3 级，耐皂洗色牢度≥3级；耐水色牢度≥3级；pH 值4.0-8.5；甲醛含量≤75mg/kg。其他要求符合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标准。</w:t>
            </w:r>
          </w:p>
          <w:p w14:paraId="7EAF0DD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3.制作工艺：</w:t>
            </w:r>
          </w:p>
          <w:p w14:paraId="1BD0502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（1）门襟顺直、平服、长短一致；不起皱、拉链不起浪；</w:t>
            </w:r>
          </w:p>
          <w:p w14:paraId="52B3641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（2）口袋方正、平服，袋口不能有豁口；里袋高低、大小一致、方正平服；</w:t>
            </w:r>
          </w:p>
          <w:p w14:paraId="44DB4AC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（3）领缺嘴大小一致，接口处平服、领面平服、松紧适宜、外口顺直不起翘，底领不外露；</w:t>
            </w:r>
          </w:p>
          <w:p w14:paraId="397299A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（4）肩部平服、肩缝顺直、两肩宽窄一致，拼缝对称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此要求只针对上衣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D70F60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（5）背部平服、缝位顺直；</w:t>
            </w:r>
          </w:p>
          <w:p w14:paraId="67F5478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（6）压线均匀、线路整齐、前后片接缝对齐；</w:t>
            </w:r>
          </w:p>
          <w:p w14:paraId="178F2C4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（7）车线平整、不起皱、不扭曲。底面线均匀、不跳针、不浮线、不断线；</w:t>
            </w:r>
          </w:p>
          <w:p w14:paraId="0ECF10F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（8）画线、做记号不能用彩色画粉，所有唛头不能用钢笔、圆珠笔涂写；</w:t>
            </w:r>
          </w:p>
          <w:p w14:paraId="633F650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（9）面、里布不能有色差、脏污、抽纱、不可恢复性针眼等现象；</w:t>
            </w:r>
          </w:p>
          <w:p w14:paraId="5E6D3E2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（10）所有袋角及袋盖如有要求打枣，打枣位置要准确、端正；</w:t>
            </w:r>
          </w:p>
          <w:p w14:paraId="0B206FA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（11）织物上刺绣“单位”和“科室”字样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A18A0C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79</w:t>
            </w:r>
          </w:p>
        </w:tc>
      </w:tr>
      <w:tr w14:paraId="4AC09DC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5D5D4A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170678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急救服（分</w:t>
            </w:r>
          </w:p>
          <w:p w14:paraId="3113FC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体短袖）男</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3D8C04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套</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27959F86">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4927B96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81.8</w:t>
            </w:r>
          </w:p>
        </w:tc>
      </w:tr>
      <w:tr w14:paraId="1B2781E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0747BC1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1DB0A5F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急救服（分</w:t>
            </w:r>
          </w:p>
          <w:p w14:paraId="7B5F943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体长袖）女</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0CB200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套</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3A652D63">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5A18ABF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91.7</w:t>
            </w:r>
          </w:p>
        </w:tc>
      </w:tr>
      <w:tr w14:paraId="328A47F6">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250ED9D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1E2ED9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急救服（分</w:t>
            </w:r>
          </w:p>
          <w:p w14:paraId="34A592E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体长袖）男</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081F52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套</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112E261E">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3A611E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95</w:t>
            </w:r>
          </w:p>
        </w:tc>
      </w:tr>
      <w:tr w14:paraId="5FE97BC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543D2F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0BDD8E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短袖医生服女款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61F1A16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件</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57BD4C99">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71B662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r>
      <w:tr w14:paraId="17D052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73B708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294609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短袖医生服男款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5921945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件</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07DECFF3">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2FBDA9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r>
      <w:tr w14:paraId="13B7681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5EE7701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3B458DB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长袖医生服女款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086DE8F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件</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45109D61">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B26D42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w:t>
            </w:r>
          </w:p>
        </w:tc>
      </w:tr>
      <w:tr w14:paraId="1F2327E8">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08AB64C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221FC8B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长袖医生服男款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710D3B5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件</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1110FFF5">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22A321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w:t>
            </w:r>
          </w:p>
        </w:tc>
      </w:tr>
      <w:tr w14:paraId="028590C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6B87124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44EA18E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短袖护士服女款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653361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800</w:t>
            </w:r>
            <w:r>
              <w:rPr>
                <w:rFonts w:hint="eastAsia" w:ascii="宋体" w:hAnsi="宋体" w:eastAsia="宋体" w:cs="宋体"/>
                <w:color w:val="auto"/>
                <w:sz w:val="21"/>
                <w:szCs w:val="21"/>
                <w:highlight w:val="none"/>
              </w:rPr>
              <w:t>件</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06816FA0">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38FF89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w:t>
            </w:r>
          </w:p>
        </w:tc>
      </w:tr>
      <w:tr w14:paraId="4A33618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301DFF4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33892E1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长袖护士服女款</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03104E0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900</w:t>
            </w:r>
            <w:r>
              <w:rPr>
                <w:rFonts w:hint="eastAsia" w:ascii="宋体" w:hAnsi="宋体" w:eastAsia="宋体" w:cs="宋体"/>
                <w:color w:val="auto"/>
                <w:sz w:val="21"/>
                <w:szCs w:val="21"/>
                <w:highlight w:val="none"/>
              </w:rPr>
              <w:t>件</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7A309469">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C3BB24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52</w:t>
            </w:r>
          </w:p>
        </w:tc>
      </w:tr>
      <w:tr w14:paraId="0648925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1B7FC8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138E0DD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白色工作裤</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6ECEBC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800</w:t>
            </w:r>
            <w:r>
              <w:rPr>
                <w:rFonts w:hint="eastAsia" w:ascii="宋体" w:hAnsi="宋体" w:eastAsia="宋体" w:cs="宋体"/>
                <w:color w:val="auto"/>
                <w:sz w:val="21"/>
                <w:szCs w:val="21"/>
                <w:highlight w:val="none"/>
              </w:rPr>
              <w:t>条</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6216A3B3">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B1D8AA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421A6FF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498B85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11D863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短袖工友服</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68DA26C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件</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06A2EAD8">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331461A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r>
      <w:tr w14:paraId="7BDFAE3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0E89F63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6002BC4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长袖工友服</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695EF5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件</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03AC5A19">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DD6C95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w:t>
            </w:r>
          </w:p>
        </w:tc>
      </w:tr>
      <w:tr w14:paraId="61523968">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695BB6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0724A4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长袖灰涤卡工作服</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30A613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套</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727BE875">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31D840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r>
      <w:tr w14:paraId="16F45D8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53928EF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28DB23E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短袖灰涤卡工作服</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2F568D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套</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78A9DD00">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55CB498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94.2</w:t>
            </w:r>
          </w:p>
        </w:tc>
      </w:tr>
      <w:tr w14:paraId="4C33DAE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37888D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B20FCD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工作西裤</w:t>
            </w:r>
          </w:p>
          <w:p w14:paraId="69390B4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2B23B9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条</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7301898A">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891F85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48.2</w:t>
            </w:r>
          </w:p>
        </w:tc>
      </w:tr>
      <w:tr w14:paraId="6FC6901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7BC865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5226F64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工作西裤</w:t>
            </w:r>
          </w:p>
          <w:p w14:paraId="4042C42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00D724C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条</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43B044FE">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FFA49D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48.2</w:t>
            </w:r>
          </w:p>
        </w:tc>
      </w:tr>
      <w:tr w14:paraId="3074640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7841C5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557C7A8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短袖洗手衣</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E8F9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700</w:t>
            </w:r>
            <w:r>
              <w:rPr>
                <w:rFonts w:hint="eastAsia" w:ascii="宋体" w:hAnsi="宋体" w:eastAsia="宋体" w:cs="宋体"/>
                <w:color w:val="auto"/>
                <w:sz w:val="21"/>
                <w:szCs w:val="21"/>
                <w:highlight w:val="none"/>
              </w:rPr>
              <w:t>件</w:t>
            </w:r>
          </w:p>
        </w:tc>
        <w:tc>
          <w:tcPr>
            <w:tcW w:w="5101" w:type="dxa"/>
            <w:vMerge w:val="restart"/>
            <w:tcBorders>
              <w:top w:val="single" w:color="000000" w:sz="4" w:space="0"/>
              <w:left w:val="single" w:color="000000" w:sz="4" w:space="0"/>
              <w:bottom w:val="single" w:color="000000" w:sz="4" w:space="0"/>
            </w:tcBorders>
            <w:noWrap w:val="0"/>
            <w:tcMar>
              <w:left w:w="103" w:type="dxa"/>
            </w:tcMar>
            <w:vAlign w:val="center"/>
          </w:tcPr>
          <w:p w14:paraId="399879F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1.规格：S，M，L，XL，XXL，XXXL，XXXXL，具体规格按采购人要求。</w:t>
            </w:r>
          </w:p>
          <w:p w14:paraId="035F860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▲2.面料：布料为果绿色医用布料，支数 21*21，允差±2%；密度≥108*58；成分 棉 60%，涤 40%，允差±3%；耐氯漂≥3 级；干摩擦色牢度≥3，耐皂洗色牢度≥3 级；耐水色牢度≥3 级；pH 值4.0-8.5；甲醛含量≤75mg/kg。无异味，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。其他要求符合</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标准。</w:t>
            </w:r>
          </w:p>
          <w:p w14:paraId="05D823C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3.制作工艺：</w:t>
            </w:r>
          </w:p>
          <w:p w14:paraId="6383DA2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（1）门襟顺直、平服、长短一致；不起皱、拉链不起浪；</w:t>
            </w:r>
          </w:p>
          <w:p w14:paraId="2C132C2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（2）口袋方正、平服，袋口不能有豁口；里袋高低、大小一致、方正平服；</w:t>
            </w:r>
          </w:p>
          <w:p w14:paraId="4D21BA3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（3）领缺嘴大小一致，接口处平服、领面平服、松紧适宜、外口顺直不起翘，底领不外露；</w:t>
            </w:r>
          </w:p>
          <w:p w14:paraId="394E1E3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（4）肩部平服、肩缝顺直、两肩宽窄一致，拼缝对称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此要求只针对上衣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FB4628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（5）背部平服、缝位顺直；</w:t>
            </w:r>
          </w:p>
          <w:p w14:paraId="60B6911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（6）压线均匀、线路整齐、前后片接缝对齐；</w:t>
            </w:r>
          </w:p>
          <w:p w14:paraId="4DB83A9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（7）车线平整、不起皱、不扭曲。底面线均匀、不跳针、不浮线、不断线；</w:t>
            </w:r>
          </w:p>
          <w:p w14:paraId="5001570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（8）画线、做记号不能用彩色画粉，所有唛头不能用钢笔、圆珠笔涂写；</w:t>
            </w:r>
          </w:p>
          <w:p w14:paraId="1F38B9B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（9）面、里布不能有色差、脏污、抽纱、不可恢复性针眼等现象；</w:t>
            </w:r>
          </w:p>
          <w:p w14:paraId="4E7B367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（10）所有袋角及袋盖如有要求打枣，打枣位置要准确、端正；</w:t>
            </w:r>
          </w:p>
          <w:p w14:paraId="6FB0914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（11）织物上刺绣“单位”和“科室”字样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BA7DE3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43</w:t>
            </w:r>
          </w:p>
        </w:tc>
      </w:tr>
      <w:tr w14:paraId="5F6D02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27ACB9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6B2C6D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长袖洗手衣</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45D8A77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700</w:t>
            </w:r>
            <w:r>
              <w:rPr>
                <w:rFonts w:hint="eastAsia" w:ascii="宋体" w:hAnsi="宋体" w:eastAsia="宋体" w:cs="宋体"/>
                <w:color w:val="auto"/>
                <w:sz w:val="21"/>
                <w:szCs w:val="21"/>
                <w:highlight w:val="none"/>
              </w:rPr>
              <w:t>件</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04580B78">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81D26C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r>
      <w:tr w14:paraId="59331CB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3C930C7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424D57F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洗手裤</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6D2F843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880</w:t>
            </w:r>
            <w:r>
              <w:rPr>
                <w:rFonts w:hint="eastAsia" w:ascii="宋体" w:hAnsi="宋体" w:eastAsia="宋体" w:cs="宋体"/>
                <w:color w:val="auto"/>
                <w:sz w:val="21"/>
                <w:szCs w:val="21"/>
                <w:highlight w:val="none"/>
              </w:rPr>
              <w:t>条</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1B6CE368">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618888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r>
      <w:tr w14:paraId="5D9CD7F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11DE1E6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5D2DBBA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手术衣</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1DB0C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700</w:t>
            </w:r>
            <w:r>
              <w:rPr>
                <w:rFonts w:hint="eastAsia" w:ascii="宋体" w:hAnsi="宋体" w:eastAsia="宋体" w:cs="宋体"/>
                <w:color w:val="auto"/>
                <w:sz w:val="21"/>
                <w:szCs w:val="21"/>
                <w:highlight w:val="none"/>
              </w:rPr>
              <w:t>件</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0382106A">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48C6B0C1">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75</w:t>
            </w:r>
          </w:p>
        </w:tc>
      </w:tr>
      <w:tr w14:paraId="0A5820A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55"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7F80C47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246A872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婴儿服</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382F6C6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件</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5A271B5A">
            <w:pPr>
              <w:numPr>
                <w:ilvl w:val="0"/>
                <w:numId w:val="0"/>
              </w:numPr>
              <w:tabs>
                <w:tab w:val="left" w:pos="312"/>
              </w:tabs>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0至12月婴儿服</w:t>
            </w:r>
          </w:p>
          <w:p w14:paraId="57FADCE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▲2.面料：纯棉医用斜纹布料，100%棉；纱支 40*40，</w:t>
            </w:r>
          </w:p>
          <w:p w14:paraId="6F66B8D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允差±2%；密度≥133*72；耐氯漂≥3 级；干摩擦色牢度：≥3，耐皂洗色牢度：≥3 级；耐水色牢度≥3 级；pH 值 4.0-7.5；甲醛含量≤20mg/kg。无异味，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。其他要求符合</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标准。</w:t>
            </w:r>
          </w:p>
          <w:p w14:paraId="42D5C81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3.制作工艺：</w:t>
            </w:r>
          </w:p>
          <w:p w14:paraId="75FE5E8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（1）门襟顺直、平服、长短一致；不起皱、拉链不起浪；</w:t>
            </w:r>
          </w:p>
          <w:p w14:paraId="23DA83B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（2）口袋方正、平服，袋口不能有豁口；里袋高低、大小一致、方正平服；</w:t>
            </w:r>
          </w:p>
          <w:p w14:paraId="1CF9142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（3）领缺嘴大小一致，接口处平服、领面平服、松紧适宜、外口顺直不起翘，底领不外露；</w:t>
            </w:r>
          </w:p>
          <w:p w14:paraId="602C1E0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（4）肩部平服、肩缝顺直、两肩宽窄一致，拼缝对称；</w:t>
            </w:r>
          </w:p>
          <w:p w14:paraId="7C8DFEFB">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（5）背部平服、缝位顺直；</w:t>
            </w:r>
          </w:p>
          <w:p w14:paraId="4776E81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（6）压线均匀、线路整齐、前后片接缝对齐；</w:t>
            </w:r>
          </w:p>
          <w:p w14:paraId="5D082D4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（7）车线平整、不起皱、不扭曲。底面线均匀、不跳针、不浮线、不断线；</w:t>
            </w:r>
          </w:p>
          <w:p w14:paraId="20D5E37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（8）画线、做记号不能用彩色画粉，所有唛头不能用钢笔、圆珠笔涂写；</w:t>
            </w:r>
          </w:p>
          <w:p w14:paraId="37E0140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（9）面、里布不能有色差、脏污、抽纱、不可恢复性针眼等现象；</w:t>
            </w:r>
          </w:p>
          <w:p w14:paraId="0A6F16E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（10）所有袋角及袋盖如有要求打枣，打枣位置要准确、端正；</w:t>
            </w:r>
          </w:p>
          <w:p w14:paraId="317FF63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（11）织物上刺绣“单位”和“科室”字样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08DD9F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28</w:t>
            </w:r>
          </w:p>
        </w:tc>
      </w:tr>
      <w:tr w14:paraId="3BB8B012">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32"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1B4F86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36B1BE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儿童病人服</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5F26B9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102</w:t>
            </w:r>
            <w:r>
              <w:rPr>
                <w:rFonts w:hint="eastAsia" w:ascii="宋体" w:hAnsi="宋体" w:eastAsia="宋体" w:cs="宋体"/>
                <w:color w:val="auto"/>
                <w:sz w:val="21"/>
                <w:szCs w:val="21"/>
                <w:highlight w:val="none"/>
              </w:rPr>
              <w:t>套</w:t>
            </w:r>
          </w:p>
        </w:tc>
        <w:tc>
          <w:tcPr>
            <w:tcW w:w="5101" w:type="dxa"/>
            <w:vMerge w:val="restart"/>
            <w:tcBorders>
              <w:top w:val="single" w:color="000000" w:sz="4" w:space="0"/>
              <w:left w:val="single" w:color="000000" w:sz="4" w:space="0"/>
              <w:bottom w:val="single" w:color="000000" w:sz="4" w:space="0"/>
            </w:tcBorders>
            <w:noWrap w:val="0"/>
            <w:tcMar>
              <w:left w:w="103" w:type="dxa"/>
            </w:tcMar>
            <w:vAlign w:val="center"/>
          </w:tcPr>
          <w:p w14:paraId="6832648E">
            <w:pPr>
              <w:numPr>
                <w:ilvl w:val="0"/>
                <w:numId w:val="0"/>
              </w:numPr>
              <w:spacing w:line="360" w:lineRule="auto"/>
              <w:ind w:left="0"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儿童病人服规格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儿童病人服2岁至5岁，6岁至10岁；成人服规格：77×62</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61cm，裤：106×58cm ，</w:t>
            </w:r>
            <w:r>
              <w:rPr>
                <w:rFonts w:hint="eastAsia" w:ascii="宋体" w:hAnsi="宋体" w:eastAsia="宋体" w:cs="宋体"/>
                <w:color w:val="auto"/>
                <w:sz w:val="21"/>
                <w:szCs w:val="21"/>
                <w:highlight w:val="none"/>
              </w:rPr>
              <w:t>具体规格按采购人要求。</w:t>
            </w:r>
          </w:p>
          <w:p w14:paraId="5F95905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▲2.面料：纯棉医用斜纹布料，100%棉；纱支 20*20，</w:t>
            </w:r>
          </w:p>
          <w:p w14:paraId="0725097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允差±2%；密度≥60*60；耐氯漂≥3 级；干摩擦色牢度：≥3，耐皂洗色牢度：≥3 级；耐水色牢度≥3 级；pH 值4.0-7.5；甲醛含量≤20mg/kg。无异味，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 xml:space="preserve">。其他要求符合 </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3A18891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3.制作工艺：</w:t>
            </w:r>
          </w:p>
          <w:p w14:paraId="3206CDE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（1）门襟顺直、平服、长短一致；不起皱、拉链不起浪；</w:t>
            </w:r>
          </w:p>
          <w:p w14:paraId="56A0D05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（2）口袋方正、平服，袋口不能有豁口；里袋高低、</w:t>
            </w:r>
          </w:p>
          <w:p w14:paraId="6BCDBEA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大小一致、方正平服；</w:t>
            </w:r>
          </w:p>
          <w:p w14:paraId="0C79C0D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（3）领缺嘴大小一致，接口处平服、领面平服、松紧适宜、外口顺直不起翘，底领不外露；</w:t>
            </w:r>
          </w:p>
          <w:p w14:paraId="48C2C16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（4）肩部平服、肩缝顺直、两肩宽窄一致，拼缝对称；</w:t>
            </w:r>
          </w:p>
          <w:p w14:paraId="21041D5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（5）背部平服、缝位顺直；</w:t>
            </w:r>
          </w:p>
          <w:p w14:paraId="22B0A9C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（6）压线均匀、线路整齐、前后片接缝对齐；</w:t>
            </w:r>
          </w:p>
          <w:p w14:paraId="50E4441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（7）车线平整、不起皱、不扭曲。底面线均匀、不跳针、不浮线、不断线；</w:t>
            </w:r>
          </w:p>
          <w:p w14:paraId="04D5822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（8）画线、做记号不能用彩色画粉，所有唛头不能用钢笔、圆珠笔涂写；</w:t>
            </w:r>
          </w:p>
          <w:p w14:paraId="55C0303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（9）面、里布不能有色差、脏污、抽纱、不可恢复性针眼等现象；</w:t>
            </w:r>
          </w:p>
          <w:p w14:paraId="59762C5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（10）所有袋角及袋盖如有要求打枣，打枣位置要准确、端正；</w:t>
            </w:r>
          </w:p>
          <w:p w14:paraId="246F2C3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（11）织物上刺绣“单位”和“科室”字样</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。式样、颜色根据采购人提供样品</w:t>
            </w:r>
            <w:r>
              <w:rPr>
                <w:rFonts w:hint="eastAsia" w:ascii="宋体" w:hAnsi="宋体" w:eastAsia="宋体" w:cs="宋体"/>
                <w:color w:val="auto"/>
                <w:sz w:val="21"/>
                <w:szCs w:val="21"/>
                <w:highlight w:val="none"/>
                <w:lang w:eastAsia="zh-CN"/>
              </w:rPr>
              <w:t>或按采购人科室另行要求</w:t>
            </w:r>
            <w:r>
              <w:rPr>
                <w:rFonts w:hint="eastAsia" w:ascii="宋体" w:hAnsi="宋体" w:eastAsia="宋体" w:cs="宋体"/>
                <w:color w:val="auto"/>
                <w:sz w:val="21"/>
                <w:szCs w:val="21"/>
                <w:highlight w:val="none"/>
              </w:rPr>
              <w:t>。</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3DB2C77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r>
      <w:tr w14:paraId="414B6162">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120B2C9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6B341C5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病人服</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0475BD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850</w:t>
            </w:r>
            <w:r>
              <w:rPr>
                <w:rFonts w:hint="eastAsia" w:ascii="宋体" w:hAnsi="宋体" w:eastAsia="宋体" w:cs="宋体"/>
                <w:color w:val="auto"/>
                <w:sz w:val="21"/>
                <w:szCs w:val="21"/>
                <w:highlight w:val="none"/>
              </w:rPr>
              <w:t>套</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4310BB66">
            <w:pPr>
              <w:snapToGrid w:val="0"/>
              <w:spacing w:line="360" w:lineRule="auto"/>
              <w:jc w:val="left"/>
              <w:rPr>
                <w:rFonts w:hint="eastAsia" w:ascii="宋体" w:hAnsi="宋体" w:eastAsia="宋体" w:cs="宋体"/>
                <w:color w:val="auto"/>
                <w:sz w:val="21"/>
                <w:szCs w:val="21"/>
                <w:highlight w:val="none"/>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08DE9586">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65</w:t>
            </w:r>
          </w:p>
        </w:tc>
      </w:tr>
      <w:tr w14:paraId="36C38DF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53D9AB27">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09CCAC2B">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婴儿连体衣</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E339F78">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件</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198583F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纯棉绒布：</w:t>
            </w:r>
          </w:p>
          <w:p w14:paraId="5915659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棉100%</w:t>
            </w:r>
          </w:p>
          <w:p w14:paraId="6708E52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线密度：经向≥20.0，纬向≥16.0；</w:t>
            </w:r>
          </w:p>
          <w:p w14:paraId="5BF43D8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密度：经向≥157.5根/10cm，纬向≥165.5根/10cm。</w:t>
            </w:r>
          </w:p>
          <w:p w14:paraId="3B0770EC">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色彩温馨、有卡通图案。</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5997F3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r>
      <w:tr w14:paraId="00D59742">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16"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0E568452">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26</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4904E92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护士帽 （加</w:t>
            </w:r>
          </w:p>
          <w:p w14:paraId="4AB1F796">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厚）</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4FE6254B">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顶</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11E83AD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1.规格：均码，具体规格按采购人要求。</w:t>
            </w:r>
          </w:p>
          <w:p w14:paraId="326D6E1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▲2.合股涤卡白色医用布料。成分涤 65%，棉 35%，允差±2%；纱支 45/2*21，允差±3%；密度≥138*71；耐氯漂≥3 级；干摩擦色牢度≥3 级，耐皂洗色牢度≥3 级；耐水色牢度≥3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。其他要求符合</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p w14:paraId="0C700B47">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3.各部位线路顺直、整齐、牢固，起止针处应回针，关键部位要打套结。无走纱、无走线、不变形。</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61D952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r>
      <w:tr w14:paraId="077B90C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36521410">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27</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133A8A0E">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卡通调节帽</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1F165B06">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顶</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32FBE6F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合股涤卡</w:t>
            </w:r>
            <w:r>
              <w:rPr>
                <w:rFonts w:hint="eastAsia" w:ascii="宋体" w:hAnsi="宋体" w:eastAsia="宋体" w:cs="宋体"/>
                <w:color w:val="auto"/>
                <w:sz w:val="21"/>
                <w:szCs w:val="21"/>
                <w:highlight w:val="none"/>
                <w:lang w:val="en-US" w:eastAsia="zh-CN"/>
              </w:rPr>
              <w:t>卡通</w:t>
            </w:r>
            <w:r>
              <w:rPr>
                <w:rFonts w:hint="eastAsia" w:ascii="宋体" w:hAnsi="宋体" w:eastAsia="宋体" w:cs="宋体"/>
                <w:color w:val="auto"/>
                <w:sz w:val="21"/>
                <w:szCs w:val="21"/>
                <w:highlight w:val="none"/>
              </w:rPr>
              <w:t>医用布料。成分涤 65%，棉 35%，允</w:t>
            </w:r>
          </w:p>
          <w:p w14:paraId="0ED82F7F">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差±2%；纱支 45/2*21，允差±3%；密度≥138*71；耐氯漂≥3 级；干摩擦色牢度≥3 级，耐皂洗色牢度≥3 级；耐水色牢度≥3 级；pH 值 4.0-8.5；甲醛含量≤75mg/kg。无异味，</w:t>
            </w:r>
            <w:r>
              <w:rPr>
                <w:rFonts w:hint="eastAsia" w:ascii="宋体" w:hAnsi="宋体" w:eastAsia="宋体" w:cs="宋体"/>
                <w:color w:val="auto"/>
                <w:sz w:val="21"/>
                <w:szCs w:val="21"/>
                <w:highlight w:val="none"/>
                <w:lang w:val="en-US"/>
              </w:rPr>
              <w:t>不起毛起球</w:t>
            </w:r>
            <w:r>
              <w:rPr>
                <w:rFonts w:hint="eastAsia" w:ascii="宋体" w:hAnsi="宋体" w:eastAsia="宋体" w:cs="宋体"/>
                <w:color w:val="auto"/>
                <w:sz w:val="21"/>
                <w:szCs w:val="21"/>
                <w:highlight w:val="none"/>
              </w:rPr>
              <w:t>。其他要求符合</w:t>
            </w:r>
            <w:r>
              <w:rPr>
                <w:rFonts w:hint="eastAsia" w:ascii="宋体" w:hAnsi="宋体" w:eastAsia="宋体" w:cs="宋体"/>
                <w:color w:val="auto"/>
                <w:sz w:val="21"/>
                <w:szCs w:val="21"/>
                <w:highlight w:val="none"/>
                <w:lang w:eastAsia="zh-CN"/>
              </w:rPr>
              <w:t>《国家纺织产品基本安全技术规范》（GB18401-2010）</w:t>
            </w:r>
            <w:r>
              <w:rPr>
                <w:rFonts w:hint="eastAsia" w:ascii="宋体" w:hAnsi="宋体" w:eastAsia="宋体" w:cs="宋体"/>
                <w:color w:val="auto"/>
                <w:sz w:val="21"/>
                <w:szCs w:val="21"/>
                <w:highlight w:val="none"/>
              </w:rPr>
              <w:t xml:space="preserve"> 标准</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3B993C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r>
      <w:tr w14:paraId="6A01F28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noWrap w:val="0"/>
            <w:tcMar>
              <w:left w:w="103" w:type="dxa"/>
            </w:tcMar>
            <w:vAlign w:val="center"/>
          </w:tcPr>
          <w:p w14:paraId="699A131C">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28 </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60DFEA48">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白衬衫</w:t>
            </w:r>
            <w:r>
              <w:rPr>
                <w:rFonts w:hint="eastAsia" w:ascii="宋体" w:hAnsi="宋体" w:eastAsia="宋体" w:cs="宋体"/>
                <w:color w:val="auto"/>
                <w:sz w:val="21"/>
                <w:szCs w:val="21"/>
                <w:highlight w:val="none"/>
                <w:lang w:val="en-US" w:eastAsia="zh-CN"/>
              </w:rPr>
              <w:t>夏</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04598DDF">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10件</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55E102BB">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聚酯纤维≥44%、再生纤维素纤维≥50%、氨纶≥2%</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5143CA1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46.9</w:t>
            </w:r>
          </w:p>
        </w:tc>
      </w:tr>
      <w:tr w14:paraId="6DE7823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66"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7C292DCC">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9</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CD965BB">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白衬衫冬</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32F7D301">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件</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45855B8A">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聚酯纤维≥44%、再生纤维素纤维≥50%、氨纶≥2%</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5AC558A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51.6</w:t>
            </w:r>
          </w:p>
        </w:tc>
      </w:tr>
      <w:tr w14:paraId="7941DD24">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35"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4580A77B">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6CF75965">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蓝色西裤</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5B496A9D">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条</w:t>
            </w:r>
          </w:p>
        </w:tc>
        <w:tc>
          <w:tcPr>
            <w:tcW w:w="5101" w:type="dxa"/>
            <w:tcBorders>
              <w:top w:val="single" w:color="000000" w:sz="4" w:space="0"/>
              <w:left w:val="single" w:color="000000" w:sz="4" w:space="0"/>
              <w:bottom w:val="single" w:color="000000" w:sz="4" w:space="0"/>
            </w:tcBorders>
            <w:noWrap w:val="0"/>
            <w:tcMar>
              <w:left w:w="103" w:type="dxa"/>
            </w:tcMar>
            <w:vAlign w:val="center"/>
          </w:tcPr>
          <w:p w14:paraId="7784FFE8">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面料：原材料采用精细羊毛，羊毛纱支，支数为：140；成品柔软舒适，透气性好成分：羊毛95%，聚酯纤维4.5%，导电丝0.5%。</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F69D4C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51</w:t>
            </w:r>
          </w:p>
        </w:tc>
      </w:tr>
      <w:tr w14:paraId="5A69769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66"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0DF63FA4">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31</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2C3FF1B5">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领带</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6F29E000">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条</w:t>
            </w:r>
          </w:p>
        </w:tc>
        <w:tc>
          <w:tcPr>
            <w:tcW w:w="5101" w:type="dxa"/>
            <w:vMerge w:val="restart"/>
            <w:tcBorders>
              <w:top w:val="single" w:color="000000" w:sz="4" w:space="0"/>
              <w:left w:val="single" w:color="000000" w:sz="4" w:space="0"/>
              <w:bottom w:val="single" w:color="000000" w:sz="4" w:space="0"/>
            </w:tcBorders>
            <w:noWrap w:val="0"/>
            <w:tcMar>
              <w:left w:w="103" w:type="dxa"/>
            </w:tcMar>
            <w:vAlign w:val="center"/>
          </w:tcPr>
          <w:p w14:paraId="2D8BEA64">
            <w:pPr>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由涤纶制成，具有柔软、耐用、抗皱性好的特点，光泽度好</w:t>
            </w:r>
            <w:r>
              <w:rPr>
                <w:rFonts w:hint="eastAsia" w:ascii="宋体" w:hAnsi="宋体" w:eastAsia="宋体" w:cs="宋体"/>
                <w:color w:val="auto"/>
                <w:sz w:val="21"/>
                <w:szCs w:val="21"/>
                <w:highlight w:val="none"/>
                <w:lang w:eastAsia="zh-CN"/>
              </w:rPr>
              <w:t>。</w:t>
            </w:r>
          </w:p>
          <w:p w14:paraId="603633F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聚乙烯树，脂经过加热拉网，形成了尼龙网，具有恢复能力，拉伸至原来的3-6倍时，还能够恢复到原样。</w:t>
            </w: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1484509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r>
      <w:tr w14:paraId="2DF64DE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66" w:hRule="atLeast"/>
        </w:trPr>
        <w:tc>
          <w:tcPr>
            <w:tcW w:w="646" w:type="dxa"/>
            <w:tcBorders>
              <w:top w:val="single" w:color="000000" w:sz="4" w:space="0"/>
              <w:left w:val="single" w:color="000000" w:sz="4" w:space="0"/>
              <w:bottom w:val="single" w:color="000000" w:sz="4" w:space="0"/>
            </w:tcBorders>
            <w:noWrap w:val="0"/>
            <w:tcMar>
              <w:left w:w="103" w:type="dxa"/>
            </w:tcMar>
            <w:vAlign w:val="center"/>
          </w:tcPr>
          <w:p w14:paraId="5E081B69">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32</w:t>
            </w:r>
          </w:p>
        </w:tc>
        <w:tc>
          <w:tcPr>
            <w:tcW w:w="1605" w:type="dxa"/>
            <w:tcBorders>
              <w:top w:val="single" w:color="000000" w:sz="4" w:space="0"/>
              <w:left w:val="single" w:color="000000" w:sz="4" w:space="0"/>
              <w:bottom w:val="single" w:color="000000" w:sz="4" w:space="0"/>
            </w:tcBorders>
            <w:noWrap w:val="0"/>
            <w:tcMar>
              <w:left w:w="103" w:type="dxa"/>
            </w:tcMar>
            <w:vAlign w:val="center"/>
          </w:tcPr>
          <w:p w14:paraId="79484C27">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领花</w:t>
            </w:r>
          </w:p>
        </w:tc>
        <w:tc>
          <w:tcPr>
            <w:tcW w:w="1020" w:type="dxa"/>
            <w:gridSpan w:val="2"/>
            <w:tcBorders>
              <w:top w:val="single" w:color="000000" w:sz="4" w:space="0"/>
              <w:left w:val="single" w:color="000000" w:sz="4" w:space="0"/>
              <w:bottom w:val="single" w:color="000000" w:sz="4" w:space="0"/>
            </w:tcBorders>
            <w:noWrap w:val="0"/>
            <w:tcMar>
              <w:left w:w="103" w:type="dxa"/>
            </w:tcMar>
            <w:vAlign w:val="center"/>
          </w:tcPr>
          <w:p w14:paraId="27FA7B25">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个</w:t>
            </w:r>
          </w:p>
        </w:tc>
        <w:tc>
          <w:tcPr>
            <w:tcW w:w="5101" w:type="dxa"/>
            <w:vMerge w:val="continue"/>
            <w:tcBorders>
              <w:top w:val="single" w:color="000000" w:sz="4" w:space="0"/>
              <w:left w:val="single" w:color="000000" w:sz="4" w:space="0"/>
              <w:bottom w:val="single" w:color="000000" w:sz="4" w:space="0"/>
            </w:tcBorders>
            <w:noWrap w:val="0"/>
            <w:tcMar>
              <w:left w:w="103" w:type="dxa"/>
            </w:tcMar>
            <w:vAlign w:val="center"/>
          </w:tcPr>
          <w:p w14:paraId="5CE60A7A">
            <w:pPr>
              <w:snapToGrid w:val="0"/>
              <w:spacing w:line="360" w:lineRule="auto"/>
              <w:jc w:val="center"/>
              <w:rPr>
                <w:rFonts w:hint="eastAsia" w:ascii="宋体" w:hAnsi="宋体" w:eastAsia="宋体" w:cs="宋体"/>
                <w:color w:val="auto"/>
                <w:sz w:val="21"/>
                <w:szCs w:val="21"/>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BEB0DB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r>
      <w:tr w14:paraId="7D13B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03" w:type="dxa"/>
            <w:gridSpan w:val="6"/>
            <w:tcBorders>
              <w:top w:val="single" w:color="auto" w:sz="4" w:space="0"/>
              <w:left w:val="single" w:color="auto" w:sz="4" w:space="0"/>
              <w:bottom w:val="single" w:color="auto" w:sz="4" w:space="0"/>
              <w:right w:val="single" w:color="auto" w:sz="4" w:space="0"/>
            </w:tcBorders>
            <w:noWrap w:val="0"/>
            <w:vAlign w:val="top"/>
          </w:tcPr>
          <w:p w14:paraId="5C175DE2">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▲一、商务要求</w:t>
            </w:r>
          </w:p>
        </w:tc>
      </w:tr>
      <w:tr w14:paraId="52F97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00C40F57">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竞标报价</w:t>
            </w:r>
          </w:p>
        </w:tc>
        <w:tc>
          <w:tcPr>
            <w:tcW w:w="7028" w:type="dxa"/>
            <w:gridSpan w:val="3"/>
            <w:tcBorders>
              <w:top w:val="single" w:color="auto" w:sz="4" w:space="0"/>
              <w:left w:val="single" w:color="auto" w:sz="4" w:space="0"/>
              <w:bottom w:val="single" w:color="auto" w:sz="4" w:space="0"/>
              <w:right w:val="single" w:color="auto" w:sz="4" w:space="0"/>
            </w:tcBorders>
            <w:noWrap w:val="0"/>
            <w:vAlign w:val="center"/>
          </w:tcPr>
          <w:p w14:paraId="2DFF7FE5">
            <w:pPr>
              <w:numPr>
                <w:ilvl w:val="0"/>
                <w:numId w:val="0"/>
              </w:num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本项目按</w:t>
            </w:r>
            <w:r>
              <w:rPr>
                <w:rFonts w:hint="eastAsia" w:ascii="宋体" w:hAnsi="宋体" w:eastAsia="宋体" w:cs="宋体"/>
                <w:b/>
                <w:bCs/>
                <w:color w:val="auto"/>
                <w:kern w:val="0"/>
                <w:sz w:val="21"/>
                <w:szCs w:val="21"/>
                <w:highlight w:val="none"/>
                <w:lang w:eastAsia="zh-CN"/>
              </w:rPr>
              <w:t>折扣</w:t>
            </w:r>
            <w:r>
              <w:rPr>
                <w:rFonts w:hint="eastAsia" w:ascii="宋体" w:hAnsi="宋体" w:eastAsia="宋体" w:cs="宋体"/>
                <w:b/>
                <w:bCs/>
                <w:color w:val="auto"/>
                <w:kern w:val="0"/>
                <w:sz w:val="21"/>
                <w:szCs w:val="21"/>
                <w:highlight w:val="none"/>
              </w:rPr>
              <w:t>报价，结算单价=单项最高限价×成交</w:t>
            </w:r>
            <w:r>
              <w:rPr>
                <w:rFonts w:hint="eastAsia" w:ascii="宋体" w:hAnsi="宋体" w:eastAsia="宋体" w:cs="宋体"/>
                <w:b/>
                <w:bCs/>
                <w:color w:val="auto"/>
                <w:kern w:val="0"/>
                <w:sz w:val="21"/>
                <w:szCs w:val="21"/>
                <w:highlight w:val="none"/>
                <w:lang w:eastAsia="zh-CN"/>
              </w:rPr>
              <w:t>折扣</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结算总价=结算单价×实际采购数量</w:t>
            </w:r>
            <w:r>
              <w:rPr>
                <w:rFonts w:hint="eastAsia" w:ascii="宋体" w:hAnsi="宋体" w:eastAsia="宋体" w:cs="宋体"/>
                <w:color w:val="auto"/>
                <w:kern w:val="0"/>
                <w:sz w:val="21"/>
                <w:szCs w:val="21"/>
                <w:highlight w:val="none"/>
              </w:rPr>
              <w:t>。（例：供应商成交</w:t>
            </w:r>
            <w:r>
              <w:rPr>
                <w:rFonts w:hint="eastAsia" w:ascii="宋体" w:hAnsi="宋体" w:eastAsia="宋体" w:cs="宋体"/>
                <w:color w:val="auto"/>
                <w:kern w:val="0"/>
                <w:sz w:val="21"/>
                <w:szCs w:val="21"/>
                <w:highlight w:val="none"/>
                <w:lang w:eastAsia="zh-CN"/>
              </w:rPr>
              <w:t>折扣</w:t>
            </w:r>
            <w:r>
              <w:rPr>
                <w:rFonts w:hint="eastAsia" w:ascii="宋体" w:hAnsi="宋体" w:eastAsia="宋体" w:cs="宋体"/>
                <w:color w:val="auto"/>
                <w:kern w:val="0"/>
                <w:sz w:val="21"/>
                <w:szCs w:val="21"/>
                <w:highlight w:val="none"/>
              </w:rPr>
              <w:t>为90%，污物袋的结算单价=</w:t>
            </w:r>
            <w:r>
              <w:rPr>
                <w:rFonts w:hint="eastAsia" w:ascii="宋体" w:hAnsi="宋体" w:eastAsia="宋体" w:cs="宋体"/>
                <w:color w:val="auto"/>
                <w:kern w:val="0"/>
                <w:sz w:val="21"/>
                <w:szCs w:val="21"/>
                <w:highlight w:val="none"/>
                <w:lang w:val="en-US" w:eastAsia="zh-CN"/>
              </w:rPr>
              <w:t>39</w:t>
            </w:r>
            <w:r>
              <w:rPr>
                <w:rFonts w:hint="eastAsia" w:ascii="宋体" w:hAnsi="宋体" w:eastAsia="宋体" w:cs="宋体"/>
                <w:color w:val="auto"/>
                <w:kern w:val="0"/>
                <w:sz w:val="21"/>
                <w:szCs w:val="21"/>
                <w:highlight w:val="none"/>
              </w:rPr>
              <w:t>元×90%=</w:t>
            </w:r>
            <w:r>
              <w:rPr>
                <w:rFonts w:hint="eastAsia" w:ascii="宋体" w:hAnsi="宋体" w:eastAsia="宋体" w:cs="宋体"/>
                <w:color w:val="auto"/>
                <w:kern w:val="0"/>
                <w:sz w:val="21"/>
                <w:szCs w:val="21"/>
                <w:highlight w:val="none"/>
                <w:lang w:val="en-US" w:eastAsia="zh-CN"/>
              </w:rPr>
              <w:t>35.1</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lang w:val="en-US" w:eastAsia="zh-CN"/>
              </w:rPr>
              <w:t>。</w:t>
            </w:r>
          </w:p>
          <w:p w14:paraId="355F7FA2">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2.竞标报价必须包含货物及货物运抵指定交货地点的各种费用和售后服务、税金、验收检验及其它所有费用的总和</w:t>
            </w:r>
            <w:r>
              <w:rPr>
                <w:rFonts w:hint="eastAsia" w:ascii="宋体" w:hAnsi="宋体" w:eastAsia="宋体" w:cs="宋体"/>
                <w:color w:val="auto"/>
                <w:sz w:val="21"/>
                <w:szCs w:val="21"/>
                <w:highlight w:val="none"/>
              </w:rPr>
              <w:t>。</w:t>
            </w:r>
          </w:p>
          <w:p w14:paraId="341A67B4">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 xml:space="preserve">采购人有权根据实际需求对采购数量、款式、颜色及工艺等进行调整，因此产生的费用包含在响应报价内，在核算单价时，不受数量增减、款式的复杂程度、颜色及工艺改变的影响。规格如有调整由采购人与成交供应商另行协商解决。 </w:t>
            </w:r>
          </w:p>
          <w:p w14:paraId="57DF03B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z w:val="21"/>
                <w:szCs w:val="21"/>
                <w:highlight w:val="none"/>
              </w:rPr>
              <w:t>对于采购文件中未列明，而供应商认为必需的费用也需列入报价。在合同实施时，采购人将不予支付成交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没有列入的项目费用，并认为此项目的费用已包括在单价中。</w:t>
            </w:r>
          </w:p>
        </w:tc>
      </w:tr>
      <w:tr w14:paraId="1885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49DCFF95">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交货时间</w:t>
            </w:r>
          </w:p>
        </w:tc>
        <w:tc>
          <w:tcPr>
            <w:tcW w:w="7028" w:type="dxa"/>
            <w:gridSpan w:val="3"/>
            <w:tcBorders>
              <w:top w:val="single" w:color="auto" w:sz="4" w:space="0"/>
              <w:left w:val="single" w:color="auto" w:sz="4" w:space="0"/>
              <w:bottom w:val="single" w:color="auto" w:sz="4" w:space="0"/>
              <w:right w:val="single" w:color="auto" w:sz="4" w:space="0"/>
            </w:tcBorders>
            <w:noWrap w:val="0"/>
            <w:vAlign w:val="center"/>
          </w:tcPr>
          <w:p w14:paraId="2594107D">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本项目采购量为年度采购预估量，供应商根据采购人每月需求量供货，采购量以年度12个月实际采购量为准。供应商自签订合同之日起3个工作日内与采购人确定式样与当月采购量。式样与当月采购量确认后在15日历日内完成交货。</w:t>
            </w:r>
          </w:p>
        </w:tc>
      </w:tr>
      <w:tr w14:paraId="0DBEC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30EE1924">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交货地点</w:t>
            </w:r>
          </w:p>
        </w:tc>
        <w:tc>
          <w:tcPr>
            <w:tcW w:w="7028" w:type="dxa"/>
            <w:gridSpan w:val="3"/>
            <w:tcBorders>
              <w:top w:val="single" w:color="auto" w:sz="4" w:space="0"/>
              <w:left w:val="single" w:color="auto" w:sz="4" w:space="0"/>
              <w:bottom w:val="single" w:color="auto" w:sz="4" w:space="0"/>
              <w:right w:val="single" w:color="auto" w:sz="4" w:space="0"/>
            </w:tcBorders>
            <w:noWrap w:val="0"/>
            <w:vAlign w:val="center"/>
          </w:tcPr>
          <w:p w14:paraId="6036C228">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梧州市工人医院，</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采购人指定地点送货上门，并按要求负责卸货</w:t>
            </w:r>
            <w:r>
              <w:rPr>
                <w:rFonts w:hint="eastAsia" w:ascii="宋体" w:hAnsi="宋体" w:eastAsia="宋体" w:cs="宋体"/>
                <w:b w:val="0"/>
                <w:bCs w:val="0"/>
                <w:color w:val="auto"/>
                <w:sz w:val="21"/>
                <w:szCs w:val="21"/>
                <w:highlight w:val="none"/>
              </w:rPr>
              <w:t>。</w:t>
            </w:r>
          </w:p>
        </w:tc>
      </w:tr>
      <w:tr w14:paraId="6F91D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75DD6A48">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签订合同时间</w:t>
            </w:r>
          </w:p>
        </w:tc>
        <w:tc>
          <w:tcPr>
            <w:tcW w:w="7028" w:type="dxa"/>
            <w:gridSpan w:val="3"/>
            <w:tcBorders>
              <w:top w:val="single" w:color="auto" w:sz="4" w:space="0"/>
              <w:left w:val="single" w:color="auto" w:sz="4" w:space="0"/>
              <w:bottom w:val="single" w:color="auto" w:sz="4" w:space="0"/>
              <w:right w:val="single" w:color="auto" w:sz="4" w:space="0"/>
            </w:tcBorders>
            <w:noWrap w:val="0"/>
            <w:vAlign w:val="center"/>
          </w:tcPr>
          <w:p w14:paraId="00D5C093">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自成交通知书发出之日起15日内</w:t>
            </w:r>
            <w:r>
              <w:rPr>
                <w:rFonts w:hint="eastAsia" w:ascii="宋体" w:hAnsi="宋体" w:eastAsia="宋体" w:cs="宋体"/>
                <w:b w:val="0"/>
                <w:bCs/>
                <w:color w:val="auto"/>
                <w:sz w:val="21"/>
                <w:szCs w:val="21"/>
                <w:highlight w:val="none"/>
                <w:lang w:val="en-US" w:eastAsia="zh-CN"/>
              </w:rPr>
              <w:t>配合</w:t>
            </w:r>
            <w:r>
              <w:rPr>
                <w:rFonts w:hint="eastAsia" w:ascii="宋体" w:hAnsi="宋体" w:eastAsia="宋体" w:cs="宋体"/>
                <w:b w:val="0"/>
                <w:bCs/>
                <w:color w:val="auto"/>
                <w:sz w:val="21"/>
                <w:szCs w:val="21"/>
                <w:highlight w:val="none"/>
              </w:rPr>
              <w:t>采购人</w:t>
            </w:r>
            <w:r>
              <w:rPr>
                <w:rFonts w:hint="eastAsia" w:ascii="宋体" w:hAnsi="宋体" w:eastAsia="宋体" w:cs="宋体"/>
                <w:b w:val="0"/>
                <w:bCs/>
                <w:color w:val="auto"/>
                <w:sz w:val="21"/>
                <w:szCs w:val="21"/>
                <w:highlight w:val="none"/>
                <w:lang w:val="en-US" w:eastAsia="zh-CN"/>
              </w:rPr>
              <w:t>在广西政府采购云平台线上</w:t>
            </w:r>
            <w:r>
              <w:rPr>
                <w:rFonts w:hint="eastAsia" w:ascii="宋体" w:hAnsi="宋体" w:eastAsia="宋体" w:cs="宋体"/>
                <w:b w:val="0"/>
                <w:bCs/>
                <w:color w:val="auto"/>
                <w:sz w:val="21"/>
                <w:szCs w:val="21"/>
                <w:highlight w:val="none"/>
              </w:rPr>
              <w:t>签订政府采购合同。</w:t>
            </w:r>
          </w:p>
        </w:tc>
      </w:tr>
      <w:tr w14:paraId="15EF0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0B357774">
            <w:pPr>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质保期</w:t>
            </w:r>
          </w:p>
        </w:tc>
        <w:tc>
          <w:tcPr>
            <w:tcW w:w="7028" w:type="dxa"/>
            <w:gridSpan w:val="3"/>
            <w:tcBorders>
              <w:top w:val="single" w:color="auto" w:sz="4" w:space="0"/>
              <w:left w:val="single" w:color="auto" w:sz="4" w:space="0"/>
              <w:bottom w:val="single" w:color="auto" w:sz="4" w:space="0"/>
              <w:right w:val="single" w:color="auto" w:sz="4" w:space="0"/>
            </w:tcBorders>
            <w:noWrap w:val="0"/>
            <w:vAlign w:val="center"/>
          </w:tcPr>
          <w:p w14:paraId="44657A89">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Cs/>
                <w:color w:val="auto"/>
                <w:sz w:val="21"/>
                <w:szCs w:val="21"/>
                <w:highlight w:val="none"/>
              </w:rPr>
              <w:t>自交货验收合格之日起不少于1年。</w:t>
            </w:r>
          </w:p>
        </w:tc>
      </w:tr>
      <w:tr w14:paraId="63C98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1E10D27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验收标准</w:t>
            </w:r>
          </w:p>
        </w:tc>
        <w:tc>
          <w:tcPr>
            <w:tcW w:w="7028" w:type="dxa"/>
            <w:gridSpan w:val="3"/>
            <w:tcBorders>
              <w:top w:val="single" w:color="auto" w:sz="4" w:space="0"/>
              <w:left w:val="single" w:color="auto" w:sz="4" w:space="0"/>
              <w:bottom w:val="single" w:color="auto" w:sz="4" w:space="0"/>
              <w:right w:val="single" w:color="auto" w:sz="4" w:space="0"/>
            </w:tcBorders>
            <w:noWrap w:val="0"/>
            <w:vAlign w:val="center"/>
          </w:tcPr>
          <w:p w14:paraId="17DE7C9F">
            <w:pPr>
              <w:spacing w:line="360" w:lineRule="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符合国家强制性规定、政策要求、安全标准、行业或企业有关标准</w:t>
            </w:r>
          </w:p>
        </w:tc>
      </w:tr>
      <w:tr w14:paraId="04625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3C729C8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验收要求</w:t>
            </w:r>
          </w:p>
        </w:tc>
        <w:tc>
          <w:tcPr>
            <w:tcW w:w="7028" w:type="dxa"/>
            <w:gridSpan w:val="3"/>
            <w:tcBorders>
              <w:top w:val="single" w:color="auto" w:sz="4" w:space="0"/>
              <w:left w:val="single" w:color="auto" w:sz="4" w:space="0"/>
              <w:bottom w:val="single" w:color="auto" w:sz="4" w:space="0"/>
              <w:right w:val="single" w:color="auto" w:sz="4" w:space="0"/>
            </w:tcBorders>
            <w:noWrap w:val="0"/>
            <w:vAlign w:val="center"/>
          </w:tcPr>
          <w:p w14:paraId="375365EF">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1.交货产品必须是全新、完整、未使用过的产品；供货时需提供有效的产品合格证明、出厂证明、产地证明等证明文件。</w:t>
            </w:r>
          </w:p>
          <w:p w14:paraId="0FC00465">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2.交货时，供货商和采购人应在现场进行清点；清点过程中如果发现因包装或运输不当引起货物的损坏、错发漏发等情况，供货商应负责及时更换或补发。</w:t>
            </w:r>
          </w:p>
          <w:p w14:paraId="2E480D96">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 供应商须严格按照采购文件要求及响应文件承诺的技术参数进行制作。交货验收时，</w:t>
            </w:r>
            <w:r>
              <w:rPr>
                <w:rFonts w:hint="eastAsia" w:ascii="宋体" w:hAnsi="宋体" w:eastAsia="宋体" w:cs="宋体"/>
                <w:b w:val="0"/>
                <w:bCs/>
                <w:color w:val="auto"/>
                <w:sz w:val="21"/>
                <w:szCs w:val="21"/>
                <w:highlight w:val="none"/>
                <w:lang w:val="en-US" w:eastAsia="zh-CN"/>
              </w:rPr>
              <w:t>须根据采购需求带“▲”号技术要求提供本批次货物（用料相同的可只须提供一份，但须注明。</w:t>
            </w:r>
            <w:r>
              <w:rPr>
                <w:rFonts w:hint="eastAsia" w:ascii="宋体" w:hAnsi="宋体" w:eastAsia="宋体" w:cs="宋体"/>
                <w:b w:val="0"/>
                <w:bCs/>
                <w:color w:val="auto"/>
                <w:sz w:val="21"/>
                <w:szCs w:val="21"/>
                <w:highlight w:val="none"/>
                <w:lang w:val="en-US" w:eastAsia="zh-CN"/>
              </w:rPr>
              <w:t>合同期内分批次交货的只须第一次交货时提供。）由CMA或CNAS认证的第三方检测机构出具的材料检验报告复印件，原件备查。同时必须提供报告材料真实性的查询方式，以供查询确认。如经查询为虚假或存在局部替换报告内容的情况视为提供虚假材料，</w:t>
            </w:r>
            <w:r>
              <w:rPr>
                <w:rFonts w:hint="eastAsia" w:ascii="宋体" w:hAnsi="宋体" w:eastAsia="宋体" w:cs="宋体"/>
                <w:b w:val="0"/>
                <w:bCs/>
                <w:color w:val="auto"/>
                <w:sz w:val="21"/>
                <w:szCs w:val="21"/>
                <w:highlight w:val="none"/>
                <w:lang w:val="en-US" w:eastAsia="zh-CN"/>
              </w:rPr>
              <w:t>终止合同</w:t>
            </w:r>
            <w:r>
              <w:rPr>
                <w:rFonts w:hint="eastAsia" w:ascii="宋体" w:hAnsi="宋体" w:eastAsia="宋体" w:cs="宋体"/>
                <w:b w:val="0"/>
                <w:bCs/>
                <w:color w:val="auto"/>
                <w:sz w:val="21"/>
                <w:szCs w:val="21"/>
                <w:highlight w:val="none"/>
                <w:lang w:val="en-US" w:eastAsia="zh-CN"/>
              </w:rPr>
              <w:t>，同时向政府采购监督部门报告，按有关法规进行处理。</w:t>
            </w:r>
          </w:p>
          <w:p w14:paraId="437965DB">
            <w:pPr>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供应商应按约定提供合格的货物，因货物质量问题发生争议的，采购人有权对有争议货物进行随机抽样送国家认可的质量检测机构对货物质量进行鉴定，货物符合标准的，鉴定费及送检样品损坏（如有）由采购人承担。货物不符合标准的，鉴定费及送检样品损坏（如有）由供应商承担。对于抽样送检不合格批次的货物，采购人将拒收，由此产生的后果由供应商自负。</w:t>
            </w:r>
          </w:p>
        </w:tc>
      </w:tr>
      <w:tr w14:paraId="0E853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60DE24C0">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付款方式</w:t>
            </w:r>
          </w:p>
        </w:tc>
        <w:tc>
          <w:tcPr>
            <w:tcW w:w="7028" w:type="dxa"/>
            <w:gridSpan w:val="3"/>
            <w:tcBorders>
              <w:top w:val="single" w:color="auto" w:sz="4" w:space="0"/>
              <w:left w:val="single" w:color="auto" w:sz="4" w:space="0"/>
              <w:bottom w:val="single" w:color="auto" w:sz="4" w:space="0"/>
              <w:right w:val="single" w:color="auto" w:sz="4" w:space="0"/>
            </w:tcBorders>
            <w:noWrap w:val="0"/>
            <w:vAlign w:val="center"/>
          </w:tcPr>
          <w:p w14:paraId="47F287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实际采购量按月支付，每月采购验收合格后</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rPr>
              <w:t>内支付货款，支付金额为验收合格单金额100%</w:t>
            </w:r>
          </w:p>
        </w:tc>
      </w:tr>
      <w:tr w14:paraId="7B265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29E37896">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售后服务</w:t>
            </w:r>
          </w:p>
        </w:tc>
        <w:tc>
          <w:tcPr>
            <w:tcW w:w="7028" w:type="dxa"/>
            <w:gridSpan w:val="3"/>
            <w:tcBorders>
              <w:top w:val="single" w:color="auto" w:sz="4" w:space="0"/>
              <w:left w:val="single" w:color="auto" w:sz="4" w:space="0"/>
              <w:bottom w:val="single" w:color="auto" w:sz="4" w:space="0"/>
              <w:right w:val="single" w:color="auto" w:sz="4" w:space="0"/>
            </w:tcBorders>
            <w:noWrap w:val="0"/>
            <w:vAlign w:val="top"/>
          </w:tcPr>
          <w:p w14:paraId="6959BD33">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1.按国家有关产品“三包”规定执行“三包”，在质保期内现任何非人为质量问题，供应商收到采购人通知后，24小时内响应，在15天内无条件返工合格或更换到位。</w:t>
            </w:r>
          </w:p>
          <w:p w14:paraId="200030C6">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2.无条件负责送货上门，提供的货物必须是全新产品；</w:t>
            </w:r>
          </w:p>
          <w:p w14:paraId="50CEB68A">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3.接到故障通知后1小时内响应，一般问题在2小时内通过远程方式解决，遇到大的问题24小时内派技术人员到达现场；</w:t>
            </w:r>
          </w:p>
        </w:tc>
      </w:tr>
      <w:tr w14:paraId="168FF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4F5E1903">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包装和运输</w:t>
            </w:r>
          </w:p>
        </w:tc>
        <w:tc>
          <w:tcPr>
            <w:tcW w:w="7028" w:type="dxa"/>
            <w:gridSpan w:val="3"/>
            <w:tcBorders>
              <w:top w:val="single" w:color="auto" w:sz="4" w:space="0"/>
              <w:left w:val="single" w:color="auto" w:sz="4" w:space="0"/>
              <w:bottom w:val="single" w:color="auto" w:sz="4" w:space="0"/>
              <w:right w:val="single" w:color="auto" w:sz="4" w:space="0"/>
            </w:tcBorders>
            <w:noWrap w:val="0"/>
            <w:vAlign w:val="center"/>
          </w:tcPr>
          <w:p w14:paraId="03798327">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1.成交供应商在货物发运前对其进行满足运输距离、防潮、防震、防锈和防破损装卸等要求包装，以保证货物安全运达采购人指定地点。</w:t>
            </w:r>
          </w:p>
          <w:p w14:paraId="12CC48F3">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2.货物的运输方式：由成交供应商自行安排。</w:t>
            </w:r>
          </w:p>
          <w:p w14:paraId="2D8D28E6">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3.成交供应商负责货物运输，货物运输合理损耗及计算方法：本项目不接受损耗。</w:t>
            </w:r>
          </w:p>
        </w:tc>
      </w:tr>
      <w:tr w14:paraId="5D801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03" w:type="dxa"/>
            <w:gridSpan w:val="6"/>
            <w:tcBorders>
              <w:top w:val="single" w:color="auto" w:sz="4" w:space="0"/>
              <w:left w:val="single" w:color="auto" w:sz="4" w:space="0"/>
              <w:bottom w:val="single" w:color="auto" w:sz="4" w:space="0"/>
              <w:right w:val="single" w:color="auto" w:sz="4" w:space="0"/>
            </w:tcBorders>
            <w:noWrap w:val="0"/>
            <w:vAlign w:val="center"/>
          </w:tcPr>
          <w:p w14:paraId="63341A3E">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二、与实现项目目标相关的其他要求</w:t>
            </w:r>
          </w:p>
        </w:tc>
      </w:tr>
      <w:tr w14:paraId="6FFE3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3"/>
            <w:tcBorders>
              <w:top w:val="single" w:color="auto" w:sz="4" w:space="0"/>
              <w:left w:val="single" w:color="auto" w:sz="4" w:space="0"/>
              <w:bottom w:val="single" w:color="auto" w:sz="4" w:space="0"/>
              <w:right w:val="single" w:color="auto" w:sz="4" w:space="0"/>
            </w:tcBorders>
            <w:noWrap w:val="0"/>
            <w:vAlign w:val="center"/>
          </w:tcPr>
          <w:p w14:paraId="035923D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进口产品说明</w:t>
            </w:r>
          </w:p>
        </w:tc>
        <w:tc>
          <w:tcPr>
            <w:tcW w:w="7028" w:type="dxa"/>
            <w:gridSpan w:val="3"/>
            <w:tcBorders>
              <w:top w:val="single" w:color="auto" w:sz="4" w:space="0"/>
              <w:left w:val="single" w:color="auto" w:sz="4" w:space="0"/>
              <w:bottom w:val="single" w:color="auto" w:sz="4" w:space="0"/>
              <w:right w:val="single" w:color="auto" w:sz="4" w:space="0"/>
            </w:tcBorders>
            <w:noWrap w:val="0"/>
            <w:vAlign w:val="center"/>
          </w:tcPr>
          <w:p w14:paraId="6100EDF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本分标货物不接受进口产品（即通过中国海关报关验放进入中国境内且产自关境外的产品）参与竞标，</w:t>
            </w:r>
            <w:r>
              <w:rPr>
                <w:rFonts w:hint="eastAsia" w:ascii="宋体" w:hAnsi="宋体" w:eastAsia="宋体" w:cs="宋体"/>
                <w:b/>
                <w:color w:val="auto"/>
                <w:sz w:val="21"/>
                <w:szCs w:val="21"/>
                <w:highlight w:val="none"/>
              </w:rPr>
              <w:t>如有进口产品参与竞标的，其响应文件按无效</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处理</w:t>
            </w:r>
            <w:r>
              <w:rPr>
                <w:rFonts w:hint="eastAsia" w:ascii="宋体" w:hAnsi="宋体" w:eastAsia="宋体" w:cs="宋体"/>
                <w:color w:val="auto"/>
                <w:sz w:val="21"/>
                <w:szCs w:val="21"/>
                <w:highlight w:val="none"/>
              </w:rPr>
              <w:t>。</w:t>
            </w:r>
          </w:p>
        </w:tc>
      </w:tr>
    </w:tbl>
    <w:p w14:paraId="7267ACF4">
      <w:pPr>
        <w:spacing w:line="360" w:lineRule="auto"/>
        <w:ind w:firstLine="310" w:firstLineChars="147"/>
        <w:jc w:val="left"/>
        <w:rPr>
          <w:rFonts w:hint="eastAsia" w:ascii="宋体" w:hAnsi="宋体"/>
          <w:b/>
          <w:color w:val="auto"/>
          <w:szCs w:val="21"/>
          <w:highlight w:val="none"/>
        </w:rPr>
      </w:pPr>
    </w:p>
    <w:bookmarkEnd w:id="76"/>
    <w:p w14:paraId="008A1EBD">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14:paraId="0D5B7771">
      <w:pPr>
        <w:spacing w:line="428" w:lineRule="exact"/>
        <w:ind w:left="119"/>
        <w:rPr>
          <w:rFonts w:ascii="Arial Unicode MS" w:hAnsi="Arial Unicode MS" w:eastAsia="Arial Unicode MS" w:cs="Arial Unicode MS"/>
          <w:color w:val="auto"/>
          <w:sz w:val="32"/>
          <w:szCs w:val="32"/>
          <w:highlight w:val="none"/>
        </w:rPr>
      </w:pPr>
      <w:r>
        <w:rPr>
          <w:rFonts w:hint="eastAsia" w:ascii="黑体" w:hAnsi="黑体" w:eastAsia="黑体" w:cs="黑体"/>
          <w:color w:val="auto"/>
          <w:sz w:val="32"/>
          <w:szCs w:val="32"/>
          <w:highlight w:val="none"/>
        </w:rPr>
        <w:t>附件：</w:t>
      </w:r>
    </w:p>
    <w:p w14:paraId="53E3D611">
      <w:pPr>
        <w:spacing w:before="7"/>
        <w:rPr>
          <w:rFonts w:hint="eastAsia" w:ascii="Arial Unicode MS" w:hAnsi="Arial Unicode MS" w:eastAsia="Arial Unicode MS" w:cs="Arial Unicode MS"/>
          <w:color w:val="auto"/>
          <w:sz w:val="17"/>
          <w:szCs w:val="17"/>
          <w:highlight w:val="none"/>
        </w:rPr>
      </w:pPr>
    </w:p>
    <w:p w14:paraId="197C873C">
      <w:pPr>
        <w:spacing w:line="528" w:lineRule="exact"/>
        <w:ind w:left="1871"/>
        <w:rPr>
          <w:rFonts w:ascii="Arial Unicode MS" w:hAnsi="Arial Unicode MS" w:eastAsia="Arial Unicode MS" w:cs="Arial Unicode MS"/>
          <w:color w:val="auto"/>
          <w:sz w:val="40"/>
          <w:szCs w:val="40"/>
          <w:highlight w:val="none"/>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22"/>
        <w:gridCol w:w="1496"/>
        <w:gridCol w:w="1481"/>
        <w:gridCol w:w="3452"/>
      </w:tblGrid>
      <w:tr w14:paraId="61CF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5CB10A9B">
            <w:pPr>
              <w:jc w:val="center"/>
              <w:rPr>
                <w:rFonts w:ascii="Calibri" w:hAnsi="Calibri"/>
                <w:color w:val="auto"/>
                <w:szCs w:val="22"/>
                <w:highlight w:val="none"/>
              </w:rPr>
            </w:pPr>
            <w:r>
              <w:rPr>
                <w:rFonts w:hint="eastAsia" w:ascii="宋体" w:hAnsi="宋体" w:cs="宋体"/>
                <w:b/>
                <w:bCs/>
                <w:color w:val="auto"/>
                <w:w w:val="99"/>
                <w:highlight w:val="none"/>
              </w:rPr>
              <w:t>品目序号</w:t>
            </w:r>
          </w:p>
        </w:tc>
        <w:tc>
          <w:tcPr>
            <w:tcW w:w="4399" w:type="dxa"/>
            <w:gridSpan w:val="3"/>
            <w:tcBorders>
              <w:top w:val="single" w:color="000000" w:sz="4" w:space="0"/>
              <w:left w:val="single" w:color="000000" w:sz="4" w:space="0"/>
              <w:bottom w:val="single" w:color="000000" w:sz="4" w:space="0"/>
              <w:right w:val="single" w:color="000000" w:sz="4" w:space="0"/>
            </w:tcBorders>
            <w:noWrap w:val="0"/>
            <w:vAlign w:val="center"/>
          </w:tcPr>
          <w:p w14:paraId="6F849A93">
            <w:pPr>
              <w:jc w:val="center"/>
              <w:rPr>
                <w:rFonts w:ascii="Calibri" w:hAnsi="Calibri"/>
                <w:color w:val="auto"/>
                <w:szCs w:val="22"/>
                <w:highlight w:val="none"/>
              </w:rPr>
            </w:pPr>
            <w:r>
              <w:rPr>
                <w:rFonts w:hint="eastAsia" w:ascii="宋体" w:hAnsi="宋体" w:cs="宋体"/>
                <w:b/>
                <w:bCs/>
                <w:color w:val="auto"/>
                <w:w w:val="99"/>
                <w:highlight w:val="none"/>
              </w:rPr>
              <w:t>名称</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27727555">
            <w:pPr>
              <w:jc w:val="center"/>
              <w:rPr>
                <w:rFonts w:ascii="Calibri" w:hAnsi="Calibri"/>
                <w:color w:val="auto"/>
                <w:szCs w:val="22"/>
                <w:highlight w:val="none"/>
              </w:rPr>
            </w:pPr>
            <w:r>
              <w:rPr>
                <w:rFonts w:hint="eastAsia" w:ascii="宋体" w:hAnsi="宋体" w:cs="宋体"/>
                <w:b/>
                <w:bCs/>
                <w:color w:val="auto"/>
                <w:w w:val="99"/>
                <w:highlight w:val="none"/>
              </w:rPr>
              <w:t>依据的标准</w:t>
            </w:r>
          </w:p>
        </w:tc>
      </w:tr>
      <w:tr w14:paraId="1DDB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1A6E6FE">
            <w:pPr>
              <w:jc w:val="center"/>
              <w:rPr>
                <w:rFonts w:ascii="宋体" w:hAnsi="宋体"/>
                <w:color w:val="auto"/>
                <w:szCs w:val="21"/>
                <w:highlight w:val="none"/>
              </w:rPr>
            </w:pPr>
            <w:r>
              <w:rPr>
                <w:rFonts w:hint="eastAsia" w:ascii="宋体" w:hAnsi="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61C24341">
            <w:pPr>
              <w:jc w:val="center"/>
              <w:rPr>
                <w:rFonts w:ascii="宋体" w:hAnsi="宋体"/>
                <w:color w:val="auto"/>
                <w:szCs w:val="21"/>
                <w:highlight w:val="none"/>
              </w:rPr>
            </w:pPr>
            <w:r>
              <w:rPr>
                <w:rFonts w:hint="eastAsia" w:ascii="宋体" w:hAnsi="宋体" w:cs="仿宋_GB2312"/>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1F4A315">
            <w:pPr>
              <w:pStyle w:val="57"/>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84B546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A355EF9">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212B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EFB5D">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17B03">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EB76D73">
            <w:pPr>
              <w:pStyle w:val="57"/>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993EEB1">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2DC060D">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7135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2AEFA">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177A9">
            <w:pPr>
              <w:widowControl/>
              <w:jc w:val="left"/>
              <w:rPr>
                <w:rFonts w:ascii="宋体" w:hAnsi="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B1B5AFD">
            <w:pPr>
              <w:pStyle w:val="57"/>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仿宋_GB2312"/>
                <w:color w:val="auto"/>
                <w:kern w:val="2"/>
                <w:sz w:val="21"/>
                <w:szCs w:val="21"/>
                <w:highlight w:val="none"/>
                <w:lang w:eastAsia="zh-CN"/>
              </w:rPr>
              <w:t>A02010109平板式计算机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9FFF77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68B8974">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《微型计算机能效限定值及能效等级》（GB28380）</w:t>
            </w:r>
          </w:p>
        </w:tc>
      </w:tr>
      <w:tr w14:paraId="41C1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140AC05">
            <w:pPr>
              <w:jc w:val="center"/>
              <w:rPr>
                <w:rFonts w:ascii="宋体" w:hAnsi="宋体"/>
                <w:color w:val="auto"/>
                <w:szCs w:val="21"/>
                <w:highlight w:val="none"/>
              </w:rPr>
            </w:pPr>
            <w:r>
              <w:rPr>
                <w:rFonts w:hint="eastAsia" w:ascii="宋体" w:hAnsi="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535D19">
            <w:pPr>
              <w:pStyle w:val="57"/>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348F3540">
            <w:pPr>
              <w:jc w:val="center"/>
              <w:rPr>
                <w:rFonts w:ascii="宋体" w:hAnsi="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Arial"/>
                <w:color w:val="auto"/>
                <w:szCs w:val="21"/>
                <w:highlight w:val="none"/>
                <w:shd w:val="clear" w:color="auto" w:fill="FFFFFF"/>
              </w:rPr>
              <w:t>打印机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591749A">
            <w:pPr>
              <w:jc w:val="center"/>
              <w:rPr>
                <w:rFonts w:ascii="宋体" w:hAnsi="宋体"/>
                <w:color w:val="auto"/>
                <w:szCs w:val="21"/>
                <w:highlight w:val="none"/>
              </w:rPr>
            </w:pPr>
            <w:r>
              <w:rPr>
                <w:rFonts w:hint="eastAsia" w:ascii="宋体" w:hAnsi="宋体"/>
                <w:color w:val="auto"/>
                <w:szCs w:val="21"/>
                <w:highlight w:val="none"/>
              </w:rPr>
              <w:t>A02021001 A3黑白打印机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2CD6A06">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4ED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B1C03">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504C99">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F4243">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5D917D7">
            <w:pPr>
              <w:jc w:val="center"/>
              <w:rPr>
                <w:rFonts w:ascii="宋体" w:hAnsi="宋体"/>
                <w:color w:val="auto"/>
                <w:szCs w:val="21"/>
                <w:highlight w:val="none"/>
              </w:rPr>
            </w:pPr>
            <w:r>
              <w:rPr>
                <w:rFonts w:hint="eastAsia" w:ascii="宋体" w:hAnsi="宋体"/>
                <w:color w:val="auto"/>
                <w:szCs w:val="21"/>
                <w:highlight w:val="none"/>
              </w:rPr>
              <w:t>A02021002 A3彩色打印机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1E94A39">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750E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42BFE">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BDC611">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650BB">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3241C1A">
            <w:pPr>
              <w:jc w:val="center"/>
              <w:rPr>
                <w:rFonts w:ascii="宋体" w:hAnsi="宋体"/>
                <w:color w:val="auto"/>
                <w:szCs w:val="21"/>
                <w:highlight w:val="none"/>
              </w:rPr>
            </w:pPr>
            <w:r>
              <w:rPr>
                <w:rFonts w:hint="eastAsia" w:ascii="宋体" w:hAnsi="宋体"/>
                <w:color w:val="auto"/>
                <w:szCs w:val="21"/>
                <w:highlight w:val="none"/>
              </w:rPr>
              <w:t>A02021003 A4黑白打印机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4958AB7">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67D1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69511">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BD484">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C436D">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9F95BB5">
            <w:pPr>
              <w:jc w:val="center"/>
              <w:rPr>
                <w:rFonts w:ascii="宋体" w:hAnsi="宋体"/>
                <w:color w:val="auto"/>
                <w:szCs w:val="21"/>
                <w:highlight w:val="none"/>
              </w:rPr>
            </w:pPr>
            <w:r>
              <w:rPr>
                <w:rFonts w:hint="eastAsia" w:ascii="宋体" w:hAnsi="宋体"/>
                <w:color w:val="auto"/>
                <w:szCs w:val="21"/>
                <w:highlight w:val="none"/>
              </w:rPr>
              <w:t>A02021004 A4彩色打印机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0AC657B">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74AC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4ED0B">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038C2E">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408E7">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3F208D0">
            <w:pPr>
              <w:jc w:val="center"/>
              <w:rPr>
                <w:rFonts w:ascii="宋体" w:hAnsi="宋体"/>
                <w:color w:val="auto"/>
                <w:szCs w:val="21"/>
                <w:highlight w:val="none"/>
              </w:rPr>
            </w:pPr>
            <w:r>
              <w:rPr>
                <w:rFonts w:hint="eastAsia" w:ascii="宋体" w:hAnsi="宋体"/>
                <w:color w:val="auto"/>
                <w:szCs w:val="21"/>
                <w:highlight w:val="none"/>
              </w:rPr>
              <w:t>A02021005 3D打印机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CC91BBD">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2F3E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339D0">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8279A">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15DD4">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D73BBFF">
            <w:pPr>
              <w:jc w:val="center"/>
              <w:rPr>
                <w:rFonts w:ascii="宋体" w:hAnsi="宋体"/>
                <w:color w:val="auto"/>
                <w:szCs w:val="21"/>
                <w:highlight w:val="none"/>
              </w:rPr>
            </w:pPr>
            <w:r>
              <w:rPr>
                <w:rFonts w:hint="eastAsia" w:ascii="宋体" w:hAnsi="宋体"/>
                <w:color w:val="auto"/>
                <w:szCs w:val="21"/>
                <w:highlight w:val="none"/>
              </w:rPr>
              <w:t>A02021006票据打印机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5B3E0E4">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03D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8836E">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763B2">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E5458">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0279A2A">
            <w:pPr>
              <w:jc w:val="center"/>
              <w:rPr>
                <w:rFonts w:ascii="宋体" w:hAnsi="宋体"/>
                <w:color w:val="auto"/>
                <w:szCs w:val="21"/>
                <w:highlight w:val="none"/>
              </w:rPr>
            </w:pPr>
            <w:r>
              <w:rPr>
                <w:rFonts w:hint="eastAsia" w:ascii="宋体" w:hAnsi="宋体"/>
                <w:color w:val="auto"/>
                <w:szCs w:val="21"/>
                <w:highlight w:val="none"/>
              </w:rPr>
              <w:t>A02021007条码打印机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77D5EC7">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1323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302A4E">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67CC1">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CC344">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9FEE41B">
            <w:pPr>
              <w:jc w:val="center"/>
              <w:rPr>
                <w:rFonts w:ascii="宋体" w:hAnsi="宋体"/>
                <w:color w:val="auto"/>
                <w:szCs w:val="21"/>
                <w:highlight w:val="none"/>
              </w:rPr>
            </w:pPr>
            <w:r>
              <w:rPr>
                <w:rFonts w:hint="eastAsia" w:ascii="宋体" w:hAnsi="宋体"/>
                <w:color w:val="auto"/>
                <w:szCs w:val="21"/>
                <w:highlight w:val="none"/>
              </w:rPr>
              <w:t>A02021008地址打印机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302F81D">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0727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E3A39">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4D41D">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E2FA2">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CBDB1DE">
            <w:pPr>
              <w:jc w:val="center"/>
              <w:rPr>
                <w:rFonts w:ascii="宋体" w:hAnsi="宋体"/>
                <w:color w:val="auto"/>
                <w:szCs w:val="21"/>
                <w:highlight w:val="none"/>
              </w:rPr>
            </w:pPr>
            <w:r>
              <w:rPr>
                <w:rFonts w:hint="eastAsia" w:ascii="宋体" w:hAnsi="宋体"/>
                <w:color w:val="auto"/>
                <w:szCs w:val="21"/>
                <w:highlight w:val="none"/>
              </w:rPr>
              <w:t>A02021099其他打印机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2C59C27">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3175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C4463">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F040A">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AF95D">
            <w:pPr>
              <w:jc w:val="center"/>
              <w:rPr>
                <w:rFonts w:ascii="宋体" w:hAnsi="宋体"/>
                <w:color w:val="auto"/>
                <w:szCs w:val="21"/>
                <w:highlight w:val="none"/>
              </w:rPr>
            </w:pPr>
            <w:r>
              <w:rPr>
                <w:rFonts w:hint="eastAsia" w:ascii="宋体" w:hAnsi="宋体"/>
                <w:color w:val="auto"/>
                <w:szCs w:val="21"/>
                <w:highlight w:val="none"/>
              </w:rPr>
              <w:t>A02021100输入输出设备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BB39993">
            <w:pPr>
              <w:jc w:val="center"/>
              <w:rPr>
                <w:rFonts w:ascii="宋体" w:hAnsi="宋体"/>
                <w:color w:val="auto"/>
                <w:szCs w:val="21"/>
                <w:highlight w:val="none"/>
              </w:rPr>
            </w:pPr>
            <w:r>
              <w:rPr>
                <w:rFonts w:hint="eastAsia" w:ascii="宋体" w:hAnsi="宋体" w:cs="宋体"/>
                <w:color w:val="auto"/>
                <w:w w:val="99"/>
                <w:szCs w:val="21"/>
                <w:highlight w:val="none"/>
              </w:rPr>
              <w:t>★</w:t>
            </w:r>
            <w:r>
              <w:rPr>
                <w:rFonts w:hint="eastAsia" w:ascii="宋体" w:hAnsi="宋体"/>
                <w:color w:val="auto"/>
                <w:szCs w:val="21"/>
                <w:highlight w:val="none"/>
              </w:rPr>
              <w:t>A02021104液晶显示器</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738514BC">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《计算机显示器能效限定值及能效等级》（GB21520）</w:t>
            </w:r>
          </w:p>
        </w:tc>
      </w:tr>
      <w:tr w14:paraId="2C37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CFD4A">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D3E3A">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34A30">
            <w:pPr>
              <w:widowControl/>
              <w:jc w:val="left"/>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9FDB50D">
            <w:pPr>
              <w:jc w:val="center"/>
              <w:rPr>
                <w:rFonts w:ascii="宋体" w:hAnsi="宋体"/>
                <w:color w:val="auto"/>
                <w:szCs w:val="21"/>
                <w:highlight w:val="none"/>
              </w:rPr>
            </w:pPr>
            <w:r>
              <w:rPr>
                <w:rFonts w:hint="eastAsia" w:ascii="宋体" w:hAnsi="宋体"/>
                <w:color w:val="auto"/>
                <w:szCs w:val="21"/>
                <w:highlight w:val="none"/>
              </w:rPr>
              <w:t>A02021118扫描仪</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508D8080">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参照《复印机、打印机和传真机能效限定值及能效等级》（GB21521）中打印速度为15页/分的针式打印机相关要求</w:t>
            </w:r>
          </w:p>
        </w:tc>
      </w:tr>
      <w:tr w14:paraId="4F97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0F7A86F7">
            <w:pPr>
              <w:jc w:val="center"/>
              <w:rPr>
                <w:rFonts w:ascii="宋体" w:hAnsi="宋体"/>
                <w:color w:val="auto"/>
                <w:szCs w:val="21"/>
                <w:highlight w:val="none"/>
              </w:rPr>
            </w:pPr>
            <w:r>
              <w:rPr>
                <w:rFonts w:hint="eastAsia" w:ascii="宋体" w:hAnsi="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E35164C">
            <w:pPr>
              <w:jc w:val="center"/>
              <w:rPr>
                <w:rFonts w:ascii="宋体" w:hAnsi="宋体"/>
                <w:color w:val="auto"/>
                <w:szCs w:val="21"/>
                <w:highlight w:val="none"/>
              </w:rPr>
            </w:pPr>
            <w:r>
              <w:rPr>
                <w:rFonts w:hint="eastAsia" w:ascii="宋体" w:hAnsi="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2D09A5B">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96A9D59">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789478A6">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《投影机能效限定值及能效等级》（GB32028）</w:t>
            </w:r>
          </w:p>
        </w:tc>
      </w:tr>
      <w:tr w14:paraId="33A6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62C6A35">
            <w:pPr>
              <w:jc w:val="center"/>
              <w:rPr>
                <w:rFonts w:ascii="宋体" w:hAnsi="宋体"/>
                <w:color w:val="auto"/>
                <w:szCs w:val="21"/>
                <w:highlight w:val="none"/>
              </w:rPr>
            </w:pPr>
            <w:r>
              <w:rPr>
                <w:rFonts w:hint="eastAsia" w:ascii="宋体" w:hAnsi="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7BADF2D">
            <w:pPr>
              <w:pStyle w:val="57"/>
              <w:spacing w:before="6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F31AD00">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74BD06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4C9313AF">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《复印机、打印机和传真机能效限定值及能效等级》（GB21521）</w:t>
            </w:r>
          </w:p>
        </w:tc>
      </w:tr>
      <w:tr w14:paraId="0DEF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55E0F24">
            <w:pPr>
              <w:pStyle w:val="57"/>
              <w:spacing w:before="160"/>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76E8DD9">
            <w:pPr>
              <w:pStyle w:val="57"/>
              <w:spacing w:before="16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DC5FCFE">
            <w:pPr>
              <w:pStyle w:val="57"/>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AD30C8A">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4758BE8">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《清水离心泵能效限定值及节能评价值》（GB19762）</w:t>
            </w:r>
          </w:p>
        </w:tc>
      </w:tr>
      <w:tr w14:paraId="2EAA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F2F3010">
            <w:pPr>
              <w:jc w:val="center"/>
              <w:rPr>
                <w:rFonts w:ascii="宋体" w:hAnsi="宋体"/>
                <w:color w:val="auto"/>
                <w:szCs w:val="21"/>
                <w:highlight w:val="none"/>
              </w:rPr>
            </w:pPr>
            <w:r>
              <w:rPr>
                <w:rFonts w:hint="eastAsia" w:ascii="宋体" w:hAnsi="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369FE759">
            <w:pPr>
              <w:pStyle w:val="5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595FD7">
            <w:pPr>
              <w:pStyle w:val="57"/>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00ED835">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7CF4565">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《冷水机组能效限定值及能效等级》（GB19577），《低环境温度空气源热泵（冷水）机组能效限定值及能效等级》（GB37480）</w:t>
            </w:r>
          </w:p>
        </w:tc>
      </w:tr>
      <w:tr w14:paraId="7BB1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26A5FC">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8B255">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07BD5">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24F2AFD">
            <w:pPr>
              <w:jc w:val="center"/>
              <w:rPr>
                <w:rFonts w:ascii="宋体" w:hAnsi="宋体"/>
                <w:color w:val="auto"/>
                <w:szCs w:val="21"/>
                <w:highlight w:val="none"/>
              </w:rPr>
            </w:pPr>
            <w:r>
              <w:rPr>
                <w:rFonts w:hint="eastAsia" w:ascii="宋体" w:hAnsi="宋体"/>
                <w:color w:val="auto"/>
                <w:szCs w:val="21"/>
                <w:highlight w:val="none"/>
              </w:rPr>
              <w:t>溴化锂吸收式冷水机组</w:t>
            </w:r>
          </w:p>
        </w:tc>
        <w:tc>
          <w:tcPr>
            <w:tcW w:w="3452" w:type="dxa"/>
            <w:tcBorders>
              <w:top w:val="single" w:color="000000" w:sz="4" w:space="0"/>
              <w:left w:val="single" w:color="000000" w:sz="4" w:space="0"/>
              <w:bottom w:val="single" w:color="000000" w:sz="4" w:space="0"/>
              <w:right w:val="single" w:color="000000" w:sz="4" w:space="0"/>
            </w:tcBorders>
            <w:noWrap w:val="0"/>
            <w:vAlign w:val="center"/>
          </w:tcPr>
          <w:p w14:paraId="384AD03C">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《溴化锂吸收式冷水机组能效限</w:t>
            </w:r>
          </w:p>
          <w:p w14:paraId="7C18ABDA">
            <w:pPr>
              <w:spacing w:before="131" w:line="276" w:lineRule="auto"/>
              <w:ind w:right="4"/>
              <w:rPr>
                <w:rFonts w:ascii="宋体" w:hAnsi="宋体" w:cs="宋体"/>
                <w:color w:val="auto"/>
                <w:spacing w:val="10"/>
                <w:szCs w:val="21"/>
                <w:highlight w:val="none"/>
              </w:rPr>
            </w:pPr>
            <w:r>
              <w:rPr>
                <w:rFonts w:hint="eastAsia" w:ascii="宋体" w:hAnsi="宋体" w:cs="宋体"/>
                <w:color w:val="auto"/>
                <w:spacing w:val="10"/>
                <w:szCs w:val="21"/>
                <w:highlight w:val="none"/>
              </w:rPr>
              <w:t>定值及能效等级》（GB29540）</w:t>
            </w:r>
          </w:p>
        </w:tc>
      </w:tr>
      <w:tr w14:paraId="68BF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C38C2">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0F477">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E098E">
            <w:pPr>
              <w:pStyle w:val="57"/>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9A8FAE1">
            <w:pPr>
              <w:pStyle w:val="57"/>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8ECE4F9">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7E4F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01110">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A7256">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4DB03">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3F57FE9">
            <w:pPr>
              <w:jc w:val="center"/>
              <w:rPr>
                <w:rFonts w:ascii="宋体" w:hAnsi="宋体"/>
                <w:color w:val="auto"/>
                <w:szCs w:val="21"/>
                <w:highlight w:val="none"/>
              </w:rPr>
            </w:pPr>
            <w:r>
              <w:rPr>
                <w:rFonts w:hint="eastAsia" w:ascii="宋体" w:hAnsi="宋体" w:cs="宋体"/>
                <w:color w:val="auto"/>
                <w:w w:val="99"/>
                <w:szCs w:val="21"/>
                <w:highlight w:val="none"/>
              </w:rPr>
              <w:t>单元式空气调节机</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F42A669">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《单元式空气调节机能效限定值及能效等级》（GB19576）《风管送风式空调机组能效限定值及能效等级》（GB37479）</w:t>
            </w:r>
          </w:p>
        </w:tc>
      </w:tr>
      <w:tr w14:paraId="6723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7F0B5">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E0855">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E01B8DE">
            <w:pPr>
              <w:pStyle w:val="57"/>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CCA535">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A35B02B">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w:t>
            </w:r>
          </w:p>
          <w:p w14:paraId="080A2ECB">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及能效等级》（GB19576）</w:t>
            </w:r>
          </w:p>
        </w:tc>
      </w:tr>
      <w:tr w14:paraId="325C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8A5A4">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36157">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826B931">
            <w:pPr>
              <w:pStyle w:val="57"/>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52D64659">
            <w:pPr>
              <w:pStyle w:val="57"/>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1BA333B">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15C5D64">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《机械通风冷却塔第1部分：中小型开式冷却塔》（GB/T7190.1）</w:t>
            </w:r>
          </w:p>
          <w:p w14:paraId="59073D78">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《机械通风冷却塔第2部分：大型开式冷却塔》（GB/T7190.2）</w:t>
            </w:r>
          </w:p>
        </w:tc>
      </w:tr>
      <w:tr w14:paraId="439D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136802B3">
            <w:pPr>
              <w:pStyle w:val="57"/>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44CF1D2">
            <w:pPr>
              <w:pStyle w:val="5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CF982E1">
            <w:pPr>
              <w:jc w:val="center"/>
              <w:rPr>
                <w:rFonts w:ascii="宋体" w:hAnsi="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C34880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AC7A8BC">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《中小型三相异步电动机能效限定值及能效等级》（GB18613）</w:t>
            </w:r>
          </w:p>
        </w:tc>
      </w:tr>
      <w:tr w14:paraId="5AAE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282D382C">
            <w:pPr>
              <w:pStyle w:val="57"/>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B3C2470">
            <w:pPr>
              <w:pStyle w:val="57"/>
              <w:spacing w:before="30"/>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3524BAD3">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FADCBF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F1A9B2A">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《三相配电变压器能效限定值及能效等级》（GB 20052）</w:t>
            </w:r>
          </w:p>
        </w:tc>
      </w:tr>
      <w:tr w14:paraId="5A08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65663998">
            <w:pPr>
              <w:pStyle w:val="57"/>
              <w:ind w:right="1"/>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9786D58">
            <w:pPr>
              <w:pStyle w:val="57"/>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576B645">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7627B1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E0AC5FF">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《管形荧光灯镇流器能效限定值及能效等级》（GB17896）</w:t>
            </w:r>
          </w:p>
        </w:tc>
      </w:tr>
      <w:tr w14:paraId="7537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569EA19">
            <w:pPr>
              <w:pStyle w:val="57"/>
              <w:jc w:val="center"/>
              <w:rPr>
                <w:rFonts w:ascii="宋体" w:hAnsi="宋体" w:cs="宋体"/>
                <w:color w:val="auto"/>
                <w:kern w:val="2"/>
                <w:sz w:val="21"/>
                <w:szCs w:val="21"/>
                <w:highlight w:val="none"/>
              </w:rPr>
            </w:pPr>
            <w:r>
              <w:rPr>
                <w:rFonts w:hint="eastAsia" w:ascii="宋体" w:hAnsi="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76569A">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04E2D49A">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51820D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62ABA2C">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《家用电冰箱耗电量限定值及能效等级》（GB12021.2）</w:t>
            </w:r>
          </w:p>
        </w:tc>
      </w:tr>
      <w:tr w14:paraId="4550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83C2B">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5C60E">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4BE0C6">
            <w:pPr>
              <w:pStyle w:val="57"/>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DEEE01">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84C5B40">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《房间空气调节器能效限定值及能效等级》（GB21455-2019）</w:t>
            </w:r>
          </w:p>
        </w:tc>
      </w:tr>
      <w:tr w14:paraId="248A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29FD5">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D0A45">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21044">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C3D883">
            <w:pPr>
              <w:pStyle w:val="57"/>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58439DE">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《多联式空调（热泵）机组能效限定值及能源效率等级》（GB21454）</w:t>
            </w:r>
          </w:p>
        </w:tc>
      </w:tr>
      <w:tr w14:paraId="1713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908C88">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AD04D">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6EB01">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89349A7">
            <w:pPr>
              <w:pStyle w:val="5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6436EAB">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《单元式空气调节机能效限定值及能源效率等级》（GB19576）《风管送风式空调机组能效限定值及能效等级》（GB37479）</w:t>
            </w:r>
          </w:p>
        </w:tc>
      </w:tr>
      <w:tr w14:paraId="4864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9359E">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E99F8">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04E0E32">
            <w:pPr>
              <w:pStyle w:val="57"/>
              <w:spacing w:before="16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B713CD1">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4DE8711">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《电动洗衣机能效水效限定值及等级》（GB12021.4）</w:t>
            </w:r>
          </w:p>
        </w:tc>
      </w:tr>
      <w:tr w14:paraId="4525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46BE1">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001C7">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BEF32ED">
            <w:pPr>
              <w:pStyle w:val="57"/>
              <w:spacing w:before="161"/>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06EF9A9">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04A3471">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《储水式电热水器能效限定值及能效等级》（GB21519）</w:t>
            </w:r>
          </w:p>
        </w:tc>
      </w:tr>
      <w:tr w14:paraId="1B08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ABF90">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FEF41">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DA6C6">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59730DC8">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43AE7E6">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《家用燃气快速热水器和燃气采暖热水炉能效限定值及能效等级》（GB20665）</w:t>
            </w:r>
          </w:p>
        </w:tc>
      </w:tr>
      <w:tr w14:paraId="2AB6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8208E6">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A5885">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3A930">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5C40EC8">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68BC3B5">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《热泵热水机（器）能效限定值及能效等级》（GB29541）</w:t>
            </w:r>
          </w:p>
        </w:tc>
      </w:tr>
      <w:tr w14:paraId="0CBA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B9B16F">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46392">
            <w:pPr>
              <w:widowControl/>
              <w:jc w:val="left"/>
              <w:rPr>
                <w:rFonts w:ascii="宋体" w:hAnsi="宋体" w:cs="宋体"/>
                <w:color w:val="auto"/>
                <w:szCs w:val="21"/>
                <w:highlight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48D65">
            <w:pPr>
              <w:widowControl/>
              <w:jc w:val="left"/>
              <w:rPr>
                <w:rFonts w:ascii="宋体" w:hAnsi="宋体" w:cs="宋体"/>
                <w:color w:val="auto"/>
                <w:szCs w:val="21"/>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4EF1AF3D">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9D0A2F3">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《家用太阳能热水系统能效限定值及能效等级》（GB26969）</w:t>
            </w:r>
          </w:p>
        </w:tc>
      </w:tr>
      <w:tr w14:paraId="19C3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716BE">
            <w:pPr>
              <w:pStyle w:val="57"/>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342ABA5">
            <w:pPr>
              <w:pStyle w:val="57"/>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F9F1F86">
            <w:pPr>
              <w:pStyle w:val="57"/>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36D7D8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8588329">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《普通照明用双端荧光灯能效限定值及能效等级》（GB19043）</w:t>
            </w:r>
          </w:p>
        </w:tc>
      </w:tr>
      <w:tr w14:paraId="30CE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1FCD9">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3AB5F">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09A1E6B">
            <w:pPr>
              <w:pStyle w:val="57"/>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DCB0FBB">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E9824B0">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《道路和隧道照明用LED灯具能效限定值及能效等级》（GB37478）</w:t>
            </w:r>
          </w:p>
        </w:tc>
      </w:tr>
      <w:tr w14:paraId="4C7A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A70E0">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59E2B">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8DBB258">
            <w:pPr>
              <w:pStyle w:val="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45FEB9E">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7B119932">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136D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08CFD">
            <w:pPr>
              <w:widowControl/>
              <w:jc w:val="left"/>
              <w:rPr>
                <w:rFonts w:ascii="宋体" w:hAnsi="宋体" w:cs="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F5DFF">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245F74D">
            <w:pPr>
              <w:pStyle w:val="57"/>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FFC1812">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6942A304">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《室内照明用LED产品能效限定值及能效等级》（GB30255）</w:t>
            </w:r>
          </w:p>
        </w:tc>
      </w:tr>
      <w:tr w14:paraId="5590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2AE59DB">
            <w:pPr>
              <w:pStyle w:val="57"/>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4318463F">
            <w:pPr>
              <w:pStyle w:val="57"/>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105B1351">
            <w:pPr>
              <w:pStyle w:val="57"/>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BE3BD63">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BBBCDBD">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《平板电视能效限定值及能效等级》（GB24850）</w:t>
            </w:r>
          </w:p>
        </w:tc>
      </w:tr>
      <w:tr w14:paraId="4106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0F1A1E9A">
            <w:pPr>
              <w:pStyle w:val="57"/>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6066D1A">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720B028">
            <w:pPr>
              <w:pStyle w:val="57"/>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58F0455">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7848B70">
            <w:pPr>
              <w:pStyle w:val="57"/>
              <w:spacing w:before="131" w:line="276" w:lineRule="auto"/>
              <w:ind w:left="7" w:right="4"/>
              <w:rPr>
                <w:rFonts w:ascii="宋体" w:hAnsi="宋体" w:cs="宋体"/>
                <w:color w:val="auto"/>
                <w:spacing w:val="10"/>
                <w:kern w:val="2"/>
                <w:sz w:val="21"/>
                <w:szCs w:val="21"/>
                <w:highlight w:val="none"/>
                <w:lang w:eastAsia="zh-CN"/>
              </w:rPr>
            </w:pPr>
            <w:r>
              <w:rPr>
                <w:rFonts w:hint="eastAsia" w:ascii="宋体" w:hAnsi="宋体" w:cs="宋体"/>
                <w:color w:val="auto"/>
                <w:spacing w:val="10"/>
                <w:kern w:val="2"/>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2F06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DEA42F9">
            <w:pPr>
              <w:pStyle w:val="57"/>
              <w:jc w:val="center"/>
              <w:rPr>
                <w:rFonts w:ascii="宋体" w:hAnsi="宋体" w:cs="宋体"/>
                <w:color w:val="auto"/>
                <w:kern w:val="2"/>
                <w:sz w:val="21"/>
                <w:szCs w:val="21"/>
                <w:highlight w:val="none"/>
              </w:rPr>
            </w:pPr>
            <w:r>
              <w:rPr>
                <w:rFonts w:hint="eastAsia" w:ascii="宋体" w:hAnsi="宋体"/>
                <w:color w:val="auto"/>
                <w:spacing w:val="1"/>
                <w:w w:val="99"/>
                <w:kern w:val="2"/>
                <w:sz w:val="21"/>
                <w:szCs w:val="21"/>
                <w:highlight w:val="none"/>
              </w:rPr>
              <w:t>1</w:t>
            </w:r>
            <w:r>
              <w:rPr>
                <w:rFonts w:hint="eastAsia" w:ascii="宋体" w:hAnsi="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92D87EE">
            <w:pPr>
              <w:pStyle w:val="57"/>
              <w:spacing w:before="76"/>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E4B5304">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442993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A35D5B6">
            <w:pPr>
              <w:pStyle w:val="57"/>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《商用燃气灶具能效限定值及能效等级》（GB30531）</w:t>
            </w:r>
          </w:p>
        </w:tc>
      </w:tr>
      <w:tr w14:paraId="5F26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0CFAC">
            <w:pPr>
              <w:jc w:val="center"/>
              <w:rPr>
                <w:rFonts w:ascii="宋体" w:hAnsi="宋体"/>
                <w:color w:val="auto"/>
                <w:szCs w:val="21"/>
                <w:highlight w:val="none"/>
              </w:rPr>
            </w:pPr>
            <w:r>
              <w:rPr>
                <w:rFonts w:hint="eastAsia" w:ascii="宋体" w:hAnsi="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1BCBE6">
            <w:pPr>
              <w:pStyle w:val="5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仿宋_GB2312"/>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ED90855">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F226C1F">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26175A82">
            <w:pPr>
              <w:pStyle w:val="57"/>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《坐便器水效限定值及水效等级》</w:t>
            </w:r>
          </w:p>
          <w:p w14:paraId="6A1F71EA">
            <w:pPr>
              <w:pStyle w:val="57"/>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（GB25502）</w:t>
            </w:r>
          </w:p>
        </w:tc>
      </w:tr>
      <w:tr w14:paraId="7268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B4A04">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71797">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7FD383FA">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8048590">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418A2B44">
            <w:pPr>
              <w:pStyle w:val="57"/>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《蹲便器用水效率限定值及用水效率等级》（GB30717）</w:t>
            </w:r>
          </w:p>
        </w:tc>
      </w:tr>
      <w:tr w14:paraId="51B2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C5D2F">
            <w:pPr>
              <w:widowControl/>
              <w:jc w:val="left"/>
              <w:rPr>
                <w:rFonts w:ascii="宋体" w:hAnsi="宋体"/>
                <w:color w:val="auto"/>
                <w:szCs w:val="21"/>
                <w:highlight w:val="none"/>
              </w:rPr>
            </w:pPr>
          </w:p>
        </w:tc>
        <w:tc>
          <w:tcPr>
            <w:tcW w:w="14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E994C">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69991303">
            <w:pPr>
              <w:pStyle w:val="5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818BFA8">
            <w:pPr>
              <w:jc w:val="center"/>
              <w:rPr>
                <w:rFonts w:ascii="宋体" w:hAnsi="宋体"/>
                <w:color w:val="auto"/>
                <w:szCs w:val="21"/>
                <w:highlight w:val="none"/>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5312FA22">
            <w:pPr>
              <w:pStyle w:val="57"/>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《小便器用水效率限定值及用水效率等级》（GB28377）</w:t>
            </w:r>
          </w:p>
        </w:tc>
      </w:tr>
      <w:tr w14:paraId="54AC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07A5185D">
            <w:pPr>
              <w:pStyle w:val="57"/>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67B77040">
            <w:pPr>
              <w:pStyle w:val="57"/>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w:t>
            </w:r>
            <w:r>
              <w:rPr>
                <w:rFonts w:hint="eastAsia" w:ascii="宋体" w:hAnsi="宋体" w:cs="仿宋_GB2312"/>
                <w:color w:val="auto"/>
                <w:kern w:val="2"/>
                <w:sz w:val="21"/>
                <w:szCs w:val="21"/>
                <w:highlight w:val="none"/>
              </w:rPr>
              <w:t>A05020106</w:t>
            </w:r>
            <w:r>
              <w:rPr>
                <w:rFonts w:hint="eastAsia" w:ascii="宋体" w:hAnsi="宋体" w:cs="宋体"/>
                <w:color w:val="auto"/>
                <w:kern w:val="2"/>
                <w:sz w:val="21"/>
                <w:szCs w:val="21"/>
                <w:highlight w:val="none"/>
              </w:rPr>
              <w:t>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526595CF">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BAE680">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060279EA">
            <w:pPr>
              <w:pStyle w:val="57"/>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1FBB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D41C495">
            <w:pPr>
              <w:pStyle w:val="57"/>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20A7375">
            <w:pPr>
              <w:pStyle w:val="57"/>
              <w:spacing w:before="112"/>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A05020107</w:t>
            </w:r>
            <w:r>
              <w:rPr>
                <w:rFonts w:hint="eastAsia" w:ascii="宋体" w:hAnsi="宋体" w:cs="宋体"/>
                <w:color w:val="auto"/>
                <w:kern w:val="2"/>
                <w:sz w:val="21"/>
                <w:szCs w:val="21"/>
                <w:highlight w:val="none"/>
              </w:rPr>
              <w:t>便器冲洗阀</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479F5007">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4C7B28">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1A30D730">
            <w:pPr>
              <w:pStyle w:val="57"/>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7E11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0"/>
            <w:vAlign w:val="center"/>
          </w:tcPr>
          <w:p w14:paraId="47DF42DE">
            <w:pPr>
              <w:pStyle w:val="57"/>
              <w:jc w:val="center"/>
              <w:rPr>
                <w:rFonts w:ascii="宋体" w:hAnsi="宋体" w:cs="宋体"/>
                <w:color w:val="auto"/>
                <w:kern w:val="2"/>
                <w:sz w:val="21"/>
                <w:szCs w:val="21"/>
                <w:highlight w:val="none"/>
              </w:rPr>
            </w:pPr>
            <w:r>
              <w:rPr>
                <w:rFonts w:hint="eastAsia" w:ascii="宋体" w:hAnsi="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E080970">
            <w:pPr>
              <w:pStyle w:val="57"/>
              <w:spacing w:before="131"/>
              <w:ind w:left="7"/>
              <w:jc w:val="center"/>
              <w:rPr>
                <w:rFonts w:ascii="宋体" w:hAnsi="宋体" w:cs="宋体"/>
                <w:color w:val="auto"/>
                <w:kern w:val="2"/>
                <w:sz w:val="21"/>
                <w:szCs w:val="21"/>
                <w:highlight w:val="none"/>
              </w:rPr>
            </w:pPr>
            <w:r>
              <w:rPr>
                <w:rFonts w:hint="eastAsia" w:ascii="宋体" w:hAnsi="宋体" w:cs="仿宋_GB2312"/>
                <w:color w:val="auto"/>
                <w:kern w:val="2"/>
                <w:sz w:val="21"/>
                <w:szCs w:val="21"/>
                <w:highlight w:val="none"/>
              </w:rPr>
              <w:t>A05020110</w:t>
            </w:r>
            <w:r>
              <w:rPr>
                <w:rFonts w:hint="eastAsia" w:ascii="宋体" w:hAnsi="宋体" w:cs="宋体"/>
                <w:color w:val="auto"/>
                <w:kern w:val="2"/>
                <w:sz w:val="21"/>
                <w:szCs w:val="21"/>
                <w:highlight w:val="none"/>
              </w:rPr>
              <w:t>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14:paraId="2B747CD8">
            <w:pPr>
              <w:jc w:val="center"/>
              <w:rPr>
                <w:rFonts w:ascii="宋体" w:hAnsi="宋体"/>
                <w:color w:val="auto"/>
                <w:szCs w:val="21"/>
                <w:highlight w:val="none"/>
                <w:lang w:eastAsia="en-US"/>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6C768DA2">
            <w:pPr>
              <w:jc w:val="center"/>
              <w:rPr>
                <w:rFonts w:ascii="宋体" w:hAnsi="宋体"/>
                <w:color w:val="auto"/>
                <w:szCs w:val="21"/>
                <w:highlight w:val="none"/>
                <w:lang w:eastAsia="en-US"/>
              </w:rPr>
            </w:pPr>
          </w:p>
        </w:tc>
        <w:tc>
          <w:tcPr>
            <w:tcW w:w="3452" w:type="dxa"/>
            <w:tcBorders>
              <w:top w:val="single" w:color="000000" w:sz="4" w:space="0"/>
              <w:left w:val="single" w:color="000000" w:sz="4" w:space="0"/>
              <w:bottom w:val="single" w:color="000000" w:sz="4" w:space="0"/>
              <w:right w:val="single" w:color="000000" w:sz="4" w:space="0"/>
            </w:tcBorders>
            <w:noWrap w:val="0"/>
            <w:vAlign w:val="top"/>
          </w:tcPr>
          <w:p w14:paraId="38DF8D4E">
            <w:pPr>
              <w:pStyle w:val="57"/>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1D64E353">
      <w:pPr>
        <w:pStyle w:val="10"/>
        <w:spacing w:line="360" w:lineRule="auto"/>
        <w:rPr>
          <w:rFonts w:hint="eastAsia" w:ascii="宋体" w:hAnsi="宋体"/>
          <w:color w:val="auto"/>
          <w:szCs w:val="21"/>
          <w:highlight w:val="none"/>
        </w:rPr>
      </w:pPr>
      <w:r>
        <w:rPr>
          <w:rFonts w:hint="eastAsia" w:ascii="宋体" w:hAnsi="宋体"/>
          <w:color w:val="auto"/>
          <w:spacing w:val="-3"/>
          <w:szCs w:val="21"/>
          <w:highlight w:val="none"/>
        </w:rPr>
        <w:t>注：1.节能产品认证应依据相关国家标准的最新版本，依据国家标准中二级能效（水效）</w:t>
      </w:r>
      <w:r>
        <w:rPr>
          <w:rFonts w:hint="eastAsia" w:ascii="宋体" w:hAnsi="宋体"/>
          <w:color w:val="auto"/>
          <w:szCs w:val="21"/>
          <w:highlight w:val="none"/>
        </w:rPr>
        <w:t>指标。</w:t>
      </w:r>
    </w:p>
    <w:p w14:paraId="7EE52B3F">
      <w:pPr>
        <w:pStyle w:val="10"/>
        <w:spacing w:line="360" w:lineRule="auto"/>
        <w:ind w:firstLine="465"/>
        <w:rPr>
          <w:rFonts w:hint="eastAsia" w:ascii="宋体" w:hAnsi="宋体"/>
          <w:color w:val="auto"/>
          <w:szCs w:val="21"/>
          <w:highlight w:val="none"/>
        </w:rPr>
      </w:pPr>
      <w:r>
        <w:rPr>
          <w:rFonts w:hint="eastAsia" w:ascii="宋体" w:hAnsi="宋体"/>
          <w:color w:val="auto"/>
          <w:szCs w:val="21"/>
          <w:highlight w:val="none"/>
        </w:rPr>
        <w:t>2.以“★”标注的为政府强制采购产品。</w:t>
      </w:r>
    </w:p>
    <w:p w14:paraId="609C8F07">
      <w:pPr>
        <w:pStyle w:val="10"/>
        <w:spacing w:line="360" w:lineRule="auto"/>
        <w:ind w:firstLine="465"/>
        <w:rPr>
          <w:rFonts w:hint="eastAsia" w:ascii="宋体" w:hAnsi="宋体"/>
          <w:color w:val="auto"/>
          <w:szCs w:val="21"/>
          <w:highlight w:val="none"/>
        </w:rPr>
      </w:pPr>
      <w:r>
        <w:rPr>
          <w:rFonts w:hint="eastAsia" w:ascii="宋体" w:hAnsi="宋体"/>
          <w:color w:val="auto"/>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51A6B8B5">
      <w:pPr>
        <w:widowControl/>
        <w:jc w:val="left"/>
        <w:rPr>
          <w:rFonts w:hint="eastAsia" w:ascii="宋体" w:hAnsi="宋体" w:cs="宋体"/>
          <w:color w:val="auto"/>
          <w:sz w:val="20"/>
          <w:szCs w:val="20"/>
          <w:highlight w:val="none"/>
        </w:rPr>
      </w:pPr>
    </w:p>
    <w:p w14:paraId="409973C7">
      <w:pPr>
        <w:widowControl/>
        <w:jc w:val="left"/>
        <w:rPr>
          <w:rFonts w:hint="eastAsia" w:ascii="宋体" w:hAnsi="宋体" w:cs="宋体"/>
          <w:color w:val="auto"/>
          <w:sz w:val="20"/>
          <w:szCs w:val="20"/>
          <w:highlight w:val="none"/>
        </w:rPr>
      </w:pPr>
    </w:p>
    <w:p w14:paraId="49E13E2A">
      <w:pPr>
        <w:widowControl/>
        <w:jc w:val="left"/>
        <w:rPr>
          <w:rFonts w:hint="eastAsia" w:ascii="黑体" w:hAnsi="黑体" w:eastAsia="黑体" w:cs="黑体"/>
          <w:color w:val="auto"/>
          <w:sz w:val="32"/>
          <w:szCs w:val="32"/>
          <w:highlight w:val="none"/>
        </w:rPr>
      </w:pPr>
      <w:r>
        <w:rPr>
          <w:rFonts w:hint="eastAsia"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241CB52D">
      <w:pPr>
        <w:pStyle w:val="10"/>
        <w:jc w:val="center"/>
        <w:rPr>
          <w:rFonts w:hint="eastAsia"/>
          <w:b/>
          <w:color w:val="auto"/>
          <w:sz w:val="28"/>
          <w:szCs w:val="28"/>
          <w:highlight w:val="none"/>
        </w:rPr>
      </w:pPr>
      <w:r>
        <w:rPr>
          <w:rFonts w:hint="eastAsia"/>
          <w:b/>
          <w:color w:val="auto"/>
          <w:sz w:val="28"/>
          <w:szCs w:val="28"/>
          <w:highlight w:val="none"/>
        </w:rPr>
        <w:t>中小企业划型标准规定</w:t>
      </w:r>
    </w:p>
    <w:p w14:paraId="52D85289">
      <w:pPr>
        <w:pStyle w:val="10"/>
        <w:jc w:val="center"/>
        <w:rPr>
          <w:rFonts w:ascii="宋体" w:hAnsi="宋体"/>
          <w:color w:val="auto"/>
          <w:szCs w:val="21"/>
          <w:highlight w:val="none"/>
        </w:rPr>
      </w:pPr>
      <w:r>
        <w:rPr>
          <w:rFonts w:hint="eastAsia" w:ascii="宋体" w:hAnsi="宋体"/>
          <w:color w:val="auto"/>
          <w:szCs w:val="21"/>
          <w:highlight w:val="none"/>
        </w:rPr>
        <w:t>工信部联企业</w:t>
      </w:r>
      <w:r>
        <w:rPr>
          <w:rFonts w:hint="eastAsia" w:ascii="宋体" w:hAnsi="宋体"/>
          <w:color w:val="auto"/>
          <w:szCs w:val="21"/>
          <w:highlight w:val="none"/>
          <w:lang w:eastAsia="zh-CN"/>
        </w:rPr>
        <w:t>〔2011〕300号</w:t>
      </w:r>
    </w:p>
    <w:p w14:paraId="6D839D92">
      <w:pPr>
        <w:pStyle w:val="10"/>
        <w:rPr>
          <w:rFonts w:hint="eastAsia"/>
          <w:color w:val="auto"/>
          <w:szCs w:val="21"/>
          <w:highlight w:val="none"/>
        </w:rPr>
      </w:pPr>
    </w:p>
    <w:p w14:paraId="7CF3D881">
      <w:pPr>
        <w:pStyle w:val="10"/>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rFonts w:hint="eastAsia"/>
          <w:color w:val="auto"/>
          <w:szCs w:val="21"/>
          <w:highlight w:val="none"/>
          <w:lang w:eastAsia="zh-CN"/>
        </w:rPr>
        <w:t>〔2009〕36号</w:t>
      </w:r>
      <w:r>
        <w:rPr>
          <w:color w:val="auto"/>
          <w:szCs w:val="21"/>
          <w:highlight w:val="none"/>
        </w:rPr>
        <w:t>)</w:t>
      </w:r>
      <w:r>
        <w:rPr>
          <w:rFonts w:hint="eastAsia"/>
          <w:color w:val="auto"/>
          <w:szCs w:val="21"/>
          <w:highlight w:val="none"/>
        </w:rPr>
        <w:t>，制定本规定。</w:t>
      </w:r>
    </w:p>
    <w:p w14:paraId="7AC2D544">
      <w:pPr>
        <w:pStyle w:val="10"/>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3718DA36">
      <w:pPr>
        <w:pStyle w:val="10"/>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8C546F">
      <w:pPr>
        <w:pStyle w:val="10"/>
        <w:rPr>
          <w:color w:val="auto"/>
          <w:szCs w:val="21"/>
          <w:highlight w:val="none"/>
        </w:rPr>
      </w:pPr>
      <w:r>
        <w:rPr>
          <w:rFonts w:hint="eastAsia"/>
          <w:color w:val="auto"/>
          <w:szCs w:val="21"/>
          <w:highlight w:val="none"/>
        </w:rPr>
        <w:t>　　四、各行业划型标准为：</w:t>
      </w:r>
    </w:p>
    <w:p w14:paraId="7F9A2965">
      <w:pPr>
        <w:pStyle w:val="10"/>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483E406B">
      <w:pPr>
        <w:pStyle w:val="10"/>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2464C99E">
      <w:pPr>
        <w:pStyle w:val="10"/>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73823438">
      <w:pPr>
        <w:pStyle w:val="10"/>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72EEC737">
      <w:pPr>
        <w:pStyle w:val="10"/>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0279908A">
      <w:pPr>
        <w:pStyle w:val="10"/>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0354FB23">
      <w:pPr>
        <w:pStyle w:val="10"/>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C1FF195">
      <w:pPr>
        <w:pStyle w:val="10"/>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FDF726C">
      <w:pPr>
        <w:pStyle w:val="10"/>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18BCD8AA">
      <w:pPr>
        <w:pStyle w:val="10"/>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DDCE561">
      <w:pPr>
        <w:pStyle w:val="10"/>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45AA62E">
      <w:pPr>
        <w:pStyle w:val="10"/>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6396FFE3">
      <w:pPr>
        <w:pStyle w:val="10"/>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6148A95E">
      <w:pPr>
        <w:pStyle w:val="10"/>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521BD208">
      <w:pPr>
        <w:pStyle w:val="10"/>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462F6F74">
      <w:pPr>
        <w:pStyle w:val="10"/>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42B2C772">
      <w:pPr>
        <w:pStyle w:val="10"/>
        <w:rPr>
          <w:color w:val="auto"/>
          <w:szCs w:val="21"/>
          <w:highlight w:val="none"/>
        </w:rPr>
      </w:pPr>
      <w:r>
        <w:rPr>
          <w:rFonts w:hint="eastAsia"/>
          <w:color w:val="auto"/>
          <w:szCs w:val="21"/>
          <w:highlight w:val="none"/>
        </w:rPr>
        <w:t>　　五、企业类型的划分以统计部门的统计数据为依据。</w:t>
      </w:r>
    </w:p>
    <w:p w14:paraId="3F26F0CA">
      <w:pPr>
        <w:pStyle w:val="10"/>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49836445">
      <w:pPr>
        <w:pStyle w:val="10"/>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3DC9DF0">
      <w:pPr>
        <w:pStyle w:val="10"/>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7A31A435">
      <w:pPr>
        <w:pStyle w:val="10"/>
        <w:rPr>
          <w:color w:val="auto"/>
          <w:szCs w:val="21"/>
          <w:highlight w:val="none"/>
        </w:rPr>
      </w:pPr>
      <w:r>
        <w:rPr>
          <w:rFonts w:hint="eastAsia"/>
          <w:color w:val="auto"/>
          <w:szCs w:val="21"/>
          <w:highlight w:val="none"/>
        </w:rPr>
        <w:t>　　九、本规定由工业和信息化部、国家统计局会同有关部门负责解释。</w:t>
      </w:r>
    </w:p>
    <w:p w14:paraId="0DA3E225">
      <w:pPr>
        <w:pStyle w:val="10"/>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4501AC00">
      <w:pPr>
        <w:widowControl/>
        <w:jc w:val="left"/>
        <w:rPr>
          <w:rFonts w:ascii="宋体" w:hAnsi="宋体" w:cs="宋体"/>
          <w:color w:val="auto"/>
          <w:sz w:val="20"/>
          <w:szCs w:val="20"/>
          <w:highlight w:val="none"/>
        </w:rPr>
      </w:pPr>
    </w:p>
    <w:p w14:paraId="071373B1">
      <w:pPr>
        <w:pStyle w:val="3"/>
        <w:jc w:val="center"/>
        <w:rPr>
          <w:rFonts w:hint="eastAsia"/>
          <w:color w:val="auto"/>
          <w:highlight w:val="none"/>
        </w:rPr>
      </w:pPr>
      <w:r>
        <w:rPr>
          <w:rFonts w:ascii="宋体" w:hAnsi="宋体" w:cs="宋体"/>
          <w:color w:val="auto"/>
          <w:sz w:val="20"/>
          <w:szCs w:val="20"/>
          <w:highlight w:val="none"/>
        </w:rPr>
        <w:br w:type="page"/>
      </w:r>
      <w:bookmarkStart w:id="77" w:name="_Toc74322011"/>
      <w:r>
        <w:rPr>
          <w:rFonts w:hint="eastAsia"/>
          <w:color w:val="auto"/>
          <w:highlight w:val="none"/>
        </w:rPr>
        <w:t xml:space="preserve">第四章  </w:t>
      </w:r>
      <w:bookmarkStart w:id="78" w:name="_Hlk68601507"/>
      <w:r>
        <w:rPr>
          <w:rFonts w:hint="eastAsia"/>
          <w:color w:val="auto"/>
          <w:highlight w:val="none"/>
        </w:rPr>
        <w:t>评审程序和评定成交的标准</w:t>
      </w:r>
      <w:bookmarkEnd w:id="77"/>
      <w:bookmarkEnd w:id="78"/>
    </w:p>
    <w:p w14:paraId="39081E39">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w:t>
      </w:r>
    </w:p>
    <w:p w14:paraId="2BE03AA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46E67B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由谈判小组确认谈判文件。</w:t>
      </w:r>
    </w:p>
    <w:p w14:paraId="0FA850ED">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35B9139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0510510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5B182BC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w:t>
      </w:r>
    </w:p>
    <w:p w14:paraId="2A06A49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3C86EF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4A0ED692">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w:t>
      </w:r>
      <w:r>
        <w:rPr>
          <w:rFonts w:hint="eastAsia" w:ascii="宋体" w:hAnsi="宋体" w:eastAsia="宋体" w:cs="宋体"/>
          <w:color w:val="auto"/>
          <w:szCs w:val="21"/>
          <w:highlight w:val="none"/>
        </w:rPr>
        <w:t>十二条规定条件的供应商）的，视同联合体存在不良信用记录。</w:t>
      </w:r>
    </w:p>
    <w:p w14:paraId="2BEA12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14:paraId="343F7B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供应商有下列情形之一的，资格审查不通过，其响应文件按无效处理：</w:t>
      </w:r>
    </w:p>
    <w:p w14:paraId="3DEACC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1B69E5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（2）未按谈判文件规定的方式获取本谈判文件的供应商；</w:t>
      </w:r>
    </w:p>
    <w:p w14:paraId="6CDC1BA2">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（3）响应文件中的资格证明文件缺</w:t>
      </w:r>
      <w:r>
        <w:rPr>
          <w:rFonts w:hint="eastAsia" w:ascii="宋体" w:hAnsi="宋体" w:cs="宋体"/>
          <w:color w:val="auto"/>
          <w:szCs w:val="21"/>
          <w:highlight w:val="none"/>
        </w:rPr>
        <w:t>少任一项“供应商须知前附表”资格证明文件规定的“必须提供”的文件资料的；</w:t>
      </w:r>
    </w:p>
    <w:p w14:paraId="336B162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6CCF7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2D1141E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54C5060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59D6B1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66D6EE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79A1CD">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3D21771D">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4208420A">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252825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E64C7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D111D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1736A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61753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41598F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432EEA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84215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1EAE3F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7307F1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7CE0CA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14:paraId="45304A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CBA62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74E03F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14:paraId="60D495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14:paraId="28975C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14:paraId="342A56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14:paraId="4967241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06E960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14:paraId="73737CD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2）虚假竞标，或者出现其他情形而导致被谈判小组认定无效的；</w:t>
      </w:r>
    </w:p>
    <w:p w14:paraId="7F5A1EE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79"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79"/>
    </w:p>
    <w:p w14:paraId="6EA5B62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4）响应文件标注的项目名称或者项目编号与谈判文件标注的项目名称或者项目编号不一致的；</w:t>
      </w:r>
    </w:p>
    <w:p w14:paraId="228CD2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谈判文件明确不允许分包，响应文件拟分包的；</w:t>
      </w:r>
    </w:p>
    <w:p w14:paraId="16B4FC7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6）未响应谈判文件实质性要求；</w:t>
      </w:r>
    </w:p>
    <w:p w14:paraId="78E431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14:paraId="19FE92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273C5D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14:paraId="598BF3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2FFEF5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197644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67C963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4BF966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770900E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0C71F0F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2183733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14:paraId="0442C55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6CEE1CF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7B66A1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0BEEABC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74534FA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5383845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0105C5D4">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2C1A40EC">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14:paraId="39B76FA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5C06D7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1087038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7692E03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772BED9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70631F0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14:paraId="337396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最后报价统一开启后，谈判小组对最后报价进行有效性、完整性和响应程度的审查。</w:t>
      </w:r>
    </w:p>
    <w:p w14:paraId="55FE33C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59BC201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419D39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293B8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5FF07A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6946BA1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695EFF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30574AB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1最后报价结束后，谈判小组不得再与供应商进行任何形式的商谈。</w:t>
      </w:r>
    </w:p>
    <w:p w14:paraId="1E92F1B3">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594313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1124836D">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4996079E">
      <w:pPr>
        <w:spacing w:line="360" w:lineRule="auto"/>
        <w:ind w:firstLine="369" w:firstLineChars="176"/>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w:t>
      </w:r>
      <w:r>
        <w:rPr>
          <w:rFonts w:hint="eastAsia" w:ascii="宋体" w:hAnsi="宋体"/>
          <w:bCs/>
          <w:color w:val="auto"/>
          <w:szCs w:val="21"/>
          <w:highlight w:val="none"/>
        </w:rPr>
        <w:t>及《广西壮族自治区财政厅关于持续优化政府采购营商环境推动高质量发展的通知》（桂财采〔2024〕55号）的规定，供应商在其响应文件中提供《中小企业声明函》，且响应货物全部由小微企业制造，对供应商的竞标报价给予</w:t>
      </w:r>
      <w:r>
        <w:rPr>
          <w:rFonts w:hint="eastAsia" w:ascii="宋体" w:hAnsi="宋体"/>
          <w:bCs/>
          <w:color w:val="auto"/>
          <w:szCs w:val="21"/>
          <w:highlight w:val="none"/>
          <w:u w:val="single"/>
          <w:lang w:val="en-US" w:eastAsia="zh-CN"/>
        </w:rPr>
        <w:t>20%</w:t>
      </w:r>
      <w:r>
        <w:rPr>
          <w:rFonts w:hint="eastAsia" w:ascii="宋体" w:hAnsi="宋体"/>
          <w:bCs/>
          <w:color w:val="auto"/>
          <w:szCs w:val="21"/>
          <w:highlight w:val="none"/>
        </w:rPr>
        <w:t xml:space="preserve">的扣除，扣除后的价格为评审价，即评审价=竞标报价×（1- </w:t>
      </w:r>
      <w:r>
        <w:rPr>
          <w:rFonts w:hint="eastAsia" w:ascii="宋体" w:hAnsi="宋体"/>
          <w:bCs/>
          <w:color w:val="auto"/>
          <w:szCs w:val="21"/>
          <w:highlight w:val="none"/>
          <w:lang w:val="en-US" w:eastAsia="zh-CN"/>
        </w:rPr>
        <w:t>20</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rPr>
        <w:t>4%</w:t>
      </w:r>
      <w:r>
        <w:rPr>
          <w:rFonts w:hint="eastAsia" w:ascii="宋体" w:hAnsi="宋体"/>
          <w:bCs/>
          <w:color w:val="auto"/>
          <w:szCs w:val="21"/>
          <w:highlight w:val="none"/>
        </w:rPr>
        <w:t>的扣除，用扣除后的价格参加评审，扣除后的价格为评审价，即评审价=竞标报价×（1-</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rPr>
        <w:t>%）。除上述情况外，评审价=竞标报价。</w:t>
      </w:r>
    </w:p>
    <w:p w14:paraId="7207043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s="宋体"/>
          <w:color w:val="auto"/>
          <w:szCs w:val="21"/>
          <w:highlight w:val="none"/>
        </w:rPr>
        <w:t>不重复享受政策。</w:t>
      </w:r>
    </w:p>
    <w:p w14:paraId="350A2346">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A061503">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5267E4DA">
      <w:pPr>
        <w:spacing w:line="360" w:lineRule="auto"/>
        <w:ind w:firstLine="420" w:firstLineChars="200"/>
        <w:rPr>
          <w:rFonts w:hint="eastAsia" w:ascii="宋体" w:hAnsi="宋体" w:cs="宋体"/>
          <w:color w:val="auto"/>
          <w:highlight w:val="none"/>
        </w:rPr>
      </w:pPr>
    </w:p>
    <w:p w14:paraId="29AC9477">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二、评定成交的标准</w:t>
      </w:r>
    </w:p>
    <w:p w14:paraId="66465F0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 xml:space="preserve"> 成交候选人推荐</w:t>
      </w:r>
    </w:p>
    <w:p w14:paraId="6AD5703E">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14:paraId="7E1CA819">
      <w:pPr>
        <w:spacing w:line="360" w:lineRule="auto"/>
        <w:ind w:firstLine="420" w:firstLineChars="200"/>
        <w:rPr>
          <w:rFonts w:hint="eastAsia" w:ascii="宋体" w:hAnsi="宋体" w:cs="宋体"/>
          <w:color w:val="auto"/>
          <w:highlight w:val="none"/>
        </w:rPr>
      </w:pPr>
    </w:p>
    <w:p w14:paraId="4007A9F8">
      <w:pPr>
        <w:pStyle w:val="3"/>
        <w:jc w:val="center"/>
        <w:rPr>
          <w:rFonts w:hint="eastAsia"/>
          <w:color w:val="auto"/>
          <w:highlight w:val="none"/>
        </w:rPr>
      </w:pPr>
      <w:r>
        <w:rPr>
          <w:color w:val="auto"/>
          <w:highlight w:val="none"/>
        </w:rPr>
        <w:br w:type="page"/>
      </w:r>
    </w:p>
    <w:p w14:paraId="2BF9A912">
      <w:pPr>
        <w:rPr>
          <w:rFonts w:hint="eastAsia"/>
          <w:color w:val="auto"/>
          <w:highlight w:val="none"/>
        </w:rPr>
      </w:pPr>
    </w:p>
    <w:p w14:paraId="17BF4BF0">
      <w:pPr>
        <w:rPr>
          <w:rFonts w:hint="eastAsia"/>
          <w:color w:val="auto"/>
          <w:highlight w:val="none"/>
        </w:rPr>
      </w:pPr>
    </w:p>
    <w:p w14:paraId="4B787FFE">
      <w:pPr>
        <w:rPr>
          <w:rFonts w:hint="eastAsia"/>
          <w:color w:val="auto"/>
          <w:highlight w:val="none"/>
        </w:rPr>
      </w:pPr>
    </w:p>
    <w:p w14:paraId="3033455A">
      <w:pPr>
        <w:rPr>
          <w:rFonts w:hint="eastAsia"/>
          <w:color w:val="auto"/>
          <w:highlight w:val="none"/>
        </w:rPr>
      </w:pPr>
    </w:p>
    <w:p w14:paraId="05B75EE5">
      <w:pPr>
        <w:rPr>
          <w:rFonts w:hint="eastAsia"/>
          <w:color w:val="auto"/>
          <w:highlight w:val="none"/>
        </w:rPr>
      </w:pPr>
    </w:p>
    <w:p w14:paraId="57AB8B1B">
      <w:pPr>
        <w:rPr>
          <w:rFonts w:hint="eastAsia"/>
          <w:color w:val="auto"/>
          <w:highlight w:val="none"/>
        </w:rPr>
      </w:pPr>
    </w:p>
    <w:p w14:paraId="1DF17BCE">
      <w:pPr>
        <w:rPr>
          <w:rFonts w:hint="eastAsia"/>
          <w:color w:val="auto"/>
          <w:highlight w:val="none"/>
        </w:rPr>
      </w:pPr>
    </w:p>
    <w:p w14:paraId="04974B76">
      <w:pPr>
        <w:rPr>
          <w:rFonts w:hint="eastAsia"/>
          <w:color w:val="auto"/>
          <w:highlight w:val="none"/>
        </w:rPr>
      </w:pPr>
    </w:p>
    <w:p w14:paraId="2977C515">
      <w:pPr>
        <w:rPr>
          <w:rFonts w:hint="eastAsia"/>
          <w:color w:val="auto"/>
          <w:highlight w:val="none"/>
        </w:rPr>
      </w:pPr>
    </w:p>
    <w:p w14:paraId="1FB38023">
      <w:pPr>
        <w:rPr>
          <w:rFonts w:hint="eastAsia"/>
          <w:color w:val="auto"/>
          <w:highlight w:val="none"/>
        </w:rPr>
      </w:pPr>
    </w:p>
    <w:p w14:paraId="1E27755E">
      <w:pPr>
        <w:rPr>
          <w:rFonts w:hint="eastAsia"/>
          <w:color w:val="auto"/>
          <w:highlight w:val="none"/>
        </w:rPr>
      </w:pPr>
    </w:p>
    <w:p w14:paraId="1C363E97">
      <w:pPr>
        <w:rPr>
          <w:rFonts w:hint="eastAsia"/>
          <w:color w:val="auto"/>
          <w:highlight w:val="none"/>
        </w:rPr>
      </w:pPr>
    </w:p>
    <w:p w14:paraId="70461179">
      <w:pPr>
        <w:rPr>
          <w:rFonts w:hint="eastAsia"/>
          <w:color w:val="auto"/>
          <w:highlight w:val="none"/>
        </w:rPr>
      </w:pPr>
    </w:p>
    <w:p w14:paraId="60DD2076">
      <w:pPr>
        <w:pStyle w:val="3"/>
        <w:jc w:val="center"/>
        <w:rPr>
          <w:rFonts w:hint="eastAsia"/>
          <w:color w:val="auto"/>
          <w:highlight w:val="none"/>
        </w:rPr>
      </w:pPr>
      <w:bookmarkStart w:id="80" w:name="_Toc74322012"/>
      <w:r>
        <w:rPr>
          <w:rFonts w:hint="eastAsia"/>
          <w:color w:val="auto"/>
          <w:highlight w:val="none"/>
        </w:rPr>
        <w:t>第五章 响应文件格式</w:t>
      </w:r>
      <w:bookmarkEnd w:id="80"/>
    </w:p>
    <w:p w14:paraId="790286C9">
      <w:pPr>
        <w:spacing w:line="240" w:lineRule="atLeast"/>
        <w:rPr>
          <w:rFonts w:hint="eastAsia" w:ascii="宋体" w:hAnsi="宋体"/>
          <w:b/>
          <w:color w:val="auto"/>
          <w:sz w:val="32"/>
          <w:szCs w:val="32"/>
          <w:highlight w:val="none"/>
        </w:rPr>
      </w:pPr>
    </w:p>
    <w:p w14:paraId="39D083A5">
      <w:pPr>
        <w:spacing w:line="240" w:lineRule="atLeast"/>
        <w:rPr>
          <w:rFonts w:hint="eastAsia" w:ascii="宋体" w:hAnsi="宋体"/>
          <w:b/>
          <w:color w:val="auto"/>
          <w:sz w:val="32"/>
          <w:szCs w:val="32"/>
          <w:highlight w:val="none"/>
        </w:rPr>
      </w:pPr>
    </w:p>
    <w:p w14:paraId="607BE623">
      <w:pPr>
        <w:spacing w:line="240" w:lineRule="atLeast"/>
        <w:rPr>
          <w:rFonts w:hint="eastAsia" w:ascii="宋体" w:hAnsi="宋体"/>
          <w:b/>
          <w:color w:val="auto"/>
          <w:sz w:val="32"/>
          <w:szCs w:val="32"/>
          <w:highlight w:val="none"/>
        </w:rPr>
      </w:pPr>
    </w:p>
    <w:p w14:paraId="5C21BBBA">
      <w:pPr>
        <w:spacing w:line="240" w:lineRule="atLeast"/>
        <w:rPr>
          <w:rFonts w:hint="eastAsia" w:ascii="宋体" w:hAnsi="宋体"/>
          <w:b/>
          <w:color w:val="auto"/>
          <w:sz w:val="32"/>
          <w:szCs w:val="32"/>
          <w:highlight w:val="none"/>
        </w:rPr>
      </w:pPr>
    </w:p>
    <w:p w14:paraId="3BD3EFFB">
      <w:pPr>
        <w:spacing w:line="240" w:lineRule="atLeast"/>
        <w:rPr>
          <w:rFonts w:hint="eastAsia" w:ascii="宋体" w:hAnsi="宋体"/>
          <w:b/>
          <w:color w:val="auto"/>
          <w:sz w:val="32"/>
          <w:szCs w:val="32"/>
          <w:highlight w:val="none"/>
        </w:rPr>
      </w:pPr>
    </w:p>
    <w:p w14:paraId="6170396D">
      <w:pPr>
        <w:spacing w:line="240" w:lineRule="atLeast"/>
        <w:rPr>
          <w:rFonts w:hint="eastAsia" w:ascii="宋体" w:hAnsi="宋体"/>
          <w:b/>
          <w:color w:val="auto"/>
          <w:sz w:val="32"/>
          <w:szCs w:val="32"/>
          <w:highlight w:val="none"/>
        </w:rPr>
      </w:pPr>
    </w:p>
    <w:p w14:paraId="6B67EBB6">
      <w:pPr>
        <w:spacing w:line="240" w:lineRule="atLeast"/>
        <w:rPr>
          <w:rFonts w:hint="eastAsia" w:ascii="宋体" w:hAnsi="宋体"/>
          <w:b/>
          <w:color w:val="auto"/>
          <w:sz w:val="32"/>
          <w:szCs w:val="32"/>
          <w:highlight w:val="none"/>
        </w:rPr>
      </w:pPr>
    </w:p>
    <w:p w14:paraId="07B83585">
      <w:pPr>
        <w:spacing w:line="240" w:lineRule="atLeast"/>
        <w:rPr>
          <w:rFonts w:hint="eastAsia" w:ascii="宋体" w:hAnsi="宋体"/>
          <w:b/>
          <w:color w:val="auto"/>
          <w:sz w:val="32"/>
          <w:szCs w:val="32"/>
          <w:highlight w:val="none"/>
        </w:rPr>
      </w:pPr>
    </w:p>
    <w:p w14:paraId="0ACF2344">
      <w:pPr>
        <w:spacing w:line="240" w:lineRule="atLeast"/>
        <w:rPr>
          <w:rFonts w:hint="eastAsia" w:ascii="宋体" w:hAnsi="宋体"/>
          <w:b/>
          <w:color w:val="auto"/>
          <w:sz w:val="32"/>
          <w:szCs w:val="32"/>
          <w:highlight w:val="none"/>
        </w:rPr>
      </w:pPr>
    </w:p>
    <w:p w14:paraId="0B6FF248">
      <w:pPr>
        <w:spacing w:line="240" w:lineRule="atLeast"/>
        <w:rPr>
          <w:rFonts w:hint="eastAsia" w:ascii="宋体" w:hAnsi="宋体"/>
          <w:b/>
          <w:color w:val="auto"/>
          <w:sz w:val="32"/>
          <w:szCs w:val="32"/>
          <w:highlight w:val="none"/>
        </w:rPr>
      </w:pPr>
    </w:p>
    <w:p w14:paraId="1573AF2A">
      <w:pPr>
        <w:spacing w:line="240" w:lineRule="atLeast"/>
        <w:rPr>
          <w:rFonts w:hint="eastAsia" w:ascii="宋体" w:hAnsi="宋体"/>
          <w:b/>
          <w:color w:val="auto"/>
          <w:sz w:val="32"/>
          <w:szCs w:val="32"/>
          <w:highlight w:val="none"/>
        </w:rPr>
      </w:pPr>
    </w:p>
    <w:p w14:paraId="284F05F4">
      <w:pPr>
        <w:rPr>
          <w:rFonts w:hint="eastAsia"/>
          <w:b/>
          <w:color w:val="auto"/>
          <w:sz w:val="32"/>
          <w:szCs w:val="32"/>
          <w:highlight w:val="none"/>
        </w:rPr>
      </w:pPr>
      <w:bookmarkStart w:id="81" w:name="_Toc71365382"/>
      <w:bookmarkStart w:id="82" w:name="_Toc71366060"/>
      <w:r>
        <w:rPr>
          <w:rFonts w:hint="eastAsia"/>
          <w:b/>
          <w:color w:val="auto"/>
          <w:sz w:val="32"/>
          <w:szCs w:val="32"/>
          <w:highlight w:val="none"/>
        </w:rPr>
        <w:br w:type="page"/>
      </w:r>
      <w:r>
        <w:rPr>
          <w:rFonts w:hint="eastAsia"/>
          <w:b/>
          <w:color w:val="auto"/>
          <w:sz w:val="32"/>
          <w:szCs w:val="32"/>
          <w:highlight w:val="none"/>
        </w:rPr>
        <w:t>一、资格证明文件格式</w:t>
      </w:r>
      <w:bookmarkEnd w:id="81"/>
      <w:bookmarkEnd w:id="82"/>
    </w:p>
    <w:p w14:paraId="3A8B5D40">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273E40D">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B4D6068">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34AB8178">
      <w:pPr>
        <w:snapToGrid w:val="0"/>
        <w:spacing w:before="156" w:beforeLines="50" w:after="50"/>
        <w:rPr>
          <w:rFonts w:hint="eastAsia" w:ascii="宋体" w:hAnsi="宋体"/>
          <w:color w:val="auto"/>
          <w:sz w:val="24"/>
          <w:szCs w:val="20"/>
          <w:highlight w:val="none"/>
        </w:rPr>
      </w:pPr>
    </w:p>
    <w:p w14:paraId="73D6A78F">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8EC53BA">
      <w:pPr>
        <w:snapToGrid w:val="0"/>
        <w:spacing w:before="156" w:beforeLines="50" w:after="50"/>
        <w:rPr>
          <w:rFonts w:hint="eastAsia" w:ascii="宋体" w:hAnsi="宋体"/>
          <w:bCs/>
          <w:color w:val="auto"/>
          <w:sz w:val="24"/>
          <w:szCs w:val="20"/>
          <w:highlight w:val="none"/>
        </w:rPr>
      </w:pPr>
    </w:p>
    <w:p w14:paraId="0C4D4713">
      <w:pPr>
        <w:snapToGrid w:val="0"/>
        <w:spacing w:before="156" w:beforeLines="50" w:after="50"/>
        <w:rPr>
          <w:rFonts w:hint="eastAsia" w:ascii="宋体" w:hAnsi="宋体"/>
          <w:bCs/>
          <w:color w:val="auto"/>
          <w:sz w:val="24"/>
          <w:szCs w:val="20"/>
          <w:highlight w:val="none"/>
        </w:rPr>
      </w:pPr>
    </w:p>
    <w:p w14:paraId="3281AD5E">
      <w:pPr>
        <w:snapToGrid w:val="0"/>
        <w:spacing w:before="156" w:beforeLines="50" w:after="50"/>
        <w:rPr>
          <w:rFonts w:hint="eastAsia" w:ascii="宋体" w:hAnsi="宋体"/>
          <w:bCs/>
          <w:color w:val="auto"/>
          <w:sz w:val="24"/>
          <w:szCs w:val="20"/>
          <w:highlight w:val="none"/>
        </w:rPr>
      </w:pPr>
    </w:p>
    <w:p w14:paraId="4749E365">
      <w:pPr>
        <w:snapToGrid w:val="0"/>
        <w:spacing w:before="156" w:beforeLines="50" w:after="50"/>
        <w:rPr>
          <w:rFonts w:hint="eastAsia" w:ascii="宋体" w:hAnsi="宋体"/>
          <w:bCs/>
          <w:color w:val="auto"/>
          <w:sz w:val="24"/>
          <w:szCs w:val="20"/>
          <w:highlight w:val="none"/>
        </w:rPr>
      </w:pPr>
    </w:p>
    <w:p w14:paraId="49068644">
      <w:pPr>
        <w:snapToGrid w:val="0"/>
        <w:spacing w:before="156" w:beforeLines="50" w:after="50"/>
        <w:rPr>
          <w:rFonts w:hint="eastAsia" w:ascii="宋体" w:hAnsi="宋体"/>
          <w:bCs/>
          <w:color w:val="auto"/>
          <w:sz w:val="24"/>
          <w:szCs w:val="20"/>
          <w:highlight w:val="none"/>
        </w:rPr>
      </w:pPr>
    </w:p>
    <w:p w14:paraId="7FCE18F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9AA7241">
      <w:pPr>
        <w:snapToGrid w:val="0"/>
        <w:spacing w:before="156" w:beforeLines="50" w:after="50"/>
        <w:ind w:firstLine="720" w:firstLineChars="225"/>
        <w:rPr>
          <w:rFonts w:hint="eastAsia" w:ascii="宋体" w:hAnsi="宋体" w:cs="仿宋_GB2312"/>
          <w:bCs/>
          <w:color w:val="auto"/>
          <w:sz w:val="32"/>
          <w:szCs w:val="32"/>
          <w:highlight w:val="none"/>
        </w:rPr>
      </w:pPr>
    </w:p>
    <w:p w14:paraId="196AEDEF">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11B02F4">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14AF5B2">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5297544">
      <w:pPr>
        <w:snapToGrid w:val="0"/>
        <w:spacing w:before="156" w:beforeLines="50" w:after="50"/>
        <w:ind w:firstLine="720" w:firstLineChars="225"/>
        <w:rPr>
          <w:rFonts w:hint="eastAsia" w:ascii="宋体" w:hAnsi="宋体" w:cs="仿宋_GB2312"/>
          <w:bCs/>
          <w:color w:val="auto"/>
          <w:sz w:val="32"/>
          <w:szCs w:val="32"/>
          <w:highlight w:val="none"/>
        </w:rPr>
      </w:pPr>
    </w:p>
    <w:p w14:paraId="44823B47">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D24F376">
      <w:pPr>
        <w:snapToGrid w:val="0"/>
        <w:spacing w:before="156" w:beforeLines="50" w:after="50"/>
        <w:ind w:firstLine="640" w:firstLineChars="200"/>
        <w:rPr>
          <w:rFonts w:hint="eastAsia" w:ascii="宋体" w:hAnsi="宋体" w:cs="仿宋_GB2312"/>
          <w:bCs/>
          <w:color w:val="auto"/>
          <w:sz w:val="32"/>
          <w:szCs w:val="32"/>
          <w:highlight w:val="none"/>
        </w:rPr>
      </w:pPr>
    </w:p>
    <w:p w14:paraId="7704A8C4">
      <w:pPr>
        <w:pStyle w:val="6"/>
        <w:snapToGrid w:val="0"/>
        <w:spacing w:before="50" w:after="50"/>
        <w:ind w:firstLine="720" w:firstLineChars="225"/>
        <w:rPr>
          <w:rFonts w:hint="eastAsia" w:ascii="宋体" w:hAnsi="宋体" w:cs="仿宋_GB2312"/>
          <w:bCs/>
          <w:color w:val="auto"/>
          <w:sz w:val="32"/>
          <w:szCs w:val="32"/>
          <w:highlight w:val="none"/>
        </w:rPr>
      </w:pPr>
    </w:p>
    <w:p w14:paraId="2CAA5601">
      <w:pPr>
        <w:pStyle w:val="6"/>
        <w:snapToGrid w:val="0"/>
        <w:spacing w:before="50" w:after="50"/>
        <w:ind w:firstLine="720" w:firstLineChars="225"/>
        <w:rPr>
          <w:rFonts w:hint="eastAsia" w:ascii="宋体" w:hAnsi="宋体" w:cs="仿宋_GB2312"/>
          <w:bCs/>
          <w:color w:val="auto"/>
          <w:sz w:val="32"/>
          <w:szCs w:val="32"/>
          <w:highlight w:val="none"/>
        </w:rPr>
      </w:pPr>
    </w:p>
    <w:p w14:paraId="28E6E440">
      <w:pPr>
        <w:pStyle w:val="6"/>
        <w:snapToGrid w:val="0"/>
        <w:spacing w:before="50" w:after="50"/>
        <w:ind w:firstLine="1280" w:firstLineChars="400"/>
        <w:rPr>
          <w:rFonts w:hint="eastAsia" w:ascii="宋体" w:hAnsi="宋体" w:cs="仿宋_GB2312"/>
          <w:bCs/>
          <w:color w:val="auto"/>
          <w:sz w:val="32"/>
          <w:szCs w:val="32"/>
          <w:highlight w:val="none"/>
        </w:rPr>
      </w:pPr>
    </w:p>
    <w:p w14:paraId="6A74F9CC">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436219DF">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2DD1068">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5A4DEFBF">
      <w:pPr>
        <w:snapToGrid w:val="0"/>
        <w:spacing w:before="156" w:beforeLines="50" w:after="50" w:line="360" w:lineRule="auto"/>
        <w:rPr>
          <w:rFonts w:ascii="宋体" w:hAnsi="宋体"/>
          <w:color w:val="auto"/>
          <w:sz w:val="24"/>
          <w:szCs w:val="20"/>
          <w:highlight w:val="none"/>
        </w:rPr>
      </w:pPr>
      <w:r>
        <w:rPr>
          <w:rFonts w:ascii="宋体" w:hAnsi="宋体"/>
          <w:color w:val="auto"/>
          <w:sz w:val="24"/>
          <w:szCs w:val="20"/>
          <w:highlight w:val="none"/>
        </w:rPr>
        <w:t xml:space="preserve"> </w:t>
      </w:r>
    </w:p>
    <w:p w14:paraId="63FB71F3">
      <w:pPr>
        <w:spacing w:line="360" w:lineRule="auto"/>
        <w:rPr>
          <w:rFonts w:hint="eastAsia" w:ascii="宋体" w:hAnsi="宋体"/>
          <w:color w:val="auto"/>
          <w:szCs w:val="21"/>
          <w:highlight w:val="none"/>
        </w:rPr>
      </w:pPr>
    </w:p>
    <w:p w14:paraId="707E6E34">
      <w:pPr>
        <w:spacing w:line="360" w:lineRule="auto"/>
        <w:rPr>
          <w:rFonts w:hint="eastAsia" w:ascii="宋体" w:hAnsi="宋体"/>
          <w:color w:val="auto"/>
          <w:szCs w:val="21"/>
          <w:highlight w:val="none"/>
        </w:rPr>
      </w:pPr>
    </w:p>
    <w:p w14:paraId="18FDFD68">
      <w:pPr>
        <w:spacing w:line="360" w:lineRule="auto"/>
        <w:rPr>
          <w:rFonts w:hint="eastAsia" w:ascii="宋体" w:hAnsi="宋体"/>
          <w:color w:val="auto"/>
          <w:szCs w:val="21"/>
          <w:highlight w:val="none"/>
        </w:rPr>
      </w:pPr>
    </w:p>
    <w:p w14:paraId="08698D4B">
      <w:pPr>
        <w:spacing w:line="360" w:lineRule="auto"/>
        <w:rPr>
          <w:rFonts w:hint="eastAsia" w:ascii="宋体" w:hAnsi="宋体"/>
          <w:color w:val="auto"/>
          <w:szCs w:val="21"/>
          <w:highlight w:val="none"/>
        </w:rPr>
      </w:pPr>
    </w:p>
    <w:p w14:paraId="4FF139B1">
      <w:pPr>
        <w:spacing w:line="300" w:lineRule="auto"/>
        <w:rPr>
          <w:rFonts w:hint="eastAsia" w:ascii="宋体" w:hAnsi="宋体"/>
          <w:color w:val="auto"/>
          <w:szCs w:val="21"/>
          <w:highlight w:val="none"/>
        </w:rPr>
      </w:pPr>
    </w:p>
    <w:p w14:paraId="407A1012">
      <w:pPr>
        <w:spacing w:line="300" w:lineRule="auto"/>
        <w:rPr>
          <w:rFonts w:hint="eastAsia" w:ascii="宋体" w:hAnsi="宋体"/>
          <w:color w:val="auto"/>
          <w:szCs w:val="21"/>
          <w:highlight w:val="none"/>
        </w:rPr>
      </w:pPr>
    </w:p>
    <w:p w14:paraId="0BB11AE8">
      <w:pPr>
        <w:spacing w:line="300" w:lineRule="auto"/>
        <w:rPr>
          <w:rFonts w:hint="eastAsia" w:ascii="宋体" w:hAnsi="宋体"/>
          <w:color w:val="auto"/>
          <w:szCs w:val="21"/>
          <w:highlight w:val="none"/>
        </w:rPr>
      </w:pPr>
    </w:p>
    <w:p w14:paraId="7EC79782">
      <w:pPr>
        <w:spacing w:line="300" w:lineRule="auto"/>
        <w:rPr>
          <w:rFonts w:hint="eastAsia" w:ascii="宋体" w:hAnsi="宋体"/>
          <w:color w:val="auto"/>
          <w:szCs w:val="21"/>
          <w:highlight w:val="none"/>
        </w:rPr>
      </w:pPr>
    </w:p>
    <w:p w14:paraId="72D42F35">
      <w:pPr>
        <w:spacing w:line="300" w:lineRule="auto"/>
        <w:rPr>
          <w:rFonts w:hint="eastAsia" w:ascii="宋体" w:hAnsi="宋体"/>
          <w:color w:val="auto"/>
          <w:szCs w:val="21"/>
          <w:highlight w:val="none"/>
        </w:rPr>
      </w:pPr>
    </w:p>
    <w:p w14:paraId="43F0B07E">
      <w:pPr>
        <w:spacing w:line="300" w:lineRule="auto"/>
        <w:rPr>
          <w:rFonts w:hint="eastAsia" w:ascii="宋体" w:hAnsi="宋体"/>
          <w:color w:val="auto"/>
          <w:szCs w:val="21"/>
          <w:highlight w:val="none"/>
        </w:rPr>
      </w:pPr>
    </w:p>
    <w:p w14:paraId="156102F9">
      <w:pPr>
        <w:spacing w:line="300" w:lineRule="auto"/>
        <w:rPr>
          <w:rFonts w:hint="eastAsia" w:ascii="宋体" w:hAnsi="宋体"/>
          <w:color w:val="auto"/>
          <w:szCs w:val="21"/>
          <w:highlight w:val="none"/>
        </w:rPr>
      </w:pPr>
    </w:p>
    <w:p w14:paraId="445EB79B">
      <w:pPr>
        <w:spacing w:line="300" w:lineRule="auto"/>
        <w:rPr>
          <w:rFonts w:hint="eastAsia" w:ascii="宋体" w:hAnsi="宋体"/>
          <w:color w:val="auto"/>
          <w:szCs w:val="21"/>
          <w:highlight w:val="none"/>
        </w:rPr>
      </w:pPr>
    </w:p>
    <w:p w14:paraId="6262187B">
      <w:pPr>
        <w:spacing w:line="300" w:lineRule="auto"/>
        <w:rPr>
          <w:rFonts w:hint="eastAsia" w:ascii="宋体" w:hAnsi="宋体"/>
          <w:color w:val="auto"/>
          <w:szCs w:val="21"/>
          <w:highlight w:val="none"/>
        </w:rPr>
      </w:pPr>
    </w:p>
    <w:p w14:paraId="520B4069">
      <w:pPr>
        <w:spacing w:line="300" w:lineRule="auto"/>
        <w:rPr>
          <w:rFonts w:hint="eastAsia" w:ascii="宋体" w:hAnsi="宋体"/>
          <w:color w:val="auto"/>
          <w:szCs w:val="21"/>
          <w:highlight w:val="none"/>
        </w:rPr>
      </w:pPr>
    </w:p>
    <w:p w14:paraId="056195F8">
      <w:pPr>
        <w:spacing w:line="300" w:lineRule="auto"/>
        <w:rPr>
          <w:rFonts w:hint="eastAsia" w:ascii="宋体" w:hAnsi="宋体"/>
          <w:color w:val="auto"/>
          <w:szCs w:val="21"/>
          <w:highlight w:val="none"/>
        </w:rPr>
      </w:pPr>
    </w:p>
    <w:p w14:paraId="5852CDFE">
      <w:pPr>
        <w:spacing w:line="320" w:lineRule="exact"/>
        <w:jc w:val="left"/>
        <w:rPr>
          <w:rFonts w:hint="eastAsia" w:ascii="宋体" w:hAnsi="宋体"/>
          <w:color w:val="auto"/>
          <w:szCs w:val="21"/>
          <w:highlight w:val="none"/>
        </w:rPr>
      </w:pPr>
    </w:p>
    <w:p w14:paraId="36ADD0FC">
      <w:pPr>
        <w:snapToGrid w:val="0"/>
        <w:spacing w:before="156" w:beforeLines="50" w:after="50"/>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4C4D0B6C">
      <w:pPr>
        <w:snapToGrid w:val="0"/>
        <w:spacing w:before="156" w:beforeLines="50" w:after="50"/>
        <w:jc w:val="center"/>
        <w:rPr>
          <w:rFonts w:hint="eastAsia" w:ascii="宋体" w:hAnsi="宋体"/>
          <w:b/>
          <w:color w:val="auto"/>
          <w:sz w:val="32"/>
          <w:szCs w:val="32"/>
          <w:highlight w:val="none"/>
        </w:rPr>
      </w:pPr>
    </w:p>
    <w:p w14:paraId="2A1152AC">
      <w:pPr>
        <w:snapToGrid w:val="0"/>
        <w:spacing w:before="156"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589FD6BB">
      <w:pPr>
        <w:snapToGrid w:val="0"/>
        <w:spacing w:before="50" w:after="156" w:afterLines="50"/>
        <w:jc w:val="center"/>
        <w:rPr>
          <w:rFonts w:hint="eastAsia"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1BC5E2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FC185D4">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571D071">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39536DF">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r>
              <w:rPr>
                <w:rFonts w:hint="eastAsia" w:ascii="宋体" w:hAnsi="宋体" w:cs="宋体"/>
                <w:b/>
                <w:bCs/>
                <w:color w:val="auto"/>
                <w:kern w:val="0"/>
                <w:sz w:val="24"/>
                <w:highlight w:val="none"/>
              </w:rPr>
              <w:t>(%)</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D7AC04B">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0962BD">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3692CFB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5D9722">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C4EFF0">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2DF254">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2306E4">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0C7907">
            <w:pPr>
              <w:widowControl/>
              <w:spacing w:line="360" w:lineRule="auto"/>
              <w:jc w:val="center"/>
              <w:rPr>
                <w:rFonts w:hint="eastAsia" w:ascii="宋体" w:hAnsi="宋体" w:cs="宋体"/>
                <w:color w:val="auto"/>
                <w:kern w:val="0"/>
                <w:sz w:val="28"/>
                <w:szCs w:val="28"/>
                <w:highlight w:val="none"/>
              </w:rPr>
            </w:pPr>
          </w:p>
        </w:tc>
      </w:tr>
      <w:tr w14:paraId="71BBD70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4C59AF">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31A8CE">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748FF9">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122F6F">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883A47">
            <w:pPr>
              <w:widowControl/>
              <w:spacing w:line="360" w:lineRule="auto"/>
              <w:jc w:val="center"/>
              <w:rPr>
                <w:rFonts w:hint="eastAsia" w:ascii="宋体" w:hAnsi="宋体" w:cs="宋体"/>
                <w:color w:val="auto"/>
                <w:kern w:val="0"/>
                <w:sz w:val="28"/>
                <w:szCs w:val="28"/>
                <w:highlight w:val="none"/>
              </w:rPr>
            </w:pPr>
          </w:p>
        </w:tc>
      </w:tr>
      <w:tr w14:paraId="19BFE8A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22F4C9">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2C0CDD">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4FB8A6">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DA41C3">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5408E6">
            <w:pPr>
              <w:widowControl/>
              <w:spacing w:line="360" w:lineRule="auto"/>
              <w:jc w:val="center"/>
              <w:rPr>
                <w:rFonts w:hint="eastAsia" w:ascii="宋体" w:hAnsi="宋体" w:cs="宋体"/>
                <w:color w:val="auto"/>
                <w:kern w:val="0"/>
                <w:sz w:val="28"/>
                <w:szCs w:val="28"/>
                <w:highlight w:val="none"/>
              </w:rPr>
            </w:pPr>
          </w:p>
        </w:tc>
      </w:tr>
      <w:tr w14:paraId="2199A18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D956ED">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A710A7">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57AC65">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D7E82D">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5974AD">
            <w:pPr>
              <w:widowControl/>
              <w:spacing w:line="360" w:lineRule="auto"/>
              <w:jc w:val="center"/>
              <w:rPr>
                <w:rFonts w:hint="eastAsia" w:ascii="宋体" w:hAnsi="宋体" w:cs="宋体"/>
                <w:color w:val="auto"/>
                <w:kern w:val="0"/>
                <w:sz w:val="28"/>
                <w:szCs w:val="28"/>
                <w:highlight w:val="none"/>
              </w:rPr>
            </w:pPr>
          </w:p>
        </w:tc>
      </w:tr>
    </w:tbl>
    <w:p w14:paraId="08417719">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220D2A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C19493B">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A6DEC8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36444BDF">
      <w:pPr>
        <w:spacing w:line="360" w:lineRule="auto"/>
        <w:ind w:firstLine="420" w:firstLineChars="200"/>
        <w:contextualSpacing/>
        <w:jc w:val="left"/>
        <w:rPr>
          <w:rFonts w:ascii="宋体" w:hAnsi="宋体" w:cs="宋体"/>
          <w:color w:val="auto"/>
          <w:szCs w:val="21"/>
          <w:highlight w:val="none"/>
        </w:rPr>
      </w:pPr>
    </w:p>
    <w:p w14:paraId="4A957605">
      <w:pPr>
        <w:spacing w:line="360" w:lineRule="auto"/>
        <w:ind w:firstLine="560" w:firstLineChars="200"/>
        <w:contextualSpacing/>
        <w:jc w:val="left"/>
        <w:rPr>
          <w:rFonts w:hint="eastAsia" w:ascii="宋体" w:hAnsi="宋体" w:cs="宋体"/>
          <w:color w:val="auto"/>
          <w:sz w:val="28"/>
          <w:szCs w:val="28"/>
          <w:highlight w:val="none"/>
        </w:rPr>
      </w:pPr>
    </w:p>
    <w:p w14:paraId="31D3C351">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2AD6A734">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 xml:space="preserve">供应商名称（电子签章）： </w:t>
      </w:r>
      <w:r>
        <w:rPr>
          <w:rFonts w:hint="eastAsia" w:ascii="宋体" w:hAnsi="宋体" w:cs="宋体"/>
          <w:color w:val="auto"/>
          <w:sz w:val="24"/>
          <w:highlight w:val="none"/>
          <w:u w:val="single"/>
        </w:rPr>
        <w:t xml:space="preserve">                              </w:t>
      </w:r>
    </w:p>
    <w:p w14:paraId="234E52A5">
      <w:pPr>
        <w:spacing w:line="360" w:lineRule="auto"/>
        <w:ind w:right="480" w:firstLine="5280" w:firstLineChars="2200"/>
        <w:contextualSpacing/>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15D48CC0">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0CD96F72">
      <w:pPr>
        <w:snapToGrid w:val="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32A5363D">
      <w:pPr>
        <w:snapToGrid w:val="0"/>
        <w:jc w:val="center"/>
        <w:rPr>
          <w:rFonts w:hint="eastAsia"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95D440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7C6526">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FFB0409">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1A49358">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E72DC0">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1023FF4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4A91E2">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AB8262">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6F9D30">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817A99">
            <w:pPr>
              <w:widowControl/>
              <w:wordWrap w:val="0"/>
              <w:spacing w:line="200" w:lineRule="atLeast"/>
              <w:jc w:val="center"/>
              <w:rPr>
                <w:rFonts w:ascii="宋体" w:hAnsi="宋体" w:cs="宋体"/>
                <w:color w:val="auto"/>
                <w:kern w:val="0"/>
                <w:sz w:val="28"/>
                <w:szCs w:val="28"/>
                <w:highlight w:val="none"/>
              </w:rPr>
            </w:pPr>
          </w:p>
        </w:tc>
      </w:tr>
      <w:tr w14:paraId="336C139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602FBD">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3BE961">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545B04">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40CBC8">
            <w:pPr>
              <w:widowControl/>
              <w:wordWrap w:val="0"/>
              <w:spacing w:line="200" w:lineRule="atLeast"/>
              <w:jc w:val="center"/>
              <w:rPr>
                <w:rFonts w:ascii="宋体" w:hAnsi="宋体" w:cs="宋体"/>
                <w:color w:val="auto"/>
                <w:kern w:val="0"/>
                <w:sz w:val="28"/>
                <w:szCs w:val="28"/>
                <w:highlight w:val="none"/>
              </w:rPr>
            </w:pPr>
          </w:p>
        </w:tc>
      </w:tr>
      <w:tr w14:paraId="7263CDF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776907">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60C34C">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AE826D">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516D1A">
            <w:pPr>
              <w:widowControl/>
              <w:wordWrap w:val="0"/>
              <w:spacing w:line="200" w:lineRule="atLeast"/>
              <w:jc w:val="center"/>
              <w:rPr>
                <w:rFonts w:ascii="宋体" w:hAnsi="宋体" w:cs="宋体"/>
                <w:color w:val="auto"/>
                <w:kern w:val="0"/>
                <w:sz w:val="28"/>
                <w:szCs w:val="28"/>
                <w:highlight w:val="none"/>
              </w:rPr>
            </w:pPr>
          </w:p>
        </w:tc>
      </w:tr>
      <w:tr w14:paraId="3E9B700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7F6CA0">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9E73D4">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9D5C31">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A64F0B">
            <w:pPr>
              <w:widowControl/>
              <w:wordWrap w:val="0"/>
              <w:spacing w:line="200" w:lineRule="atLeast"/>
              <w:jc w:val="center"/>
              <w:rPr>
                <w:rFonts w:ascii="宋体" w:hAnsi="宋体" w:cs="宋体"/>
                <w:color w:val="auto"/>
                <w:kern w:val="0"/>
                <w:sz w:val="28"/>
                <w:szCs w:val="28"/>
                <w:highlight w:val="none"/>
              </w:rPr>
            </w:pPr>
          </w:p>
        </w:tc>
      </w:tr>
    </w:tbl>
    <w:p w14:paraId="105E870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362BF15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01DDDD69">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7830BC3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030857E7">
      <w:pPr>
        <w:spacing w:line="360" w:lineRule="auto"/>
        <w:contextualSpacing/>
        <w:jc w:val="left"/>
        <w:rPr>
          <w:rFonts w:hint="eastAsia" w:ascii="宋体" w:hAnsi="宋体"/>
          <w:color w:val="auto"/>
          <w:sz w:val="28"/>
          <w:szCs w:val="28"/>
          <w:highlight w:val="none"/>
        </w:rPr>
      </w:pPr>
    </w:p>
    <w:p w14:paraId="47377266">
      <w:pPr>
        <w:spacing w:line="360" w:lineRule="auto"/>
        <w:contextualSpacing/>
        <w:jc w:val="left"/>
        <w:rPr>
          <w:rFonts w:hint="eastAsia" w:ascii="宋体" w:hAnsi="宋体"/>
          <w:color w:val="auto"/>
          <w:sz w:val="28"/>
          <w:szCs w:val="28"/>
          <w:highlight w:val="none"/>
        </w:rPr>
      </w:pPr>
    </w:p>
    <w:p w14:paraId="74544B30">
      <w:pPr>
        <w:spacing w:line="360" w:lineRule="auto"/>
        <w:contextualSpacing/>
        <w:jc w:val="left"/>
        <w:rPr>
          <w:rFonts w:hint="eastAsia"/>
          <w:color w:val="auto"/>
          <w:sz w:val="28"/>
          <w:szCs w:val="28"/>
          <w:highlight w:val="none"/>
        </w:rPr>
      </w:pPr>
    </w:p>
    <w:p w14:paraId="6D9B2FCB">
      <w:pPr>
        <w:spacing w:line="360" w:lineRule="auto"/>
        <w:contextualSpacing/>
        <w:jc w:val="left"/>
        <w:rPr>
          <w:rFonts w:hint="eastAsia"/>
          <w:color w:val="auto"/>
          <w:sz w:val="28"/>
          <w:szCs w:val="28"/>
          <w:highlight w:val="none"/>
        </w:rPr>
      </w:pPr>
    </w:p>
    <w:p w14:paraId="409CFEC3">
      <w:pPr>
        <w:spacing w:line="360" w:lineRule="auto"/>
        <w:contextualSpacing/>
        <w:jc w:val="left"/>
        <w:rPr>
          <w:rFonts w:hint="eastAsia"/>
          <w:color w:val="auto"/>
          <w:sz w:val="28"/>
          <w:szCs w:val="28"/>
          <w:highlight w:val="none"/>
        </w:rPr>
      </w:pPr>
    </w:p>
    <w:p w14:paraId="5E4AEDB4">
      <w:pPr>
        <w:spacing w:line="360" w:lineRule="auto"/>
        <w:contextualSpacing/>
        <w:jc w:val="left"/>
        <w:rPr>
          <w:rFonts w:hint="eastAsia" w:ascii="宋体" w:hAnsi="宋体"/>
          <w:color w:val="auto"/>
          <w:sz w:val="28"/>
          <w:szCs w:val="28"/>
          <w:highlight w:val="none"/>
        </w:rPr>
      </w:pPr>
    </w:p>
    <w:p w14:paraId="78C1ED8D">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7267112">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供应商名称（电子签章）：</w:t>
      </w:r>
      <w:r>
        <w:rPr>
          <w:rFonts w:hint="eastAsia" w:ascii="宋体" w:hAnsi="宋体"/>
          <w:color w:val="auto"/>
          <w:sz w:val="24"/>
          <w:highlight w:val="none"/>
          <w:u w:val="single"/>
        </w:rPr>
        <w:t xml:space="preserve">                </w:t>
      </w:r>
    </w:p>
    <w:p w14:paraId="0DD33092">
      <w:pPr>
        <w:spacing w:line="360" w:lineRule="auto"/>
        <w:ind w:right="480" w:firstLine="240" w:firstLineChars="100"/>
        <w:contextualSpacing/>
        <w:jc w:val="center"/>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6EAEFAED">
      <w:pPr>
        <w:spacing w:line="500" w:lineRule="exact"/>
        <w:jc w:val="center"/>
        <w:rPr>
          <w:rFonts w:hint="eastAsia" w:ascii="方正小标宋简体" w:hAnsi="宋体" w:eastAsia="方正小标宋简体"/>
          <w:b/>
          <w:color w:val="auto"/>
          <w:sz w:val="32"/>
          <w:szCs w:val="32"/>
          <w:highlight w:val="none"/>
        </w:rPr>
      </w:pP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095A0E41">
      <w:pPr>
        <w:spacing w:line="320" w:lineRule="exact"/>
        <w:jc w:val="center"/>
        <w:rPr>
          <w:rFonts w:hint="eastAsia" w:ascii="宋体" w:hAnsi="宋体"/>
          <w:color w:val="auto"/>
          <w:sz w:val="24"/>
          <w:szCs w:val="20"/>
          <w:highlight w:val="none"/>
        </w:rPr>
      </w:pPr>
    </w:p>
    <w:p w14:paraId="1BA3CEF0">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7FA888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8D7E1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A7EDF0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28FCEAF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31EC18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6EACFFE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60AFD1B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329812B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71A9EB4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（4）响应谈判文件规定的竞标有效期。</w:t>
      </w:r>
    </w:p>
    <w:p w14:paraId="28997C1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979816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CC2D52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59BD54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7D72AD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1C75D0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26BFC6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5F596E3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6C2E93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83BAE6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F4A15B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1236B4">
      <w:pPr>
        <w:pStyle w:val="13"/>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067C6DB5">
      <w:pPr>
        <w:pStyle w:val="13"/>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w:t>
      </w:r>
      <w:r>
        <w:rPr>
          <w:rFonts w:hint="eastAsia" w:hAnsi="宋体" w:cs="宋体"/>
          <w:color w:val="auto"/>
          <w:sz w:val="24"/>
          <w:szCs w:val="24"/>
          <w:highlight w:val="none"/>
          <w:lang w:eastAsia="zh-CN"/>
        </w:rPr>
        <w:t>邮箱</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4C15B13D">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账号/行号：</w:t>
      </w:r>
      <w:r>
        <w:rPr>
          <w:rFonts w:hint="eastAsia" w:ascii="宋体" w:hAnsi="宋体" w:cs="宋体"/>
          <w:color w:val="auto"/>
          <w:sz w:val="24"/>
          <w:highlight w:val="none"/>
          <w:u w:val="single"/>
        </w:rPr>
        <w:t xml:space="preserve">           </w:t>
      </w:r>
    </w:p>
    <w:p w14:paraId="1FFE2EA1">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F8CA067">
      <w:pPr>
        <w:pStyle w:val="12"/>
        <w:tabs>
          <w:tab w:val="left" w:pos="939"/>
        </w:tabs>
        <w:spacing w:line="360" w:lineRule="auto"/>
        <w:ind w:left="141" w:leftChars="67" w:firstLine="360" w:firstLineChars="150"/>
        <w:rPr>
          <w:rFonts w:hint="eastAsia" w:ascii="宋体" w:hAnsi="宋体" w:cs="宋体"/>
          <w:color w:val="auto"/>
          <w:szCs w:val="21"/>
          <w:highlight w:val="none"/>
        </w:rPr>
      </w:pPr>
      <w:r>
        <w:rPr>
          <w:rFonts w:hint="eastAsia" w:ascii="宋体" w:hAnsi="宋体" w:cs="宋体"/>
          <w:color w:val="auto"/>
          <w:sz w:val="24"/>
          <w:highlight w:val="none"/>
        </w:rPr>
        <w:t>特此承诺。</w:t>
      </w:r>
    </w:p>
    <w:p w14:paraId="3463E97D">
      <w:pPr>
        <w:spacing w:line="360" w:lineRule="auto"/>
        <w:contextualSpacing/>
        <w:jc w:val="left"/>
        <w:rPr>
          <w:rFonts w:hint="eastAsia" w:ascii="宋体" w:hAnsi="宋体"/>
          <w:b/>
          <w:color w:val="auto"/>
          <w:sz w:val="24"/>
          <w:highlight w:val="none"/>
        </w:rPr>
      </w:pPr>
      <w:r>
        <w:rPr>
          <w:rFonts w:hint="eastAsia" w:ascii="宋体" w:hAnsi="宋体"/>
          <w:b/>
          <w:color w:val="auto"/>
          <w:sz w:val="24"/>
          <w:highlight w:val="none"/>
        </w:rPr>
        <w:t xml:space="preserve">    注：如为联合体竞标，盖章处须加盖联合体牵头人电子签章并由联合体牵头人法定代表人分别签字或者盖章或者电子签名，否则响应文件按无效处理。</w:t>
      </w:r>
    </w:p>
    <w:p w14:paraId="2D93C7B6">
      <w:pPr>
        <w:spacing w:line="360" w:lineRule="auto"/>
        <w:contextualSpacing/>
        <w:jc w:val="left"/>
        <w:rPr>
          <w:rFonts w:hint="eastAsia" w:ascii="宋体" w:hAnsi="宋体" w:cs="宋体"/>
          <w:color w:val="auto"/>
          <w:szCs w:val="21"/>
          <w:highlight w:val="none"/>
        </w:rPr>
      </w:pPr>
    </w:p>
    <w:p w14:paraId="64B10C81">
      <w:pPr>
        <w:spacing w:line="360" w:lineRule="auto"/>
        <w:ind w:firstLine="1807" w:firstLineChars="750"/>
        <w:contextualSpacing/>
        <w:rPr>
          <w:rFonts w:hint="eastAsia"/>
          <w:color w:val="auto"/>
          <w:highlight w:val="none"/>
        </w:rPr>
      </w:pPr>
      <w:r>
        <w:rPr>
          <w:rFonts w:hint="eastAsia" w:ascii="宋体" w:hAnsi="宋体" w:eastAsia="宋体" w:cs="Times New Roman"/>
          <w:b/>
          <w:bCs/>
          <w:color w:val="auto"/>
          <w:sz w:val="24"/>
          <w:highlight w:val="none"/>
        </w:rPr>
        <w:t>法定代表人</w:t>
      </w:r>
      <w:r>
        <w:rPr>
          <w:rFonts w:hint="eastAsia" w:ascii="宋体" w:hAnsi="宋体" w:eastAsia="宋体" w:cs="Times New Roman"/>
          <w:color w:val="auto"/>
          <w:sz w:val="24"/>
          <w:highlight w:val="none"/>
        </w:rPr>
        <w:t>（签字或者盖章或者</w:t>
      </w:r>
      <w:r>
        <w:rPr>
          <w:rFonts w:hint="eastAsia" w:ascii="宋体" w:hAnsi="宋体"/>
          <w:color w:val="auto"/>
          <w:sz w:val="24"/>
          <w:highlight w:val="none"/>
        </w:rPr>
        <w:t>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523EDEC0">
      <w:pPr>
        <w:spacing w:line="360" w:lineRule="auto"/>
        <w:ind w:firstLine="3780" w:firstLineChars="1800"/>
        <w:contextualSpacing/>
        <w:rPr>
          <w:rFonts w:hint="eastAsia" w:ascii="宋体" w:hAnsi="宋体" w:cs="宋体"/>
          <w:color w:val="auto"/>
          <w:szCs w:val="21"/>
          <w:highlight w:val="none"/>
          <w:u w:val="single"/>
        </w:rPr>
      </w:pPr>
      <w:r>
        <w:rPr>
          <w:rFonts w:hint="eastAsia"/>
          <w:color w:val="auto"/>
          <w:highlight w:val="none"/>
        </w:rPr>
        <w:t>供应商名称（电子签章）：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16F57748">
      <w:pPr>
        <w:spacing w:line="360" w:lineRule="auto"/>
        <w:ind w:right="482" w:firstLine="210" w:firstLineChars="100"/>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 xml:space="preserve"> 年    月    日 </w:t>
      </w:r>
    </w:p>
    <w:p w14:paraId="0DAE4739">
      <w:pPr>
        <w:spacing w:line="360" w:lineRule="auto"/>
        <w:contextualSpacing/>
        <w:jc w:val="both"/>
        <w:rPr>
          <w:rFonts w:hint="eastAsia" w:ascii="宋体" w:hAnsi="宋体" w:cs="仿宋_GB2312"/>
          <w:color w:val="auto"/>
          <w:sz w:val="24"/>
          <w:highlight w:val="none"/>
        </w:rPr>
      </w:pPr>
    </w:p>
    <w:p w14:paraId="7B868192">
      <w:pPr>
        <w:spacing w:line="360" w:lineRule="auto"/>
        <w:ind w:right="420"/>
        <w:contextualSpacing/>
        <w:jc w:val="left"/>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1D939E8C">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5F94FFBC">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10595D1">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14A9A57D">
      <w:pPr>
        <w:snapToGrid w:val="0"/>
        <w:spacing w:before="156" w:beforeLines="50" w:after="50"/>
        <w:rPr>
          <w:rFonts w:hint="eastAsia" w:ascii="宋体" w:hAnsi="宋体"/>
          <w:color w:val="auto"/>
          <w:sz w:val="24"/>
          <w:szCs w:val="20"/>
          <w:highlight w:val="none"/>
        </w:rPr>
      </w:pPr>
    </w:p>
    <w:p w14:paraId="15E57E7C">
      <w:pPr>
        <w:snapToGrid w:val="0"/>
        <w:spacing w:before="156" w:beforeLines="50" w:after="50"/>
        <w:rPr>
          <w:rFonts w:hint="eastAsia" w:ascii="宋体" w:hAnsi="宋体"/>
          <w:color w:val="auto"/>
          <w:sz w:val="24"/>
          <w:szCs w:val="20"/>
          <w:highlight w:val="none"/>
        </w:rPr>
      </w:pPr>
    </w:p>
    <w:p w14:paraId="5D133F72">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2E5CFECC">
      <w:pPr>
        <w:snapToGrid w:val="0"/>
        <w:spacing w:before="156" w:beforeLines="50" w:after="50"/>
        <w:rPr>
          <w:rFonts w:hint="eastAsia" w:ascii="宋体" w:hAnsi="宋体"/>
          <w:bCs/>
          <w:color w:val="auto"/>
          <w:sz w:val="24"/>
          <w:szCs w:val="20"/>
          <w:highlight w:val="none"/>
        </w:rPr>
      </w:pPr>
    </w:p>
    <w:p w14:paraId="683763FE">
      <w:pPr>
        <w:snapToGrid w:val="0"/>
        <w:spacing w:before="156" w:beforeLines="50" w:after="50"/>
        <w:rPr>
          <w:rFonts w:hint="eastAsia" w:ascii="宋体" w:hAnsi="宋体"/>
          <w:bCs/>
          <w:color w:val="auto"/>
          <w:sz w:val="24"/>
          <w:szCs w:val="20"/>
          <w:highlight w:val="none"/>
        </w:rPr>
      </w:pPr>
    </w:p>
    <w:p w14:paraId="771F8A2C">
      <w:pPr>
        <w:snapToGrid w:val="0"/>
        <w:spacing w:before="156" w:beforeLines="50" w:after="50"/>
        <w:rPr>
          <w:rFonts w:hint="eastAsia" w:ascii="宋体" w:hAnsi="宋体"/>
          <w:bCs/>
          <w:color w:val="auto"/>
          <w:sz w:val="24"/>
          <w:szCs w:val="20"/>
          <w:highlight w:val="none"/>
        </w:rPr>
      </w:pPr>
    </w:p>
    <w:p w14:paraId="74DC1F75">
      <w:pPr>
        <w:snapToGrid w:val="0"/>
        <w:spacing w:before="156" w:beforeLines="50" w:after="50"/>
        <w:rPr>
          <w:rFonts w:hint="eastAsia" w:ascii="宋体" w:hAnsi="宋体"/>
          <w:bCs/>
          <w:color w:val="auto"/>
          <w:sz w:val="24"/>
          <w:szCs w:val="20"/>
          <w:highlight w:val="none"/>
        </w:rPr>
      </w:pPr>
    </w:p>
    <w:p w14:paraId="57419553">
      <w:pPr>
        <w:snapToGrid w:val="0"/>
        <w:spacing w:before="156" w:beforeLines="50" w:after="50"/>
        <w:rPr>
          <w:rFonts w:hint="eastAsia" w:ascii="宋体" w:hAnsi="宋体"/>
          <w:bCs/>
          <w:color w:val="auto"/>
          <w:sz w:val="24"/>
          <w:szCs w:val="20"/>
          <w:highlight w:val="none"/>
        </w:rPr>
      </w:pPr>
    </w:p>
    <w:p w14:paraId="5190494E">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30E53D3">
      <w:pPr>
        <w:snapToGrid w:val="0"/>
        <w:spacing w:before="156" w:beforeLines="50" w:after="50"/>
        <w:ind w:firstLine="720" w:firstLineChars="225"/>
        <w:rPr>
          <w:rFonts w:hint="eastAsia" w:ascii="宋体" w:hAnsi="宋体" w:cs="仿宋_GB2312"/>
          <w:bCs/>
          <w:color w:val="auto"/>
          <w:sz w:val="32"/>
          <w:szCs w:val="32"/>
          <w:highlight w:val="none"/>
        </w:rPr>
      </w:pPr>
    </w:p>
    <w:p w14:paraId="224A0647">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61B78E6">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9A37A1E">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8C3E612">
      <w:pPr>
        <w:snapToGrid w:val="0"/>
        <w:spacing w:before="156" w:beforeLines="50" w:after="50"/>
        <w:ind w:firstLine="720" w:firstLineChars="225"/>
        <w:rPr>
          <w:rFonts w:hint="eastAsia" w:ascii="宋体" w:hAnsi="宋体" w:cs="仿宋_GB2312"/>
          <w:bCs/>
          <w:color w:val="auto"/>
          <w:sz w:val="32"/>
          <w:szCs w:val="32"/>
          <w:highlight w:val="none"/>
        </w:rPr>
      </w:pPr>
    </w:p>
    <w:p w14:paraId="39B27F05">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40596EA">
      <w:pPr>
        <w:pStyle w:val="6"/>
        <w:snapToGrid w:val="0"/>
        <w:spacing w:before="50" w:after="50"/>
        <w:ind w:firstLine="640" w:firstLineChars="200"/>
        <w:rPr>
          <w:rFonts w:hint="eastAsia" w:ascii="宋体" w:hAnsi="宋体" w:cs="仿宋_GB2312"/>
          <w:bCs/>
          <w:color w:val="auto"/>
          <w:sz w:val="32"/>
          <w:szCs w:val="32"/>
          <w:highlight w:val="none"/>
        </w:rPr>
      </w:pPr>
    </w:p>
    <w:p w14:paraId="3360FABF">
      <w:pPr>
        <w:pStyle w:val="6"/>
        <w:snapToGrid w:val="0"/>
        <w:spacing w:before="50" w:after="50"/>
        <w:ind w:firstLine="720" w:firstLineChars="225"/>
        <w:rPr>
          <w:rFonts w:hint="eastAsia" w:ascii="宋体" w:hAnsi="宋体" w:cs="仿宋_GB2312"/>
          <w:bCs/>
          <w:color w:val="auto"/>
          <w:sz w:val="32"/>
          <w:szCs w:val="32"/>
          <w:highlight w:val="none"/>
        </w:rPr>
      </w:pPr>
    </w:p>
    <w:p w14:paraId="60044373">
      <w:pPr>
        <w:pStyle w:val="6"/>
        <w:snapToGrid w:val="0"/>
        <w:spacing w:before="50" w:after="50"/>
        <w:ind w:firstLine="0"/>
        <w:rPr>
          <w:rFonts w:hint="eastAsia" w:ascii="宋体" w:hAnsi="宋体" w:cs="仿宋_GB2312"/>
          <w:bCs/>
          <w:color w:val="auto"/>
          <w:sz w:val="32"/>
          <w:szCs w:val="32"/>
          <w:highlight w:val="none"/>
        </w:rPr>
      </w:pPr>
    </w:p>
    <w:p w14:paraId="76B588FA">
      <w:pPr>
        <w:pStyle w:val="6"/>
        <w:snapToGrid w:val="0"/>
        <w:spacing w:before="50" w:after="50"/>
        <w:ind w:firstLine="1280" w:firstLineChars="400"/>
        <w:rPr>
          <w:rFonts w:hint="eastAsia" w:ascii="宋体" w:hAnsi="宋体" w:cs="仿宋_GB2312"/>
          <w:bCs/>
          <w:color w:val="auto"/>
          <w:sz w:val="32"/>
          <w:szCs w:val="32"/>
          <w:highlight w:val="none"/>
        </w:rPr>
      </w:pPr>
    </w:p>
    <w:p w14:paraId="768527F8">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BEF6E8D">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14:paraId="3A7BF7F8">
      <w:pPr>
        <w:tabs>
          <w:tab w:val="left" w:pos="3479"/>
        </w:tabs>
        <w:spacing w:line="520" w:lineRule="exact"/>
        <w:jc w:val="left"/>
        <w:rPr>
          <w:rFonts w:hint="eastAsia"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15AFF232">
      <w:pPr>
        <w:tabs>
          <w:tab w:val="left" w:pos="3479"/>
        </w:tabs>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2DE450EC">
      <w:pPr>
        <w:spacing w:line="520" w:lineRule="exact"/>
        <w:jc w:val="center"/>
        <w:rPr>
          <w:rFonts w:hint="eastAsia" w:ascii="方正小标宋简体" w:hAnsi="方正小标宋简体" w:eastAsia="方正小标宋简体" w:cs="方正小标宋简体"/>
          <w:bCs/>
          <w:color w:val="auto"/>
          <w:sz w:val="32"/>
          <w:szCs w:val="32"/>
          <w:highlight w:val="none"/>
        </w:rPr>
      </w:pPr>
    </w:p>
    <w:p w14:paraId="25BB5F5C">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分标（如有）：</w:t>
      </w:r>
      <w:r>
        <w:rPr>
          <w:rFonts w:hint="eastAsia" w:ascii="宋体" w:hAnsi="宋体" w:cs="仿宋_GB2312"/>
          <w:color w:val="auto"/>
          <w:sz w:val="24"/>
          <w:highlight w:val="none"/>
          <w:u w:val="single"/>
        </w:rPr>
        <w:t xml:space="preserve">            </w:t>
      </w:r>
    </w:p>
    <w:p w14:paraId="26119C84">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3DA2748A">
      <w:pPr>
        <w:snapToGrid w:val="0"/>
        <w:spacing w:before="50" w:after="50" w:line="360" w:lineRule="auto"/>
        <w:ind w:firstLine="5520" w:firstLineChars="2300"/>
        <w:rPr>
          <w:rFonts w:hint="eastAsia" w:ascii="宋体" w:hAnsi="宋体" w:cs="仿宋_GB2312"/>
          <w:color w:val="auto"/>
          <w:sz w:val="24"/>
          <w:highlight w:val="none"/>
        </w:rPr>
      </w:pPr>
    </w:p>
    <w:tbl>
      <w:tblPr>
        <w:tblStyle w:val="2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4489"/>
        <w:gridCol w:w="1125"/>
        <w:gridCol w:w="1110"/>
        <w:gridCol w:w="1784"/>
      </w:tblGrid>
      <w:tr w14:paraId="5A3C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693CE4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4489" w:type="dxa"/>
            <w:tcBorders>
              <w:top w:val="single" w:color="auto" w:sz="4" w:space="0"/>
              <w:left w:val="single" w:color="auto" w:sz="4" w:space="0"/>
              <w:bottom w:val="single" w:color="auto" w:sz="4" w:space="0"/>
              <w:right w:val="single" w:color="auto" w:sz="4" w:space="0"/>
            </w:tcBorders>
            <w:vAlign w:val="center"/>
          </w:tcPr>
          <w:p w14:paraId="0627D689">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项目名称</w:t>
            </w:r>
          </w:p>
        </w:tc>
        <w:tc>
          <w:tcPr>
            <w:tcW w:w="1125" w:type="dxa"/>
            <w:tcBorders>
              <w:top w:val="single" w:color="auto" w:sz="4" w:space="0"/>
              <w:left w:val="single" w:color="auto" w:sz="4" w:space="0"/>
              <w:bottom w:val="single" w:color="auto" w:sz="4" w:space="0"/>
              <w:right w:val="single" w:color="auto" w:sz="4" w:space="0"/>
            </w:tcBorders>
            <w:vAlign w:val="center"/>
          </w:tcPr>
          <w:p w14:paraId="02D1D15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10" w:type="dxa"/>
            <w:tcBorders>
              <w:top w:val="single" w:color="auto" w:sz="4" w:space="0"/>
              <w:left w:val="single" w:color="auto" w:sz="4" w:space="0"/>
              <w:bottom w:val="single" w:color="auto" w:sz="4" w:space="0"/>
              <w:right w:val="single" w:color="auto" w:sz="4" w:space="0"/>
            </w:tcBorders>
            <w:vAlign w:val="center"/>
          </w:tcPr>
          <w:p w14:paraId="057447A7">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1784" w:type="dxa"/>
            <w:tcBorders>
              <w:top w:val="single" w:color="auto" w:sz="4" w:space="0"/>
              <w:left w:val="single" w:color="auto" w:sz="4" w:space="0"/>
              <w:bottom w:val="single" w:color="auto" w:sz="4" w:space="0"/>
              <w:right w:val="single" w:color="auto" w:sz="4" w:space="0"/>
            </w:tcBorders>
            <w:vAlign w:val="center"/>
          </w:tcPr>
          <w:p w14:paraId="014A6E2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折扣（%）</w:t>
            </w:r>
          </w:p>
        </w:tc>
      </w:tr>
      <w:tr w14:paraId="61BC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E761BC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489" w:type="dxa"/>
            <w:tcBorders>
              <w:top w:val="single" w:color="auto" w:sz="4" w:space="0"/>
              <w:left w:val="single" w:color="auto" w:sz="4" w:space="0"/>
              <w:bottom w:val="single" w:color="auto" w:sz="4" w:space="0"/>
              <w:right w:val="single" w:color="auto" w:sz="4" w:space="0"/>
            </w:tcBorders>
            <w:vAlign w:val="center"/>
          </w:tcPr>
          <w:p w14:paraId="7AFACF3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布草被服采购</w:t>
            </w:r>
          </w:p>
        </w:tc>
        <w:tc>
          <w:tcPr>
            <w:tcW w:w="1125" w:type="dxa"/>
            <w:tcBorders>
              <w:top w:val="single" w:color="auto" w:sz="4" w:space="0"/>
              <w:left w:val="single" w:color="auto" w:sz="4" w:space="0"/>
              <w:bottom w:val="single" w:color="auto" w:sz="4" w:space="0"/>
              <w:right w:val="single" w:color="auto" w:sz="4" w:space="0"/>
            </w:tcBorders>
            <w:vAlign w:val="center"/>
          </w:tcPr>
          <w:p w14:paraId="79AC215A">
            <w:pPr>
              <w:spacing w:line="440" w:lineRule="exact"/>
              <w:jc w:val="center"/>
              <w:rPr>
                <w:rFonts w:ascii="宋体" w:hAnsi="宋体" w:cs="宋体"/>
                <w:color w:val="auto"/>
                <w:sz w:val="24"/>
                <w:highlight w:val="none"/>
              </w:rPr>
            </w:pPr>
            <w:r>
              <w:rPr>
                <w:rFonts w:ascii="宋体" w:hAnsi="宋体" w:cs="宋体"/>
                <w:color w:val="auto"/>
                <w:sz w:val="24"/>
                <w:highlight w:val="none"/>
              </w:rPr>
              <w:t>1</w:t>
            </w:r>
          </w:p>
        </w:tc>
        <w:tc>
          <w:tcPr>
            <w:tcW w:w="1110" w:type="dxa"/>
            <w:tcBorders>
              <w:top w:val="single" w:color="auto" w:sz="4" w:space="0"/>
              <w:left w:val="single" w:color="auto" w:sz="4" w:space="0"/>
              <w:bottom w:val="single" w:color="auto" w:sz="4" w:space="0"/>
              <w:right w:val="single" w:color="auto" w:sz="4" w:space="0"/>
            </w:tcBorders>
            <w:vAlign w:val="center"/>
          </w:tcPr>
          <w:p w14:paraId="41BE62B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1784" w:type="dxa"/>
            <w:tcBorders>
              <w:top w:val="single" w:color="auto" w:sz="4" w:space="0"/>
              <w:left w:val="single" w:color="auto" w:sz="4" w:space="0"/>
              <w:bottom w:val="single" w:color="auto" w:sz="4" w:space="0"/>
              <w:right w:val="single" w:color="auto" w:sz="4" w:space="0"/>
            </w:tcBorders>
            <w:vAlign w:val="center"/>
          </w:tcPr>
          <w:p w14:paraId="10870DF6">
            <w:pPr>
              <w:spacing w:line="440" w:lineRule="exact"/>
              <w:jc w:val="center"/>
              <w:rPr>
                <w:rFonts w:ascii="宋体" w:hAnsi="宋体" w:cs="宋体"/>
                <w:color w:val="auto"/>
                <w:sz w:val="24"/>
                <w:highlight w:val="none"/>
              </w:rPr>
            </w:pPr>
          </w:p>
        </w:tc>
      </w:tr>
      <w:tr w14:paraId="324F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2EFDE511">
            <w:pPr>
              <w:spacing w:line="44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说明：</w:t>
            </w:r>
          </w:p>
          <w:p w14:paraId="61A20FDB">
            <w:pPr>
              <w:numPr>
                <w:ilvl w:val="0"/>
                <w:numId w:val="0"/>
              </w:numPr>
              <w:spacing w:line="4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本项目按</w:t>
            </w:r>
            <w:r>
              <w:rPr>
                <w:rFonts w:hint="eastAsia" w:ascii="宋体" w:hAnsi="宋体" w:eastAsia="宋体" w:cs="宋体"/>
                <w:color w:val="auto"/>
                <w:kern w:val="0"/>
                <w:sz w:val="24"/>
                <w:szCs w:val="24"/>
                <w:highlight w:val="none"/>
                <w:lang w:eastAsia="zh-CN"/>
              </w:rPr>
              <w:t>折扣</w:t>
            </w:r>
            <w:r>
              <w:rPr>
                <w:rFonts w:hint="eastAsia" w:ascii="宋体" w:hAnsi="宋体" w:eastAsia="宋体" w:cs="宋体"/>
                <w:color w:val="auto"/>
                <w:kern w:val="0"/>
                <w:sz w:val="24"/>
                <w:szCs w:val="24"/>
                <w:highlight w:val="none"/>
              </w:rPr>
              <w:t>报价，结算单价=单项最高限价×成交</w:t>
            </w:r>
            <w:r>
              <w:rPr>
                <w:rFonts w:hint="eastAsia" w:ascii="宋体" w:hAnsi="宋体" w:eastAsia="宋体" w:cs="宋体"/>
                <w:color w:val="auto"/>
                <w:kern w:val="0"/>
                <w:sz w:val="24"/>
                <w:szCs w:val="24"/>
                <w:highlight w:val="none"/>
                <w:lang w:eastAsia="zh-CN"/>
              </w:rPr>
              <w:t>折扣</w:t>
            </w:r>
            <w:r>
              <w:rPr>
                <w:rFonts w:hint="eastAsia" w:ascii="宋体" w:hAnsi="宋体" w:eastAsia="宋体" w:cs="宋体"/>
                <w:color w:val="auto"/>
                <w:kern w:val="0"/>
                <w:sz w:val="24"/>
                <w:szCs w:val="24"/>
                <w:highlight w:val="none"/>
              </w:rPr>
              <w:t>，结算总价=结算单价×实际采购数量。（例：供应商成交</w:t>
            </w:r>
            <w:r>
              <w:rPr>
                <w:rFonts w:hint="eastAsia" w:ascii="宋体" w:hAnsi="宋体" w:eastAsia="宋体" w:cs="宋体"/>
                <w:color w:val="auto"/>
                <w:kern w:val="0"/>
                <w:sz w:val="24"/>
                <w:szCs w:val="24"/>
                <w:highlight w:val="none"/>
                <w:lang w:eastAsia="zh-CN"/>
              </w:rPr>
              <w:t>折扣</w:t>
            </w:r>
            <w:r>
              <w:rPr>
                <w:rFonts w:hint="eastAsia" w:ascii="宋体" w:hAnsi="宋体" w:eastAsia="宋体" w:cs="宋体"/>
                <w:color w:val="auto"/>
                <w:kern w:val="0"/>
                <w:sz w:val="24"/>
                <w:szCs w:val="24"/>
                <w:highlight w:val="none"/>
              </w:rPr>
              <w:t>为90%，污物袋的结算单价=</w:t>
            </w:r>
            <w:r>
              <w:rPr>
                <w:rFonts w:hint="eastAsia" w:ascii="宋体" w:hAnsi="宋体" w:eastAsia="宋体" w:cs="宋体"/>
                <w:color w:val="auto"/>
                <w:kern w:val="0"/>
                <w:sz w:val="24"/>
                <w:szCs w:val="24"/>
                <w:highlight w:val="none"/>
                <w:lang w:val="en-US" w:eastAsia="zh-CN"/>
              </w:rPr>
              <w:t>39</w:t>
            </w:r>
            <w:r>
              <w:rPr>
                <w:rFonts w:hint="eastAsia" w:ascii="宋体" w:hAnsi="宋体" w:eastAsia="宋体" w:cs="宋体"/>
                <w:color w:val="auto"/>
                <w:kern w:val="0"/>
                <w:sz w:val="24"/>
                <w:szCs w:val="24"/>
                <w:highlight w:val="none"/>
              </w:rPr>
              <w:t>元×90%=</w:t>
            </w:r>
            <w:r>
              <w:rPr>
                <w:rFonts w:hint="eastAsia" w:ascii="宋体" w:hAnsi="宋体" w:eastAsia="宋体" w:cs="宋体"/>
                <w:color w:val="auto"/>
                <w:kern w:val="0"/>
                <w:sz w:val="24"/>
                <w:szCs w:val="24"/>
                <w:highlight w:val="none"/>
                <w:lang w:val="en-US" w:eastAsia="zh-CN"/>
              </w:rPr>
              <w:t>35.1</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w:t>
            </w:r>
          </w:p>
          <w:p w14:paraId="48AA2F3D">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2.竞标报价必须包含货物及货物运抵指定交货地点的各种费用和售后服务、税金、验收检验及其它所有费用的总和</w:t>
            </w:r>
            <w:r>
              <w:rPr>
                <w:rFonts w:hint="eastAsia" w:ascii="宋体" w:hAnsi="宋体" w:eastAsia="宋体" w:cs="宋体"/>
                <w:color w:val="auto"/>
                <w:sz w:val="24"/>
                <w:szCs w:val="24"/>
                <w:highlight w:val="none"/>
              </w:rPr>
              <w:t>。</w:t>
            </w:r>
          </w:p>
          <w:p w14:paraId="1EEDAB25">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 xml:space="preserve">采购人有权根据实际需求对采购数量、款式、颜色及工艺等进行调整，因此产生的费用包含在响应报价内，在核算单价时，不受数量增减、款式的复杂程度、颜色及工艺改变的影响。规格如有调整由采购人与成交供应商另行协商解决。 </w:t>
            </w:r>
          </w:p>
          <w:p w14:paraId="0DCC36E8">
            <w:pPr>
              <w:snapToGrid w:val="0"/>
              <w:spacing w:before="50" w:after="50" w:line="440" w:lineRule="exact"/>
              <w:ind w:firstLine="480" w:firstLineChars="200"/>
              <w:rPr>
                <w:rFonts w:ascii="宋体" w:hAnsi="宋体" w:cs="宋体"/>
                <w:color w:val="auto"/>
                <w:sz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对于采购文件中未列明，而供应商认为必需的费用也需列入报价。在合同实施时，采购人将不予支付成交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没有列入的项目费用，并认为此项目的费用已包括在单价中。</w:t>
            </w:r>
          </w:p>
        </w:tc>
      </w:tr>
    </w:tbl>
    <w:p w14:paraId="111904CE">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695166F1">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.供应商的报价表必须加盖供应商电子签章并由法定代表人或者委托代理人签</w:t>
      </w:r>
      <w:r>
        <w:rPr>
          <w:rFonts w:hint="eastAsia" w:ascii="宋体" w:hAnsi="宋体" w:cs="仿宋_GB2312"/>
          <w:color w:val="auto"/>
          <w:sz w:val="24"/>
          <w:highlight w:val="none"/>
        </w:rPr>
        <w:t>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2D09DF30">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lang w:val="en-US" w:eastAsia="zh-CN"/>
        </w:rPr>
        <w:t>2</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47C020EC">
      <w:pPr>
        <w:pStyle w:val="2"/>
        <w:rPr>
          <w:rFonts w:hint="eastAsia"/>
          <w:color w:val="auto"/>
          <w:highlight w:val="none"/>
        </w:rPr>
      </w:pPr>
    </w:p>
    <w:p w14:paraId="756E50A6">
      <w:pPr>
        <w:pStyle w:val="2"/>
        <w:rPr>
          <w:rFonts w:hint="eastAsia"/>
          <w:color w:val="auto"/>
          <w:highlight w:val="none"/>
        </w:rPr>
      </w:pPr>
    </w:p>
    <w:p w14:paraId="015C697B">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24873DE8">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77DA89DE">
      <w:pPr>
        <w:spacing w:line="360" w:lineRule="auto"/>
        <w:ind w:right="-817" w:rightChars="-389"/>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 xml:space="preserve">                      日期：   年   月   日</w:t>
      </w:r>
    </w:p>
    <w:p w14:paraId="321597C1">
      <w:pPr>
        <w:spacing w:line="360" w:lineRule="auto"/>
        <w:ind w:right="420"/>
        <w:contextualSpacing/>
        <w:jc w:val="left"/>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5774DBBB">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3FEAA589">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CBD8E18">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046F917">
      <w:pPr>
        <w:snapToGrid w:val="0"/>
        <w:spacing w:before="156" w:beforeLines="50" w:after="50"/>
        <w:rPr>
          <w:rFonts w:hint="eastAsia" w:ascii="宋体" w:hAnsi="宋体"/>
          <w:color w:val="auto"/>
          <w:sz w:val="24"/>
          <w:szCs w:val="20"/>
          <w:highlight w:val="none"/>
        </w:rPr>
      </w:pPr>
    </w:p>
    <w:p w14:paraId="2142FC10">
      <w:pPr>
        <w:snapToGrid w:val="0"/>
        <w:spacing w:before="156" w:beforeLines="50" w:after="50"/>
        <w:rPr>
          <w:rFonts w:hint="eastAsia" w:ascii="宋体" w:hAnsi="宋体"/>
          <w:color w:val="auto"/>
          <w:sz w:val="24"/>
          <w:szCs w:val="20"/>
          <w:highlight w:val="none"/>
        </w:rPr>
      </w:pPr>
    </w:p>
    <w:p w14:paraId="15932488">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C1384C1">
      <w:pPr>
        <w:snapToGrid w:val="0"/>
        <w:spacing w:before="156" w:beforeLines="50" w:after="50"/>
        <w:rPr>
          <w:rFonts w:hint="eastAsia" w:ascii="宋体" w:hAnsi="宋体"/>
          <w:bCs/>
          <w:color w:val="auto"/>
          <w:sz w:val="24"/>
          <w:szCs w:val="20"/>
          <w:highlight w:val="none"/>
        </w:rPr>
      </w:pPr>
    </w:p>
    <w:p w14:paraId="450E4DDE">
      <w:pPr>
        <w:snapToGrid w:val="0"/>
        <w:spacing w:before="156" w:beforeLines="50" w:after="50"/>
        <w:rPr>
          <w:rFonts w:hint="eastAsia" w:ascii="宋体" w:hAnsi="宋体"/>
          <w:bCs/>
          <w:color w:val="auto"/>
          <w:sz w:val="24"/>
          <w:szCs w:val="20"/>
          <w:highlight w:val="none"/>
        </w:rPr>
      </w:pPr>
    </w:p>
    <w:p w14:paraId="15F1FDE8">
      <w:pPr>
        <w:snapToGrid w:val="0"/>
        <w:spacing w:before="156" w:beforeLines="50" w:after="50"/>
        <w:rPr>
          <w:rFonts w:hint="eastAsia" w:ascii="宋体" w:hAnsi="宋体"/>
          <w:bCs/>
          <w:color w:val="auto"/>
          <w:sz w:val="24"/>
          <w:szCs w:val="20"/>
          <w:highlight w:val="none"/>
        </w:rPr>
      </w:pPr>
    </w:p>
    <w:p w14:paraId="454CA798">
      <w:pPr>
        <w:snapToGrid w:val="0"/>
        <w:spacing w:before="156" w:beforeLines="50" w:after="50"/>
        <w:rPr>
          <w:rFonts w:hint="eastAsia" w:ascii="宋体" w:hAnsi="宋体"/>
          <w:bCs/>
          <w:color w:val="auto"/>
          <w:sz w:val="24"/>
          <w:szCs w:val="20"/>
          <w:highlight w:val="none"/>
        </w:rPr>
      </w:pPr>
    </w:p>
    <w:p w14:paraId="6AB01C0D">
      <w:pPr>
        <w:snapToGrid w:val="0"/>
        <w:spacing w:before="156" w:beforeLines="50" w:after="50"/>
        <w:rPr>
          <w:rFonts w:hint="eastAsia" w:ascii="宋体" w:hAnsi="宋体"/>
          <w:bCs/>
          <w:color w:val="auto"/>
          <w:sz w:val="24"/>
          <w:szCs w:val="20"/>
          <w:highlight w:val="none"/>
        </w:rPr>
      </w:pPr>
    </w:p>
    <w:p w14:paraId="3B0D4E21">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1A31ABD">
      <w:pPr>
        <w:snapToGrid w:val="0"/>
        <w:spacing w:before="156" w:beforeLines="50" w:after="50"/>
        <w:ind w:firstLine="720" w:firstLineChars="225"/>
        <w:rPr>
          <w:rFonts w:hint="eastAsia" w:ascii="宋体" w:hAnsi="宋体" w:cs="仿宋_GB2312"/>
          <w:bCs/>
          <w:color w:val="auto"/>
          <w:sz w:val="32"/>
          <w:szCs w:val="32"/>
          <w:highlight w:val="none"/>
        </w:rPr>
      </w:pPr>
    </w:p>
    <w:p w14:paraId="72B7E19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8A5918C">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ACC0BC3">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A90F5F0">
      <w:pPr>
        <w:snapToGrid w:val="0"/>
        <w:spacing w:before="156" w:beforeLines="50" w:after="50"/>
        <w:ind w:firstLine="720" w:firstLineChars="225"/>
        <w:rPr>
          <w:rFonts w:hint="eastAsia" w:ascii="宋体" w:hAnsi="宋体" w:cs="仿宋_GB2312"/>
          <w:bCs/>
          <w:color w:val="auto"/>
          <w:sz w:val="32"/>
          <w:szCs w:val="32"/>
          <w:highlight w:val="none"/>
        </w:rPr>
      </w:pPr>
    </w:p>
    <w:p w14:paraId="07BEA3AA">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4D56184">
      <w:pPr>
        <w:pStyle w:val="6"/>
        <w:snapToGrid w:val="0"/>
        <w:spacing w:before="50" w:after="50"/>
        <w:ind w:firstLine="640" w:firstLineChars="200"/>
        <w:rPr>
          <w:rFonts w:hint="eastAsia" w:ascii="宋体" w:hAnsi="宋体" w:cs="仿宋_GB2312"/>
          <w:bCs/>
          <w:color w:val="auto"/>
          <w:sz w:val="32"/>
          <w:szCs w:val="32"/>
          <w:highlight w:val="none"/>
        </w:rPr>
      </w:pPr>
    </w:p>
    <w:p w14:paraId="3584E801">
      <w:pPr>
        <w:pStyle w:val="6"/>
        <w:snapToGrid w:val="0"/>
        <w:spacing w:before="50" w:after="50"/>
        <w:ind w:firstLine="720" w:firstLineChars="225"/>
        <w:rPr>
          <w:rFonts w:hint="eastAsia" w:ascii="宋体" w:hAnsi="宋体" w:cs="仿宋_GB2312"/>
          <w:bCs/>
          <w:color w:val="auto"/>
          <w:sz w:val="32"/>
          <w:szCs w:val="32"/>
          <w:highlight w:val="none"/>
        </w:rPr>
      </w:pPr>
    </w:p>
    <w:p w14:paraId="3201BB5C">
      <w:pPr>
        <w:pStyle w:val="6"/>
        <w:snapToGrid w:val="0"/>
        <w:spacing w:before="50" w:after="50"/>
        <w:ind w:firstLine="0"/>
        <w:rPr>
          <w:rFonts w:hint="eastAsia" w:ascii="宋体" w:hAnsi="宋体" w:cs="仿宋_GB2312"/>
          <w:bCs/>
          <w:color w:val="auto"/>
          <w:sz w:val="32"/>
          <w:szCs w:val="32"/>
          <w:highlight w:val="none"/>
        </w:rPr>
      </w:pPr>
    </w:p>
    <w:p w14:paraId="55167191">
      <w:pPr>
        <w:pStyle w:val="6"/>
        <w:snapToGrid w:val="0"/>
        <w:spacing w:before="50" w:after="50"/>
        <w:ind w:firstLine="1280" w:firstLineChars="400"/>
        <w:rPr>
          <w:rFonts w:hint="eastAsia" w:ascii="宋体" w:hAnsi="宋体" w:cs="仿宋_GB2312"/>
          <w:bCs/>
          <w:color w:val="auto"/>
          <w:sz w:val="32"/>
          <w:szCs w:val="32"/>
          <w:highlight w:val="none"/>
        </w:rPr>
      </w:pPr>
    </w:p>
    <w:p w14:paraId="25035A47">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E0D84A2">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3330E4B9">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2D239B8B">
      <w:pPr>
        <w:spacing w:line="400" w:lineRule="exact"/>
        <w:rPr>
          <w:rFonts w:hint="eastAsia" w:ascii="仿宋_GB2312" w:hAnsi="仿宋_GB2312" w:eastAsia="仿宋_GB2312" w:cs="仿宋_GB2312"/>
          <w:color w:val="auto"/>
          <w:sz w:val="32"/>
          <w:szCs w:val="32"/>
          <w:highlight w:val="none"/>
        </w:rPr>
      </w:pPr>
    </w:p>
    <w:p w14:paraId="1FF748E5">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24AB1B5B">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6B257B6D">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239743F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78C5A83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B2F652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551C5C2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0896D33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2C9F9F8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14:paraId="09F5D034">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5343143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2AFA61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1B6178B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29F1436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021BF1B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219AAE9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4496971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082F4BA7">
      <w:pPr>
        <w:spacing w:line="360" w:lineRule="auto"/>
        <w:ind w:firstLine="480" w:firstLineChars="200"/>
        <w:contextualSpacing/>
        <w:rPr>
          <w:rFonts w:hint="eastAsia" w:ascii="宋体" w:hAnsi="宋体" w:cs="仿宋_GB2312"/>
          <w:color w:val="auto"/>
          <w:sz w:val="24"/>
          <w:highlight w:val="none"/>
        </w:rPr>
      </w:pPr>
    </w:p>
    <w:p w14:paraId="48D6CF07">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3BE02759">
      <w:pPr>
        <w:spacing w:line="360" w:lineRule="auto"/>
        <w:ind w:firstLine="480" w:firstLineChars="200"/>
        <w:contextualSpacing/>
        <w:rPr>
          <w:rFonts w:hint="eastAsia" w:ascii="宋体" w:hAnsi="宋体" w:cs="仿宋_GB2312"/>
          <w:color w:val="auto"/>
          <w:sz w:val="24"/>
          <w:highlight w:val="none"/>
        </w:rPr>
      </w:pPr>
    </w:p>
    <w:p w14:paraId="77CF4320">
      <w:pPr>
        <w:spacing w:line="360" w:lineRule="auto"/>
        <w:contextualSpacing/>
        <w:rPr>
          <w:rFonts w:hint="eastAsia" w:ascii="宋体" w:hAnsi="宋体" w:cs="仿宋_GB2312"/>
          <w:color w:val="auto"/>
          <w:sz w:val="24"/>
          <w:highlight w:val="none"/>
        </w:rPr>
      </w:pPr>
    </w:p>
    <w:p w14:paraId="3D52C961">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66F0CFDB">
      <w:pPr>
        <w:spacing w:line="360" w:lineRule="auto"/>
        <w:ind w:firstLine="480" w:firstLineChars="20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14C08140">
      <w:pPr>
        <w:spacing w:line="360" w:lineRule="auto"/>
        <w:ind w:firstLine="640" w:firstLineChars="200"/>
        <w:contextualSpacing/>
        <w:jc w:val="center"/>
        <w:rPr>
          <w:rFonts w:hint="eastAsia" w:ascii="宋体" w:hAnsi="宋体" w:cs="仿宋_GB2312"/>
          <w:color w:val="auto"/>
          <w:sz w:val="32"/>
          <w:szCs w:val="32"/>
          <w:highlight w:val="none"/>
        </w:rPr>
      </w:pPr>
    </w:p>
    <w:p w14:paraId="77123BB3">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0644EE31">
      <w:pPr>
        <w:spacing w:line="360" w:lineRule="auto"/>
        <w:ind w:left="540"/>
        <w:contextualSpacing/>
        <w:rPr>
          <w:rFonts w:hint="eastAsia" w:ascii="仿宋_GB2312" w:hAnsi="仿宋_GB2312" w:eastAsia="仿宋_GB2312" w:cs="仿宋_GB2312"/>
          <w:color w:val="auto"/>
          <w:sz w:val="32"/>
          <w:szCs w:val="32"/>
          <w:highlight w:val="none"/>
        </w:rPr>
      </w:pPr>
    </w:p>
    <w:p w14:paraId="1DE485A2">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F2219E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5D00CDB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D92C966">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4D25C660">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01B792AE">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51E0224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51F8081E">
      <w:pPr>
        <w:spacing w:line="360" w:lineRule="auto"/>
        <w:ind w:left="540"/>
        <w:contextualSpacing/>
        <w:rPr>
          <w:rFonts w:hint="eastAsia" w:ascii="宋体" w:hAnsi="宋体" w:cs="仿宋_GB2312"/>
          <w:color w:val="auto"/>
          <w:sz w:val="24"/>
          <w:highlight w:val="none"/>
        </w:rPr>
      </w:pPr>
    </w:p>
    <w:p w14:paraId="1D76BF49">
      <w:pPr>
        <w:spacing w:line="360" w:lineRule="auto"/>
        <w:ind w:left="540"/>
        <w:contextualSpacing/>
        <w:rPr>
          <w:rFonts w:hint="eastAsia" w:ascii="宋体" w:hAnsi="宋体" w:cs="仿宋_GB2312"/>
          <w:color w:val="auto"/>
          <w:sz w:val="24"/>
          <w:highlight w:val="none"/>
        </w:rPr>
      </w:pPr>
    </w:p>
    <w:p w14:paraId="51EAD74A">
      <w:pPr>
        <w:spacing w:line="360" w:lineRule="auto"/>
        <w:ind w:left="540"/>
        <w:contextualSpacing/>
        <w:rPr>
          <w:rFonts w:hint="eastAsia" w:ascii="宋体" w:hAnsi="宋体" w:cs="仿宋_GB2312"/>
          <w:color w:val="auto"/>
          <w:sz w:val="24"/>
          <w:highlight w:val="none"/>
        </w:rPr>
      </w:pPr>
    </w:p>
    <w:p w14:paraId="100E8BA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3FD896BF">
      <w:pPr>
        <w:spacing w:line="360" w:lineRule="auto"/>
        <w:ind w:left="540"/>
        <w:contextualSpacing/>
        <w:rPr>
          <w:rFonts w:hint="eastAsia" w:ascii="宋体" w:hAnsi="宋体" w:cs="仿宋_GB2312"/>
          <w:color w:val="auto"/>
          <w:sz w:val="24"/>
          <w:highlight w:val="none"/>
        </w:rPr>
      </w:pPr>
    </w:p>
    <w:p w14:paraId="50D7C0F8">
      <w:pPr>
        <w:spacing w:line="360" w:lineRule="auto"/>
        <w:ind w:left="540"/>
        <w:contextualSpacing/>
        <w:jc w:val="right"/>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74327FA7">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395D018E">
      <w:pPr>
        <w:spacing w:line="360" w:lineRule="auto"/>
        <w:contextualSpacing/>
        <w:jc w:val="center"/>
        <w:rPr>
          <w:rFonts w:hint="eastAsia" w:ascii="宋体" w:hAnsi="宋体" w:cs="仿宋_GB2312"/>
          <w:b/>
          <w:color w:val="auto"/>
          <w:sz w:val="24"/>
          <w:highlight w:val="none"/>
        </w:rPr>
      </w:pPr>
    </w:p>
    <w:p w14:paraId="17490D92">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7A20AD2A">
      <w:pPr>
        <w:adjustRightInd w:val="0"/>
        <w:snapToGrid w:val="0"/>
        <w:spacing w:line="300" w:lineRule="auto"/>
        <w:jc w:val="left"/>
        <w:rPr>
          <w:rFonts w:hint="eastAsia" w:ascii="宋体" w:hAnsi="宋体"/>
          <w:b/>
          <w:color w:val="auto"/>
          <w:szCs w:val="21"/>
          <w:highlight w:val="none"/>
        </w:rPr>
      </w:pPr>
    </w:p>
    <w:p w14:paraId="6674547C">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0ABDCEFF">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14:paraId="2A03C981">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1D63E295">
      <w:pPr>
        <w:spacing w:line="360" w:lineRule="auto"/>
        <w:contextualSpacing/>
        <w:rPr>
          <w:rFonts w:hint="eastAsia" w:ascii="仿宋_GB2312" w:hAnsi="仿宋_GB2312" w:eastAsia="仿宋_GB2312" w:cs="仿宋_GB2312"/>
          <w:color w:val="auto"/>
          <w:sz w:val="32"/>
          <w:szCs w:val="32"/>
          <w:highlight w:val="none"/>
        </w:rPr>
      </w:pPr>
    </w:p>
    <w:p w14:paraId="34DF04D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80C622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2E4DA5C">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7EE2CBD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D75E7F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86D406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588DF5A">
      <w:pPr>
        <w:spacing w:line="360" w:lineRule="auto"/>
        <w:contextualSpacing/>
        <w:rPr>
          <w:rFonts w:hint="eastAsia" w:ascii="宋体" w:hAnsi="宋体" w:cs="仿宋_GB2312"/>
          <w:color w:val="auto"/>
          <w:sz w:val="24"/>
          <w:highlight w:val="none"/>
        </w:rPr>
      </w:pPr>
    </w:p>
    <w:p w14:paraId="46AFD59C">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EDF7C0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60DE2BFC">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7C1A1AF5">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4FFBAAB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075E849B">
      <w:pPr>
        <w:spacing w:line="360" w:lineRule="auto"/>
        <w:contextualSpacing/>
        <w:rPr>
          <w:rFonts w:hint="eastAsia" w:ascii="宋体" w:hAnsi="宋体" w:cs="仿宋_GB2312"/>
          <w:color w:val="auto"/>
          <w:sz w:val="24"/>
          <w:highlight w:val="none"/>
        </w:rPr>
      </w:pPr>
    </w:p>
    <w:p w14:paraId="6EED839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7C2432B3">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61967F67">
      <w:pPr>
        <w:spacing w:line="360" w:lineRule="auto"/>
        <w:ind w:firstLine="420" w:firstLineChars="200"/>
        <w:contextualSpacing/>
        <w:jc w:val="left"/>
        <w:rPr>
          <w:rFonts w:hint="eastAsia" w:ascii="仿宋_GB2312" w:hAnsi="仿宋_GB2312" w:eastAsia="仿宋_GB2312" w:cs="仿宋_GB2312"/>
          <w:color w:val="auto"/>
          <w:szCs w:val="21"/>
          <w:highlight w:val="none"/>
        </w:rPr>
      </w:pPr>
    </w:p>
    <w:p w14:paraId="45616004">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3E9287C2">
      <w:pPr>
        <w:spacing w:line="500" w:lineRule="exact"/>
        <w:jc w:val="center"/>
        <w:rPr>
          <w:rFonts w:ascii="宋体" w:hAnsi="宋体"/>
          <w:b/>
          <w:i/>
          <w:color w:val="auto"/>
          <w:sz w:val="32"/>
          <w:szCs w:val="32"/>
          <w:highlight w:val="none"/>
        </w:rPr>
      </w:pPr>
    </w:p>
    <w:p w14:paraId="3C8D1048">
      <w:pPr>
        <w:snapToGrid w:val="0"/>
        <w:spacing w:before="50"/>
        <w:jc w:val="left"/>
        <w:rPr>
          <w:rFonts w:hint="eastAsia" w:ascii="宋体" w:hAnsi="宋体"/>
          <w:color w:val="auto"/>
          <w:sz w:val="24"/>
          <w:highlight w:val="none"/>
        </w:rPr>
      </w:pPr>
    </w:p>
    <w:p w14:paraId="0FB0729F">
      <w:pPr>
        <w:pStyle w:val="13"/>
        <w:spacing w:line="360" w:lineRule="auto"/>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21"/>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24696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4AAB513">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BA4EC8E">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F4E6EE0">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BCF0666">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58DBB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442204A4">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944864A">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791A25C0">
            <w:pPr>
              <w:snapToGrid w:val="0"/>
              <w:spacing w:before="156"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29FE344">
            <w:pPr>
              <w:snapToGrid w:val="0"/>
              <w:spacing w:before="156" w:beforeLines="50" w:line="360" w:lineRule="auto"/>
              <w:jc w:val="center"/>
              <w:rPr>
                <w:rFonts w:hint="eastAsia" w:ascii="宋体" w:hAnsi="宋体" w:cs="仿宋_GB2312"/>
                <w:color w:val="auto"/>
                <w:sz w:val="24"/>
                <w:highlight w:val="none"/>
              </w:rPr>
            </w:pPr>
          </w:p>
        </w:tc>
      </w:tr>
      <w:tr w14:paraId="1069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6373468">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3C02554">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4BC1DA6">
            <w:pPr>
              <w:snapToGrid w:val="0"/>
              <w:spacing w:before="156" w:beforeLines="50" w:line="360" w:lineRule="auto"/>
              <w:ind w:left="43"/>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D8C0306">
            <w:pPr>
              <w:snapToGrid w:val="0"/>
              <w:spacing w:before="156" w:beforeLines="50" w:line="360" w:lineRule="auto"/>
              <w:ind w:left="43"/>
              <w:jc w:val="center"/>
              <w:rPr>
                <w:rFonts w:hint="eastAsia" w:ascii="宋体" w:hAnsi="宋体" w:cs="仿宋_GB2312"/>
                <w:color w:val="auto"/>
                <w:sz w:val="24"/>
                <w:highlight w:val="none"/>
              </w:rPr>
            </w:pPr>
          </w:p>
        </w:tc>
      </w:tr>
      <w:tr w14:paraId="2D986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5C9FBB38">
            <w:pPr>
              <w:snapToGrid w:val="0"/>
              <w:spacing w:before="156"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B3725BE">
            <w:pPr>
              <w:snapToGrid w:val="0"/>
              <w:spacing w:before="156" w:beforeLines="50" w:line="360" w:lineRule="auto"/>
              <w:jc w:val="center"/>
              <w:rPr>
                <w:rFonts w:hint="eastAsia"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04FDB6D3">
            <w:pPr>
              <w:snapToGrid w:val="0"/>
              <w:spacing w:before="156"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947F97E">
            <w:pPr>
              <w:snapToGrid w:val="0"/>
              <w:spacing w:before="156" w:beforeLines="50" w:line="360" w:lineRule="auto"/>
              <w:jc w:val="center"/>
              <w:rPr>
                <w:rFonts w:hint="eastAsia" w:ascii="宋体" w:hAnsi="宋体" w:cs="仿宋_GB2312"/>
                <w:color w:val="auto"/>
                <w:sz w:val="24"/>
                <w:highlight w:val="none"/>
              </w:rPr>
            </w:pPr>
          </w:p>
        </w:tc>
      </w:tr>
    </w:tbl>
    <w:p w14:paraId="421C46F4">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696E2389">
      <w:pPr>
        <w:pStyle w:val="9"/>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 采购需求”中的商务要求逐条明确响应，并作出偏离说明。</w:t>
      </w:r>
    </w:p>
    <w:p w14:paraId="39F5EEF6">
      <w:pPr>
        <w:pStyle w:val="9"/>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负偏离”或者“无偏离”。既不属于“正偏离”也不属于“负偏离”即为“无偏离”。</w:t>
      </w:r>
    </w:p>
    <w:p w14:paraId="07248527">
      <w:pPr>
        <w:spacing w:line="360" w:lineRule="auto"/>
        <w:contextualSpacing/>
        <w:jc w:val="left"/>
        <w:rPr>
          <w:rFonts w:hint="eastAsia" w:ascii="宋体" w:hAnsi="宋体" w:cs="仿宋_GB2312"/>
          <w:color w:val="auto"/>
          <w:sz w:val="24"/>
          <w:highlight w:val="none"/>
          <w:u w:val="single"/>
        </w:rPr>
      </w:pPr>
    </w:p>
    <w:p w14:paraId="0144B432">
      <w:pPr>
        <w:spacing w:line="360" w:lineRule="auto"/>
        <w:contextualSpacing/>
        <w:jc w:val="left"/>
        <w:rPr>
          <w:rFonts w:hint="eastAsia" w:ascii="宋体" w:hAnsi="宋体" w:cs="仿宋_GB2312"/>
          <w:color w:val="auto"/>
          <w:sz w:val="24"/>
          <w:highlight w:val="none"/>
          <w:u w:val="single"/>
        </w:rPr>
      </w:pPr>
    </w:p>
    <w:p w14:paraId="6259ECA5">
      <w:pPr>
        <w:spacing w:line="360" w:lineRule="auto"/>
        <w:ind w:right="-817" w:rightChars="-389"/>
        <w:contextualSpacing/>
        <w:rPr>
          <w:rFonts w:hint="eastAsia" w:ascii="宋体" w:hAnsi="宋体" w:cs="仿宋_GB2312"/>
          <w:color w:val="auto"/>
          <w:sz w:val="24"/>
          <w:highlight w:val="none"/>
        </w:rPr>
      </w:pPr>
    </w:p>
    <w:p w14:paraId="5DFADDA5">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15650FD">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12729833">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0E7CD77D">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7055E04B">
      <w:pPr>
        <w:adjustRightInd w:val="0"/>
        <w:snapToGrid w:val="0"/>
        <w:spacing w:line="520" w:lineRule="exact"/>
        <w:jc w:val="center"/>
        <w:rPr>
          <w:rFonts w:hint="eastAsia"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货物配置清单</w:t>
      </w:r>
    </w:p>
    <w:p w14:paraId="16A9FAA9">
      <w:pPr>
        <w:spacing w:line="300" w:lineRule="auto"/>
        <w:rPr>
          <w:rFonts w:hint="eastAsia" w:ascii="宋体" w:hAnsi="宋体"/>
          <w:color w:val="auto"/>
          <w:szCs w:val="21"/>
          <w:highlight w:val="none"/>
        </w:rPr>
      </w:pPr>
    </w:p>
    <w:p w14:paraId="6062419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88FA801">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B33753E">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所竞分标：</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26485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0F48B9E3">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38A5EB9">
            <w:pPr>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标的的名称</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4694D69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7A593E8E">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noWrap w:val="0"/>
            <w:vAlign w:val="top"/>
          </w:tcPr>
          <w:p w14:paraId="0A045F05">
            <w:pPr>
              <w:snapToGrid w:val="0"/>
              <w:spacing w:before="50" w:after="50"/>
              <w:jc w:val="center"/>
              <w:rPr>
                <w:rFonts w:ascii="宋体" w:hAnsi="宋体"/>
                <w:color w:val="auto"/>
                <w:sz w:val="24"/>
                <w:highlight w:val="none"/>
              </w:rPr>
            </w:pPr>
          </w:p>
          <w:p w14:paraId="27EAD3C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C54405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D5AF7A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EE88ECB">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79DBF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71ACFE98">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9BD4E14">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2C73C91B">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511AA254">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0D208B09">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11576D5">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7FC4E83">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70EE21A">
            <w:pPr>
              <w:snapToGrid w:val="0"/>
              <w:spacing w:before="50" w:after="50"/>
              <w:jc w:val="center"/>
              <w:rPr>
                <w:rFonts w:hint="eastAsia" w:ascii="宋体" w:hAnsi="宋体"/>
                <w:color w:val="auto"/>
                <w:sz w:val="24"/>
                <w:highlight w:val="none"/>
              </w:rPr>
            </w:pPr>
          </w:p>
        </w:tc>
      </w:tr>
      <w:tr w14:paraId="5AF83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5D5C7235">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0012519">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6F68D524">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06667305">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168A11F8">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C25823E">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944447F">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1C307F2">
            <w:pPr>
              <w:snapToGrid w:val="0"/>
              <w:spacing w:before="50" w:after="50"/>
              <w:jc w:val="center"/>
              <w:rPr>
                <w:rFonts w:hint="eastAsia" w:ascii="宋体" w:hAnsi="宋体"/>
                <w:color w:val="auto"/>
                <w:sz w:val="24"/>
                <w:highlight w:val="none"/>
              </w:rPr>
            </w:pPr>
          </w:p>
        </w:tc>
      </w:tr>
      <w:tr w14:paraId="66EF0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14:paraId="4842B946">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F30CEA4">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6464FF42">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14:paraId="4C7CBF1E">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noWrap w:val="0"/>
            <w:vAlign w:val="top"/>
          </w:tcPr>
          <w:p w14:paraId="16C0E668">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207F615">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0B5F4EC">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5B20FB0">
            <w:pPr>
              <w:snapToGrid w:val="0"/>
              <w:spacing w:before="50" w:after="50"/>
              <w:jc w:val="center"/>
              <w:rPr>
                <w:rFonts w:hint="eastAsia" w:ascii="宋体" w:hAnsi="宋体"/>
                <w:color w:val="auto"/>
                <w:sz w:val="24"/>
                <w:highlight w:val="none"/>
              </w:rPr>
            </w:pPr>
          </w:p>
        </w:tc>
      </w:tr>
    </w:tbl>
    <w:p w14:paraId="0E0488D0">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72594051">
      <w:pPr>
        <w:tabs>
          <w:tab w:val="left" w:pos="1065"/>
        </w:tabs>
        <w:adjustRightInd w:val="0"/>
        <w:spacing w:line="360" w:lineRule="auto"/>
        <w:contextualSpacing/>
        <w:rPr>
          <w:rFonts w:hint="eastAsia" w:ascii="宋体" w:hAnsi="宋体" w:cs="仿宋_GB2312"/>
          <w:color w:val="auto"/>
          <w:sz w:val="24"/>
          <w:highlight w:val="none"/>
        </w:rPr>
      </w:pPr>
      <w:r>
        <w:rPr>
          <w:rFonts w:hint="eastAsia" w:ascii="宋体" w:hAnsi="宋体"/>
          <w:b/>
          <w:bCs/>
          <w:color w:val="auto"/>
          <w:sz w:val="24"/>
          <w:highlight w:val="none"/>
        </w:rPr>
        <w:t>以上货物配置清单中“</w:t>
      </w:r>
      <w:r>
        <w:rPr>
          <w:rFonts w:hint="eastAsia" w:ascii="宋体" w:hAnsi="宋体"/>
          <w:b/>
          <w:bCs/>
          <w:color w:val="auto"/>
          <w:sz w:val="24"/>
          <w:highlight w:val="none"/>
          <w:lang w:val="en-US" w:eastAsia="zh-CN"/>
        </w:rPr>
        <w:t>标的的名称</w:t>
      </w:r>
      <w:r>
        <w:rPr>
          <w:rFonts w:hint="eastAsia" w:ascii="宋体" w:hAnsi="宋体"/>
          <w:b/>
          <w:bCs/>
          <w:color w:val="auto"/>
          <w:sz w:val="24"/>
          <w:highlight w:val="none"/>
        </w:rPr>
        <w:t>、数量及单位、品牌、规格型号、制造商、原产地、参数性能、指标及配置”必须如实填写完整，品牌、规格型号没有则填无，填写有缺漏的，响应文件按无效处理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00853DA9">
      <w:pPr>
        <w:adjustRightInd w:val="0"/>
        <w:spacing w:line="360" w:lineRule="auto"/>
        <w:contextualSpacing/>
        <w:jc w:val="left"/>
        <w:rPr>
          <w:rFonts w:hint="eastAsia" w:ascii="宋体" w:hAnsi="宋体" w:cs="仿宋_GB2312"/>
          <w:color w:val="auto"/>
          <w:sz w:val="24"/>
          <w:highlight w:val="none"/>
        </w:rPr>
      </w:pPr>
    </w:p>
    <w:p w14:paraId="613C374C">
      <w:pPr>
        <w:adjustRightInd w:val="0"/>
        <w:spacing w:line="360" w:lineRule="auto"/>
        <w:contextualSpacing/>
        <w:jc w:val="left"/>
        <w:rPr>
          <w:rFonts w:hint="eastAsia" w:ascii="宋体" w:hAnsi="宋体" w:cs="仿宋_GB2312"/>
          <w:color w:val="auto"/>
          <w:sz w:val="24"/>
          <w:highlight w:val="none"/>
        </w:rPr>
      </w:pPr>
    </w:p>
    <w:p w14:paraId="2CD03D96">
      <w:pPr>
        <w:adjustRightInd w:val="0"/>
        <w:spacing w:line="360" w:lineRule="auto"/>
        <w:contextualSpacing/>
        <w:jc w:val="left"/>
        <w:rPr>
          <w:rFonts w:hint="eastAsia" w:ascii="宋体" w:hAnsi="宋体" w:cs="仿宋_GB2312"/>
          <w:color w:val="auto"/>
          <w:sz w:val="24"/>
          <w:highlight w:val="none"/>
        </w:rPr>
      </w:pPr>
    </w:p>
    <w:p w14:paraId="6B7AF8B0">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F34E73B">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2DE435F">
      <w:pPr>
        <w:spacing w:line="360" w:lineRule="auto"/>
        <w:ind w:right="-817" w:rightChars="-389" w:firstLine="2880" w:firstLineChars="12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1112C058">
      <w:pPr>
        <w:adjustRightInd w:val="0"/>
        <w:snapToGrid w:val="0"/>
        <w:spacing w:line="300" w:lineRule="auto"/>
        <w:rPr>
          <w:rFonts w:hint="eastAsia" w:ascii="宋体" w:hAnsi="宋体"/>
          <w:color w:val="auto"/>
          <w:szCs w:val="21"/>
          <w:highlight w:val="none"/>
          <w:u w:val="single"/>
        </w:rPr>
      </w:pPr>
    </w:p>
    <w:p w14:paraId="1A8906BF">
      <w:pPr>
        <w:adjustRightInd w:val="0"/>
        <w:snapToGrid w:val="0"/>
        <w:spacing w:line="300" w:lineRule="auto"/>
        <w:rPr>
          <w:rFonts w:hint="eastAsia" w:ascii="宋体" w:hAnsi="宋体"/>
          <w:color w:val="auto"/>
          <w:szCs w:val="21"/>
          <w:highlight w:val="none"/>
          <w:u w:val="single"/>
        </w:rPr>
      </w:pPr>
    </w:p>
    <w:p w14:paraId="5E69B75F">
      <w:pPr>
        <w:adjustRightInd w:val="0"/>
        <w:snapToGrid w:val="0"/>
        <w:spacing w:line="300" w:lineRule="auto"/>
        <w:rPr>
          <w:rFonts w:hint="eastAsia" w:ascii="宋体" w:hAnsi="宋体"/>
          <w:color w:val="auto"/>
          <w:szCs w:val="21"/>
          <w:highlight w:val="none"/>
          <w:u w:val="single"/>
        </w:rPr>
      </w:pPr>
    </w:p>
    <w:p w14:paraId="64D08FE6">
      <w:pPr>
        <w:adjustRightInd w:val="0"/>
        <w:snapToGrid w:val="0"/>
        <w:spacing w:line="300" w:lineRule="auto"/>
        <w:rPr>
          <w:rFonts w:hint="eastAsia" w:ascii="宋体" w:hAnsi="宋体"/>
          <w:color w:val="auto"/>
          <w:szCs w:val="21"/>
          <w:highlight w:val="none"/>
          <w:u w:val="single"/>
        </w:rPr>
      </w:pPr>
    </w:p>
    <w:p w14:paraId="121ED689">
      <w:pPr>
        <w:adjustRightInd w:val="0"/>
        <w:snapToGrid w:val="0"/>
        <w:spacing w:line="300" w:lineRule="auto"/>
        <w:rPr>
          <w:rFonts w:hint="eastAsia" w:ascii="宋体" w:hAnsi="宋体"/>
          <w:color w:val="auto"/>
          <w:szCs w:val="21"/>
          <w:highlight w:val="none"/>
          <w:u w:val="single"/>
        </w:rPr>
      </w:pPr>
    </w:p>
    <w:p w14:paraId="52F781BD">
      <w:pPr>
        <w:adjustRightInd w:val="0"/>
        <w:snapToGrid w:val="0"/>
        <w:spacing w:line="300" w:lineRule="auto"/>
        <w:rPr>
          <w:rFonts w:hint="eastAsia" w:ascii="宋体" w:hAnsi="宋体"/>
          <w:color w:val="auto"/>
          <w:szCs w:val="21"/>
          <w:highlight w:val="none"/>
          <w:u w:val="single"/>
        </w:rPr>
      </w:pPr>
    </w:p>
    <w:p w14:paraId="7626D302">
      <w:pPr>
        <w:adjustRightInd w:val="0"/>
        <w:snapToGrid w:val="0"/>
        <w:spacing w:line="300" w:lineRule="auto"/>
        <w:rPr>
          <w:rFonts w:hint="eastAsia" w:ascii="宋体" w:hAnsi="宋体"/>
          <w:color w:val="auto"/>
          <w:szCs w:val="21"/>
          <w:highlight w:val="none"/>
          <w:u w:val="single"/>
        </w:rPr>
      </w:pPr>
    </w:p>
    <w:p w14:paraId="2D24CA2A">
      <w:pPr>
        <w:adjustRightInd w:val="0"/>
        <w:snapToGrid w:val="0"/>
        <w:spacing w:line="300" w:lineRule="auto"/>
        <w:rPr>
          <w:rFonts w:hint="eastAsia" w:ascii="宋体" w:hAnsi="宋体"/>
          <w:color w:val="auto"/>
          <w:szCs w:val="21"/>
          <w:highlight w:val="none"/>
          <w:u w:val="single"/>
        </w:rPr>
      </w:pPr>
    </w:p>
    <w:p w14:paraId="65AF7F27">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41EE8D6C">
      <w:pPr>
        <w:spacing w:line="520" w:lineRule="exact"/>
        <w:rPr>
          <w:rFonts w:hint="eastAsia" w:ascii="仿宋_GB2312" w:hAnsi="仿宋_GB2312" w:eastAsia="仿宋_GB2312" w:cs="仿宋_GB2312"/>
          <w:color w:val="auto"/>
          <w:sz w:val="32"/>
          <w:szCs w:val="32"/>
          <w:highlight w:val="none"/>
        </w:rPr>
      </w:pPr>
    </w:p>
    <w:p w14:paraId="062FE7E8">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2C4737FE">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1ECB528B">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7FA502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769F18E1">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序号</w:t>
            </w:r>
          </w:p>
        </w:tc>
        <w:tc>
          <w:tcPr>
            <w:tcW w:w="900" w:type="dxa"/>
            <w:tcBorders>
              <w:right w:val="single" w:color="auto" w:sz="4" w:space="0"/>
            </w:tcBorders>
            <w:noWrap w:val="0"/>
            <w:vAlign w:val="center"/>
          </w:tcPr>
          <w:p w14:paraId="611E6FA6">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2989" w:type="dxa"/>
            <w:tcBorders>
              <w:left w:val="single" w:color="auto" w:sz="4" w:space="0"/>
            </w:tcBorders>
            <w:noWrap w:val="0"/>
            <w:vAlign w:val="center"/>
          </w:tcPr>
          <w:p w14:paraId="5CAA877F">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谈判文件要求</w:t>
            </w:r>
          </w:p>
        </w:tc>
        <w:tc>
          <w:tcPr>
            <w:tcW w:w="2690" w:type="dxa"/>
            <w:noWrap w:val="0"/>
            <w:vAlign w:val="center"/>
          </w:tcPr>
          <w:p w14:paraId="4526F59A">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竞标响应</w:t>
            </w:r>
          </w:p>
        </w:tc>
        <w:tc>
          <w:tcPr>
            <w:tcW w:w="1467" w:type="dxa"/>
            <w:noWrap w:val="0"/>
            <w:vAlign w:val="center"/>
          </w:tcPr>
          <w:p w14:paraId="622CDF7E">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偏离说明</w:t>
            </w:r>
          </w:p>
        </w:tc>
      </w:tr>
      <w:tr w14:paraId="1597FF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51089843">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w:t>
            </w:r>
          </w:p>
        </w:tc>
        <w:tc>
          <w:tcPr>
            <w:tcW w:w="900" w:type="dxa"/>
            <w:tcBorders>
              <w:right w:val="single" w:color="auto" w:sz="4" w:space="0"/>
            </w:tcBorders>
            <w:noWrap w:val="0"/>
            <w:vAlign w:val="center"/>
          </w:tcPr>
          <w:p w14:paraId="3BA45C96">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20191DC5">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66927379">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37851D96">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15E287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26C8C1CC">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w:t>
            </w:r>
          </w:p>
        </w:tc>
        <w:tc>
          <w:tcPr>
            <w:tcW w:w="900" w:type="dxa"/>
            <w:tcBorders>
              <w:right w:val="single" w:color="auto" w:sz="4" w:space="0"/>
            </w:tcBorders>
            <w:noWrap w:val="0"/>
            <w:vAlign w:val="center"/>
          </w:tcPr>
          <w:p w14:paraId="3FC7A6DA">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5971ECA3">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7BA0A770">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284A1FA8">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14649C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69D3CD9F">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w:t>
            </w:r>
          </w:p>
        </w:tc>
        <w:tc>
          <w:tcPr>
            <w:tcW w:w="900" w:type="dxa"/>
            <w:tcBorders>
              <w:right w:val="single" w:color="auto" w:sz="4" w:space="0"/>
            </w:tcBorders>
            <w:noWrap w:val="0"/>
            <w:vAlign w:val="center"/>
          </w:tcPr>
          <w:p w14:paraId="0749D7D0">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06DE3FDD">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6659773C">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3F8A5C72">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1D912B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5CB766A2">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900" w:type="dxa"/>
            <w:tcBorders>
              <w:right w:val="single" w:color="auto" w:sz="4" w:space="0"/>
            </w:tcBorders>
            <w:noWrap w:val="0"/>
            <w:vAlign w:val="center"/>
          </w:tcPr>
          <w:p w14:paraId="2CC0A527">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74D041BE">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01A5EA0A">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08BE595D">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2B3157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16B8CC0C">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5</w:t>
            </w:r>
          </w:p>
        </w:tc>
        <w:tc>
          <w:tcPr>
            <w:tcW w:w="900" w:type="dxa"/>
            <w:tcBorders>
              <w:right w:val="single" w:color="auto" w:sz="4" w:space="0"/>
            </w:tcBorders>
            <w:noWrap w:val="0"/>
            <w:vAlign w:val="center"/>
          </w:tcPr>
          <w:p w14:paraId="5DE1527B">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34CF36CB">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3D352B6C">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5249E29E">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707347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noWrap w:val="0"/>
            <w:vAlign w:val="center"/>
          </w:tcPr>
          <w:p w14:paraId="1A19F36A">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w:t>
            </w:r>
          </w:p>
        </w:tc>
        <w:tc>
          <w:tcPr>
            <w:tcW w:w="900" w:type="dxa"/>
            <w:tcBorders>
              <w:right w:val="single" w:color="auto" w:sz="4" w:space="0"/>
            </w:tcBorders>
            <w:noWrap w:val="0"/>
            <w:vAlign w:val="center"/>
          </w:tcPr>
          <w:p w14:paraId="1968B0EA">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12B5DCF0">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79293784">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67" w:type="dxa"/>
            <w:tcBorders>
              <w:right w:val="single" w:color="auto" w:sz="4" w:space="0"/>
            </w:tcBorders>
            <w:noWrap w:val="0"/>
            <w:vAlign w:val="center"/>
          </w:tcPr>
          <w:p w14:paraId="73F0E091">
            <w:pPr>
              <w:pStyle w:val="11"/>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bl>
    <w:p w14:paraId="36525710">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5246E133">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 采购需求”中的技术要求逐条实质性响应，并作出偏离说明。</w:t>
      </w:r>
    </w:p>
    <w:p w14:paraId="3890A475">
      <w:pPr>
        <w:pStyle w:val="11"/>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w:t>
      </w:r>
      <w:r>
        <w:rPr>
          <w:rFonts w:hint="eastAsia" w:ascii="宋体" w:hAnsi="宋体" w:eastAsia="宋体" w:cs="仿宋_GB2312"/>
          <w:color w:val="auto"/>
          <w:sz w:val="24"/>
          <w:szCs w:val="24"/>
          <w:highlight w:val="none"/>
          <w:lang w:eastAsia="zh-CN"/>
        </w:rPr>
        <w:t>”“</w:t>
      </w:r>
      <w:r>
        <w:rPr>
          <w:rFonts w:hint="eastAsia" w:ascii="宋体" w:hAnsi="宋体" w:eastAsia="宋体" w:cs="仿宋_GB2312"/>
          <w:color w:val="auto"/>
          <w:sz w:val="24"/>
          <w:szCs w:val="24"/>
          <w:highlight w:val="none"/>
        </w:rPr>
        <w:t>负偏离”或者“无偏离”。既不属于“正偏离”也不属于“负偏离”即为“无偏离”。</w:t>
      </w:r>
    </w:p>
    <w:p w14:paraId="288F91C2">
      <w:pPr>
        <w:pStyle w:val="11"/>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3.供应商认为其竞标响应有正偏离的，请在技术要求偏离表中列明，且在响应文件中提供竞标产品的彩页或</w:t>
      </w:r>
      <w:r>
        <w:rPr>
          <w:rFonts w:ascii="宋体" w:hAnsi="宋体" w:eastAsia="宋体"/>
          <w:color w:val="auto"/>
          <w:sz w:val="24"/>
          <w:szCs w:val="24"/>
          <w:highlight w:val="none"/>
        </w:rPr>
        <w:t>国家认可有资质的第三方检测机构出具的检测报告复印件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4843047F">
      <w:pPr>
        <w:pStyle w:val="11"/>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如技术要求偏离表中的竞标响应与佐证材料不一致的，以佐证材料为准。</w:t>
      </w:r>
    </w:p>
    <w:p w14:paraId="30FEA912">
      <w:pPr>
        <w:pStyle w:val="11"/>
        <w:spacing w:line="360" w:lineRule="auto"/>
        <w:ind w:firstLine="0" w:firstLineChars="0"/>
        <w:contextualSpacing/>
        <w:rPr>
          <w:rFonts w:hint="eastAsia" w:ascii="宋体" w:hAnsi="宋体" w:eastAsia="宋体" w:cs="仿宋_GB2312"/>
          <w:color w:val="auto"/>
          <w:sz w:val="24"/>
          <w:szCs w:val="24"/>
          <w:highlight w:val="none"/>
        </w:rPr>
      </w:pPr>
    </w:p>
    <w:p w14:paraId="1BC0A3A9">
      <w:pPr>
        <w:spacing w:line="360" w:lineRule="auto"/>
        <w:ind w:right="-817" w:rightChars="-389"/>
        <w:contextualSpacing/>
        <w:rPr>
          <w:rFonts w:hint="eastAsia" w:ascii="宋体" w:hAnsi="宋体" w:cs="仿宋_GB2312"/>
          <w:color w:val="auto"/>
          <w:sz w:val="24"/>
          <w:highlight w:val="none"/>
        </w:rPr>
      </w:pPr>
    </w:p>
    <w:p w14:paraId="4CB68FD4">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C375371">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44CE601F">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77E925DA">
      <w:pPr>
        <w:snapToGrid w:val="0"/>
        <w:spacing w:before="156" w:beforeLines="50" w:after="50"/>
        <w:jc w:val="left"/>
        <w:rPr>
          <w:rFonts w:hint="eastAsia" w:ascii="宋体" w:hAnsi="宋体"/>
          <w:color w:val="auto"/>
          <w:szCs w:val="21"/>
          <w:highlight w:val="none"/>
        </w:rPr>
      </w:pPr>
      <w:r>
        <w:rPr>
          <w:rFonts w:ascii="宋体" w:hAnsi="宋体" w:cs="仿宋_GB2312"/>
          <w:color w:val="auto"/>
          <w:sz w:val="24"/>
          <w:highlight w:val="none"/>
        </w:rPr>
        <w:br w:type="page"/>
      </w:r>
      <w:r>
        <w:rPr>
          <w:rFonts w:hint="eastAsia" w:ascii="宋体" w:hAnsi="宋体"/>
          <w:b/>
          <w:bCs/>
          <w:color w:val="auto"/>
          <w:sz w:val="24"/>
          <w:highlight w:val="none"/>
        </w:rPr>
        <w:t>其他文书、文件格式</w:t>
      </w:r>
    </w:p>
    <w:p w14:paraId="0F4A278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83" w:name="_Toc71366061"/>
      <w:bookmarkStart w:id="84" w:name="_Toc71365383"/>
      <w:r>
        <w:rPr>
          <w:rFonts w:hint="eastAsia" w:ascii="方正小标宋简体" w:hAnsi="方正小标宋简体" w:eastAsia="方正小标宋简体" w:cs="方正小标宋简体"/>
          <w:bCs/>
          <w:color w:val="auto"/>
          <w:sz w:val="44"/>
          <w:szCs w:val="44"/>
          <w:highlight w:val="none"/>
        </w:rPr>
        <w:t>中小企业声明函（货物）</w:t>
      </w:r>
      <w:bookmarkEnd w:id="83"/>
      <w:bookmarkEnd w:id="84"/>
    </w:p>
    <w:p w14:paraId="4E200DCF">
      <w:pPr>
        <w:rPr>
          <w:rFonts w:hint="eastAsia"/>
          <w:color w:val="auto"/>
          <w:highlight w:val="none"/>
        </w:rPr>
      </w:pPr>
    </w:p>
    <w:p w14:paraId="05067835">
      <w:pPr>
        <w:pStyle w:val="10"/>
        <w:spacing w:after="0" w:line="360" w:lineRule="auto"/>
        <w:ind w:left="-426" w:right="142" w:firstLine="640"/>
        <w:contextualSpacing/>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14:paraId="226B0AF4">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443BDFC2">
      <w:pPr>
        <w:tabs>
          <w:tab w:val="left" w:pos="1065"/>
          <w:tab w:val="left" w:pos="6477"/>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29F9840F">
      <w:pPr>
        <w:pStyle w:val="10"/>
        <w:spacing w:after="0" w:line="360" w:lineRule="auto"/>
        <w:ind w:left="142" w:right="142"/>
        <w:contextualSpacing/>
        <w:rPr>
          <w:rFonts w:ascii="宋体" w:hAnsi="宋体"/>
          <w:color w:val="auto"/>
          <w:sz w:val="24"/>
          <w:highlight w:val="none"/>
        </w:rPr>
      </w:pPr>
      <w:r>
        <w:rPr>
          <w:rFonts w:ascii="宋体" w:hAnsi="宋体"/>
          <w:color w:val="auto"/>
          <w:sz w:val="24"/>
          <w:highlight w:val="none"/>
        </w:rPr>
        <w:t xml:space="preserve">…… </w:t>
      </w:r>
    </w:p>
    <w:p w14:paraId="3AE0090F">
      <w:pPr>
        <w:pStyle w:val="10"/>
        <w:spacing w:after="0" w:line="360" w:lineRule="auto"/>
        <w:ind w:left="-405" w:leftChars="-193" w:right="142" w:firstLine="453" w:firstLineChars="189"/>
        <w:contextualSpacing/>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1D6A1D9C">
      <w:pPr>
        <w:pStyle w:val="10"/>
        <w:spacing w:after="0" w:line="360" w:lineRule="auto"/>
        <w:ind w:left="-426" w:right="142" w:firstLine="567"/>
        <w:contextualSpacing/>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18703C41">
      <w:pPr>
        <w:pStyle w:val="10"/>
        <w:spacing w:after="0" w:line="360" w:lineRule="auto"/>
        <w:ind w:left="3960" w:right="1808"/>
        <w:contextualSpacing/>
        <w:rPr>
          <w:rFonts w:hint="eastAsia" w:ascii="宋体" w:hAnsi="宋体"/>
          <w:color w:val="auto"/>
          <w:sz w:val="24"/>
          <w:highlight w:val="none"/>
        </w:rPr>
      </w:pPr>
    </w:p>
    <w:p w14:paraId="2C6CEB57">
      <w:pPr>
        <w:pStyle w:val="10"/>
        <w:spacing w:after="0" w:line="360" w:lineRule="auto"/>
        <w:ind w:left="3960" w:right="1808"/>
        <w:contextualSpacing/>
        <w:rPr>
          <w:rFonts w:ascii="宋体" w:hAnsi="宋体"/>
          <w:color w:val="auto"/>
          <w:sz w:val="24"/>
          <w:highlight w:val="none"/>
        </w:rPr>
      </w:pPr>
      <w:r>
        <w:rPr>
          <w:rFonts w:ascii="宋体" w:hAnsi="宋体"/>
          <w:color w:val="auto"/>
          <w:sz w:val="24"/>
          <w:highlight w:val="none"/>
        </w:rPr>
        <w:t xml:space="preserve">企业名称（章）： </w:t>
      </w:r>
    </w:p>
    <w:p w14:paraId="151FAE62">
      <w:pPr>
        <w:pStyle w:val="10"/>
        <w:spacing w:after="0" w:line="360" w:lineRule="auto"/>
        <w:ind w:left="3960" w:right="1808"/>
        <w:contextualSpacing/>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p>
    <w:p w14:paraId="7FF886A5">
      <w:pPr>
        <w:pStyle w:val="10"/>
        <w:spacing w:after="0" w:line="360" w:lineRule="auto"/>
        <w:ind w:left="3960" w:right="1808"/>
        <w:contextualSpacing/>
        <w:rPr>
          <w:color w:val="auto"/>
          <w:highlight w:val="none"/>
        </w:rPr>
      </w:pPr>
    </w:p>
    <w:p w14:paraId="6C524481">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6F5B960">
      <w:pPr>
        <w:spacing w:line="360" w:lineRule="auto"/>
        <w:contextualSpacing/>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25BAD48D">
      <w:pPr>
        <w:spacing w:line="520" w:lineRule="exact"/>
        <w:rPr>
          <w:rFonts w:hint="eastAsia" w:ascii="仿宋_GB2312" w:hAnsi="仿宋_GB2312" w:eastAsia="仿宋_GB2312" w:cs="仿宋_GB2312"/>
          <w:color w:val="auto"/>
          <w:sz w:val="32"/>
          <w:szCs w:val="32"/>
          <w:highlight w:val="none"/>
        </w:rPr>
      </w:pPr>
    </w:p>
    <w:p w14:paraId="750C8AB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3F6755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564222DF">
      <w:pPr>
        <w:spacing w:line="360" w:lineRule="auto"/>
        <w:contextualSpacing/>
        <w:rPr>
          <w:rFonts w:hint="eastAsia" w:ascii="宋体" w:hAnsi="宋体" w:cs="仿宋_GB2312"/>
          <w:color w:val="auto"/>
          <w:sz w:val="24"/>
          <w:highlight w:val="none"/>
        </w:rPr>
      </w:pPr>
    </w:p>
    <w:p w14:paraId="63C7D257">
      <w:pPr>
        <w:spacing w:line="360" w:lineRule="auto"/>
        <w:contextualSpacing/>
        <w:rPr>
          <w:rFonts w:hint="eastAsia" w:ascii="宋体" w:hAnsi="宋体" w:cs="仿宋_GB2312"/>
          <w:color w:val="auto"/>
          <w:sz w:val="24"/>
          <w:highlight w:val="none"/>
        </w:rPr>
      </w:pPr>
    </w:p>
    <w:p w14:paraId="6C151F68">
      <w:pPr>
        <w:spacing w:line="360" w:lineRule="auto"/>
        <w:contextualSpacing/>
        <w:rPr>
          <w:rFonts w:hint="eastAsia" w:ascii="宋体" w:hAnsi="宋体" w:cs="仿宋_GB2312"/>
          <w:color w:val="auto"/>
          <w:sz w:val="24"/>
          <w:highlight w:val="none"/>
        </w:rPr>
      </w:pPr>
    </w:p>
    <w:p w14:paraId="7D595651">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2947794E">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644F1B96">
      <w:pPr>
        <w:spacing w:line="360" w:lineRule="auto"/>
        <w:contextualSpacing/>
        <w:rPr>
          <w:rFonts w:hint="eastAsia" w:ascii="宋体" w:hAnsi="宋体" w:cs="仿宋_GB2312"/>
          <w:color w:val="auto"/>
          <w:sz w:val="24"/>
          <w:highlight w:val="none"/>
        </w:rPr>
      </w:pPr>
    </w:p>
    <w:p w14:paraId="779F8FEB">
      <w:pPr>
        <w:spacing w:line="360" w:lineRule="auto"/>
        <w:contextualSpacing/>
        <w:rPr>
          <w:rFonts w:hint="eastAsia" w:ascii="宋体" w:hAnsi="宋体" w:cs="仿宋_GB2312"/>
          <w:color w:val="auto"/>
          <w:sz w:val="24"/>
          <w:highlight w:val="none"/>
        </w:rPr>
      </w:pPr>
    </w:p>
    <w:p w14:paraId="7493FE48">
      <w:pPr>
        <w:spacing w:line="360" w:lineRule="auto"/>
        <w:contextualSpacing/>
        <w:rPr>
          <w:rFonts w:hint="eastAsia" w:ascii="宋体" w:hAnsi="宋体" w:cs="仿宋_GB2312"/>
          <w:color w:val="auto"/>
          <w:sz w:val="24"/>
          <w:highlight w:val="none"/>
        </w:rPr>
      </w:pPr>
    </w:p>
    <w:p w14:paraId="788C9CA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5907BE5">
      <w:pPr>
        <w:spacing w:line="360" w:lineRule="auto"/>
        <w:jc w:val="center"/>
        <w:rPr>
          <w:rFonts w:hint="eastAsia"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7C287FE6">
      <w:pPr>
        <w:spacing w:line="360" w:lineRule="auto"/>
        <w:jc w:val="center"/>
        <w:rPr>
          <w:rFonts w:hint="eastAsia" w:ascii="宋体" w:hAnsi="宋体"/>
          <w:b/>
          <w:bCs/>
          <w:color w:val="auto"/>
          <w:sz w:val="32"/>
          <w:szCs w:val="32"/>
          <w:highlight w:val="none"/>
        </w:rPr>
      </w:pPr>
    </w:p>
    <w:p w14:paraId="6109BC02">
      <w:pPr>
        <w:pStyle w:val="1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35E48EC7">
      <w:pPr>
        <w:pStyle w:val="13"/>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C286823">
      <w:pPr>
        <w:pStyle w:val="13"/>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4CE2173">
      <w:pPr>
        <w:pStyle w:val="13"/>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8EAEBC1">
      <w:pPr>
        <w:pStyle w:val="13"/>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0DEF42DF">
      <w:pPr>
        <w:pStyle w:val="13"/>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54D3C34">
      <w:pPr>
        <w:pStyle w:val="13"/>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FC7D25A">
      <w:pPr>
        <w:pStyle w:val="13"/>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76B1697B">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E441387">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178FED9">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BAF4F7E">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0E51DA9A">
      <w:pPr>
        <w:pStyle w:val="13"/>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526DF118">
      <w:pPr>
        <w:pStyle w:val="13"/>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1F5DF9CE">
      <w:pPr>
        <w:pStyle w:val="13"/>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5EA4C589">
      <w:pPr>
        <w:pStyle w:val="13"/>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31B27538">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21DB6757">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7AE3F0EC">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6279F295">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53F10647">
      <w:pPr>
        <w:pStyle w:val="13"/>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33749662">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2FE8FD6C">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1A3CD38A">
      <w:pPr>
        <w:pStyle w:val="13"/>
        <w:spacing w:line="360" w:lineRule="auto"/>
        <w:ind w:left="25" w:leftChars="12" w:firstLine="352" w:firstLineChars="147"/>
        <w:contextualSpacing/>
        <w:rPr>
          <w:rFonts w:hint="eastAsia" w:hAnsi="宋体"/>
          <w:color w:val="auto"/>
          <w:sz w:val="24"/>
          <w:szCs w:val="24"/>
          <w:highlight w:val="none"/>
        </w:rPr>
      </w:pPr>
    </w:p>
    <w:p w14:paraId="55E0550E">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7C340913">
      <w:pPr>
        <w:pStyle w:val="13"/>
        <w:spacing w:line="360" w:lineRule="auto"/>
        <w:ind w:left="25" w:leftChars="12" w:firstLine="352" w:firstLineChars="147"/>
        <w:contextualSpacing/>
        <w:rPr>
          <w:rFonts w:hint="eastAsia" w:hAnsi="宋体"/>
          <w:color w:val="auto"/>
          <w:sz w:val="24"/>
          <w:szCs w:val="24"/>
          <w:highlight w:val="none"/>
        </w:rPr>
      </w:pPr>
    </w:p>
    <w:p w14:paraId="586D8061">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5C4AE7EF">
      <w:pPr>
        <w:pStyle w:val="13"/>
        <w:spacing w:line="360" w:lineRule="auto"/>
        <w:contextualSpacing/>
        <w:rPr>
          <w:rFonts w:hint="eastAsia" w:hAnsi="宋体"/>
          <w:b/>
          <w:color w:val="auto"/>
          <w:sz w:val="24"/>
          <w:szCs w:val="24"/>
          <w:highlight w:val="none"/>
        </w:rPr>
      </w:pPr>
    </w:p>
    <w:p w14:paraId="49028EAD">
      <w:pPr>
        <w:pStyle w:val="13"/>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513EA8FC">
      <w:pPr>
        <w:pStyle w:val="13"/>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3D016B3">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1C1EC2E">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290AE09F">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6E169B00">
      <w:pPr>
        <w:pStyle w:val="13"/>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5D0C7206">
      <w:pPr>
        <w:pStyle w:val="13"/>
        <w:snapToGrid w:val="0"/>
        <w:rPr>
          <w:rFonts w:hint="eastAsia"/>
          <w:b/>
          <w:color w:val="auto"/>
          <w:sz w:val="24"/>
          <w:szCs w:val="24"/>
          <w:highlight w:val="none"/>
        </w:rPr>
      </w:pPr>
    </w:p>
    <w:p w14:paraId="0A3A06D7">
      <w:pPr>
        <w:rPr>
          <w:rFonts w:hint="eastAsia"/>
          <w:color w:val="auto"/>
          <w:highlight w:val="none"/>
        </w:rPr>
      </w:pPr>
      <w:r>
        <w:rPr>
          <w:color w:val="auto"/>
          <w:highlight w:val="none"/>
        </w:rPr>
        <w:br w:type="page"/>
      </w:r>
    </w:p>
    <w:p w14:paraId="1C60E228">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338BBD80">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5C1A8829">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845E187">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9A05221">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8EB78CB">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58DB199">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28463B7">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3E24D9D">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17E5F3F">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4487FFD8">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59F0C774">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3473CF1">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2CB9234">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7B202B2E">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6AECC271">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1C9491CD">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7825CE6">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A400C67">
      <w:pPr>
        <w:pStyle w:val="13"/>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5057E9A4">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72BF3AA8">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CE71015">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5A058EAA">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492DDA02">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208B942">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CFA1229">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7F3DF638">
      <w:pPr>
        <w:pStyle w:val="13"/>
        <w:spacing w:line="360" w:lineRule="auto"/>
        <w:ind w:left="23" w:leftChars="11" w:firstLine="540" w:firstLineChars="225"/>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5C131DF7">
      <w:pPr>
        <w:pStyle w:val="13"/>
        <w:spacing w:line="360" w:lineRule="auto"/>
        <w:ind w:left="23" w:leftChars="11" w:firstLine="540" w:firstLineChars="225"/>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9264D20">
      <w:pPr>
        <w:pStyle w:val="13"/>
        <w:spacing w:line="360" w:lineRule="auto"/>
        <w:ind w:left="23" w:leftChars="11" w:firstLine="540" w:firstLineChars="225"/>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E40D98F">
      <w:pPr>
        <w:pStyle w:val="13"/>
        <w:spacing w:line="360" w:lineRule="auto"/>
        <w:ind w:left="23" w:leftChars="11" w:firstLine="540" w:firstLineChars="225"/>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3896925F">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600999EE">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652B4984">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24F5778">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60E2A97B">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3AC4D7D">
      <w:pPr>
        <w:pStyle w:val="13"/>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CE9C396">
      <w:pPr>
        <w:pStyle w:val="13"/>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88ADE79">
      <w:pPr>
        <w:pStyle w:val="13"/>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02FE5F9B">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270BDE49">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5616734F">
      <w:pPr>
        <w:pStyle w:val="13"/>
        <w:spacing w:line="360" w:lineRule="auto"/>
        <w:ind w:left="25" w:leftChars="12" w:firstLine="352" w:firstLineChars="147"/>
        <w:rPr>
          <w:rFonts w:hint="eastAsia" w:hAnsi="宋体"/>
          <w:color w:val="auto"/>
          <w:sz w:val="24"/>
          <w:szCs w:val="24"/>
          <w:highlight w:val="none"/>
        </w:rPr>
      </w:pPr>
    </w:p>
    <w:p w14:paraId="7E11AB41">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78DCB624">
      <w:pPr>
        <w:pStyle w:val="13"/>
        <w:spacing w:line="360" w:lineRule="auto"/>
        <w:ind w:left="25" w:leftChars="12" w:firstLine="352" w:firstLineChars="147"/>
        <w:rPr>
          <w:rFonts w:hint="eastAsia" w:hAnsi="宋体"/>
          <w:color w:val="auto"/>
          <w:sz w:val="24"/>
          <w:szCs w:val="24"/>
          <w:highlight w:val="none"/>
        </w:rPr>
      </w:pPr>
    </w:p>
    <w:p w14:paraId="01D38141">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7CEB1613">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029B920E">
      <w:pPr>
        <w:pStyle w:val="13"/>
        <w:snapToGrid w:val="0"/>
        <w:spacing w:line="360" w:lineRule="auto"/>
        <w:rPr>
          <w:rFonts w:hint="eastAsia" w:hAnsi="宋体"/>
          <w:b/>
          <w:color w:val="auto"/>
          <w:sz w:val="24"/>
          <w:szCs w:val="24"/>
          <w:highlight w:val="none"/>
        </w:rPr>
      </w:pPr>
    </w:p>
    <w:p w14:paraId="12E2F574">
      <w:pPr>
        <w:pStyle w:val="13"/>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66D52746">
      <w:pPr>
        <w:pStyle w:val="13"/>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CC0A6AD">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ABDC3F9">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BA3B9ED">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2E06D7CC">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33A2133B">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2E4CB91D">
      <w:pPr>
        <w:snapToGrid w:val="0"/>
        <w:spacing w:line="480" w:lineRule="exact"/>
        <w:jc w:val="center"/>
        <w:rPr>
          <w:color w:val="auto"/>
          <w:highlight w:val="none"/>
        </w:rPr>
      </w:pPr>
      <w:r>
        <w:rPr>
          <w:color w:val="auto"/>
          <w:highlight w:val="none"/>
        </w:rPr>
        <w:br w:type="page"/>
      </w:r>
      <w:bookmarkStart w:id="85" w:name="_Toc74322013"/>
    </w:p>
    <w:p w14:paraId="6B97C1F5">
      <w:pPr>
        <w:snapToGrid w:val="0"/>
        <w:spacing w:line="480" w:lineRule="exact"/>
        <w:jc w:val="center"/>
        <w:rPr>
          <w:color w:val="auto"/>
          <w:highlight w:val="none"/>
        </w:rPr>
      </w:pPr>
    </w:p>
    <w:p w14:paraId="76FDAB3F">
      <w:pPr>
        <w:snapToGrid w:val="0"/>
        <w:spacing w:line="480" w:lineRule="exact"/>
        <w:jc w:val="center"/>
        <w:rPr>
          <w:color w:val="auto"/>
          <w:highlight w:val="none"/>
        </w:rPr>
      </w:pPr>
    </w:p>
    <w:p w14:paraId="33B04C67">
      <w:pPr>
        <w:snapToGrid w:val="0"/>
        <w:spacing w:line="480" w:lineRule="exact"/>
        <w:jc w:val="center"/>
        <w:rPr>
          <w:color w:val="auto"/>
          <w:highlight w:val="none"/>
        </w:rPr>
      </w:pPr>
    </w:p>
    <w:p w14:paraId="43E864CA">
      <w:pPr>
        <w:snapToGrid w:val="0"/>
        <w:spacing w:line="480" w:lineRule="exact"/>
        <w:jc w:val="center"/>
        <w:rPr>
          <w:color w:val="auto"/>
          <w:highlight w:val="none"/>
        </w:rPr>
      </w:pPr>
    </w:p>
    <w:p w14:paraId="71B007D6">
      <w:pPr>
        <w:snapToGrid w:val="0"/>
        <w:spacing w:line="480" w:lineRule="exact"/>
        <w:jc w:val="center"/>
        <w:rPr>
          <w:color w:val="auto"/>
          <w:highlight w:val="none"/>
        </w:rPr>
      </w:pPr>
    </w:p>
    <w:p w14:paraId="4DC80731">
      <w:pPr>
        <w:snapToGrid w:val="0"/>
        <w:spacing w:line="480" w:lineRule="exact"/>
        <w:jc w:val="center"/>
        <w:rPr>
          <w:color w:val="auto"/>
          <w:highlight w:val="none"/>
        </w:rPr>
      </w:pPr>
    </w:p>
    <w:p w14:paraId="6DE59F57">
      <w:pPr>
        <w:snapToGrid w:val="0"/>
        <w:spacing w:line="480" w:lineRule="exact"/>
        <w:jc w:val="center"/>
        <w:rPr>
          <w:color w:val="auto"/>
          <w:highlight w:val="none"/>
        </w:rPr>
      </w:pPr>
    </w:p>
    <w:p w14:paraId="186F77A8">
      <w:pPr>
        <w:pStyle w:val="3"/>
        <w:bidi w:val="0"/>
        <w:jc w:val="center"/>
        <w:rPr>
          <w:rFonts w:hint="eastAsia"/>
          <w:color w:val="auto"/>
          <w:highlight w:val="none"/>
        </w:rPr>
      </w:pPr>
      <w:r>
        <w:rPr>
          <w:rFonts w:hint="eastAsia"/>
          <w:color w:val="auto"/>
          <w:highlight w:val="none"/>
          <w:lang w:val="en-US" w:eastAsia="zh-CN"/>
        </w:rPr>
        <w:t>第六章 合同文本</w:t>
      </w:r>
      <w:bookmarkEnd w:id="85"/>
    </w:p>
    <w:p w14:paraId="7FDB0DBC">
      <w:pPr>
        <w:snapToGrid w:val="0"/>
        <w:spacing w:line="480" w:lineRule="exact"/>
        <w:jc w:val="center"/>
        <w:rPr>
          <w:rFonts w:hint="eastAsia"/>
          <w:color w:val="auto"/>
          <w:highlight w:val="none"/>
        </w:rPr>
      </w:pPr>
    </w:p>
    <w:p w14:paraId="6369E52D">
      <w:pPr>
        <w:snapToGrid w:val="0"/>
        <w:spacing w:line="48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br w:type="page"/>
      </w:r>
      <w:r>
        <w:rPr>
          <w:rFonts w:hint="eastAsia" w:ascii="宋体" w:hAnsi="宋体" w:eastAsia="宋体" w:cs="Times New Roman"/>
          <w:b/>
          <w:bCs/>
          <w:color w:val="auto"/>
          <w:sz w:val="32"/>
          <w:szCs w:val="32"/>
          <w:highlight w:val="none"/>
        </w:rPr>
        <w:t>政府采购合同</w:t>
      </w:r>
    </w:p>
    <w:p w14:paraId="31F11862">
      <w:pPr>
        <w:snapToGrid w:val="0"/>
        <w:spacing w:line="360" w:lineRule="exact"/>
        <w:ind w:left="440" w:hanging="440" w:hangingChars="200"/>
        <w:rPr>
          <w:rFonts w:hint="eastAsia" w:ascii="宋体" w:hAnsi="宋体" w:cs="仿宋"/>
          <w:bCs/>
          <w:color w:val="auto"/>
          <w:sz w:val="22"/>
          <w:szCs w:val="21"/>
          <w:highlight w:val="none"/>
          <w:u w:val="single"/>
        </w:rPr>
      </w:pPr>
      <w:r>
        <w:rPr>
          <w:rFonts w:hint="eastAsia" w:ascii="宋体" w:hAnsi="宋体" w:cs="仿宋"/>
          <w:bCs/>
          <w:color w:val="auto"/>
          <w:sz w:val="22"/>
          <w:szCs w:val="21"/>
          <w:highlight w:val="none"/>
          <w:lang w:bidi="ar"/>
        </w:rPr>
        <w:t>合同编号：</w:t>
      </w:r>
    </w:p>
    <w:p w14:paraId="3E4BEED7">
      <w:pPr>
        <w:snapToGrid w:val="0"/>
        <w:spacing w:line="360" w:lineRule="exact"/>
        <w:ind w:left="440" w:hanging="440" w:hangingChars="200"/>
        <w:rPr>
          <w:rFonts w:hint="eastAsia" w:ascii="宋体" w:hAnsi="宋体" w:cs="仿宋"/>
          <w:bCs/>
          <w:color w:val="auto"/>
          <w:sz w:val="22"/>
          <w:szCs w:val="21"/>
          <w:highlight w:val="none"/>
          <w:u w:val="single"/>
        </w:rPr>
      </w:pPr>
      <w:r>
        <w:rPr>
          <w:rFonts w:hint="eastAsia" w:ascii="宋体" w:hAnsi="宋体" w:cs="仿宋"/>
          <w:bCs/>
          <w:color w:val="auto"/>
          <w:sz w:val="22"/>
          <w:szCs w:val="21"/>
          <w:highlight w:val="none"/>
          <w:lang w:bidi="ar"/>
        </w:rPr>
        <w:t>采购单位（甲方）：</w:t>
      </w:r>
      <w:r>
        <w:rPr>
          <w:rFonts w:hint="eastAsia" w:ascii="宋体" w:hAnsi="宋体" w:cs="仿宋"/>
          <w:bCs/>
          <w:color w:val="auto"/>
          <w:sz w:val="22"/>
          <w:szCs w:val="21"/>
          <w:highlight w:val="none"/>
          <w:u w:val="single"/>
          <w:lang w:bidi="ar"/>
        </w:rPr>
        <w:t xml:space="preserve">                          </w:t>
      </w:r>
      <w:r>
        <w:rPr>
          <w:rFonts w:hint="eastAsia" w:ascii="宋体" w:hAnsi="宋体" w:cs="仿宋"/>
          <w:bCs/>
          <w:color w:val="auto"/>
          <w:sz w:val="22"/>
          <w:szCs w:val="21"/>
          <w:highlight w:val="none"/>
          <w:lang w:bidi="ar"/>
        </w:rPr>
        <w:t xml:space="preserve">      采购计划号：</w:t>
      </w:r>
      <w:r>
        <w:rPr>
          <w:rFonts w:hint="eastAsia" w:ascii="宋体" w:hAnsi="宋体" w:cs="仿宋"/>
          <w:bCs/>
          <w:color w:val="auto"/>
          <w:sz w:val="22"/>
          <w:szCs w:val="21"/>
          <w:highlight w:val="none"/>
          <w:u w:val="single"/>
          <w:lang w:bidi="ar"/>
        </w:rPr>
        <w:t xml:space="preserve">              </w:t>
      </w:r>
    </w:p>
    <w:p w14:paraId="5C9C2628">
      <w:pPr>
        <w:snapToGrid w:val="0"/>
        <w:spacing w:line="360" w:lineRule="exact"/>
        <w:ind w:left="440" w:hanging="440" w:hangingChars="200"/>
        <w:rPr>
          <w:rFonts w:hint="eastAsia" w:ascii="宋体" w:hAnsi="宋体" w:cs="仿宋"/>
          <w:bCs/>
          <w:color w:val="auto"/>
          <w:sz w:val="22"/>
          <w:szCs w:val="21"/>
          <w:highlight w:val="none"/>
          <w:u w:val="single"/>
        </w:rPr>
      </w:pPr>
      <w:r>
        <w:rPr>
          <w:rFonts w:hint="eastAsia" w:ascii="宋体" w:hAnsi="宋体" w:cs="仿宋"/>
          <w:bCs/>
          <w:color w:val="auto"/>
          <w:sz w:val="22"/>
          <w:szCs w:val="21"/>
          <w:highlight w:val="none"/>
          <w:lang w:bidi="ar"/>
        </w:rPr>
        <w:t>中标供应商（乙方）：</w:t>
      </w:r>
      <w:r>
        <w:rPr>
          <w:rFonts w:hint="eastAsia" w:ascii="宋体" w:hAnsi="宋体" w:cs="仿宋"/>
          <w:bCs/>
          <w:color w:val="auto"/>
          <w:sz w:val="22"/>
          <w:szCs w:val="21"/>
          <w:highlight w:val="none"/>
          <w:u w:val="single"/>
          <w:lang w:bidi="ar"/>
        </w:rPr>
        <w:t xml:space="preserve">                          </w:t>
      </w:r>
      <w:r>
        <w:rPr>
          <w:rFonts w:hint="eastAsia" w:ascii="宋体" w:hAnsi="宋体" w:cs="仿宋"/>
          <w:bCs/>
          <w:color w:val="auto"/>
          <w:sz w:val="22"/>
          <w:szCs w:val="21"/>
          <w:highlight w:val="none"/>
          <w:lang w:bidi="ar"/>
        </w:rPr>
        <w:t xml:space="preserve">    项目名称和编号：</w:t>
      </w:r>
      <w:r>
        <w:rPr>
          <w:rFonts w:hint="eastAsia" w:ascii="宋体" w:hAnsi="宋体" w:cs="仿宋"/>
          <w:bCs/>
          <w:color w:val="auto"/>
          <w:sz w:val="22"/>
          <w:szCs w:val="21"/>
          <w:highlight w:val="none"/>
          <w:u w:val="single"/>
          <w:lang w:bidi="ar"/>
        </w:rPr>
        <w:t xml:space="preserve">          </w:t>
      </w:r>
    </w:p>
    <w:p w14:paraId="69701F54">
      <w:pPr>
        <w:snapToGrid w:val="0"/>
        <w:spacing w:line="360" w:lineRule="exact"/>
        <w:ind w:left="440" w:hanging="440" w:hangingChars="200"/>
        <w:rPr>
          <w:rFonts w:hint="eastAsia" w:ascii="宋体" w:hAnsi="宋体" w:cs="仿宋"/>
          <w:bCs/>
          <w:color w:val="auto"/>
          <w:sz w:val="22"/>
          <w:szCs w:val="21"/>
          <w:highlight w:val="none"/>
          <w:u w:val="single"/>
        </w:rPr>
      </w:pPr>
      <w:r>
        <w:rPr>
          <w:rFonts w:hint="eastAsia" w:ascii="宋体" w:hAnsi="宋体" w:cs="仿宋"/>
          <w:bCs/>
          <w:color w:val="auto"/>
          <w:sz w:val="22"/>
          <w:szCs w:val="21"/>
          <w:highlight w:val="none"/>
          <w:lang w:bidi="ar"/>
        </w:rPr>
        <w:t>签  订  地  点：</w:t>
      </w:r>
      <w:r>
        <w:rPr>
          <w:rFonts w:hint="eastAsia" w:ascii="宋体" w:hAnsi="宋体" w:cs="仿宋"/>
          <w:bCs/>
          <w:color w:val="auto"/>
          <w:sz w:val="22"/>
          <w:szCs w:val="21"/>
          <w:highlight w:val="none"/>
          <w:u w:val="single"/>
          <w:lang w:bidi="ar"/>
        </w:rPr>
        <w:t xml:space="preserve">                            </w:t>
      </w:r>
      <w:r>
        <w:rPr>
          <w:rFonts w:hint="eastAsia" w:ascii="宋体" w:hAnsi="宋体" w:cs="仿宋"/>
          <w:bCs/>
          <w:color w:val="auto"/>
          <w:sz w:val="22"/>
          <w:szCs w:val="21"/>
          <w:highlight w:val="none"/>
          <w:lang w:bidi="ar"/>
        </w:rPr>
        <w:t xml:space="preserve">      签订时间：</w:t>
      </w:r>
      <w:r>
        <w:rPr>
          <w:rFonts w:hint="eastAsia" w:ascii="宋体" w:hAnsi="宋体" w:cs="仿宋"/>
          <w:bCs/>
          <w:color w:val="auto"/>
          <w:sz w:val="22"/>
          <w:szCs w:val="21"/>
          <w:highlight w:val="none"/>
          <w:u w:val="single"/>
          <w:lang w:bidi="ar"/>
        </w:rPr>
        <w:t xml:space="preserve">                </w:t>
      </w:r>
    </w:p>
    <w:p w14:paraId="6F41166C">
      <w:pPr>
        <w:snapToGrid w:val="0"/>
        <w:spacing w:line="360" w:lineRule="exact"/>
        <w:ind w:left="440" w:hanging="440" w:hangingChars="200"/>
        <w:rPr>
          <w:rFonts w:hint="eastAsia" w:ascii="宋体" w:hAnsi="宋体" w:cs="仿宋"/>
          <w:bCs/>
          <w:color w:val="auto"/>
          <w:sz w:val="22"/>
          <w:szCs w:val="21"/>
          <w:highlight w:val="none"/>
          <w:u w:val="single"/>
          <w:lang w:bidi="ar"/>
        </w:rPr>
      </w:pPr>
      <w:r>
        <w:rPr>
          <w:rFonts w:hint="eastAsia" w:ascii="宋体" w:hAnsi="宋体" w:cs="仿宋"/>
          <w:bCs/>
          <w:color w:val="auto"/>
          <w:sz w:val="22"/>
          <w:szCs w:val="21"/>
          <w:highlight w:val="none"/>
        </w:rPr>
        <w:t>分 标 号：</w:t>
      </w:r>
      <w:r>
        <w:rPr>
          <w:rFonts w:hint="eastAsia" w:ascii="宋体" w:hAnsi="宋体" w:cs="仿宋"/>
          <w:bCs/>
          <w:color w:val="auto"/>
          <w:sz w:val="22"/>
          <w:szCs w:val="21"/>
          <w:highlight w:val="none"/>
          <w:u w:val="single"/>
          <w:lang w:bidi="ar"/>
        </w:rPr>
        <w:t xml:space="preserve">                </w:t>
      </w:r>
    </w:p>
    <w:p w14:paraId="3920C995">
      <w:pPr>
        <w:snapToGrid w:val="0"/>
        <w:spacing w:line="360" w:lineRule="exact"/>
        <w:ind w:left="440" w:hanging="440" w:hangingChars="200"/>
        <w:rPr>
          <w:rFonts w:hint="eastAsia" w:ascii="宋体" w:hAnsi="宋体" w:cs="仿宋"/>
          <w:bCs/>
          <w:color w:val="auto"/>
          <w:sz w:val="22"/>
          <w:szCs w:val="21"/>
          <w:highlight w:val="none"/>
          <w:u w:val="single"/>
        </w:rPr>
      </w:pPr>
    </w:p>
    <w:p w14:paraId="5A73739B">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根据《中华人民共和国政府采购法》、《中华人民共和国民法典》等法律、法规规定，按照</w:t>
      </w:r>
      <w:r>
        <w:rPr>
          <w:rFonts w:hint="eastAsia" w:ascii="宋体" w:hAnsi="宋体" w:cs="仿宋"/>
          <w:bCs/>
          <w:color w:val="auto"/>
          <w:szCs w:val="21"/>
          <w:highlight w:val="none"/>
          <w:lang w:eastAsia="zh-CN"/>
        </w:rPr>
        <w:t>竞争性谈判文件</w:t>
      </w:r>
      <w:r>
        <w:rPr>
          <w:rFonts w:hint="eastAsia" w:ascii="宋体" w:hAnsi="宋体" w:cs="仿宋"/>
          <w:bCs/>
          <w:color w:val="auto"/>
          <w:szCs w:val="21"/>
          <w:highlight w:val="none"/>
        </w:rPr>
        <w:t>规定条款和</w:t>
      </w:r>
      <w:r>
        <w:rPr>
          <w:rFonts w:hint="eastAsia" w:ascii="宋体" w:hAnsi="宋体" w:cs="仿宋"/>
          <w:bCs/>
          <w:color w:val="auto"/>
          <w:szCs w:val="21"/>
          <w:highlight w:val="none"/>
          <w:lang w:val="en-US" w:eastAsia="zh-CN"/>
        </w:rPr>
        <w:t>成交</w:t>
      </w:r>
      <w:r>
        <w:rPr>
          <w:rFonts w:hint="eastAsia" w:ascii="宋体" w:hAnsi="宋体" w:cs="仿宋"/>
          <w:bCs/>
          <w:color w:val="auto"/>
          <w:szCs w:val="21"/>
          <w:highlight w:val="none"/>
        </w:rPr>
        <w:t>供应商</w:t>
      </w:r>
      <w:r>
        <w:rPr>
          <w:rFonts w:hint="eastAsia" w:ascii="宋体" w:hAnsi="宋体" w:cs="仿宋"/>
          <w:bCs/>
          <w:color w:val="auto"/>
          <w:szCs w:val="21"/>
          <w:highlight w:val="none"/>
        </w:rPr>
        <w:t>承诺，甲乙双方签订本合同。</w:t>
      </w:r>
    </w:p>
    <w:p w14:paraId="02E8FE5A">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第一条  合同标的</w:t>
      </w:r>
    </w:p>
    <w:p w14:paraId="6D03F19E">
      <w:pPr>
        <w:snapToGrid w:val="0"/>
        <w:spacing w:line="360" w:lineRule="auto"/>
        <w:ind w:left="420" w:hanging="420" w:hangingChars="200"/>
        <w:rPr>
          <w:rFonts w:ascii="宋体" w:hAnsi="宋体" w:cs="仿宋"/>
          <w:bCs/>
          <w:color w:val="auto"/>
          <w:szCs w:val="21"/>
          <w:highlight w:val="none"/>
        </w:rPr>
      </w:pPr>
      <w:r>
        <w:rPr>
          <w:rFonts w:hint="eastAsia" w:ascii="宋体" w:hAnsi="宋体" w:cs="仿宋"/>
          <w:bCs/>
          <w:color w:val="auto"/>
          <w:szCs w:val="21"/>
          <w:highlight w:val="none"/>
        </w:rPr>
        <w:t>1、合同标的</w:t>
      </w:r>
    </w:p>
    <w:tbl>
      <w:tblPr>
        <w:tblStyle w:val="21"/>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094"/>
        <w:gridCol w:w="1395"/>
        <w:gridCol w:w="1125"/>
        <w:gridCol w:w="1110"/>
        <w:gridCol w:w="1784"/>
      </w:tblGrid>
      <w:tr w14:paraId="1528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C8BC04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094" w:type="dxa"/>
            <w:tcBorders>
              <w:top w:val="single" w:color="auto" w:sz="4" w:space="0"/>
              <w:left w:val="single" w:color="auto" w:sz="4" w:space="0"/>
              <w:bottom w:val="single" w:color="auto" w:sz="4" w:space="0"/>
              <w:right w:val="single" w:color="auto" w:sz="4" w:space="0"/>
            </w:tcBorders>
            <w:noWrap w:val="0"/>
            <w:vAlign w:val="center"/>
          </w:tcPr>
          <w:p w14:paraId="230D25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名称</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6110F95">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合同总金额（万元）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D5C970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453D0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5ACD9D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成交</w:t>
            </w:r>
            <w:r>
              <w:rPr>
                <w:rFonts w:hint="eastAsia" w:ascii="宋体" w:hAnsi="宋体" w:cs="宋体"/>
                <w:color w:val="auto"/>
                <w:sz w:val="21"/>
                <w:szCs w:val="21"/>
                <w:highlight w:val="none"/>
                <w:lang w:val="en-US" w:eastAsia="zh-CN"/>
              </w:rPr>
              <w:t>折扣</w:t>
            </w:r>
            <w:r>
              <w:rPr>
                <w:rFonts w:hint="eastAsia" w:ascii="宋体" w:hAnsi="宋体" w:eastAsia="宋体" w:cs="宋体"/>
                <w:color w:val="auto"/>
                <w:sz w:val="21"/>
                <w:szCs w:val="21"/>
                <w:highlight w:val="none"/>
                <w:lang w:val="en-US" w:eastAsia="zh-CN"/>
              </w:rPr>
              <w:t>（%）</w:t>
            </w:r>
          </w:p>
        </w:tc>
      </w:tr>
      <w:tr w14:paraId="3A8A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574F7E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94" w:type="dxa"/>
            <w:tcBorders>
              <w:top w:val="single" w:color="auto" w:sz="4" w:space="0"/>
              <w:left w:val="single" w:color="auto" w:sz="4" w:space="0"/>
              <w:bottom w:val="single" w:color="auto" w:sz="4" w:space="0"/>
              <w:right w:val="single" w:color="auto" w:sz="4" w:space="0"/>
            </w:tcBorders>
            <w:noWrap w:val="0"/>
            <w:vAlign w:val="center"/>
          </w:tcPr>
          <w:p w14:paraId="23E2B9E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布草被服采购</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22FC82B">
            <w:pPr>
              <w:spacing w:line="360" w:lineRule="auto"/>
              <w:jc w:val="center"/>
              <w:rPr>
                <w:rFonts w:hint="eastAsia" w:ascii="宋体" w:hAnsi="宋体" w:eastAsia="宋体" w:cs="宋体"/>
                <w:color w:val="auto"/>
                <w:sz w:val="21"/>
                <w:szCs w:val="21"/>
                <w:highlight w:val="none"/>
              </w:rPr>
            </w:pPr>
            <w:r>
              <w:rPr>
                <w:rFonts w:hint="eastAsia" w:ascii="宋体" w:hAnsi="宋体"/>
                <w:color w:val="auto"/>
                <w:szCs w:val="21"/>
                <w:highlight w:val="none"/>
                <w:lang w:eastAsia="zh-CN"/>
              </w:rPr>
              <w:t>90</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472995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FC820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7F562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784" w:type="dxa"/>
            <w:tcBorders>
              <w:top w:val="single" w:color="auto" w:sz="4" w:space="0"/>
              <w:left w:val="single" w:color="auto" w:sz="4" w:space="0"/>
              <w:bottom w:val="single" w:color="auto" w:sz="4" w:space="0"/>
              <w:right w:val="single" w:color="auto" w:sz="4" w:space="0"/>
            </w:tcBorders>
            <w:noWrap w:val="0"/>
            <w:vAlign w:val="center"/>
          </w:tcPr>
          <w:p w14:paraId="0794B1F3">
            <w:pPr>
              <w:spacing w:line="360" w:lineRule="auto"/>
              <w:jc w:val="center"/>
              <w:rPr>
                <w:rFonts w:hint="eastAsia" w:ascii="宋体" w:hAnsi="宋体" w:eastAsia="宋体" w:cs="宋体"/>
                <w:color w:val="auto"/>
                <w:sz w:val="21"/>
                <w:szCs w:val="21"/>
                <w:highlight w:val="none"/>
              </w:rPr>
            </w:pPr>
          </w:p>
        </w:tc>
      </w:tr>
      <w:tr w14:paraId="4F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6"/>
            <w:tcBorders>
              <w:top w:val="single" w:color="auto" w:sz="4" w:space="0"/>
              <w:left w:val="single" w:color="auto" w:sz="4" w:space="0"/>
              <w:bottom w:val="single" w:color="auto" w:sz="4" w:space="0"/>
              <w:right w:val="single" w:color="auto" w:sz="4" w:space="0"/>
            </w:tcBorders>
            <w:noWrap w:val="0"/>
            <w:vAlign w:val="center"/>
          </w:tcPr>
          <w:p w14:paraId="643FD354">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27450E05">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1.本项目按</w:t>
            </w:r>
            <w:r>
              <w:rPr>
                <w:rFonts w:hint="eastAsia" w:ascii="宋体" w:hAnsi="宋体" w:cs="宋体"/>
                <w:color w:val="auto"/>
                <w:sz w:val="21"/>
                <w:szCs w:val="21"/>
                <w:highlight w:val="none"/>
                <w:lang w:val="en-US" w:eastAsia="zh-CN"/>
              </w:rPr>
              <w:t>折扣</w:t>
            </w:r>
            <w:r>
              <w:rPr>
                <w:rFonts w:hint="eastAsia" w:ascii="宋体" w:hAnsi="宋体" w:eastAsia="宋体" w:cs="宋体"/>
                <w:color w:val="auto"/>
                <w:sz w:val="21"/>
                <w:szCs w:val="21"/>
                <w:highlight w:val="none"/>
                <w:lang w:val="en-US" w:eastAsia="zh-CN"/>
              </w:rPr>
              <w:t>报价，结算单价=单项最高限价×成交</w:t>
            </w:r>
            <w:r>
              <w:rPr>
                <w:rFonts w:hint="eastAsia" w:ascii="宋体" w:hAnsi="宋体" w:cs="宋体"/>
                <w:color w:val="auto"/>
                <w:sz w:val="21"/>
                <w:szCs w:val="21"/>
                <w:highlight w:val="none"/>
                <w:lang w:val="en-US" w:eastAsia="zh-CN"/>
              </w:rPr>
              <w:t>折扣</w:t>
            </w:r>
            <w:r>
              <w:rPr>
                <w:rFonts w:hint="eastAsia" w:ascii="宋体" w:hAnsi="宋体" w:eastAsia="宋体" w:cs="宋体"/>
                <w:color w:val="auto"/>
                <w:sz w:val="21"/>
                <w:szCs w:val="21"/>
                <w:highlight w:val="none"/>
                <w:lang w:val="en-US" w:eastAsia="zh-CN"/>
              </w:rPr>
              <w:t>，结算总价=结算单价×实际采购数量。（例：乙方成交</w:t>
            </w:r>
            <w:r>
              <w:rPr>
                <w:rFonts w:hint="eastAsia" w:ascii="宋体" w:hAnsi="宋体" w:cs="宋体"/>
                <w:color w:val="auto"/>
                <w:sz w:val="21"/>
                <w:szCs w:val="21"/>
                <w:highlight w:val="none"/>
                <w:lang w:val="en-US" w:eastAsia="zh-CN"/>
              </w:rPr>
              <w:t>折扣</w:t>
            </w:r>
            <w:r>
              <w:rPr>
                <w:rFonts w:hint="eastAsia" w:ascii="宋体" w:hAnsi="宋体" w:eastAsia="宋体" w:cs="宋体"/>
                <w:color w:val="auto"/>
                <w:sz w:val="21"/>
                <w:szCs w:val="21"/>
                <w:highlight w:val="none"/>
                <w:lang w:val="en-US" w:eastAsia="zh-CN"/>
              </w:rPr>
              <w:t>为90%，污物袋的结算单价=39元×90%=35.1元）。</w:t>
            </w:r>
          </w:p>
          <w:p w14:paraId="207CC2F8">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甲方有权根据实际需求对采购数量、款式、颜色及工艺等进行调整，因此产生的费用包含在响应报价内，在核算单价时，不受数量增减、款式的复杂程度、颜色及工艺改变的影响。规格如有调整由甲方与乙方另行协商解决。 </w:t>
            </w:r>
          </w:p>
          <w:p w14:paraId="666F06AE">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.对于采购文件中未列明，而乙方认为必需的费用也需列入报价。在合同实施时，甲方将不予支付乙方没有列入的项目费用，并认为此项目的费用已包括在单价中。</w:t>
            </w:r>
          </w:p>
        </w:tc>
      </w:tr>
    </w:tbl>
    <w:p w14:paraId="3D1CB0D5">
      <w:pPr>
        <w:snapToGrid w:val="0"/>
        <w:spacing w:line="360" w:lineRule="auto"/>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2、合同合计金额</w:t>
      </w:r>
      <w:r>
        <w:rPr>
          <w:rFonts w:hint="eastAsia" w:ascii="宋体" w:hAnsi="宋体" w:cs="仿宋"/>
          <w:bCs/>
          <w:color w:val="auto"/>
          <w:szCs w:val="21"/>
          <w:highlight w:val="none"/>
        </w:rPr>
        <w:t>包含货物及货物运抵指定交货地点的各种费用和售后服务、税金、验收检验及其它所有费用的总和</w:t>
      </w:r>
      <w:r>
        <w:rPr>
          <w:rFonts w:hint="eastAsia" w:ascii="宋体" w:hAnsi="宋体" w:cs="仿宋"/>
          <w:bCs/>
          <w:color w:val="auto"/>
          <w:szCs w:val="21"/>
          <w:highlight w:val="none"/>
        </w:rPr>
        <w:t>。如采购文件对其另有规定的，从其规定</w:t>
      </w:r>
      <w:r>
        <w:rPr>
          <w:rFonts w:hint="eastAsia" w:ascii="宋体" w:hAnsi="宋体" w:cs="仿宋"/>
          <w:bCs/>
          <w:color w:val="auto"/>
          <w:szCs w:val="21"/>
          <w:highlight w:val="none"/>
        </w:rPr>
        <w:t>。</w:t>
      </w:r>
    </w:p>
    <w:p w14:paraId="1612B894">
      <w:pPr>
        <w:snapToGrid w:val="0"/>
        <w:spacing w:line="360" w:lineRule="auto"/>
        <w:ind w:left="422"/>
        <w:rPr>
          <w:rFonts w:ascii="宋体" w:hAnsi="宋体" w:cs="仿宋"/>
          <w:bCs/>
          <w:color w:val="auto"/>
          <w:szCs w:val="21"/>
          <w:highlight w:val="none"/>
        </w:rPr>
      </w:pPr>
      <w:r>
        <w:rPr>
          <w:rFonts w:hint="eastAsia" w:ascii="宋体" w:hAnsi="宋体" w:cs="仿宋"/>
          <w:bCs/>
          <w:color w:val="auto"/>
          <w:szCs w:val="21"/>
          <w:highlight w:val="none"/>
        </w:rPr>
        <w:t>3、产品配置清单。</w:t>
      </w:r>
    </w:p>
    <w:p w14:paraId="3C4AD02C">
      <w:pPr>
        <w:snapToGrid w:val="0"/>
        <w:spacing w:line="360" w:lineRule="auto"/>
        <w:ind w:left="422" w:hanging="422" w:hangingChars="200"/>
        <w:rPr>
          <w:rFonts w:ascii="宋体" w:hAnsi="宋体" w:cs="仿宋"/>
          <w:bCs/>
          <w:color w:val="auto"/>
          <w:szCs w:val="21"/>
          <w:highlight w:val="none"/>
        </w:rPr>
      </w:pPr>
      <w:r>
        <w:rPr>
          <w:rFonts w:hint="eastAsia" w:ascii="宋体" w:hAnsi="宋体" w:cs="仿宋"/>
          <w:b/>
          <w:color w:val="auto"/>
          <w:szCs w:val="21"/>
          <w:highlight w:val="none"/>
        </w:rPr>
        <w:t>第二条  质量保证</w:t>
      </w:r>
    </w:p>
    <w:p w14:paraId="4CCF7585">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1、乙方所提供的产品名称、商标品牌、生产厂家、规格型号、技术参数等质量必须与</w:t>
      </w:r>
      <w:r>
        <w:rPr>
          <w:rFonts w:hint="eastAsia" w:ascii="宋体" w:hAnsi="宋体" w:cs="仿宋"/>
          <w:bCs/>
          <w:color w:val="auto"/>
          <w:szCs w:val="21"/>
          <w:highlight w:val="none"/>
          <w:lang w:val="en-US" w:eastAsia="zh-CN"/>
        </w:rPr>
        <w:t>响应文件</w:t>
      </w:r>
      <w:r>
        <w:rPr>
          <w:rFonts w:hint="eastAsia" w:ascii="宋体" w:hAnsi="宋体" w:cs="仿宋"/>
          <w:bCs/>
          <w:color w:val="auto"/>
          <w:szCs w:val="21"/>
          <w:highlight w:val="none"/>
        </w:rPr>
        <w:t>和承诺相一致。乙方提供的节能和环保产品必须是列入政府采购清单的产品。</w:t>
      </w:r>
    </w:p>
    <w:p w14:paraId="0031A8AC">
      <w:pPr>
        <w:snapToGrid w:val="0"/>
        <w:spacing w:line="360" w:lineRule="auto"/>
        <w:ind w:firstLine="424" w:firstLineChars="202"/>
        <w:rPr>
          <w:rFonts w:hint="eastAsia" w:ascii="宋体" w:hAnsi="宋体" w:cs="仿宋"/>
          <w:bCs/>
          <w:color w:val="auto"/>
          <w:szCs w:val="21"/>
          <w:highlight w:val="none"/>
        </w:rPr>
      </w:pPr>
      <w:r>
        <w:rPr>
          <w:rFonts w:hint="eastAsia" w:ascii="宋体" w:hAnsi="宋体" w:cs="仿宋"/>
          <w:bCs/>
          <w:color w:val="auto"/>
          <w:szCs w:val="21"/>
          <w:highlight w:val="none"/>
        </w:rPr>
        <w:t>2、乙方所提供的货物必须是全新、未使用的原装产品，且在正常安装、使用和保养条件下，其使用寿命期内各项指标均达到质量要求。</w:t>
      </w:r>
    </w:p>
    <w:p w14:paraId="3BAA2ED2">
      <w:pPr>
        <w:snapToGrid w:val="0"/>
        <w:spacing w:line="360" w:lineRule="auto"/>
        <w:ind w:firstLine="424" w:firstLineChars="202"/>
        <w:rPr>
          <w:rFonts w:hint="eastAsia" w:ascii="宋体" w:hAnsi="宋体" w:cs="仿宋"/>
          <w:bCs/>
          <w:color w:val="auto"/>
          <w:szCs w:val="21"/>
          <w:highlight w:val="none"/>
        </w:rPr>
      </w:pPr>
      <w:r>
        <w:rPr>
          <w:rFonts w:hint="eastAsia" w:ascii="宋体" w:hAnsi="宋体" w:cs="仿宋"/>
          <w:bCs/>
          <w:color w:val="auto"/>
          <w:szCs w:val="21"/>
          <w:highlight w:val="none"/>
        </w:rPr>
        <w:t>3.乙方保证所提供的货物（包含但不限于配套软硬件设备及其伴随服务等；下同）必须是没有任何抵押、质押、查封或其他权利瑕疵，甲方正常使用不会侵犯任何第三方合法权益。</w:t>
      </w:r>
    </w:p>
    <w:p w14:paraId="6D2013EA">
      <w:pPr>
        <w:snapToGrid w:val="0"/>
        <w:spacing w:line="360" w:lineRule="auto"/>
        <w:ind w:left="422" w:hanging="422" w:hangingChars="200"/>
        <w:rPr>
          <w:rFonts w:ascii="宋体" w:hAnsi="宋体" w:cs="仿宋"/>
          <w:bCs/>
          <w:color w:val="auto"/>
          <w:szCs w:val="21"/>
          <w:highlight w:val="none"/>
        </w:rPr>
      </w:pPr>
      <w:r>
        <w:rPr>
          <w:rFonts w:hint="eastAsia" w:ascii="宋体" w:hAnsi="宋体" w:cs="仿宋"/>
          <w:b/>
          <w:color w:val="auto"/>
          <w:szCs w:val="21"/>
          <w:highlight w:val="none"/>
        </w:rPr>
        <w:t>第三条  权利保证</w:t>
      </w:r>
    </w:p>
    <w:p w14:paraId="11469178">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1、乙方应保证所提供货物在使用时不会侵犯任何第三方的专利权、商标权、工业设计权或其他权利。</w:t>
      </w:r>
    </w:p>
    <w:p w14:paraId="31BE1E7F">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2、乙方应按</w:t>
      </w:r>
      <w:r>
        <w:rPr>
          <w:rFonts w:hint="eastAsia" w:ascii="宋体" w:hAnsi="宋体" w:cs="仿宋"/>
          <w:bCs/>
          <w:color w:val="auto"/>
          <w:szCs w:val="21"/>
          <w:highlight w:val="none"/>
          <w:lang w:eastAsia="zh-CN"/>
        </w:rPr>
        <w:t>竞争性谈判文件</w:t>
      </w:r>
      <w:r>
        <w:rPr>
          <w:rFonts w:hint="eastAsia" w:ascii="宋体" w:hAnsi="宋体" w:cs="仿宋"/>
          <w:bCs/>
          <w:color w:val="auto"/>
          <w:szCs w:val="21"/>
          <w:highlight w:val="none"/>
        </w:rPr>
        <w:t>规定的时间向甲方提供使用货物的有关技术资料。</w:t>
      </w:r>
    </w:p>
    <w:p w14:paraId="1F0AF36E">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F2B450">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4、乙方保证所交付的货物的所有权完全属于乙方且无任何抵押、质押、查封等产权瑕疵。</w:t>
      </w:r>
    </w:p>
    <w:p w14:paraId="1711443C">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第四条  包装和运输</w:t>
      </w:r>
    </w:p>
    <w:p w14:paraId="7CD1BB61">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1、乙方提供的货物均应按</w:t>
      </w:r>
      <w:r>
        <w:rPr>
          <w:rFonts w:hint="eastAsia" w:ascii="宋体" w:hAnsi="宋体" w:cs="仿宋"/>
          <w:bCs/>
          <w:color w:val="auto"/>
          <w:szCs w:val="21"/>
          <w:highlight w:val="none"/>
          <w:lang w:eastAsia="zh-CN"/>
        </w:rPr>
        <w:t>竞争性谈判文件</w:t>
      </w:r>
      <w:r>
        <w:rPr>
          <w:rFonts w:hint="eastAsia" w:ascii="宋体" w:hAnsi="宋体" w:cs="仿宋"/>
          <w:bCs/>
          <w:color w:val="auto"/>
          <w:szCs w:val="21"/>
          <w:highlight w:val="none"/>
        </w:rPr>
        <w:t>要求的包装材料、包装标准、包装方式进行包装，每一包装单元内应附详细的装箱单和质量合格证。</w:t>
      </w:r>
    </w:p>
    <w:p w14:paraId="677CCCCB">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2、货物的运输方式：</w:t>
      </w:r>
      <w:r>
        <w:rPr>
          <w:rFonts w:hint="eastAsia" w:ascii="宋体" w:hAnsi="宋体" w:cs="仿宋"/>
          <w:bCs/>
          <w:color w:val="auto"/>
          <w:szCs w:val="21"/>
          <w:highlight w:val="none"/>
          <w:u w:val="single"/>
        </w:rPr>
        <w:t>由乙方自行安排，但国家对运输方式有规定的按照有关规定。</w:t>
      </w:r>
    </w:p>
    <w:p w14:paraId="7A415989">
      <w:pPr>
        <w:snapToGrid w:val="0"/>
        <w:spacing w:line="360" w:lineRule="auto"/>
        <w:ind w:firstLine="424" w:firstLineChars="202"/>
        <w:rPr>
          <w:rFonts w:ascii="宋体" w:hAnsi="宋体" w:cs="仿宋"/>
          <w:bCs/>
          <w:color w:val="auto"/>
          <w:szCs w:val="21"/>
          <w:highlight w:val="none"/>
          <w:u w:val="single"/>
        </w:rPr>
      </w:pPr>
      <w:r>
        <w:rPr>
          <w:rFonts w:hint="eastAsia" w:ascii="宋体" w:hAnsi="宋体" w:cs="仿宋"/>
          <w:bCs/>
          <w:color w:val="auto"/>
          <w:szCs w:val="21"/>
          <w:highlight w:val="none"/>
        </w:rPr>
        <w:t>3、乙方负责货物运输，货物运输合理损耗及计算方法：</w:t>
      </w:r>
      <w:r>
        <w:rPr>
          <w:rFonts w:hint="eastAsia" w:ascii="宋体" w:hAnsi="宋体" w:cs="仿宋"/>
          <w:bCs/>
          <w:color w:val="auto"/>
          <w:szCs w:val="21"/>
          <w:highlight w:val="none"/>
          <w:u w:val="single"/>
        </w:rPr>
        <w:t>本项目不接受损耗。</w:t>
      </w:r>
    </w:p>
    <w:p w14:paraId="064DFA11">
      <w:pPr>
        <w:snapToGrid w:val="0"/>
        <w:spacing w:line="360" w:lineRule="auto"/>
        <w:ind w:left="422" w:hanging="422" w:hangingChars="200"/>
        <w:rPr>
          <w:rFonts w:ascii="宋体" w:hAnsi="宋体" w:cs="仿宋"/>
          <w:bCs/>
          <w:color w:val="auto"/>
          <w:szCs w:val="21"/>
          <w:highlight w:val="none"/>
        </w:rPr>
      </w:pPr>
      <w:r>
        <w:rPr>
          <w:rFonts w:hint="eastAsia" w:ascii="宋体" w:hAnsi="宋体" w:cs="仿宋"/>
          <w:b/>
          <w:color w:val="auto"/>
          <w:szCs w:val="21"/>
          <w:highlight w:val="none"/>
        </w:rPr>
        <w:t>第五条  交付调试和验收</w:t>
      </w:r>
    </w:p>
    <w:p w14:paraId="300C4D40">
      <w:pPr>
        <w:snapToGrid w:val="0"/>
        <w:spacing w:line="360" w:lineRule="auto"/>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w:t>
      </w:r>
      <w:r>
        <w:rPr>
          <w:rFonts w:hint="eastAsia" w:ascii="宋体" w:hAnsi="宋体" w:cs="仿宋"/>
          <w:bCs/>
          <w:color w:val="auto"/>
          <w:szCs w:val="21"/>
          <w:highlight w:val="none"/>
          <w:lang w:val="en-US" w:eastAsia="zh-CN"/>
        </w:rPr>
        <w:t>交付</w:t>
      </w:r>
      <w:r>
        <w:rPr>
          <w:rFonts w:hint="eastAsia" w:ascii="宋体" w:hAnsi="宋体" w:cs="仿宋"/>
          <w:bCs/>
          <w:color w:val="auto"/>
          <w:szCs w:val="21"/>
          <w:highlight w:val="none"/>
        </w:rPr>
        <w:t>时间：</w:t>
      </w:r>
      <w:r>
        <w:rPr>
          <w:rFonts w:hint="eastAsia" w:ascii="宋体" w:hAnsi="宋体"/>
          <w:bCs/>
          <w:color w:val="auto"/>
          <w:szCs w:val="21"/>
          <w:highlight w:val="none"/>
        </w:rPr>
        <w:t>本项目采购量为年度采购预估量，</w:t>
      </w:r>
      <w:r>
        <w:rPr>
          <w:rFonts w:hint="eastAsia" w:ascii="宋体" w:hAnsi="宋体"/>
          <w:bCs/>
          <w:color w:val="auto"/>
          <w:szCs w:val="21"/>
          <w:highlight w:val="none"/>
          <w:lang w:val="en-US" w:eastAsia="zh-CN"/>
        </w:rPr>
        <w:t>乙方</w:t>
      </w:r>
      <w:r>
        <w:rPr>
          <w:rFonts w:hint="eastAsia" w:ascii="宋体" w:hAnsi="宋体"/>
          <w:bCs/>
          <w:color w:val="auto"/>
          <w:szCs w:val="21"/>
          <w:highlight w:val="none"/>
        </w:rPr>
        <w:t>根据甲方每月需求量供货，采购量以年度12个月实际采购量为准。乙方</w:t>
      </w:r>
      <w:r>
        <w:rPr>
          <w:rFonts w:hint="eastAsia" w:ascii="宋体" w:hAnsi="宋体" w:cs="宋体"/>
          <w:color w:val="auto"/>
          <w:szCs w:val="21"/>
          <w:highlight w:val="none"/>
        </w:rPr>
        <w:t>自签订合同之日起3个工作日内与甲方确定式样与当月采购量。式样与当月采购量确认后在15日历日内完成交货</w:t>
      </w:r>
      <w:r>
        <w:rPr>
          <w:rFonts w:hint="eastAsia" w:ascii="宋体" w:hAnsi="宋体" w:cs="仿宋"/>
          <w:bCs/>
          <w:color w:val="auto"/>
          <w:szCs w:val="21"/>
          <w:highlight w:val="none"/>
        </w:rPr>
        <w:t>。</w:t>
      </w:r>
    </w:p>
    <w:p w14:paraId="75814C6B">
      <w:pPr>
        <w:snapToGrid w:val="0"/>
        <w:spacing w:line="360" w:lineRule="auto"/>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2、交货地点：</w:t>
      </w:r>
      <w:r>
        <w:rPr>
          <w:rFonts w:hint="eastAsia" w:ascii="宋体" w:hAnsi="宋体"/>
          <w:b w:val="0"/>
          <w:bCs w:val="0"/>
          <w:color w:val="auto"/>
          <w:szCs w:val="21"/>
          <w:highlight w:val="none"/>
          <w:u w:val="single"/>
          <w:lang w:val="en-US" w:eastAsia="zh-CN"/>
        </w:rPr>
        <w:t>梧州市工人医院，</w:t>
      </w:r>
      <w:r>
        <w:rPr>
          <w:rFonts w:hint="eastAsia" w:ascii="宋体" w:hAnsi="宋体" w:cs="宋体"/>
          <w:color w:val="auto"/>
          <w:szCs w:val="21"/>
          <w:highlight w:val="none"/>
          <w:u w:val="single"/>
          <w:lang w:val="en-US" w:eastAsia="zh-CN"/>
        </w:rPr>
        <w:t>按甲方</w:t>
      </w:r>
      <w:r>
        <w:rPr>
          <w:rFonts w:hint="eastAsia" w:ascii="宋体" w:hAnsi="宋体" w:cs="宋体"/>
          <w:color w:val="auto"/>
          <w:szCs w:val="21"/>
          <w:highlight w:val="none"/>
          <w:u w:val="single"/>
        </w:rPr>
        <w:t>指定地点送货上门，并按要求负责卸货</w:t>
      </w:r>
      <w:r>
        <w:rPr>
          <w:rFonts w:hint="eastAsia" w:ascii="宋体" w:hAnsi="宋体"/>
          <w:b w:val="0"/>
          <w:bCs w:val="0"/>
          <w:color w:val="auto"/>
          <w:szCs w:val="21"/>
          <w:highlight w:val="none"/>
          <w:u w:val="single"/>
        </w:rPr>
        <w:t>。</w:t>
      </w:r>
    </w:p>
    <w:p w14:paraId="3D9E84F6">
      <w:pPr>
        <w:snapToGrid w:val="0"/>
        <w:spacing w:line="360" w:lineRule="auto"/>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3、验收内容包括：商务要求偏离表和技术要求偏离表中的所有承诺的指标；售后服务承诺；采购需求；优惠条件及特殊承诺承诺的内容。如果上述文件之间存在矛盾或者不一致之处，以上述文件的排列顺序在先者为准。乙方提供不符合以上要求、承诺和本合同规定的货物，甲方有权拒绝接受。</w:t>
      </w:r>
    </w:p>
    <w:p w14:paraId="01D45F3F">
      <w:pPr>
        <w:spacing w:line="360" w:lineRule="auto"/>
        <w:ind w:firstLine="420" w:firstLineChars="200"/>
        <w:rPr>
          <w:color w:val="auto"/>
          <w:highlight w:val="none"/>
        </w:rPr>
      </w:pPr>
      <w:r>
        <w:rPr>
          <w:rFonts w:hint="eastAsia" w:ascii="宋体" w:hAnsi="宋体" w:cs="仿宋"/>
          <w:bCs/>
          <w:color w:val="auto"/>
          <w:szCs w:val="21"/>
          <w:highlight w:val="none"/>
        </w:rPr>
        <w:t>4、</w:t>
      </w:r>
      <w:r>
        <w:rPr>
          <w:rFonts w:hint="eastAsia" w:ascii="宋体" w:hAnsi="宋体" w:cs="宋体"/>
          <w:color w:val="auto"/>
          <w:kern w:val="0"/>
          <w:szCs w:val="21"/>
          <w:highlight w:val="none"/>
        </w:rPr>
        <w:t>交货产品必须是全新、完整、未使用过的产品；</w:t>
      </w:r>
      <w:r>
        <w:rPr>
          <w:rFonts w:hint="eastAsia" w:ascii="宋体" w:hAnsi="宋体" w:cs="宋体"/>
          <w:color w:val="auto"/>
          <w:szCs w:val="21"/>
          <w:highlight w:val="none"/>
          <w:shd w:val="clear" w:color="auto" w:fill="FFFFFF"/>
          <w:lang w:bidi="ar"/>
        </w:rPr>
        <w:t>供货时乙方需提供有效的产品合格证明、出厂证明、产地证明等证明文件。</w:t>
      </w:r>
      <w:r>
        <w:rPr>
          <w:rFonts w:hint="eastAsia" w:ascii="宋体" w:hAnsi="宋体"/>
          <w:color w:val="auto"/>
          <w:szCs w:val="21"/>
          <w:highlight w:val="none"/>
        </w:rPr>
        <w:t>须根据采购</w:t>
      </w:r>
      <w:r>
        <w:rPr>
          <w:rFonts w:hint="eastAsia"/>
          <w:color w:val="auto"/>
          <w:highlight w:val="none"/>
        </w:rPr>
        <w:t>采购需求带“</w:t>
      </w:r>
      <w:r>
        <w:rPr>
          <w:rFonts w:hint="eastAsia" w:ascii="宋体" w:hAnsi="宋体" w:cs="宋体"/>
          <w:b/>
          <w:color w:val="auto"/>
          <w:szCs w:val="21"/>
          <w:highlight w:val="none"/>
        </w:rPr>
        <w:t>▲</w:t>
      </w:r>
      <w:r>
        <w:rPr>
          <w:rFonts w:hint="eastAsia" w:ascii="宋体" w:hAnsi="宋体" w:cs="宋体"/>
          <w:color w:val="auto"/>
          <w:szCs w:val="21"/>
          <w:highlight w:val="none"/>
        </w:rPr>
        <w:t>”号技术要求</w:t>
      </w:r>
      <w:r>
        <w:rPr>
          <w:rFonts w:hint="eastAsia"/>
          <w:color w:val="auto"/>
          <w:highlight w:val="none"/>
        </w:rPr>
        <w:t>提供本批次货物（用料相同的可只须提供一份，但须注明。分批次交货的只须第一次交货时提供。）由CMA或</w:t>
      </w:r>
      <w:r>
        <w:rPr>
          <w:color w:val="auto"/>
          <w:highlight w:val="none"/>
        </w:rPr>
        <w:t>CNAS</w:t>
      </w:r>
      <w:r>
        <w:rPr>
          <w:rFonts w:hint="eastAsia"/>
          <w:color w:val="auto"/>
          <w:highlight w:val="none"/>
        </w:rPr>
        <w:t>认证的第三方检测机构出具的材料检验报告复印件，原件备查。同时必须提供报告材料真实性的查询方式，以供查询确认。如经查询为虚假或存在局部替换报告内容的情况视为提供虚假材料，</w:t>
      </w:r>
      <w:r>
        <w:rPr>
          <w:rFonts w:hint="eastAsia"/>
          <w:color w:val="auto"/>
          <w:highlight w:val="none"/>
        </w:rPr>
        <w:t>终止合同</w:t>
      </w:r>
      <w:r>
        <w:rPr>
          <w:rFonts w:hint="eastAsia"/>
          <w:color w:val="auto"/>
          <w:highlight w:val="none"/>
        </w:rPr>
        <w:t>，同时向政府采购监督部门报告，按有关法规进行处理。</w:t>
      </w:r>
    </w:p>
    <w:p w14:paraId="0237A70E">
      <w:pPr>
        <w:snapToGrid w:val="0"/>
        <w:spacing w:line="360" w:lineRule="auto"/>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5、甲方对验收有异议的，在验收后五个工作日内以书面形式向乙方提出，乙方应自收到甲方书面异议后五个工作日内及时予以解决。</w:t>
      </w:r>
    </w:p>
    <w:p w14:paraId="6301A0EA">
      <w:pPr>
        <w:snapToGrid w:val="0"/>
        <w:spacing w:line="360" w:lineRule="auto"/>
        <w:ind w:firstLine="420" w:firstLineChars="200"/>
        <w:rPr>
          <w:rFonts w:ascii="宋体" w:hAnsi="宋体" w:cs="仿宋"/>
          <w:bCs/>
          <w:color w:val="auto"/>
          <w:szCs w:val="21"/>
          <w:highlight w:val="none"/>
        </w:rPr>
      </w:pPr>
      <w:r>
        <w:rPr>
          <w:rFonts w:hint="eastAsia" w:ascii="宋体" w:hAnsi="宋体" w:cs="仿宋"/>
          <w:bCs/>
          <w:color w:val="auto"/>
          <w:szCs w:val="21"/>
          <w:highlight w:val="none"/>
        </w:rPr>
        <w:t>6、乙方应按合同约定提供合格的货物，因货物质量问题发生争议的，甲方有权对有争议货物进行随机抽样送国家认可的质量检测机构对货物质量进行鉴定，货物符合标准的，鉴定费及送检样品损坏（如有）由甲方承担。货物不符合标准的，鉴定费及送检样品损坏（如有）由乙方承担。对于抽样送检不合格批次的货物，甲方将拒收，由此产生的后果由乙方自负。</w:t>
      </w:r>
    </w:p>
    <w:p w14:paraId="4DB9A8F8">
      <w:pPr>
        <w:snapToGrid w:val="0"/>
        <w:spacing w:line="360" w:lineRule="auto"/>
        <w:ind w:firstLine="420" w:firstLineChars="200"/>
        <w:rPr>
          <w:rFonts w:ascii="宋体" w:hAnsi="宋体" w:cs="仿宋"/>
          <w:bCs/>
          <w:color w:val="auto"/>
          <w:szCs w:val="21"/>
          <w:highlight w:val="none"/>
        </w:rPr>
      </w:pPr>
      <w:r>
        <w:rPr>
          <w:rFonts w:hint="eastAsia" w:ascii="宋体" w:hAnsi="宋体" w:cs="仿宋"/>
          <w:bCs/>
          <w:color w:val="auto"/>
          <w:szCs w:val="21"/>
          <w:highlight w:val="none"/>
        </w:rPr>
        <w:t>7、在验收过程中发现乙方有违约问题，可暂缓资金结算，待违约问题解决后，方可办理资金结算事宜。</w:t>
      </w:r>
    </w:p>
    <w:p w14:paraId="4D5ACABD">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w:t>
      </w:r>
      <w:r>
        <w:rPr>
          <w:rFonts w:hint="eastAsia" w:ascii="宋体" w:hAnsi="宋体" w:cs="仿宋"/>
          <w:b/>
          <w:color w:val="auto"/>
          <w:szCs w:val="21"/>
          <w:highlight w:val="none"/>
          <w:lang w:val="en-US" w:eastAsia="zh-CN"/>
        </w:rPr>
        <w:t>六</w:t>
      </w:r>
      <w:r>
        <w:rPr>
          <w:rFonts w:hint="eastAsia" w:ascii="宋体" w:hAnsi="宋体" w:cs="仿宋"/>
          <w:b/>
          <w:color w:val="auto"/>
          <w:szCs w:val="21"/>
          <w:highlight w:val="none"/>
        </w:rPr>
        <w:t>条  售后服务、保修期</w:t>
      </w:r>
    </w:p>
    <w:p w14:paraId="694D9F80">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1、乙方应按照国家有关法律法规和“三包”规定以及采购文件和本合同所附的《服务承诺》，为甲方提供售后服务。</w:t>
      </w:r>
    </w:p>
    <w:p w14:paraId="474926A8">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2、如在使用过程中发生质量问题，乙方在接到甲方通知后在</w:t>
      </w:r>
      <w:r>
        <w:rPr>
          <w:rFonts w:hint="eastAsia" w:ascii="宋体" w:hAnsi="宋体" w:cs="仿宋"/>
          <w:bCs/>
          <w:color w:val="auto"/>
          <w:szCs w:val="21"/>
          <w:highlight w:val="none"/>
          <w:u w:val="single"/>
        </w:rPr>
        <w:t xml:space="preserve">   </w:t>
      </w:r>
      <w:r>
        <w:rPr>
          <w:rFonts w:hint="eastAsia" w:ascii="宋体" w:hAnsi="宋体" w:cs="仿宋"/>
          <w:bCs/>
          <w:color w:val="auto"/>
          <w:szCs w:val="21"/>
          <w:highlight w:val="none"/>
        </w:rPr>
        <w:t>小时内到达甲方现场处理。</w:t>
      </w:r>
    </w:p>
    <w:p w14:paraId="09B7D61E">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3、在质保期内，乙方应对货物出现的质量及安全问题负责处理解决并承担一切费用。</w:t>
      </w:r>
    </w:p>
    <w:p w14:paraId="60B8CEE2">
      <w:pPr>
        <w:snapToGrid w:val="0"/>
        <w:spacing w:line="360" w:lineRule="auto"/>
        <w:ind w:firstLine="424" w:firstLineChars="202"/>
        <w:rPr>
          <w:rFonts w:hint="eastAsia" w:ascii="宋体" w:hAnsi="宋体" w:cs="仿宋"/>
          <w:bCs/>
          <w:color w:val="auto"/>
          <w:szCs w:val="21"/>
          <w:highlight w:val="none"/>
        </w:rPr>
      </w:pPr>
      <w:r>
        <w:rPr>
          <w:rFonts w:hint="eastAsia" w:ascii="宋体" w:hAnsi="宋体" w:cs="仿宋"/>
          <w:bCs/>
          <w:color w:val="auto"/>
          <w:szCs w:val="21"/>
          <w:highlight w:val="none"/>
        </w:rPr>
        <w:t>4、上述的货物质保期，按本合同“一、《供货一览表》”关于质保期的内容执行为</w:t>
      </w:r>
      <w:r>
        <w:rPr>
          <w:rFonts w:hint="eastAsia" w:ascii="宋体" w:hAnsi="宋体" w:cs="仿宋"/>
          <w:bCs/>
          <w:color w:val="auto"/>
          <w:szCs w:val="21"/>
          <w:highlight w:val="none"/>
          <w:u w:val="single"/>
        </w:rPr>
        <w:t xml:space="preserve"> 一  </w:t>
      </w:r>
      <w:r>
        <w:rPr>
          <w:rFonts w:hint="eastAsia" w:ascii="宋体" w:hAnsi="宋体" w:cs="仿宋"/>
          <w:bCs/>
          <w:color w:val="auto"/>
          <w:szCs w:val="21"/>
          <w:highlight w:val="none"/>
        </w:rPr>
        <w:t>年（国家法律法规、规章、规范性文件或相关技术标准、规范有更长质保期规定的，从其规定），免费保修包含需要更换的零配件的费用。因人为因素出现的故障不在免费保修范围内。</w:t>
      </w:r>
    </w:p>
    <w:p w14:paraId="5C3C13D6">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5、乙方提供的服务承诺和售后服务及保修期责任等其它具体约定事项。（见合同附件）</w:t>
      </w:r>
    </w:p>
    <w:p w14:paraId="249862C4">
      <w:pPr>
        <w:snapToGrid w:val="0"/>
        <w:spacing w:line="360" w:lineRule="auto"/>
        <w:ind w:left="422" w:hanging="422" w:hangingChars="200"/>
        <w:rPr>
          <w:rFonts w:ascii="宋体" w:hAnsi="宋体" w:cs="仿宋"/>
          <w:bCs/>
          <w:color w:val="auto"/>
          <w:szCs w:val="21"/>
          <w:highlight w:val="none"/>
        </w:rPr>
      </w:pPr>
      <w:r>
        <w:rPr>
          <w:rFonts w:hint="eastAsia" w:ascii="宋体" w:hAnsi="宋体" w:cs="仿宋"/>
          <w:b/>
          <w:color w:val="auto"/>
          <w:szCs w:val="21"/>
          <w:highlight w:val="none"/>
        </w:rPr>
        <w:t>第</w:t>
      </w:r>
      <w:r>
        <w:rPr>
          <w:rFonts w:hint="eastAsia" w:ascii="宋体" w:hAnsi="宋体" w:cs="仿宋"/>
          <w:b/>
          <w:color w:val="auto"/>
          <w:szCs w:val="21"/>
          <w:highlight w:val="none"/>
          <w:lang w:val="en-US" w:eastAsia="zh-CN"/>
        </w:rPr>
        <w:t>七</w:t>
      </w:r>
      <w:r>
        <w:rPr>
          <w:rFonts w:hint="eastAsia" w:ascii="宋体" w:hAnsi="宋体" w:cs="仿宋"/>
          <w:b/>
          <w:color w:val="auto"/>
          <w:szCs w:val="21"/>
          <w:highlight w:val="none"/>
        </w:rPr>
        <w:t>条  付款条件</w:t>
      </w:r>
    </w:p>
    <w:p w14:paraId="13128656">
      <w:pPr>
        <w:snapToGrid w:val="0"/>
        <w:spacing w:line="360" w:lineRule="auto"/>
        <w:ind w:firstLine="420" w:firstLineChars="200"/>
        <w:rPr>
          <w:rFonts w:hint="eastAsia" w:ascii="宋体" w:hAnsi="宋体" w:cs="仿宋"/>
          <w:bCs/>
          <w:color w:val="auto"/>
          <w:szCs w:val="21"/>
          <w:highlight w:val="none"/>
        </w:rPr>
      </w:pPr>
      <w:r>
        <w:rPr>
          <w:rFonts w:hint="eastAsia" w:ascii="宋体" w:hAnsi="宋体" w:cs="仿宋"/>
          <w:bCs/>
          <w:color w:val="auto"/>
          <w:szCs w:val="21"/>
          <w:highlight w:val="none"/>
        </w:rPr>
        <w:t>（1）本项目按折扣报价，结算单价=单项最高限价×成交折扣，结算总价=结算单价×实际采购数量。</w:t>
      </w:r>
    </w:p>
    <w:p w14:paraId="47A1E8D9">
      <w:pPr>
        <w:snapToGrid w:val="0"/>
        <w:spacing w:line="360" w:lineRule="auto"/>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（2）付款方式：以银行转账形式汇款到乙方</w:t>
      </w:r>
      <w:r>
        <w:rPr>
          <w:rFonts w:hint="eastAsia" w:ascii="宋体" w:hAnsi="宋体" w:cs="仿宋"/>
          <w:bCs/>
          <w:color w:val="auto"/>
          <w:szCs w:val="21"/>
          <w:highlight w:val="none"/>
        </w:rPr>
        <w:t>对公</w:t>
      </w:r>
      <w:r>
        <w:rPr>
          <w:rFonts w:hint="eastAsia" w:ascii="宋体" w:hAnsi="宋体" w:cs="仿宋"/>
          <w:bCs/>
          <w:color w:val="auto"/>
          <w:szCs w:val="21"/>
          <w:highlight w:val="none"/>
        </w:rPr>
        <w:t>银行账户。</w:t>
      </w:r>
    </w:p>
    <w:p w14:paraId="5D7EB88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仿宋"/>
          <w:bCs/>
          <w:color w:val="auto"/>
          <w:szCs w:val="21"/>
          <w:highlight w:val="none"/>
        </w:rPr>
        <w:t>（3）</w:t>
      </w:r>
      <w:r>
        <w:rPr>
          <w:rFonts w:hint="eastAsia" w:ascii="宋体" w:hAnsi="宋体" w:cs="仿宋"/>
          <w:bCs/>
          <w:color w:val="auto"/>
          <w:szCs w:val="21"/>
          <w:highlight w:val="none"/>
        </w:rPr>
        <w:t>付款计划：根据</w:t>
      </w:r>
      <w:r>
        <w:rPr>
          <w:rFonts w:hint="eastAsia" w:ascii="宋体" w:hAnsi="宋体" w:cs="宋体"/>
          <w:color w:val="auto"/>
          <w:kern w:val="0"/>
          <w:szCs w:val="21"/>
          <w:highlight w:val="none"/>
        </w:rPr>
        <w:t>甲方实际采购量按月支付，每月采购验收合格后</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天</w:t>
      </w:r>
      <w:r>
        <w:rPr>
          <w:rFonts w:hint="eastAsia" w:ascii="宋体" w:hAnsi="宋体" w:cs="宋体"/>
          <w:color w:val="auto"/>
          <w:kern w:val="0"/>
          <w:szCs w:val="21"/>
          <w:highlight w:val="none"/>
        </w:rPr>
        <w:t>内支付货款，支付金额为验收合格单金额100%。</w:t>
      </w:r>
    </w:p>
    <w:p w14:paraId="0310B72F">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w:t>
      </w:r>
      <w:r>
        <w:rPr>
          <w:rFonts w:hint="eastAsia" w:ascii="宋体" w:hAnsi="宋体" w:cs="仿宋"/>
          <w:b/>
          <w:color w:val="auto"/>
          <w:szCs w:val="21"/>
          <w:highlight w:val="none"/>
          <w:lang w:val="en-US" w:eastAsia="zh-CN"/>
        </w:rPr>
        <w:t>八</w:t>
      </w:r>
      <w:r>
        <w:rPr>
          <w:rFonts w:hint="eastAsia" w:ascii="宋体" w:hAnsi="宋体" w:cs="仿宋"/>
          <w:b/>
          <w:color w:val="auto"/>
          <w:szCs w:val="21"/>
          <w:highlight w:val="none"/>
        </w:rPr>
        <w:t>条  税费</w:t>
      </w:r>
    </w:p>
    <w:p w14:paraId="63B99388">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本合同执行中相关的一切税费均由乙方负担。</w:t>
      </w:r>
    </w:p>
    <w:p w14:paraId="579E3E36">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w:t>
      </w:r>
      <w:r>
        <w:rPr>
          <w:rFonts w:hint="eastAsia" w:ascii="宋体" w:hAnsi="宋体" w:cs="仿宋"/>
          <w:b/>
          <w:color w:val="auto"/>
          <w:szCs w:val="21"/>
          <w:highlight w:val="none"/>
          <w:lang w:val="en-US" w:eastAsia="zh-CN"/>
        </w:rPr>
        <w:t>九</w:t>
      </w:r>
      <w:r>
        <w:rPr>
          <w:rFonts w:hint="eastAsia" w:ascii="宋体" w:hAnsi="宋体" w:cs="仿宋"/>
          <w:b/>
          <w:color w:val="auto"/>
          <w:szCs w:val="21"/>
          <w:highlight w:val="none"/>
        </w:rPr>
        <w:t>条</w:t>
      </w:r>
      <w:r>
        <w:rPr>
          <w:rFonts w:hint="eastAsia" w:ascii="宋体" w:hAnsi="宋体" w:cs="仿宋"/>
          <w:b/>
          <w:color w:val="auto"/>
          <w:szCs w:val="21"/>
          <w:highlight w:val="none"/>
          <w:lang w:val="en-US" w:eastAsia="zh-CN"/>
        </w:rPr>
        <w:t xml:space="preserve"> </w:t>
      </w:r>
      <w:r>
        <w:rPr>
          <w:rFonts w:hint="eastAsia" w:ascii="宋体" w:hAnsi="宋体" w:cs="仿宋"/>
          <w:b/>
          <w:color w:val="auto"/>
          <w:szCs w:val="21"/>
          <w:highlight w:val="none"/>
        </w:rPr>
        <w:t>质量保证</w:t>
      </w:r>
    </w:p>
    <w:p w14:paraId="43A0C504">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乙方应按</w:t>
      </w:r>
      <w:r>
        <w:rPr>
          <w:rFonts w:hint="eastAsia" w:ascii="宋体" w:hAnsi="宋体" w:cs="仿宋"/>
          <w:bCs/>
          <w:color w:val="auto"/>
          <w:szCs w:val="21"/>
          <w:highlight w:val="none"/>
          <w:lang w:eastAsia="zh-CN"/>
        </w:rPr>
        <w:t>竞争性谈判文件</w:t>
      </w:r>
      <w:r>
        <w:rPr>
          <w:rFonts w:hint="eastAsia" w:ascii="宋体" w:hAnsi="宋体" w:cs="仿宋"/>
          <w:bCs/>
          <w:color w:val="auto"/>
          <w:szCs w:val="21"/>
          <w:highlight w:val="none"/>
        </w:rPr>
        <w:t>规定的货物性能、技术要求、质量标准向甲方提供未经使用的全新产品。不符合要求者，根据实际情况，经双方协商，可按以下办法处理：</w:t>
      </w:r>
    </w:p>
    <w:p w14:paraId="10898981">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⑴更换：由乙方承担所发生的全部费用。</w:t>
      </w:r>
    </w:p>
    <w:p w14:paraId="68CDC938">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⑵贬值处理：由甲乙双方合议定价。</w:t>
      </w:r>
    </w:p>
    <w:p w14:paraId="26269534">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⑶退货处理：乙方应退还甲方支付的合同款，同时应承担该货物的直接费用（运输、保险、检验、货款利息及银行手续费等）。如发生前述情况，甲方有权解除本合同，并向财政部门（政府采购监管部门）备案处理。</w:t>
      </w:r>
    </w:p>
    <w:p w14:paraId="1C6DCDA4">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第十条</w:t>
      </w:r>
      <w:r>
        <w:rPr>
          <w:rFonts w:hint="eastAsia" w:ascii="宋体" w:hAnsi="宋体" w:cs="仿宋"/>
          <w:b/>
          <w:color w:val="auto"/>
          <w:szCs w:val="21"/>
          <w:highlight w:val="none"/>
          <w:lang w:val="en-US" w:eastAsia="zh-CN"/>
        </w:rPr>
        <w:t xml:space="preserve"> </w:t>
      </w:r>
      <w:r>
        <w:rPr>
          <w:rFonts w:hint="eastAsia" w:ascii="宋体" w:hAnsi="宋体" w:cs="仿宋"/>
          <w:b/>
          <w:color w:val="auto"/>
          <w:szCs w:val="21"/>
          <w:highlight w:val="none"/>
        </w:rPr>
        <w:t>违约责任</w:t>
      </w:r>
    </w:p>
    <w:p w14:paraId="0D4E0F86">
      <w:pPr>
        <w:pStyle w:val="61"/>
        <w:spacing w:line="360" w:lineRule="auto"/>
        <w:ind w:firstLine="480"/>
        <w:rPr>
          <w:rFonts w:hint="eastAsia" w:ascii="宋体" w:hAnsi="宋体" w:cs="仿宋"/>
          <w:bCs/>
          <w:color w:val="auto"/>
          <w:szCs w:val="21"/>
          <w:highlight w:val="none"/>
          <w:lang w:val="en-US" w:eastAsia="zh-CN"/>
        </w:rPr>
      </w:pPr>
      <w:r>
        <w:rPr>
          <w:rFonts w:hint="eastAsia" w:ascii="宋体" w:hAnsi="宋体" w:cs="仿宋"/>
          <w:bCs/>
          <w:color w:val="auto"/>
          <w:szCs w:val="21"/>
          <w:highlight w:val="none"/>
        </w:rPr>
        <w:t>1、乙方所提供的货物规格、技术标准、材料等质量不合格的，或提供的货物名称、商标品牌、生产厂家、规格型号、技术参数等相关内容未满足甲方</w:t>
      </w:r>
      <w:r>
        <w:rPr>
          <w:rFonts w:hint="eastAsia" w:ascii="宋体" w:hAnsi="宋体" w:cs="仿宋"/>
          <w:bCs/>
          <w:color w:val="auto"/>
          <w:szCs w:val="21"/>
          <w:highlight w:val="none"/>
          <w:lang w:eastAsia="zh-CN"/>
        </w:rPr>
        <w:t>竞争性谈判文件</w:t>
      </w:r>
      <w:r>
        <w:rPr>
          <w:rFonts w:hint="eastAsia" w:ascii="宋体" w:hAnsi="宋体" w:cs="仿宋"/>
          <w:bCs/>
          <w:color w:val="auto"/>
          <w:szCs w:val="21"/>
          <w:highlight w:val="none"/>
        </w:rPr>
        <w:t>要求的（或与乙方投标（响应）文件及有关承诺不一致的），或不能满足甲方项目实施要求的，</w:t>
      </w:r>
      <w:r>
        <w:rPr>
          <w:rFonts w:hint="eastAsia" w:ascii="宋体" w:hAnsi="宋体" w:cs="仿宋"/>
          <w:bCs/>
          <w:color w:val="auto"/>
          <w:szCs w:val="21"/>
          <w:highlight w:val="none"/>
        </w:rPr>
        <w:t>应</w:t>
      </w:r>
      <w:r>
        <w:rPr>
          <w:rFonts w:hint="eastAsia" w:cs="仿宋"/>
          <w:bCs/>
          <w:color w:val="auto"/>
          <w:szCs w:val="21"/>
          <w:highlight w:val="none"/>
          <w:lang w:val="en-US" w:eastAsia="zh-CN"/>
        </w:rPr>
        <w:t>在15天内</w:t>
      </w:r>
      <w:r>
        <w:rPr>
          <w:rFonts w:hint="eastAsia" w:ascii="宋体" w:hAnsi="宋体" w:cs="仿宋"/>
          <w:bCs/>
          <w:color w:val="auto"/>
          <w:szCs w:val="21"/>
          <w:highlight w:val="none"/>
        </w:rPr>
        <w:t>及时更</w:t>
      </w:r>
      <w:r>
        <w:rPr>
          <w:rFonts w:hint="eastAsia" w:ascii="宋体" w:hAnsi="宋体" w:cs="仿宋"/>
          <w:bCs/>
          <w:color w:val="auto"/>
          <w:szCs w:val="21"/>
          <w:highlight w:val="none"/>
        </w:rPr>
        <w:t>换，更换不及时</w:t>
      </w:r>
      <w:r>
        <w:rPr>
          <w:rFonts w:hint="eastAsia" w:ascii="宋体" w:hAnsi="宋体" w:cs="仿宋"/>
          <w:bCs/>
          <w:color w:val="auto"/>
          <w:szCs w:val="21"/>
          <w:highlight w:val="none"/>
          <w:lang w:val="en-US" w:eastAsia="zh-CN"/>
        </w:rPr>
        <w:t>或者更换仍然存在上述问题</w:t>
      </w:r>
      <w:r>
        <w:rPr>
          <w:rFonts w:hint="eastAsia" w:ascii="宋体" w:hAnsi="宋体" w:cs="仿宋"/>
          <w:bCs/>
          <w:color w:val="auto"/>
          <w:szCs w:val="21"/>
          <w:highlight w:val="none"/>
        </w:rPr>
        <w:t>的</w:t>
      </w:r>
      <w:r>
        <w:rPr>
          <w:rFonts w:hint="eastAsia" w:ascii="宋体" w:hAnsi="宋体" w:cs="仿宋"/>
          <w:bCs/>
          <w:color w:val="auto"/>
          <w:szCs w:val="21"/>
          <w:highlight w:val="none"/>
          <w:lang w:eastAsia="zh-CN"/>
        </w:rPr>
        <w:t>，</w:t>
      </w:r>
      <w:r>
        <w:rPr>
          <w:rFonts w:hint="eastAsia" w:ascii="宋体" w:hAnsi="宋体" w:cs="仿宋"/>
          <w:bCs/>
          <w:color w:val="auto"/>
          <w:szCs w:val="21"/>
          <w:highlight w:val="none"/>
          <w:lang w:val="en-US" w:eastAsia="zh-CN"/>
        </w:rPr>
        <w:t>视为乙方不具备履约能力，甲方有权解除合同，</w:t>
      </w:r>
      <w:r>
        <w:rPr>
          <w:rFonts w:hint="eastAsia" w:ascii="宋体" w:hAnsi="宋体" w:cs="仿宋"/>
          <w:bCs/>
          <w:color w:val="auto"/>
          <w:szCs w:val="21"/>
          <w:highlight w:val="none"/>
          <w:lang w:val="en-US" w:eastAsia="zh-Hans"/>
        </w:rPr>
        <w:t>并</w:t>
      </w:r>
      <w:r>
        <w:rPr>
          <w:rFonts w:hint="eastAsia" w:ascii="宋体" w:hAnsi="宋体" w:cs="仿宋"/>
          <w:bCs/>
          <w:color w:val="auto"/>
          <w:szCs w:val="21"/>
          <w:highlight w:val="none"/>
          <w:lang w:val="en-US" w:eastAsia="zh-CN"/>
        </w:rPr>
        <w:t>要求乙方退还已收款项</w:t>
      </w:r>
      <w:r>
        <w:rPr>
          <w:rFonts w:hint="default" w:ascii="宋体" w:hAnsi="宋体" w:cs="仿宋"/>
          <w:bCs/>
          <w:color w:val="auto"/>
          <w:szCs w:val="21"/>
          <w:highlight w:val="none"/>
          <w:lang w:eastAsia="zh-CN"/>
        </w:rPr>
        <w:t>、</w:t>
      </w:r>
      <w:r>
        <w:rPr>
          <w:rFonts w:hint="eastAsia" w:ascii="宋体" w:hAnsi="宋体" w:cs="仿宋"/>
          <w:bCs/>
          <w:color w:val="auto"/>
          <w:szCs w:val="21"/>
          <w:highlight w:val="none"/>
          <w:lang w:val="en-US" w:eastAsia="zh-CN"/>
        </w:rPr>
        <w:t>支付合同总金额30%的违约金</w:t>
      </w:r>
      <w:r>
        <w:rPr>
          <w:rFonts w:hint="eastAsia" w:ascii="宋体" w:hAnsi="宋体" w:cs="仿宋"/>
          <w:bCs/>
          <w:color w:val="auto"/>
          <w:szCs w:val="21"/>
          <w:highlight w:val="none"/>
          <w:lang w:val="en-US" w:eastAsia="zh-CN"/>
        </w:rPr>
        <w:t>，若违约金不足以弥补甲方损失（甲方损失包括但不限于</w:t>
      </w:r>
      <w:r>
        <w:rPr>
          <w:rFonts w:hint="eastAsia" w:ascii="宋体" w:hAnsi="宋体" w:cs="仿宋"/>
          <w:bCs/>
          <w:color w:val="auto"/>
          <w:szCs w:val="21"/>
          <w:highlight w:val="none"/>
        </w:rPr>
        <w:t>甲方聘请第三方</w:t>
      </w:r>
      <w:r>
        <w:rPr>
          <w:rFonts w:hint="eastAsia" w:ascii="宋体" w:hAnsi="宋体" w:cs="仿宋"/>
          <w:bCs/>
          <w:color w:val="auto"/>
          <w:szCs w:val="21"/>
          <w:highlight w:val="none"/>
          <w:lang w:val="en-US" w:eastAsia="zh-CN"/>
        </w:rPr>
        <w:t>提供相应服务的</w:t>
      </w:r>
      <w:r>
        <w:rPr>
          <w:rFonts w:hint="eastAsia" w:ascii="宋体" w:hAnsi="宋体" w:cs="仿宋"/>
          <w:bCs/>
          <w:color w:val="auto"/>
          <w:szCs w:val="21"/>
          <w:highlight w:val="none"/>
        </w:rPr>
        <w:t>费用</w:t>
      </w:r>
      <w:r>
        <w:rPr>
          <w:rFonts w:hint="eastAsia" w:ascii="宋体" w:hAnsi="宋体" w:cs="仿宋"/>
          <w:bCs/>
          <w:color w:val="auto"/>
          <w:szCs w:val="21"/>
          <w:highlight w:val="none"/>
          <w:lang w:val="en-US" w:eastAsia="zh-CN"/>
        </w:rPr>
        <w:t>、</w:t>
      </w:r>
      <w:r>
        <w:rPr>
          <w:rFonts w:hint="eastAsia" w:cs="仿宋"/>
          <w:bCs/>
          <w:color w:val="auto"/>
          <w:szCs w:val="21"/>
          <w:highlight w:val="none"/>
          <w:lang w:val="en-US" w:eastAsia="zh-CN"/>
        </w:rPr>
        <w:t>向第三方支付的赔偿金或补偿金、行政处罚、</w:t>
      </w:r>
      <w:r>
        <w:rPr>
          <w:rFonts w:hint="eastAsia" w:ascii="宋体" w:hAnsi="宋体" w:cs="仿宋"/>
          <w:bCs/>
          <w:color w:val="auto"/>
          <w:szCs w:val="21"/>
          <w:highlight w:val="none"/>
          <w:lang w:val="en-US" w:eastAsia="zh-CN"/>
        </w:rPr>
        <w:t>诉讼费/仲裁费、律师费、保全费、保单保函费等直接和间接损失，下同），超出部分乙方还应予以赔偿</w:t>
      </w:r>
      <w:r>
        <w:rPr>
          <w:rFonts w:hint="eastAsia" w:ascii="宋体" w:hAnsi="宋体" w:cs="仿宋"/>
          <w:bCs/>
          <w:color w:val="auto"/>
          <w:szCs w:val="21"/>
          <w:highlight w:val="none"/>
          <w:lang w:val="en-US" w:eastAsia="zh-CN"/>
        </w:rPr>
        <w:t>。因更换导致逾期交货的，按照逾期交货产生的违约责任处理。</w:t>
      </w:r>
    </w:p>
    <w:p w14:paraId="2A504F5B">
      <w:pPr>
        <w:pStyle w:val="61"/>
        <w:spacing w:line="360" w:lineRule="auto"/>
        <w:ind w:firstLine="480"/>
        <w:rPr>
          <w:rFonts w:hint="eastAsia" w:ascii="宋体" w:hAnsi="宋体" w:cs="仿宋"/>
          <w:bCs/>
          <w:color w:val="auto"/>
          <w:szCs w:val="21"/>
          <w:highlight w:val="none"/>
          <w:lang w:val="en-US" w:eastAsia="zh-CN"/>
        </w:rPr>
      </w:pPr>
      <w:r>
        <w:rPr>
          <w:rFonts w:hint="eastAsia" w:ascii="宋体" w:hAnsi="宋体" w:cs="仿宋"/>
          <w:bCs/>
          <w:color w:val="auto"/>
          <w:szCs w:val="21"/>
          <w:highlight w:val="none"/>
          <w:lang w:val="en-US" w:eastAsia="zh-CN"/>
        </w:rPr>
        <w:t>2、乙方逾期交货的，</w:t>
      </w:r>
      <w:r>
        <w:rPr>
          <w:rFonts w:hint="eastAsia" w:ascii="宋体" w:hAnsi="宋体" w:cs="仿宋"/>
          <w:bCs/>
          <w:color w:val="auto"/>
          <w:szCs w:val="21"/>
          <w:highlight w:val="none"/>
          <w:lang w:val="en-US" w:eastAsia="zh-Hans"/>
        </w:rPr>
        <w:t>每延迟一日按合同</w:t>
      </w:r>
      <w:r>
        <w:rPr>
          <w:rFonts w:hint="eastAsia" w:ascii="宋体" w:hAnsi="宋体" w:cs="仿宋"/>
          <w:bCs/>
          <w:color w:val="auto"/>
          <w:szCs w:val="21"/>
          <w:highlight w:val="none"/>
          <w:lang w:val="en-US" w:eastAsia="zh-CN"/>
        </w:rPr>
        <w:t>总</w:t>
      </w:r>
      <w:r>
        <w:rPr>
          <w:rFonts w:hint="eastAsia" w:ascii="宋体" w:hAnsi="宋体" w:cs="仿宋"/>
          <w:bCs/>
          <w:color w:val="auto"/>
          <w:szCs w:val="21"/>
          <w:highlight w:val="none"/>
          <w:lang w:val="en-US" w:eastAsia="zh-Hans"/>
        </w:rPr>
        <w:t>价款的万分之五</w:t>
      </w:r>
      <w:r>
        <w:rPr>
          <w:rFonts w:hint="eastAsia" w:ascii="宋体" w:hAnsi="宋体" w:cs="仿宋"/>
          <w:bCs/>
          <w:color w:val="auto"/>
          <w:szCs w:val="21"/>
          <w:highlight w:val="none"/>
          <w:lang w:val="en-US" w:eastAsia="zh-CN"/>
        </w:rPr>
        <w:t>向甲方支付违约金</w:t>
      </w:r>
      <w:r>
        <w:rPr>
          <w:rFonts w:hint="default" w:ascii="宋体" w:hAnsi="宋体" w:cs="仿宋"/>
          <w:bCs/>
          <w:color w:val="auto"/>
          <w:szCs w:val="21"/>
          <w:highlight w:val="none"/>
          <w:lang w:val="en-US" w:eastAsia="zh-CN"/>
        </w:rPr>
        <w:t>。</w:t>
      </w:r>
      <w:r>
        <w:rPr>
          <w:rFonts w:hint="eastAsia" w:ascii="宋体" w:hAnsi="宋体" w:cs="仿宋"/>
          <w:bCs/>
          <w:color w:val="auto"/>
          <w:szCs w:val="21"/>
          <w:highlight w:val="none"/>
          <w:lang w:val="en-US" w:eastAsia="zh-Hans"/>
        </w:rPr>
        <w:t>如</w:t>
      </w:r>
      <w:r>
        <w:rPr>
          <w:rFonts w:hint="eastAsia" w:ascii="宋体" w:hAnsi="宋体" w:cs="仿宋"/>
          <w:bCs/>
          <w:color w:val="auto"/>
          <w:szCs w:val="21"/>
          <w:highlight w:val="none"/>
          <w:lang w:val="en-US" w:eastAsia="zh-CN"/>
        </w:rPr>
        <w:t>迟延</w:t>
      </w:r>
      <w:r>
        <w:rPr>
          <w:rFonts w:hint="eastAsia" w:ascii="宋体" w:hAnsi="宋体" w:cs="仿宋"/>
          <w:bCs/>
          <w:color w:val="auto"/>
          <w:szCs w:val="21"/>
          <w:highlight w:val="none"/>
          <w:lang w:val="en-US" w:eastAsia="zh-Hans"/>
        </w:rPr>
        <w:t>超过</w:t>
      </w:r>
      <w:r>
        <w:rPr>
          <w:rFonts w:hint="eastAsia" w:ascii="宋体" w:hAnsi="宋体" w:cs="仿宋"/>
          <w:bCs/>
          <w:color w:val="auto"/>
          <w:szCs w:val="21"/>
          <w:highlight w:val="none"/>
          <w:lang w:val="en-US" w:eastAsia="zh-CN"/>
        </w:rPr>
        <w:t>30</w:t>
      </w:r>
      <w:r>
        <w:rPr>
          <w:rFonts w:hint="eastAsia" w:ascii="宋体" w:hAnsi="宋体" w:cs="仿宋"/>
          <w:bCs/>
          <w:color w:val="auto"/>
          <w:szCs w:val="21"/>
          <w:highlight w:val="none"/>
          <w:lang w:val="en-US" w:eastAsia="zh-Hans"/>
        </w:rPr>
        <w:t>日</w:t>
      </w:r>
      <w:r>
        <w:rPr>
          <w:rFonts w:hint="eastAsia" w:ascii="宋体" w:hAnsi="宋体" w:cs="仿宋"/>
          <w:bCs/>
          <w:color w:val="auto"/>
          <w:szCs w:val="21"/>
          <w:highlight w:val="none"/>
          <w:lang w:val="en-US" w:eastAsia="zh-CN"/>
        </w:rPr>
        <w:t>仍未能交付（涉疫情、救灾、应急等急需物的，乙方迟延3日不能交付）的，视为乙方不具备履约能力，甲方有权</w:t>
      </w:r>
      <w:r>
        <w:rPr>
          <w:rFonts w:hint="eastAsia" w:ascii="宋体" w:hAnsi="宋体" w:cs="仿宋"/>
          <w:bCs/>
          <w:color w:val="auto"/>
          <w:szCs w:val="21"/>
          <w:highlight w:val="none"/>
          <w:lang w:val="en-US" w:eastAsia="zh-Hans"/>
        </w:rPr>
        <w:t>单方</w:t>
      </w:r>
      <w:r>
        <w:rPr>
          <w:rFonts w:hint="eastAsia" w:ascii="宋体" w:hAnsi="宋体" w:cs="仿宋"/>
          <w:bCs/>
          <w:color w:val="auto"/>
          <w:szCs w:val="21"/>
          <w:highlight w:val="none"/>
          <w:lang w:val="en-US" w:eastAsia="zh-CN"/>
        </w:rPr>
        <w:t>解除合同并可要求乙方退还已收款项</w:t>
      </w:r>
      <w:r>
        <w:rPr>
          <w:rFonts w:hint="default" w:ascii="宋体" w:hAnsi="宋体" w:cs="仿宋"/>
          <w:bCs/>
          <w:color w:val="auto"/>
          <w:szCs w:val="21"/>
          <w:highlight w:val="none"/>
          <w:lang w:val="en-US" w:eastAsia="zh-CN"/>
        </w:rPr>
        <w:t>、</w:t>
      </w:r>
      <w:r>
        <w:rPr>
          <w:rFonts w:hint="eastAsia" w:ascii="宋体" w:hAnsi="宋体" w:cs="仿宋"/>
          <w:bCs/>
          <w:color w:val="auto"/>
          <w:szCs w:val="21"/>
          <w:highlight w:val="none"/>
          <w:lang w:val="en-US" w:eastAsia="zh-CN"/>
        </w:rPr>
        <w:t>支付违约金、赔偿甲方因此造成的经济损失（包括但不限于甲方为维护合法权益而支出的诉讼费、律师费、财产保全费、保函费等费用）。</w:t>
      </w:r>
    </w:p>
    <w:p w14:paraId="44F115F4">
      <w:pPr>
        <w:pStyle w:val="61"/>
        <w:spacing w:line="360" w:lineRule="auto"/>
        <w:ind w:firstLine="480"/>
        <w:rPr>
          <w:rFonts w:hint="eastAsia" w:ascii="宋体" w:hAnsi="宋体" w:cs="仿宋"/>
          <w:bCs/>
          <w:color w:val="auto"/>
          <w:szCs w:val="21"/>
          <w:highlight w:val="none"/>
          <w:lang w:val="en-US" w:eastAsia="zh-CN"/>
        </w:rPr>
      </w:pPr>
      <w:r>
        <w:rPr>
          <w:rFonts w:hint="eastAsia" w:ascii="宋体" w:hAnsi="宋体" w:cs="仿宋"/>
          <w:bCs/>
          <w:color w:val="auto"/>
          <w:szCs w:val="21"/>
          <w:highlight w:val="none"/>
          <w:lang w:val="en-US" w:eastAsia="zh-CN"/>
        </w:rPr>
        <w:t>3、</w:t>
      </w:r>
      <w:r>
        <w:rPr>
          <w:rFonts w:hint="eastAsia" w:ascii="宋体" w:hAnsi="宋体" w:cs="仿宋"/>
          <w:bCs/>
          <w:color w:val="auto"/>
          <w:szCs w:val="21"/>
          <w:highlight w:val="none"/>
        </w:rPr>
        <w:t>甲方逾期付款的</w:t>
      </w:r>
      <w:r>
        <w:rPr>
          <w:rFonts w:hint="eastAsia" w:ascii="宋体" w:hAnsi="宋体" w:cs="仿宋"/>
          <w:bCs/>
          <w:color w:val="auto"/>
          <w:szCs w:val="21"/>
          <w:highlight w:val="none"/>
          <w:lang w:eastAsia="zh-CN"/>
        </w:rPr>
        <w:t>（</w:t>
      </w:r>
      <w:r>
        <w:rPr>
          <w:rFonts w:hint="eastAsia" w:ascii="宋体" w:hAnsi="宋体" w:cs="仿宋"/>
          <w:bCs/>
          <w:color w:val="auto"/>
          <w:szCs w:val="21"/>
          <w:highlight w:val="none"/>
          <w:lang w:val="en-US" w:eastAsia="zh-CN"/>
        </w:rPr>
        <w:t>乙方逾期交货的，甲方付款时间可以相应顺延</w:t>
      </w:r>
      <w:r>
        <w:rPr>
          <w:rFonts w:hint="eastAsia" w:ascii="宋体" w:hAnsi="宋体" w:cs="仿宋"/>
          <w:bCs/>
          <w:color w:val="auto"/>
          <w:szCs w:val="21"/>
          <w:highlight w:val="none"/>
          <w:lang w:eastAsia="zh-CN"/>
        </w:rPr>
        <w:t>），</w:t>
      </w:r>
      <w:r>
        <w:rPr>
          <w:rFonts w:hint="eastAsia" w:ascii="宋体" w:hAnsi="宋体" w:cs="仿宋"/>
          <w:bCs/>
          <w:color w:val="auto"/>
          <w:szCs w:val="21"/>
          <w:highlight w:val="none"/>
          <w:lang w:val="en-US" w:eastAsia="zh-CN"/>
        </w:rPr>
        <w:t>每延迟一日按迟延付款额的万分之一向乙方支付违约金，但</w:t>
      </w:r>
      <w:r>
        <w:rPr>
          <w:rFonts w:hint="eastAsia" w:ascii="宋体" w:hAnsi="宋体" w:cs="仿宋"/>
          <w:bCs/>
          <w:color w:val="auto"/>
          <w:szCs w:val="21"/>
          <w:highlight w:val="none"/>
        </w:rPr>
        <w:t>违约金累计不得超过</w:t>
      </w:r>
      <w:r>
        <w:rPr>
          <w:rFonts w:hint="eastAsia" w:ascii="宋体" w:hAnsi="宋体" w:cs="仿宋"/>
          <w:bCs/>
          <w:color w:val="auto"/>
          <w:szCs w:val="21"/>
          <w:highlight w:val="none"/>
          <w:lang w:val="en-US" w:eastAsia="zh-CN"/>
        </w:rPr>
        <w:t>迟延付款额的</w:t>
      </w:r>
      <w:r>
        <w:rPr>
          <w:rFonts w:hint="eastAsia" w:ascii="宋体" w:hAnsi="宋体" w:cs="仿宋"/>
          <w:bCs/>
          <w:color w:val="auto"/>
          <w:szCs w:val="21"/>
          <w:highlight w:val="none"/>
        </w:rPr>
        <w:t>5%</w:t>
      </w:r>
      <w:r>
        <w:rPr>
          <w:rFonts w:hint="eastAsia" w:ascii="宋体" w:hAnsi="宋体" w:cs="仿宋"/>
          <w:bCs/>
          <w:color w:val="auto"/>
          <w:szCs w:val="21"/>
          <w:highlight w:val="none"/>
          <w:lang w:eastAsia="zh-CN"/>
        </w:rPr>
        <w:t>。</w:t>
      </w:r>
      <w:r>
        <w:rPr>
          <w:rFonts w:hint="eastAsia" w:ascii="宋体" w:hAnsi="宋体" w:cs="仿宋"/>
          <w:bCs/>
          <w:color w:val="auto"/>
          <w:szCs w:val="21"/>
          <w:highlight w:val="none"/>
        </w:rPr>
        <w:t>因</w:t>
      </w:r>
      <w:r>
        <w:rPr>
          <w:rFonts w:hint="eastAsia" w:ascii="宋体" w:hAnsi="宋体" w:cs="仿宋"/>
          <w:bCs/>
          <w:color w:val="auto"/>
          <w:szCs w:val="21"/>
          <w:highlight w:val="none"/>
          <w:lang w:val="en-US" w:eastAsia="zh-CN"/>
        </w:rPr>
        <w:t>乙</w:t>
      </w:r>
      <w:r>
        <w:rPr>
          <w:rFonts w:hint="eastAsia" w:ascii="宋体" w:hAnsi="宋体" w:cs="仿宋"/>
          <w:bCs/>
          <w:color w:val="auto"/>
          <w:szCs w:val="21"/>
          <w:highlight w:val="none"/>
        </w:rPr>
        <w:t>方未向</w:t>
      </w:r>
      <w:r>
        <w:rPr>
          <w:rFonts w:hint="eastAsia" w:ascii="宋体" w:hAnsi="宋体" w:cs="仿宋"/>
          <w:bCs/>
          <w:color w:val="auto"/>
          <w:szCs w:val="21"/>
          <w:highlight w:val="none"/>
          <w:lang w:val="en-US" w:eastAsia="zh-CN"/>
        </w:rPr>
        <w:t>甲</w:t>
      </w:r>
      <w:r>
        <w:rPr>
          <w:rFonts w:hint="eastAsia" w:ascii="宋体" w:hAnsi="宋体" w:cs="仿宋"/>
          <w:bCs/>
          <w:color w:val="auto"/>
          <w:szCs w:val="21"/>
          <w:highlight w:val="none"/>
        </w:rPr>
        <w:t>方提供足额且符合税法规定的发票致使甲方迟延付款的，甲方无需向乙方支付违约金</w:t>
      </w:r>
      <w:r>
        <w:rPr>
          <w:rFonts w:hint="eastAsia" w:ascii="宋体" w:hAnsi="宋体" w:cs="仿宋"/>
          <w:bCs/>
          <w:color w:val="auto"/>
          <w:szCs w:val="21"/>
          <w:highlight w:val="none"/>
          <w:lang w:eastAsia="zh-CN"/>
        </w:rPr>
        <w:t>。</w:t>
      </w:r>
    </w:p>
    <w:p w14:paraId="5110E59A">
      <w:pPr>
        <w:snapToGrid w:val="0"/>
        <w:spacing w:line="360" w:lineRule="auto"/>
        <w:ind w:firstLine="420" w:firstLineChars="200"/>
        <w:rPr>
          <w:rFonts w:ascii="宋体" w:hAnsi="宋体" w:cs="仿宋"/>
          <w:bCs/>
          <w:color w:val="auto"/>
          <w:szCs w:val="21"/>
          <w:highlight w:val="none"/>
        </w:rPr>
      </w:pPr>
      <w:r>
        <w:rPr>
          <w:rFonts w:hint="eastAsia" w:ascii="宋体" w:hAnsi="宋体" w:cs="仿宋"/>
          <w:bCs/>
          <w:color w:val="auto"/>
          <w:szCs w:val="21"/>
          <w:highlight w:val="none"/>
          <w:lang w:val="en-US" w:eastAsia="zh-CN"/>
        </w:rPr>
        <w:t>4</w:t>
      </w:r>
      <w:r>
        <w:rPr>
          <w:rFonts w:hint="eastAsia" w:ascii="宋体" w:hAnsi="宋体" w:cs="仿宋"/>
          <w:bCs/>
          <w:color w:val="auto"/>
          <w:szCs w:val="21"/>
          <w:highlight w:val="none"/>
        </w:rPr>
        <w:t>、乙方提供的货物如侵犯了第三方合法权益而引发的任何纠纷或诉讼，均由乙方负责交涉并承担全部责任</w:t>
      </w:r>
      <w:r>
        <w:rPr>
          <w:rFonts w:hint="eastAsia" w:ascii="宋体" w:hAnsi="宋体" w:cs="仿宋"/>
          <w:bCs/>
          <w:color w:val="auto"/>
          <w:szCs w:val="21"/>
          <w:highlight w:val="none"/>
          <w:lang w:eastAsia="zh-CN"/>
        </w:rPr>
        <w:t>，</w:t>
      </w:r>
      <w:r>
        <w:rPr>
          <w:rFonts w:hint="eastAsia" w:ascii="宋体" w:hAnsi="宋体" w:cs="仿宋"/>
          <w:bCs/>
          <w:color w:val="auto"/>
          <w:szCs w:val="21"/>
          <w:highlight w:val="none"/>
          <w:lang w:val="en-US" w:eastAsia="zh-CN"/>
        </w:rPr>
        <w:t>造成甲方损失的，乙方应向甲方赔偿该损失</w:t>
      </w:r>
      <w:r>
        <w:rPr>
          <w:rFonts w:hint="eastAsia" w:ascii="宋体" w:hAnsi="宋体" w:cs="仿宋"/>
          <w:bCs/>
          <w:color w:val="auto"/>
          <w:szCs w:val="21"/>
          <w:highlight w:val="none"/>
        </w:rPr>
        <w:t>。</w:t>
      </w:r>
    </w:p>
    <w:p w14:paraId="6EB86A0D">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lang w:val="en-US" w:eastAsia="zh-CN"/>
        </w:rPr>
        <w:t>5</w:t>
      </w:r>
      <w:r>
        <w:rPr>
          <w:rFonts w:hint="eastAsia" w:ascii="宋体" w:hAnsi="宋体" w:cs="仿宋"/>
          <w:bCs/>
          <w:color w:val="auto"/>
          <w:szCs w:val="21"/>
          <w:highlight w:val="none"/>
        </w:rPr>
        <w:t>、因包装、运输引起的货物损坏，按质量不合格</w:t>
      </w:r>
      <w:r>
        <w:rPr>
          <w:rFonts w:hint="eastAsia" w:ascii="宋体" w:hAnsi="宋体" w:cs="仿宋"/>
          <w:bCs/>
          <w:color w:val="auto"/>
          <w:szCs w:val="21"/>
          <w:highlight w:val="none"/>
          <w:lang w:val="en-US" w:eastAsia="zh-CN"/>
        </w:rPr>
        <w:t>处理</w:t>
      </w:r>
      <w:r>
        <w:rPr>
          <w:rFonts w:hint="eastAsia" w:ascii="宋体" w:hAnsi="宋体" w:cs="仿宋"/>
          <w:bCs/>
          <w:color w:val="auto"/>
          <w:szCs w:val="21"/>
          <w:highlight w:val="none"/>
        </w:rPr>
        <w:t>。</w:t>
      </w:r>
    </w:p>
    <w:p w14:paraId="55A21173">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lang w:val="en-US" w:eastAsia="zh-CN"/>
        </w:rPr>
        <w:t>6</w:t>
      </w:r>
      <w:r>
        <w:rPr>
          <w:rFonts w:hint="eastAsia" w:ascii="宋体" w:hAnsi="宋体" w:cs="仿宋"/>
          <w:bCs/>
          <w:color w:val="auto"/>
          <w:szCs w:val="21"/>
          <w:highlight w:val="none"/>
        </w:rPr>
        <w:t>、乙方未按本合同和</w:t>
      </w:r>
      <w:r>
        <w:rPr>
          <w:rFonts w:hint="eastAsia" w:ascii="宋体" w:hAnsi="宋体" w:cs="仿宋"/>
          <w:bCs/>
          <w:color w:val="auto"/>
          <w:szCs w:val="21"/>
          <w:highlight w:val="none"/>
          <w:lang w:val="en-US" w:eastAsia="zh-CN"/>
        </w:rPr>
        <w:t>响应文件</w:t>
      </w:r>
      <w:r>
        <w:rPr>
          <w:rFonts w:hint="eastAsia" w:ascii="宋体" w:hAnsi="宋体" w:cs="仿宋"/>
          <w:bCs/>
          <w:color w:val="auto"/>
          <w:szCs w:val="21"/>
          <w:highlight w:val="none"/>
        </w:rPr>
        <w:t>中约定的服务承诺提供售后服务或未履行保修期责任等</w:t>
      </w:r>
      <w:r>
        <w:rPr>
          <w:rFonts w:hint="eastAsia" w:ascii="宋体" w:hAnsi="宋体" w:cs="仿宋"/>
          <w:bCs/>
          <w:color w:val="auto"/>
          <w:szCs w:val="21"/>
          <w:highlight w:val="none"/>
          <w:lang w:val="en-US" w:eastAsia="zh-CN"/>
        </w:rPr>
        <w:t>义务</w:t>
      </w:r>
      <w:r>
        <w:rPr>
          <w:rFonts w:hint="eastAsia" w:ascii="宋体" w:hAnsi="宋体" w:cs="仿宋"/>
          <w:bCs/>
          <w:color w:val="auto"/>
          <w:szCs w:val="21"/>
          <w:highlight w:val="none"/>
        </w:rPr>
        <w:t>的，甲方有权选聘有相应资质的第三方提供</w:t>
      </w:r>
      <w:r>
        <w:rPr>
          <w:rFonts w:hint="eastAsia" w:ascii="宋体" w:hAnsi="宋体" w:cs="仿宋"/>
          <w:bCs/>
          <w:color w:val="auto"/>
          <w:szCs w:val="21"/>
          <w:highlight w:val="none"/>
          <w:lang w:val="en-US" w:eastAsia="zh-CN"/>
        </w:rPr>
        <w:t>服务或履行保修期责任</w:t>
      </w:r>
      <w:r>
        <w:rPr>
          <w:rFonts w:hint="eastAsia" w:ascii="宋体" w:hAnsi="宋体" w:cs="仿宋"/>
          <w:bCs/>
          <w:color w:val="auto"/>
          <w:szCs w:val="21"/>
          <w:highlight w:val="none"/>
        </w:rPr>
        <w:t>，全部费用由乙方承担，且视乙方违约情节，要求乙方按本合同</w:t>
      </w:r>
      <w:r>
        <w:rPr>
          <w:rFonts w:hint="eastAsia" w:ascii="宋体" w:hAnsi="宋体" w:cs="仿宋"/>
          <w:bCs/>
          <w:color w:val="auto"/>
          <w:szCs w:val="21"/>
          <w:highlight w:val="none"/>
          <w:lang w:val="en-US" w:eastAsia="zh-CN"/>
        </w:rPr>
        <w:t>总价款的</w:t>
      </w:r>
      <w:r>
        <w:rPr>
          <w:rFonts w:hint="eastAsia" w:ascii="宋体" w:hAnsi="宋体" w:cs="仿宋"/>
          <w:bCs/>
          <w:color w:val="auto"/>
          <w:szCs w:val="21"/>
          <w:highlight w:val="none"/>
          <w:u w:val="single"/>
        </w:rPr>
        <w:t xml:space="preserve"> </w:t>
      </w:r>
      <w:r>
        <w:rPr>
          <w:rFonts w:hint="eastAsia" w:ascii="宋体" w:hAnsi="宋体" w:cs="仿宋"/>
          <w:bCs/>
          <w:color w:val="auto"/>
          <w:szCs w:val="21"/>
          <w:highlight w:val="none"/>
          <w:u w:val="single"/>
          <w:lang w:val="en-US" w:eastAsia="zh-CN"/>
        </w:rPr>
        <w:t>20</w:t>
      </w:r>
      <w:r>
        <w:rPr>
          <w:rFonts w:hint="eastAsia" w:ascii="宋体" w:hAnsi="宋体" w:cs="仿宋"/>
          <w:bCs/>
          <w:color w:val="auto"/>
          <w:szCs w:val="21"/>
          <w:highlight w:val="none"/>
          <w:u w:val="single"/>
        </w:rPr>
        <w:t xml:space="preserve">% </w:t>
      </w:r>
      <w:r>
        <w:rPr>
          <w:rFonts w:hint="eastAsia" w:ascii="宋体" w:hAnsi="宋体" w:cs="仿宋"/>
          <w:bCs/>
          <w:color w:val="auto"/>
          <w:szCs w:val="21"/>
          <w:highlight w:val="none"/>
        </w:rPr>
        <w:t>向甲方支付违约金</w:t>
      </w:r>
      <w:r>
        <w:rPr>
          <w:rFonts w:hint="eastAsia" w:ascii="宋体" w:hAnsi="宋体" w:cs="仿宋"/>
          <w:bCs/>
          <w:color w:val="auto"/>
          <w:szCs w:val="21"/>
          <w:highlight w:val="none"/>
          <w:lang w:eastAsia="zh-CN"/>
        </w:rPr>
        <w:t>，</w:t>
      </w:r>
      <w:r>
        <w:rPr>
          <w:rFonts w:hint="eastAsia" w:ascii="宋体" w:hAnsi="宋体" w:cs="仿宋"/>
          <w:bCs/>
          <w:color w:val="auto"/>
          <w:szCs w:val="21"/>
          <w:highlight w:val="none"/>
          <w:lang w:val="en-US" w:eastAsia="zh-CN"/>
        </w:rPr>
        <w:t>违约金不足以弥补甲方全部损失的，超出部分乙方还应予以赔偿</w:t>
      </w:r>
      <w:r>
        <w:rPr>
          <w:rFonts w:hint="eastAsia" w:ascii="宋体" w:hAnsi="宋体" w:cs="仿宋"/>
          <w:bCs/>
          <w:color w:val="auto"/>
          <w:szCs w:val="21"/>
          <w:highlight w:val="none"/>
        </w:rPr>
        <w:t>。</w:t>
      </w:r>
    </w:p>
    <w:p w14:paraId="0385809E">
      <w:pPr>
        <w:snapToGrid w:val="0"/>
        <w:spacing w:line="360" w:lineRule="auto"/>
        <w:ind w:firstLine="424" w:firstLineChars="202"/>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7</w:t>
      </w: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因乙方提供的货物存在质量问题、权利瑕疵等情形导致甲方、甲方工作人员或任何第三方人员伤亡和财产损失（包含但不限于货物本身毁损、因货物知识产权侵权赔偿责任等）的，全部法律责任及全部损失由乙方承担。</w:t>
      </w:r>
    </w:p>
    <w:p w14:paraId="6005C207">
      <w:pPr>
        <w:snapToGrid w:val="0"/>
        <w:spacing w:line="360" w:lineRule="auto"/>
        <w:ind w:left="0" w:leftChars="0" w:firstLine="424" w:firstLineChars="202"/>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8、</w:t>
      </w:r>
      <w:r>
        <w:rPr>
          <w:rFonts w:hint="eastAsia" w:ascii="宋体" w:hAnsi="宋体" w:cs="仿宋"/>
          <w:bCs/>
          <w:color w:val="auto"/>
          <w:szCs w:val="21"/>
          <w:highlight w:val="none"/>
        </w:rPr>
        <w:t>其它违约行为，违约方按合同总金额</w:t>
      </w:r>
      <w:r>
        <w:rPr>
          <w:rFonts w:hint="eastAsia" w:ascii="宋体" w:hAnsi="宋体" w:cs="仿宋"/>
          <w:bCs/>
          <w:color w:val="auto"/>
          <w:szCs w:val="21"/>
          <w:highlight w:val="none"/>
          <w:lang w:val="en-US" w:eastAsia="zh-CN"/>
        </w:rPr>
        <w:t>20</w:t>
      </w:r>
      <w:r>
        <w:rPr>
          <w:rFonts w:hint="eastAsia" w:ascii="宋体" w:hAnsi="宋体" w:cs="仿宋"/>
          <w:bCs/>
          <w:color w:val="auto"/>
          <w:szCs w:val="21"/>
          <w:highlight w:val="none"/>
        </w:rPr>
        <w:t>%向守约方支付违约金并赔偿守约方</w:t>
      </w:r>
      <w:r>
        <w:rPr>
          <w:rFonts w:hint="eastAsia" w:ascii="宋体" w:hAnsi="宋体" w:cs="仿宋"/>
          <w:bCs/>
          <w:color w:val="auto"/>
          <w:szCs w:val="21"/>
          <w:highlight w:val="none"/>
          <w:lang w:val="en-US" w:eastAsia="zh-CN"/>
        </w:rPr>
        <w:t>因此造成的</w:t>
      </w:r>
      <w:r>
        <w:rPr>
          <w:rFonts w:hint="eastAsia" w:ascii="宋体" w:hAnsi="宋体" w:cs="仿宋"/>
          <w:bCs/>
          <w:color w:val="auto"/>
          <w:szCs w:val="21"/>
          <w:highlight w:val="none"/>
        </w:rPr>
        <w:t>经济</w:t>
      </w:r>
      <w:r>
        <w:rPr>
          <w:rFonts w:hint="eastAsia" w:ascii="宋体" w:hAnsi="宋体" w:cs="仿宋"/>
          <w:bCs/>
          <w:color w:val="auto"/>
          <w:szCs w:val="21"/>
          <w:highlight w:val="none"/>
          <w:lang w:val="en-US" w:eastAsia="zh-CN"/>
        </w:rPr>
        <w:t>损</w:t>
      </w:r>
      <w:r>
        <w:rPr>
          <w:rFonts w:hint="eastAsia" w:ascii="宋体" w:hAnsi="宋体" w:cs="仿宋"/>
          <w:bCs/>
          <w:color w:val="auto"/>
          <w:szCs w:val="21"/>
          <w:highlight w:val="none"/>
        </w:rPr>
        <w:t>失。</w:t>
      </w:r>
    </w:p>
    <w:p w14:paraId="5B3CCB32">
      <w:pPr>
        <w:snapToGrid w:val="0"/>
        <w:spacing w:line="360" w:lineRule="auto"/>
        <w:ind w:left="0" w:leftChars="0" w:firstLine="424" w:firstLineChars="202"/>
        <w:rPr>
          <w:rFonts w:hint="eastAsia" w:ascii="宋体" w:hAnsi="宋体" w:eastAsia="宋体" w:cs="仿宋"/>
          <w:bCs/>
          <w:color w:val="auto"/>
          <w:szCs w:val="21"/>
          <w:highlight w:val="none"/>
          <w:lang w:val="en-US" w:eastAsia="zh-CN"/>
        </w:rPr>
      </w:pPr>
      <w:r>
        <w:rPr>
          <w:rFonts w:hint="eastAsia" w:ascii="宋体" w:hAnsi="宋体" w:cs="仿宋"/>
          <w:bCs/>
          <w:color w:val="auto"/>
          <w:szCs w:val="21"/>
          <w:highlight w:val="none"/>
          <w:lang w:val="en-US" w:eastAsia="zh-CN"/>
        </w:rPr>
        <w:t>9、乙方有上述违约行为之一，应承担违约责任，相应违约金甲方可在应付乙方的任何款项中扣除此项违约赔偿金或以其他方式收回此款。</w:t>
      </w:r>
    </w:p>
    <w:p w14:paraId="130947D8">
      <w:pPr>
        <w:snapToGrid w:val="0"/>
        <w:spacing w:line="360" w:lineRule="auto"/>
        <w:ind w:left="420" w:hanging="420" w:hangingChars="199"/>
        <w:rPr>
          <w:rFonts w:hint="default" w:ascii="宋体" w:hAnsi="宋体" w:eastAsia="宋体" w:cs="宋体"/>
          <w:b/>
          <w:bCs/>
          <w:color w:val="auto"/>
          <w:szCs w:val="21"/>
          <w:highlight w:val="none"/>
          <w:lang w:val="en-US" w:eastAsia="zh-CN"/>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条</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履约保证金</w:t>
      </w:r>
      <w:r>
        <w:rPr>
          <w:rFonts w:hint="eastAsia" w:ascii="宋体" w:hAnsi="宋体" w:cs="宋体"/>
          <w:b/>
          <w:color w:val="auto"/>
          <w:szCs w:val="21"/>
          <w:highlight w:val="none"/>
          <w:lang w:val="en-US" w:eastAsia="zh-CN"/>
        </w:rPr>
        <w:t xml:space="preserve"> </w:t>
      </w:r>
    </w:p>
    <w:p w14:paraId="2441AF91">
      <w:pPr>
        <w:snapToGrid w:val="0"/>
        <w:spacing w:line="360" w:lineRule="auto"/>
        <w:ind w:firstLine="424" w:firstLineChars="202"/>
        <w:rPr>
          <w:rFonts w:hint="eastAsia" w:ascii="宋体" w:hAnsi="宋体" w:cs="仿宋"/>
          <w:bCs/>
          <w:color w:val="auto"/>
          <w:szCs w:val="21"/>
          <w:highlight w:val="none"/>
        </w:rPr>
      </w:pPr>
      <w:r>
        <w:rPr>
          <w:rFonts w:hint="eastAsia" w:ascii="宋体" w:hAnsi="宋体" w:cs="仿宋"/>
          <w:bCs/>
          <w:color w:val="auto"/>
          <w:szCs w:val="21"/>
          <w:highlight w:val="none"/>
        </w:rPr>
        <w:t>履约保证金金额：无。</w:t>
      </w:r>
    </w:p>
    <w:p w14:paraId="246B3966">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第十</w:t>
      </w:r>
      <w:r>
        <w:rPr>
          <w:rFonts w:hint="eastAsia" w:ascii="宋体" w:hAnsi="宋体" w:cs="仿宋"/>
          <w:b/>
          <w:color w:val="auto"/>
          <w:szCs w:val="21"/>
          <w:highlight w:val="none"/>
          <w:lang w:val="en-US" w:eastAsia="zh-CN"/>
        </w:rPr>
        <w:t>二</w:t>
      </w:r>
      <w:r>
        <w:rPr>
          <w:rFonts w:hint="eastAsia" w:ascii="宋体" w:hAnsi="宋体" w:cs="仿宋"/>
          <w:b/>
          <w:color w:val="auto"/>
          <w:szCs w:val="21"/>
          <w:highlight w:val="none"/>
        </w:rPr>
        <w:t>条  货物包装、发运及运输</w:t>
      </w:r>
    </w:p>
    <w:p w14:paraId="3AD982FF">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1、乙方应在货物发运前对其进行满足运输距离、防潮、防震、防锈和防破损装卸等要求包装，以保证货物安全运达甲方指定地点。</w:t>
      </w:r>
    </w:p>
    <w:p w14:paraId="49BD1989">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2、使用说明书、质量检验证明书、随配附件和工具以及清单一并附于货物内。</w:t>
      </w:r>
    </w:p>
    <w:p w14:paraId="44940EE4">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3、乙方在货物发运手续办理完毕后二十四小时内或货到甲方四十八小时前通知甲方，以准备接货。</w:t>
      </w:r>
    </w:p>
    <w:p w14:paraId="294A7FDD">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4、货物在交付</w:t>
      </w:r>
      <w:r>
        <w:rPr>
          <w:rFonts w:hint="eastAsia" w:ascii="宋体" w:hAnsi="宋体" w:cs="仿宋"/>
          <w:bCs/>
          <w:color w:val="auto"/>
          <w:szCs w:val="21"/>
          <w:highlight w:val="none"/>
          <w:lang w:val="en-US" w:eastAsia="zh-CN"/>
        </w:rPr>
        <w:t>验收合格前</w:t>
      </w:r>
      <w:r>
        <w:rPr>
          <w:rFonts w:hint="eastAsia" w:ascii="宋体" w:hAnsi="宋体" w:cs="仿宋"/>
          <w:bCs/>
          <w:color w:val="auto"/>
          <w:szCs w:val="21"/>
          <w:highlight w:val="none"/>
        </w:rPr>
        <w:t>发生的风险均由乙方负责。</w:t>
      </w:r>
    </w:p>
    <w:p w14:paraId="118DD26C">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5、货物在规定的交付期限内由乙方送达甲方指定的地点并安装调试、验收合格和培训才视为交付。</w:t>
      </w:r>
    </w:p>
    <w:p w14:paraId="62998788">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第十</w:t>
      </w:r>
      <w:r>
        <w:rPr>
          <w:rFonts w:hint="eastAsia" w:ascii="宋体" w:hAnsi="宋体" w:cs="仿宋"/>
          <w:b/>
          <w:color w:val="auto"/>
          <w:szCs w:val="21"/>
          <w:highlight w:val="none"/>
          <w:lang w:val="en-US" w:eastAsia="zh-CN"/>
        </w:rPr>
        <w:t>三</w:t>
      </w:r>
      <w:r>
        <w:rPr>
          <w:rFonts w:hint="eastAsia" w:ascii="宋体" w:hAnsi="宋体" w:cs="仿宋"/>
          <w:b/>
          <w:color w:val="auto"/>
          <w:szCs w:val="21"/>
          <w:highlight w:val="none"/>
        </w:rPr>
        <w:t>条  不可抗力事件处理</w:t>
      </w:r>
    </w:p>
    <w:p w14:paraId="66925D09">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1、在合同有效期内，任何一方因不可抗力事件导致不能履行合同，则合同履行期可延长，其延长期与不可抗力影响期相同。</w:t>
      </w:r>
    </w:p>
    <w:p w14:paraId="72AED0EC">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2、不可抗力事件发生后，应立即通知对方，并寄送有关权威机构出具的证明。</w:t>
      </w:r>
    </w:p>
    <w:p w14:paraId="518BE318">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3、不可抗力事件延续一百二十天以上，双方应通过友好协商，确定是否继续履行合同。</w:t>
      </w:r>
    </w:p>
    <w:p w14:paraId="2350C6DF">
      <w:pPr>
        <w:snapToGrid w:val="0"/>
        <w:spacing w:line="360" w:lineRule="auto"/>
        <w:ind w:left="422" w:hanging="422" w:hangingChars="200"/>
        <w:rPr>
          <w:rFonts w:ascii="宋体" w:hAnsi="宋体" w:cs="仿宋"/>
          <w:bCs/>
          <w:color w:val="auto"/>
          <w:szCs w:val="21"/>
          <w:highlight w:val="none"/>
        </w:rPr>
      </w:pPr>
      <w:r>
        <w:rPr>
          <w:rFonts w:hint="eastAsia" w:ascii="宋体" w:hAnsi="宋体" w:cs="仿宋"/>
          <w:b/>
          <w:color w:val="auto"/>
          <w:szCs w:val="21"/>
          <w:highlight w:val="none"/>
        </w:rPr>
        <w:t>第十</w:t>
      </w:r>
      <w:r>
        <w:rPr>
          <w:rFonts w:hint="eastAsia" w:ascii="宋体" w:hAnsi="宋体" w:cs="仿宋"/>
          <w:b/>
          <w:color w:val="auto"/>
          <w:szCs w:val="21"/>
          <w:highlight w:val="none"/>
          <w:lang w:val="en-US" w:eastAsia="zh-CN"/>
        </w:rPr>
        <w:t>四</w:t>
      </w:r>
      <w:r>
        <w:rPr>
          <w:rFonts w:hint="eastAsia" w:ascii="宋体" w:hAnsi="宋体" w:cs="仿宋"/>
          <w:b/>
          <w:color w:val="auto"/>
          <w:szCs w:val="21"/>
          <w:highlight w:val="none"/>
        </w:rPr>
        <w:t>条  合同争议解决</w:t>
      </w:r>
    </w:p>
    <w:p w14:paraId="783D7FBB">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1、因货物质量问题发生争议的，应邀请国家认可的质量检测机构对货物质量进行鉴定。货物符合标准的，鉴定费由甲方承担；货物不符合标准的，鉴定费由乙方承担。</w:t>
      </w:r>
    </w:p>
    <w:p w14:paraId="0D3C807D">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2、因履行本合同引起的或与本合同有关的争议，甲乙双方应首先通过友好协商解决，如果协商不能解决，可向甲方所在地人民法院提起诉讼。</w:t>
      </w:r>
    </w:p>
    <w:p w14:paraId="376F826A">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3、诉讼期间，本合同继续履行。</w:t>
      </w:r>
    </w:p>
    <w:p w14:paraId="42CB366D">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第十</w:t>
      </w:r>
      <w:r>
        <w:rPr>
          <w:rFonts w:hint="eastAsia" w:ascii="宋体" w:hAnsi="宋体" w:cs="仿宋"/>
          <w:b/>
          <w:color w:val="auto"/>
          <w:szCs w:val="21"/>
          <w:highlight w:val="none"/>
          <w:lang w:val="en-US" w:eastAsia="zh-CN"/>
        </w:rPr>
        <w:t>五</w:t>
      </w:r>
      <w:r>
        <w:rPr>
          <w:rFonts w:hint="eastAsia" w:ascii="宋体" w:hAnsi="宋体" w:cs="仿宋"/>
          <w:b/>
          <w:color w:val="auto"/>
          <w:szCs w:val="21"/>
          <w:highlight w:val="none"/>
        </w:rPr>
        <w:t>条  合同生效及其它</w:t>
      </w:r>
    </w:p>
    <w:p w14:paraId="00E05CEC">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1、合同经双方法定代表人或授权代表签字并加盖单位公章后生效。</w:t>
      </w:r>
    </w:p>
    <w:p w14:paraId="754B4D9F">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2、合同执行中涉及采购资金和采购内容修改或补充的，</w:t>
      </w:r>
      <w:r>
        <w:rPr>
          <w:rFonts w:hint="eastAsia" w:ascii="宋体" w:hAnsi="宋体" w:cs="仿宋"/>
          <w:bCs/>
          <w:color w:val="auto"/>
          <w:szCs w:val="21"/>
          <w:highlight w:val="none"/>
          <w:lang w:val="en-US" w:eastAsia="zh-CN"/>
        </w:rPr>
        <w:t>经双方协商后，</w:t>
      </w:r>
      <w:r>
        <w:rPr>
          <w:rFonts w:hint="eastAsia" w:ascii="宋体" w:hAnsi="宋体" w:cs="仿宋"/>
          <w:bCs/>
          <w:color w:val="auto"/>
          <w:szCs w:val="21"/>
          <w:highlight w:val="none"/>
        </w:rPr>
        <w:t>签书面补充协议报财政部门备案，方可作为主合同不可分割的一部分。</w:t>
      </w:r>
    </w:p>
    <w:p w14:paraId="66E737A5">
      <w:pPr>
        <w:snapToGrid w:val="0"/>
        <w:spacing w:line="360" w:lineRule="auto"/>
        <w:ind w:firstLine="424" w:firstLineChars="202"/>
        <w:rPr>
          <w:rFonts w:hint="eastAsia" w:ascii="宋体" w:hAnsi="宋体" w:cs="仿宋"/>
          <w:bCs/>
          <w:color w:val="auto"/>
          <w:szCs w:val="21"/>
          <w:highlight w:val="none"/>
        </w:rPr>
      </w:pPr>
      <w:r>
        <w:rPr>
          <w:rFonts w:hint="eastAsia" w:ascii="宋体" w:hAnsi="宋体" w:cs="仿宋"/>
          <w:bCs/>
          <w:color w:val="auto"/>
          <w:szCs w:val="21"/>
          <w:highlight w:val="none"/>
        </w:rPr>
        <w:t>3.本合同未尽事宜，遵照《中华人民共和国民法典》有关条文执行。</w:t>
      </w:r>
    </w:p>
    <w:p w14:paraId="50B429F2">
      <w:pPr>
        <w:snapToGrid w:val="0"/>
        <w:spacing w:line="360" w:lineRule="auto"/>
        <w:ind w:firstLine="424" w:firstLineChars="202"/>
        <w:rPr>
          <w:rFonts w:hint="default" w:ascii="宋体" w:hAnsi="宋体" w:eastAsia="宋体" w:cs="仿宋"/>
          <w:bCs/>
          <w:color w:val="auto"/>
          <w:szCs w:val="21"/>
          <w:highlight w:val="none"/>
          <w:lang w:val="en-US" w:eastAsia="zh-CN"/>
        </w:rPr>
      </w:pPr>
      <w:r>
        <w:rPr>
          <w:rFonts w:hint="eastAsia" w:ascii="宋体" w:hAnsi="宋体" w:cs="仿宋"/>
          <w:bCs/>
          <w:color w:val="auto"/>
          <w:szCs w:val="21"/>
          <w:highlight w:val="none"/>
          <w:lang w:val="en-US" w:eastAsia="zh-CN"/>
        </w:rPr>
        <w:t>4.本合同落款处甲乙双方所留联系方式均为真实、合法、有效信息，作为双方通知、法院诉讼文书等送达地址；任何一方联系方式变更的，应在变更后及时书面通知对方，否则因此导致的一切不利后果均由未尽到通知义务的一方承担；双方通知、法院诉讼文书等根据所留信息送达，一经发出，满3日均视为送达成功。</w:t>
      </w:r>
    </w:p>
    <w:p w14:paraId="5DE30FF0">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第十</w:t>
      </w:r>
      <w:r>
        <w:rPr>
          <w:rFonts w:hint="eastAsia" w:ascii="宋体" w:hAnsi="宋体" w:cs="仿宋"/>
          <w:b/>
          <w:color w:val="auto"/>
          <w:szCs w:val="21"/>
          <w:highlight w:val="none"/>
          <w:lang w:val="en-US" w:eastAsia="zh-CN"/>
        </w:rPr>
        <w:t>六</w:t>
      </w:r>
      <w:r>
        <w:rPr>
          <w:rFonts w:hint="eastAsia" w:ascii="宋体" w:hAnsi="宋体" w:cs="仿宋"/>
          <w:b/>
          <w:color w:val="auto"/>
          <w:szCs w:val="21"/>
          <w:highlight w:val="none"/>
        </w:rPr>
        <w:t>条  合同的变更、终止与转让</w:t>
      </w:r>
    </w:p>
    <w:p w14:paraId="6BC6F10A">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1、除《中华人民共和国政府采购法》第五十条规定的情形外，本合同一经签订，甲乙双方不得擅自变更、中止或终止。</w:t>
      </w:r>
    </w:p>
    <w:p w14:paraId="31B794D5">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2、乙方不得擅自转让其应履行的合同义务。</w:t>
      </w:r>
    </w:p>
    <w:p w14:paraId="149A84A2">
      <w:pPr>
        <w:snapToGrid w:val="0"/>
        <w:spacing w:line="360" w:lineRule="auto"/>
        <w:ind w:left="422" w:hanging="422" w:hangingChars="200"/>
        <w:rPr>
          <w:rFonts w:ascii="宋体" w:hAnsi="宋体" w:cs="仿宋"/>
          <w:b/>
          <w:color w:val="auto"/>
          <w:szCs w:val="21"/>
          <w:highlight w:val="none"/>
        </w:rPr>
      </w:pPr>
      <w:r>
        <w:rPr>
          <w:rFonts w:hint="eastAsia" w:ascii="宋体" w:hAnsi="宋体" w:cs="仿宋"/>
          <w:b/>
          <w:color w:val="auto"/>
          <w:szCs w:val="21"/>
          <w:highlight w:val="none"/>
        </w:rPr>
        <w:t>第十</w:t>
      </w:r>
      <w:r>
        <w:rPr>
          <w:rFonts w:hint="eastAsia" w:ascii="宋体" w:hAnsi="宋体" w:cs="仿宋"/>
          <w:b/>
          <w:color w:val="auto"/>
          <w:szCs w:val="21"/>
          <w:highlight w:val="none"/>
          <w:lang w:val="en-US" w:eastAsia="zh-CN"/>
        </w:rPr>
        <w:t>七</w:t>
      </w:r>
      <w:r>
        <w:rPr>
          <w:rFonts w:hint="eastAsia" w:ascii="宋体" w:hAnsi="宋体" w:cs="仿宋"/>
          <w:b/>
          <w:color w:val="auto"/>
          <w:szCs w:val="21"/>
          <w:highlight w:val="none"/>
        </w:rPr>
        <w:t>条  签订本合同依据</w:t>
      </w:r>
    </w:p>
    <w:p w14:paraId="31F1EB14">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1、</w:t>
      </w:r>
      <w:r>
        <w:rPr>
          <w:rFonts w:hint="eastAsia" w:ascii="宋体" w:hAnsi="宋体" w:cs="仿宋"/>
          <w:bCs/>
          <w:color w:val="auto"/>
          <w:szCs w:val="21"/>
          <w:highlight w:val="none"/>
          <w:lang w:eastAsia="zh-CN"/>
        </w:rPr>
        <w:t>竞争性谈判文件</w:t>
      </w:r>
      <w:r>
        <w:rPr>
          <w:rFonts w:hint="eastAsia" w:ascii="宋体" w:hAnsi="宋体" w:cs="仿宋"/>
          <w:bCs/>
          <w:color w:val="auto"/>
          <w:szCs w:val="21"/>
          <w:highlight w:val="none"/>
        </w:rPr>
        <w:t>；</w:t>
      </w:r>
    </w:p>
    <w:p w14:paraId="205859AA">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2、乙方提供的投标（响应或澄清）文件；</w:t>
      </w:r>
    </w:p>
    <w:p w14:paraId="58D793C0">
      <w:pPr>
        <w:snapToGrid w:val="0"/>
        <w:spacing w:line="360" w:lineRule="auto"/>
        <w:ind w:firstLine="424" w:firstLineChars="202"/>
        <w:rPr>
          <w:rFonts w:ascii="宋体" w:hAnsi="宋体" w:cs="仿宋"/>
          <w:bCs/>
          <w:color w:val="auto"/>
          <w:szCs w:val="21"/>
          <w:highlight w:val="none"/>
        </w:rPr>
      </w:pPr>
      <w:r>
        <w:rPr>
          <w:rFonts w:hint="eastAsia" w:ascii="宋体" w:hAnsi="宋体" w:cs="仿宋"/>
          <w:bCs/>
          <w:color w:val="auto"/>
          <w:szCs w:val="21"/>
          <w:highlight w:val="none"/>
        </w:rPr>
        <w:t>3、承诺书；</w:t>
      </w:r>
    </w:p>
    <w:p w14:paraId="3CDFE1B9">
      <w:pPr>
        <w:snapToGrid w:val="0"/>
        <w:spacing w:line="360" w:lineRule="auto"/>
        <w:ind w:firstLine="424" w:firstLineChars="202"/>
        <w:rPr>
          <w:rFonts w:ascii="宋体" w:hAnsi="宋体" w:cs="仿宋"/>
          <w:bCs/>
          <w:color w:val="auto"/>
          <w:szCs w:val="21"/>
          <w:highlight w:val="none"/>
          <w:u w:val="single"/>
        </w:rPr>
      </w:pPr>
      <w:r>
        <w:rPr>
          <w:rFonts w:hint="eastAsia" w:ascii="宋体" w:hAnsi="宋体" w:cs="仿宋"/>
          <w:bCs/>
          <w:color w:val="auto"/>
          <w:szCs w:val="21"/>
          <w:highlight w:val="none"/>
        </w:rPr>
        <w:t>4、中标或成交通知书。</w:t>
      </w:r>
    </w:p>
    <w:p w14:paraId="64DD642B">
      <w:pPr>
        <w:snapToGrid w:val="0"/>
        <w:spacing w:line="360" w:lineRule="auto"/>
        <w:ind w:left="2"/>
        <w:rPr>
          <w:rFonts w:ascii="宋体" w:hAnsi="宋体" w:cs="仿宋"/>
          <w:bCs/>
          <w:color w:val="auto"/>
          <w:szCs w:val="21"/>
          <w:highlight w:val="none"/>
        </w:rPr>
      </w:pPr>
      <w:r>
        <w:rPr>
          <w:rFonts w:hint="eastAsia" w:ascii="宋体" w:hAnsi="宋体" w:cs="仿宋"/>
          <w:b/>
          <w:color w:val="auto"/>
          <w:szCs w:val="21"/>
          <w:highlight w:val="none"/>
        </w:rPr>
        <w:t>第十</w:t>
      </w:r>
      <w:r>
        <w:rPr>
          <w:rFonts w:hint="eastAsia" w:ascii="宋体" w:hAnsi="宋体" w:cs="仿宋"/>
          <w:b/>
          <w:color w:val="auto"/>
          <w:szCs w:val="21"/>
          <w:highlight w:val="none"/>
          <w:lang w:val="en-US" w:eastAsia="zh-CN"/>
        </w:rPr>
        <w:t>八</w:t>
      </w:r>
      <w:r>
        <w:rPr>
          <w:rFonts w:hint="eastAsia" w:ascii="宋体" w:hAnsi="宋体" w:cs="仿宋"/>
          <w:b/>
          <w:color w:val="auto"/>
          <w:szCs w:val="21"/>
          <w:highlight w:val="none"/>
        </w:rPr>
        <w:t xml:space="preserve">条  </w:t>
      </w:r>
      <w:r>
        <w:rPr>
          <w:rFonts w:hint="eastAsia" w:ascii="宋体" w:hAnsi="宋体" w:cs="仿宋"/>
          <w:b/>
          <w:bCs w:val="0"/>
          <w:color w:val="auto"/>
          <w:szCs w:val="21"/>
          <w:highlight w:val="none"/>
        </w:rPr>
        <w:t>合同份数与附件</w:t>
      </w:r>
    </w:p>
    <w:p w14:paraId="1E5681F9">
      <w:pPr>
        <w:snapToGrid w:val="0"/>
        <w:spacing w:line="360" w:lineRule="auto"/>
        <w:ind w:left="2" w:firstLine="422" w:firstLineChars="201"/>
        <w:rPr>
          <w:rFonts w:ascii="宋体" w:hAnsi="宋体" w:cs="仿宋"/>
          <w:bCs/>
          <w:color w:val="auto"/>
          <w:szCs w:val="21"/>
          <w:highlight w:val="none"/>
        </w:rPr>
      </w:pPr>
      <w:r>
        <w:rPr>
          <w:rFonts w:hint="eastAsia" w:ascii="宋体" w:hAnsi="宋体" w:cs="仿宋"/>
          <w:bCs/>
          <w:color w:val="auto"/>
          <w:szCs w:val="21"/>
          <w:highlight w:val="none"/>
        </w:rPr>
        <w:t>1、</w:t>
      </w:r>
      <w:r>
        <w:rPr>
          <w:rFonts w:hint="eastAsia" w:ascii="宋体" w:hAnsi="宋体" w:cs="仿宋"/>
          <w:bCs/>
          <w:color w:val="auto"/>
          <w:szCs w:val="21"/>
          <w:highlight w:val="none"/>
        </w:rPr>
        <w:t>本合同</w:t>
      </w:r>
      <w:r>
        <w:rPr>
          <w:rFonts w:hint="eastAsia" w:ascii="宋体" w:hAnsi="宋体" w:cs="仿宋"/>
          <w:bCs/>
          <w:color w:val="auto"/>
          <w:szCs w:val="21"/>
          <w:highlight w:val="none"/>
          <w:lang w:val="en-US" w:eastAsia="zh-CN"/>
        </w:rPr>
        <w:t>由甲乙双方在广西政府采购云平台线上审核并签章，签订完成后可在广西政府采购云平台下载存档电子采购合同</w:t>
      </w:r>
      <w:r>
        <w:rPr>
          <w:rFonts w:hint="eastAsia" w:ascii="宋体" w:hAnsi="宋体" w:cs="仿宋"/>
          <w:bCs/>
          <w:color w:val="auto"/>
          <w:szCs w:val="21"/>
          <w:highlight w:val="none"/>
        </w:rPr>
        <w:t>。</w:t>
      </w:r>
    </w:p>
    <w:p w14:paraId="15ED0106">
      <w:pPr>
        <w:snapToGrid w:val="0"/>
        <w:spacing w:line="360" w:lineRule="auto"/>
        <w:ind w:left="2" w:firstLine="422" w:firstLineChars="201"/>
        <w:rPr>
          <w:rFonts w:ascii="宋体" w:hAnsi="宋体" w:cs="仿宋"/>
          <w:bCs/>
          <w:color w:val="auto"/>
          <w:szCs w:val="21"/>
          <w:highlight w:val="none"/>
        </w:rPr>
      </w:pPr>
      <w:r>
        <w:rPr>
          <w:rFonts w:hint="eastAsia" w:ascii="宋体" w:hAnsi="宋体" w:cs="仿宋"/>
          <w:bCs/>
          <w:color w:val="auto"/>
          <w:szCs w:val="21"/>
          <w:highlight w:val="none"/>
        </w:rPr>
        <w:t>2、本合同附件：（1）产品配置清单；（2）售后服务承诺书。</w:t>
      </w:r>
    </w:p>
    <w:p w14:paraId="22CCF159">
      <w:pPr>
        <w:snapToGrid w:val="0"/>
        <w:spacing w:line="360" w:lineRule="auto"/>
        <w:rPr>
          <w:rFonts w:hint="eastAsia" w:ascii="宋体" w:hAnsi="宋体" w:cs="宋体"/>
          <w:color w:val="auto"/>
          <w:sz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A51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7EC3687E">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甲方（章）           </w:t>
            </w:r>
          </w:p>
          <w:p w14:paraId="62A5F8B1">
            <w:pPr>
              <w:snapToGrid w:val="0"/>
              <w:spacing w:line="360" w:lineRule="auto"/>
              <w:rPr>
                <w:rFonts w:hint="eastAsia" w:ascii="宋体" w:hAnsi="宋体"/>
                <w:color w:val="auto"/>
                <w:sz w:val="24"/>
                <w:highlight w:val="none"/>
              </w:rPr>
            </w:pPr>
          </w:p>
          <w:p w14:paraId="0C07FA96">
            <w:pPr>
              <w:snapToGrid w:val="0"/>
              <w:spacing w:line="360" w:lineRule="auto"/>
              <w:ind w:firstLine="1080" w:firstLineChars="450"/>
              <w:jc w:val="right"/>
              <w:rPr>
                <w:rFonts w:hint="eastAsia" w:ascii="宋体" w:hAnsi="宋体"/>
                <w:color w:val="auto"/>
                <w:sz w:val="24"/>
                <w:highlight w:val="none"/>
              </w:rPr>
            </w:pPr>
            <w:r>
              <w:rPr>
                <w:rFonts w:hint="eastAsia" w:ascii="宋体" w:hAnsi="宋体"/>
                <w:color w:val="auto"/>
                <w:sz w:val="24"/>
                <w:highlight w:val="none"/>
              </w:rPr>
              <w:t>年   月   日</w:t>
            </w:r>
          </w:p>
        </w:tc>
        <w:tc>
          <w:tcPr>
            <w:tcW w:w="4517" w:type="dxa"/>
            <w:noWrap w:val="0"/>
            <w:vAlign w:val="center"/>
          </w:tcPr>
          <w:p w14:paraId="3AE49613">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乙方（章）              </w:t>
            </w:r>
          </w:p>
          <w:p w14:paraId="1424A383">
            <w:pPr>
              <w:snapToGrid w:val="0"/>
              <w:spacing w:line="360" w:lineRule="auto"/>
              <w:rPr>
                <w:rFonts w:hint="eastAsia" w:ascii="宋体" w:hAnsi="宋体"/>
                <w:color w:val="auto"/>
                <w:sz w:val="24"/>
                <w:highlight w:val="none"/>
              </w:rPr>
            </w:pPr>
          </w:p>
          <w:p w14:paraId="456F474A">
            <w:pPr>
              <w:snapToGrid w:val="0"/>
              <w:spacing w:line="360" w:lineRule="auto"/>
              <w:jc w:val="right"/>
              <w:rPr>
                <w:rFonts w:hint="eastAsia" w:ascii="宋体" w:hAnsi="宋体"/>
                <w:color w:val="auto"/>
                <w:sz w:val="24"/>
                <w:highlight w:val="none"/>
              </w:rPr>
            </w:pPr>
            <w:r>
              <w:rPr>
                <w:rFonts w:hint="eastAsia" w:ascii="宋体" w:hAnsi="宋体"/>
                <w:color w:val="auto"/>
                <w:sz w:val="24"/>
                <w:highlight w:val="none"/>
              </w:rPr>
              <w:t xml:space="preserve"> 年   月   日</w:t>
            </w:r>
          </w:p>
        </w:tc>
      </w:tr>
      <w:tr w14:paraId="7CD6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661AF121">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c>
          <w:tcPr>
            <w:tcW w:w="4517" w:type="dxa"/>
            <w:noWrap w:val="0"/>
            <w:vAlign w:val="center"/>
          </w:tcPr>
          <w:p w14:paraId="7C971A4B">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r>
      <w:tr w14:paraId="74DC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14:paraId="6ECEA8D2">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法定代表人或者委托代理人：</w:t>
            </w:r>
          </w:p>
        </w:tc>
        <w:tc>
          <w:tcPr>
            <w:tcW w:w="4517" w:type="dxa"/>
            <w:noWrap w:val="0"/>
            <w:vAlign w:val="top"/>
          </w:tcPr>
          <w:p w14:paraId="0870C3F3">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法定代表人或者委托代理人：</w:t>
            </w:r>
          </w:p>
        </w:tc>
      </w:tr>
      <w:tr w14:paraId="6DEB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0EE1F278">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c>
          <w:tcPr>
            <w:tcW w:w="4517" w:type="dxa"/>
            <w:noWrap w:val="0"/>
            <w:vAlign w:val="center"/>
          </w:tcPr>
          <w:p w14:paraId="1C300903">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r>
      <w:tr w14:paraId="1391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539F3B86">
            <w:pPr>
              <w:snapToGrid w:val="0"/>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c>
          <w:tcPr>
            <w:tcW w:w="4517" w:type="dxa"/>
            <w:noWrap w:val="0"/>
            <w:vAlign w:val="center"/>
          </w:tcPr>
          <w:p w14:paraId="78404347">
            <w:pPr>
              <w:snapToGrid w:val="0"/>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r>
      <w:tr w14:paraId="166E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20DF5D67">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c>
          <w:tcPr>
            <w:tcW w:w="4517" w:type="dxa"/>
            <w:noWrap w:val="0"/>
            <w:vAlign w:val="center"/>
          </w:tcPr>
          <w:p w14:paraId="7B527B3A">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r>
      <w:tr w14:paraId="07BD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6FECE82C">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c>
          <w:tcPr>
            <w:tcW w:w="4517" w:type="dxa"/>
            <w:noWrap w:val="0"/>
            <w:vAlign w:val="center"/>
          </w:tcPr>
          <w:p w14:paraId="1D707222">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r>
      <w:tr w14:paraId="7F02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2DD94D3E">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c>
          <w:tcPr>
            <w:tcW w:w="4517" w:type="dxa"/>
            <w:noWrap w:val="0"/>
            <w:vAlign w:val="center"/>
          </w:tcPr>
          <w:p w14:paraId="0E9385F6">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r>
    </w:tbl>
    <w:p w14:paraId="6E3BF359">
      <w:pPr>
        <w:snapToGrid w:val="0"/>
        <w:ind w:left="480" w:hanging="480" w:hangingChars="200"/>
        <w:rPr>
          <w:rFonts w:ascii="宋体" w:hAnsi="宋体" w:cs="仿宋"/>
          <w:bCs/>
          <w:color w:val="auto"/>
          <w:sz w:val="24"/>
          <w:highlight w:val="none"/>
        </w:rPr>
      </w:pPr>
    </w:p>
    <w:p w14:paraId="0E052951">
      <w:pPr>
        <w:rPr>
          <w:rFonts w:hint="eastAsia" w:ascii="宋体" w:hAnsi="宋体" w:cs="宋体"/>
          <w:b/>
          <w:color w:val="auto"/>
          <w:sz w:val="22"/>
          <w:szCs w:val="21"/>
          <w:highlight w:val="none"/>
          <w:lang w:bidi="ar"/>
        </w:rPr>
      </w:pPr>
      <w:r>
        <w:rPr>
          <w:rFonts w:hint="eastAsia" w:ascii="宋体" w:hAnsi="宋体" w:cs="宋体"/>
          <w:b/>
          <w:color w:val="auto"/>
          <w:sz w:val="22"/>
          <w:szCs w:val="21"/>
          <w:highlight w:val="none"/>
          <w:lang w:bidi="ar"/>
        </w:rPr>
        <w:br w:type="page"/>
      </w:r>
    </w:p>
    <w:p w14:paraId="4330C46E">
      <w:pPr>
        <w:snapToGrid w:val="0"/>
        <w:ind w:left="442" w:hanging="442" w:hangingChars="200"/>
        <w:rPr>
          <w:rFonts w:hint="eastAsia" w:ascii="宋体" w:hAnsi="宋体" w:cs="宋体"/>
          <w:b/>
          <w:color w:val="auto"/>
          <w:sz w:val="22"/>
          <w:szCs w:val="21"/>
          <w:highlight w:val="none"/>
        </w:rPr>
      </w:pPr>
      <w:r>
        <w:rPr>
          <w:rFonts w:hint="eastAsia" w:ascii="宋体" w:hAnsi="宋体" w:cs="宋体"/>
          <w:b/>
          <w:color w:val="auto"/>
          <w:sz w:val="22"/>
          <w:szCs w:val="21"/>
          <w:highlight w:val="none"/>
          <w:lang w:bidi="ar"/>
        </w:rPr>
        <w:t>合 同 附 件</w:t>
      </w:r>
    </w:p>
    <w:p w14:paraId="576EA364">
      <w:pPr>
        <w:snapToGrid w:val="0"/>
        <w:ind w:left="440" w:hanging="440" w:hangingChars="200"/>
        <w:rPr>
          <w:rFonts w:hint="eastAsia" w:ascii="宋体" w:hAnsi="宋体" w:cs="宋体"/>
          <w:bCs/>
          <w:color w:val="auto"/>
          <w:sz w:val="22"/>
          <w:szCs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274"/>
      </w:tblGrid>
      <w:tr w14:paraId="06CE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3A34DAE6">
            <w:pPr>
              <w:snapToGrid w:val="0"/>
              <w:ind w:left="442" w:hanging="442" w:hangingChars="200"/>
              <w:rPr>
                <w:rFonts w:hint="eastAsia" w:ascii="宋体" w:hAnsi="宋体" w:cs="宋体"/>
                <w:b/>
                <w:color w:val="auto"/>
                <w:sz w:val="22"/>
                <w:szCs w:val="21"/>
                <w:highlight w:val="none"/>
              </w:rPr>
            </w:pPr>
            <w:r>
              <w:rPr>
                <w:rFonts w:hint="eastAsia" w:ascii="宋体" w:hAnsi="宋体" w:cs="宋体"/>
                <w:b/>
                <w:color w:val="auto"/>
                <w:sz w:val="22"/>
                <w:szCs w:val="21"/>
                <w:highlight w:val="none"/>
                <w:lang w:bidi="ar"/>
              </w:rPr>
              <w:t>1、供应商承诺具体事项：</w:t>
            </w:r>
          </w:p>
        </w:tc>
      </w:tr>
      <w:tr w14:paraId="2771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5CD524ED">
            <w:pPr>
              <w:snapToGrid w:val="0"/>
              <w:ind w:left="442" w:hanging="442" w:hangingChars="200"/>
              <w:rPr>
                <w:rFonts w:hint="eastAsia" w:ascii="宋体" w:hAnsi="宋体" w:cs="宋体"/>
                <w:b/>
                <w:color w:val="auto"/>
                <w:sz w:val="22"/>
                <w:szCs w:val="21"/>
                <w:highlight w:val="none"/>
              </w:rPr>
            </w:pPr>
            <w:r>
              <w:rPr>
                <w:rFonts w:hint="eastAsia" w:ascii="宋体" w:hAnsi="宋体" w:cs="宋体"/>
                <w:b/>
                <w:color w:val="auto"/>
                <w:sz w:val="22"/>
                <w:szCs w:val="21"/>
                <w:highlight w:val="none"/>
                <w:lang w:bidi="ar"/>
              </w:rPr>
              <w:t>2、售后服务具体事项：</w:t>
            </w:r>
          </w:p>
        </w:tc>
      </w:tr>
      <w:tr w14:paraId="094D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046D8C24">
            <w:pPr>
              <w:snapToGrid w:val="0"/>
              <w:ind w:left="442" w:hanging="442" w:hangingChars="200"/>
              <w:rPr>
                <w:rFonts w:hint="eastAsia" w:ascii="宋体" w:hAnsi="宋体" w:cs="宋体"/>
                <w:b/>
                <w:color w:val="auto"/>
                <w:sz w:val="22"/>
                <w:szCs w:val="21"/>
                <w:highlight w:val="none"/>
              </w:rPr>
            </w:pPr>
            <w:r>
              <w:rPr>
                <w:rFonts w:hint="eastAsia" w:ascii="宋体" w:hAnsi="宋体" w:cs="宋体"/>
                <w:b/>
                <w:color w:val="auto"/>
                <w:sz w:val="22"/>
                <w:szCs w:val="21"/>
                <w:highlight w:val="none"/>
                <w:lang w:bidi="ar"/>
              </w:rPr>
              <w:t>3、保修期责任：</w:t>
            </w:r>
          </w:p>
        </w:tc>
      </w:tr>
      <w:tr w14:paraId="0BEF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36241788">
            <w:pPr>
              <w:snapToGrid w:val="0"/>
              <w:ind w:left="442" w:hanging="442" w:hangingChars="200"/>
              <w:rPr>
                <w:rFonts w:hint="eastAsia" w:ascii="宋体" w:hAnsi="宋体" w:cs="宋体"/>
                <w:b/>
                <w:color w:val="auto"/>
                <w:sz w:val="22"/>
                <w:szCs w:val="21"/>
                <w:highlight w:val="none"/>
              </w:rPr>
            </w:pPr>
            <w:r>
              <w:rPr>
                <w:rFonts w:hint="eastAsia" w:ascii="宋体" w:hAnsi="宋体" w:cs="宋体"/>
                <w:b/>
                <w:color w:val="auto"/>
                <w:sz w:val="22"/>
                <w:szCs w:val="21"/>
                <w:highlight w:val="none"/>
                <w:lang w:bidi="ar"/>
              </w:rPr>
              <w:t>4、其他具体事项：</w:t>
            </w:r>
          </w:p>
        </w:tc>
      </w:tr>
      <w:tr w14:paraId="431A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14:paraId="0133BEDA">
            <w:pPr>
              <w:snapToGrid w:val="0"/>
              <w:ind w:left="442" w:hanging="442" w:hangingChars="200"/>
              <w:rPr>
                <w:rFonts w:hint="eastAsia" w:ascii="宋体" w:hAnsi="宋体" w:cs="宋体"/>
                <w:b/>
                <w:color w:val="auto"/>
                <w:sz w:val="22"/>
                <w:szCs w:val="21"/>
                <w:highlight w:val="none"/>
              </w:rPr>
            </w:pPr>
            <w:r>
              <w:rPr>
                <w:rFonts w:hint="eastAsia" w:ascii="宋体" w:hAnsi="宋体" w:cs="宋体"/>
                <w:b/>
                <w:color w:val="auto"/>
                <w:sz w:val="22"/>
                <w:szCs w:val="21"/>
                <w:highlight w:val="none"/>
                <w:lang w:bidi="ar"/>
              </w:rPr>
              <w:t>甲方（章）</w:t>
            </w:r>
          </w:p>
          <w:p w14:paraId="3EDFC498">
            <w:pPr>
              <w:snapToGrid w:val="0"/>
              <w:ind w:left="442" w:hanging="442" w:hangingChars="200"/>
              <w:rPr>
                <w:rFonts w:hint="eastAsia" w:ascii="宋体" w:hAnsi="宋体" w:cs="宋体"/>
                <w:b/>
                <w:color w:val="auto"/>
                <w:sz w:val="22"/>
                <w:szCs w:val="21"/>
                <w:highlight w:val="none"/>
              </w:rPr>
            </w:pPr>
          </w:p>
          <w:p w14:paraId="459BEB7F">
            <w:pPr>
              <w:snapToGrid w:val="0"/>
              <w:ind w:left="442" w:hanging="442" w:hangingChars="200"/>
              <w:rPr>
                <w:rFonts w:hint="eastAsia" w:ascii="宋体" w:hAnsi="宋体" w:cs="宋体"/>
                <w:b/>
                <w:color w:val="auto"/>
                <w:sz w:val="22"/>
                <w:szCs w:val="21"/>
                <w:highlight w:val="none"/>
              </w:rPr>
            </w:pPr>
          </w:p>
          <w:p w14:paraId="06F4A2B7">
            <w:pPr>
              <w:snapToGrid w:val="0"/>
              <w:ind w:left="442" w:hanging="442" w:hangingChars="200"/>
              <w:rPr>
                <w:rFonts w:hint="eastAsia" w:ascii="宋体" w:hAnsi="宋体" w:cs="宋体"/>
                <w:b/>
                <w:color w:val="auto"/>
                <w:sz w:val="22"/>
                <w:szCs w:val="21"/>
                <w:highlight w:val="none"/>
              </w:rPr>
            </w:pPr>
          </w:p>
          <w:p w14:paraId="6802FCDC">
            <w:pPr>
              <w:snapToGrid w:val="0"/>
              <w:ind w:left="442" w:hanging="442" w:hangingChars="200"/>
              <w:rPr>
                <w:rFonts w:hint="eastAsia" w:ascii="宋体" w:hAnsi="宋体" w:cs="宋体"/>
                <w:b/>
                <w:color w:val="auto"/>
                <w:sz w:val="22"/>
                <w:szCs w:val="21"/>
                <w:highlight w:val="none"/>
              </w:rPr>
            </w:pPr>
            <w:r>
              <w:rPr>
                <w:rFonts w:hint="eastAsia" w:ascii="宋体" w:hAnsi="宋体" w:cs="宋体"/>
                <w:b/>
                <w:color w:val="auto"/>
                <w:sz w:val="22"/>
                <w:szCs w:val="21"/>
                <w:highlight w:val="none"/>
                <w:lang w:bidi="ar"/>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32A3D6D8">
            <w:pPr>
              <w:snapToGrid w:val="0"/>
              <w:ind w:left="442" w:hanging="442" w:hangingChars="200"/>
              <w:rPr>
                <w:rFonts w:hint="eastAsia" w:ascii="宋体" w:hAnsi="宋体" w:cs="宋体"/>
                <w:b/>
                <w:color w:val="auto"/>
                <w:sz w:val="22"/>
                <w:szCs w:val="21"/>
                <w:highlight w:val="none"/>
              </w:rPr>
            </w:pPr>
            <w:r>
              <w:rPr>
                <w:rFonts w:hint="eastAsia" w:ascii="宋体" w:hAnsi="宋体" w:cs="宋体"/>
                <w:b/>
                <w:color w:val="auto"/>
                <w:sz w:val="22"/>
                <w:szCs w:val="21"/>
                <w:highlight w:val="none"/>
                <w:lang w:bidi="ar"/>
              </w:rPr>
              <w:t>乙方（章）</w:t>
            </w:r>
          </w:p>
          <w:p w14:paraId="39DFE896">
            <w:pPr>
              <w:snapToGrid w:val="0"/>
              <w:ind w:left="442" w:hanging="442" w:hangingChars="200"/>
              <w:rPr>
                <w:rFonts w:hint="eastAsia" w:ascii="宋体" w:hAnsi="宋体" w:cs="宋体"/>
                <w:b/>
                <w:color w:val="auto"/>
                <w:sz w:val="22"/>
                <w:szCs w:val="21"/>
                <w:highlight w:val="none"/>
              </w:rPr>
            </w:pPr>
          </w:p>
          <w:p w14:paraId="09D4AED4">
            <w:pPr>
              <w:snapToGrid w:val="0"/>
              <w:ind w:left="442" w:hanging="442" w:hangingChars="200"/>
              <w:rPr>
                <w:rFonts w:hint="eastAsia" w:ascii="宋体" w:hAnsi="宋体" w:cs="宋体"/>
                <w:b/>
                <w:color w:val="auto"/>
                <w:sz w:val="22"/>
                <w:szCs w:val="21"/>
                <w:highlight w:val="none"/>
              </w:rPr>
            </w:pPr>
          </w:p>
          <w:p w14:paraId="0E8B1E93">
            <w:pPr>
              <w:snapToGrid w:val="0"/>
              <w:ind w:left="442" w:hanging="442" w:hangingChars="200"/>
              <w:rPr>
                <w:rFonts w:hint="eastAsia" w:ascii="宋体" w:hAnsi="宋体" w:cs="宋体"/>
                <w:b/>
                <w:color w:val="auto"/>
                <w:sz w:val="22"/>
                <w:szCs w:val="21"/>
                <w:highlight w:val="none"/>
              </w:rPr>
            </w:pPr>
          </w:p>
          <w:p w14:paraId="792C1137">
            <w:pPr>
              <w:snapToGrid w:val="0"/>
              <w:ind w:left="442" w:hanging="442" w:hangingChars="200"/>
              <w:rPr>
                <w:rFonts w:hint="eastAsia" w:ascii="宋体" w:hAnsi="宋体" w:cs="宋体"/>
                <w:b/>
                <w:color w:val="auto"/>
                <w:sz w:val="22"/>
                <w:szCs w:val="21"/>
                <w:highlight w:val="none"/>
              </w:rPr>
            </w:pPr>
            <w:r>
              <w:rPr>
                <w:rFonts w:hint="eastAsia" w:ascii="宋体" w:hAnsi="宋体" w:cs="宋体"/>
                <w:b/>
                <w:color w:val="auto"/>
                <w:sz w:val="22"/>
                <w:szCs w:val="21"/>
                <w:highlight w:val="none"/>
                <w:lang w:bidi="ar"/>
              </w:rPr>
              <w:t xml:space="preserve">                年   月   日</w:t>
            </w:r>
          </w:p>
        </w:tc>
      </w:tr>
    </w:tbl>
    <w:p w14:paraId="7E673BD3">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auto"/>
          <w:kern w:val="0"/>
          <w:szCs w:val="21"/>
          <w:highlight w:val="none"/>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9F52B">
    <w:pPr>
      <w:pStyle w:val="16"/>
      <w:jc w:val="center"/>
    </w:pPr>
    <w:r>
      <w:fldChar w:fldCharType="begin"/>
    </w:r>
    <w:r>
      <w:instrText xml:space="preserve"> PAGE   \* MERGEFORMAT </w:instrText>
    </w:r>
    <w:r>
      <w:fldChar w:fldCharType="separate"/>
    </w:r>
    <w:r>
      <w:rPr>
        <w:lang w:val="zh-CN"/>
      </w:rPr>
      <w:t>33</w:t>
    </w:r>
    <w:r>
      <w:fldChar w:fldCharType="end"/>
    </w:r>
  </w:p>
  <w:p w14:paraId="32F115E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6EF8">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9F31D5">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H9jcw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BEssNDvz8/dv5x6/zz6/k&#10;7bIsk0K9hwoTnzymxuHODSl78gM6E/GhDSZ9kRLBOOp7uugrh0hEerQqV6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kf2NzAEAAJwDAAAOAAAAAAAAAAEAIAAAAB4BAABkcnMvZTJv&#10;RG9jLnhtbFBLBQYAAAAABgAGAFkBAABcBQAAAAA=&#10;">
              <v:fill on="f" focussize="0,0"/>
              <v:stroke on="f"/>
              <v:imagedata o:title=""/>
              <o:lock v:ext="edit" aspectratio="f"/>
              <v:textbox inset="0mm,0mm,0mm,0mm" style="mso-fit-shape-to-text:t;">
                <w:txbxContent>
                  <w:p w14:paraId="309F31D5">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6533">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ODgzNjJkNjNmYzUzYzg0ZTg5ODJmM2IxY2M4YWMifQ=="/>
  </w:docVars>
  <w:rsids>
    <w:rsidRoot w:val="00F34B14"/>
    <w:rsid w:val="00000672"/>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52A6"/>
    <w:rsid w:val="00055D41"/>
    <w:rsid w:val="00057CEC"/>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E7E"/>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4E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7441"/>
    <w:rsid w:val="002802D7"/>
    <w:rsid w:val="0028232C"/>
    <w:rsid w:val="002827F1"/>
    <w:rsid w:val="00282EC3"/>
    <w:rsid w:val="002835B0"/>
    <w:rsid w:val="0028407E"/>
    <w:rsid w:val="0028410F"/>
    <w:rsid w:val="00286603"/>
    <w:rsid w:val="00286A98"/>
    <w:rsid w:val="00286FB5"/>
    <w:rsid w:val="00287763"/>
    <w:rsid w:val="00290606"/>
    <w:rsid w:val="00290F9D"/>
    <w:rsid w:val="002918A7"/>
    <w:rsid w:val="00291D6D"/>
    <w:rsid w:val="00291FF1"/>
    <w:rsid w:val="002923F6"/>
    <w:rsid w:val="00293361"/>
    <w:rsid w:val="00293770"/>
    <w:rsid w:val="00295287"/>
    <w:rsid w:val="002952B1"/>
    <w:rsid w:val="00295D11"/>
    <w:rsid w:val="00295FA0"/>
    <w:rsid w:val="00297A7A"/>
    <w:rsid w:val="002A0C3A"/>
    <w:rsid w:val="002A1130"/>
    <w:rsid w:val="002A1493"/>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202C"/>
    <w:rsid w:val="00313026"/>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1060"/>
    <w:rsid w:val="00331A48"/>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CE8"/>
    <w:rsid w:val="003E1032"/>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1081"/>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2A25"/>
    <w:rsid w:val="00492F3E"/>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1AE6"/>
    <w:rsid w:val="004F243F"/>
    <w:rsid w:val="004F3E0C"/>
    <w:rsid w:val="004F6A2D"/>
    <w:rsid w:val="004F7160"/>
    <w:rsid w:val="004F71A2"/>
    <w:rsid w:val="00500258"/>
    <w:rsid w:val="0050175E"/>
    <w:rsid w:val="00501A99"/>
    <w:rsid w:val="00503180"/>
    <w:rsid w:val="0050417C"/>
    <w:rsid w:val="00505450"/>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B0160"/>
    <w:rsid w:val="005B0185"/>
    <w:rsid w:val="005B07EC"/>
    <w:rsid w:val="005B09D8"/>
    <w:rsid w:val="005B120C"/>
    <w:rsid w:val="005B24F3"/>
    <w:rsid w:val="005B2B11"/>
    <w:rsid w:val="005B2E00"/>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F34"/>
    <w:rsid w:val="005D2529"/>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774"/>
    <w:rsid w:val="0064024C"/>
    <w:rsid w:val="00640291"/>
    <w:rsid w:val="00641FAC"/>
    <w:rsid w:val="006432A5"/>
    <w:rsid w:val="00643664"/>
    <w:rsid w:val="00643CAA"/>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9D4"/>
    <w:rsid w:val="00722CD9"/>
    <w:rsid w:val="007230F8"/>
    <w:rsid w:val="007233F4"/>
    <w:rsid w:val="00724044"/>
    <w:rsid w:val="007244E1"/>
    <w:rsid w:val="007248D3"/>
    <w:rsid w:val="00725137"/>
    <w:rsid w:val="007263ED"/>
    <w:rsid w:val="00727A43"/>
    <w:rsid w:val="00727FF2"/>
    <w:rsid w:val="007323E0"/>
    <w:rsid w:val="00733791"/>
    <w:rsid w:val="0073391B"/>
    <w:rsid w:val="00733DE2"/>
    <w:rsid w:val="007352E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6A"/>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A0A5E"/>
    <w:rsid w:val="007A11C2"/>
    <w:rsid w:val="007A2063"/>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B774A"/>
    <w:rsid w:val="007C0525"/>
    <w:rsid w:val="007C0B56"/>
    <w:rsid w:val="007C13F7"/>
    <w:rsid w:val="007C218D"/>
    <w:rsid w:val="007C2D28"/>
    <w:rsid w:val="007C3E22"/>
    <w:rsid w:val="007C5153"/>
    <w:rsid w:val="007C67C6"/>
    <w:rsid w:val="007C707A"/>
    <w:rsid w:val="007C7E59"/>
    <w:rsid w:val="007D0B91"/>
    <w:rsid w:val="007D0F53"/>
    <w:rsid w:val="007D1452"/>
    <w:rsid w:val="007D1E29"/>
    <w:rsid w:val="007D460C"/>
    <w:rsid w:val="007D4AD3"/>
    <w:rsid w:val="007D4C8D"/>
    <w:rsid w:val="007D5195"/>
    <w:rsid w:val="007D5D19"/>
    <w:rsid w:val="007D5FDC"/>
    <w:rsid w:val="007D6232"/>
    <w:rsid w:val="007D6D68"/>
    <w:rsid w:val="007E01DA"/>
    <w:rsid w:val="007E1603"/>
    <w:rsid w:val="007E32DA"/>
    <w:rsid w:val="007E4998"/>
    <w:rsid w:val="007E4A9C"/>
    <w:rsid w:val="007E6914"/>
    <w:rsid w:val="007E7F78"/>
    <w:rsid w:val="007F0C8B"/>
    <w:rsid w:val="007F1517"/>
    <w:rsid w:val="007F1D44"/>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88B"/>
    <w:rsid w:val="00857A9E"/>
    <w:rsid w:val="00857DE2"/>
    <w:rsid w:val="0086353C"/>
    <w:rsid w:val="0086407F"/>
    <w:rsid w:val="00864BFE"/>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EAE"/>
    <w:rsid w:val="00880F95"/>
    <w:rsid w:val="008819C6"/>
    <w:rsid w:val="00882B44"/>
    <w:rsid w:val="00882FE5"/>
    <w:rsid w:val="008845A4"/>
    <w:rsid w:val="00886138"/>
    <w:rsid w:val="00886E66"/>
    <w:rsid w:val="008871B0"/>
    <w:rsid w:val="0089217C"/>
    <w:rsid w:val="008928A1"/>
    <w:rsid w:val="00893671"/>
    <w:rsid w:val="00895838"/>
    <w:rsid w:val="00895A72"/>
    <w:rsid w:val="00895CDF"/>
    <w:rsid w:val="008968C7"/>
    <w:rsid w:val="00897A55"/>
    <w:rsid w:val="008A0FC9"/>
    <w:rsid w:val="008A1956"/>
    <w:rsid w:val="008A2B5F"/>
    <w:rsid w:val="008A40D3"/>
    <w:rsid w:val="008A469C"/>
    <w:rsid w:val="008A484A"/>
    <w:rsid w:val="008A5877"/>
    <w:rsid w:val="008A6539"/>
    <w:rsid w:val="008A701C"/>
    <w:rsid w:val="008B05DD"/>
    <w:rsid w:val="008B17E8"/>
    <w:rsid w:val="008B1925"/>
    <w:rsid w:val="008B266C"/>
    <w:rsid w:val="008B2D03"/>
    <w:rsid w:val="008B2E7C"/>
    <w:rsid w:val="008B42EB"/>
    <w:rsid w:val="008B45A7"/>
    <w:rsid w:val="008B4A70"/>
    <w:rsid w:val="008B502F"/>
    <w:rsid w:val="008B5A88"/>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188"/>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CF1"/>
    <w:rsid w:val="009721E9"/>
    <w:rsid w:val="00972A58"/>
    <w:rsid w:val="00973772"/>
    <w:rsid w:val="009738FC"/>
    <w:rsid w:val="00975E1E"/>
    <w:rsid w:val="00975E70"/>
    <w:rsid w:val="00977CD6"/>
    <w:rsid w:val="00982481"/>
    <w:rsid w:val="00982D26"/>
    <w:rsid w:val="0098330E"/>
    <w:rsid w:val="009833DD"/>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2A1"/>
    <w:rsid w:val="009B6753"/>
    <w:rsid w:val="009B6A26"/>
    <w:rsid w:val="009C079D"/>
    <w:rsid w:val="009C0D70"/>
    <w:rsid w:val="009C13D1"/>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1042"/>
    <w:rsid w:val="00A133D8"/>
    <w:rsid w:val="00A14E97"/>
    <w:rsid w:val="00A15209"/>
    <w:rsid w:val="00A20069"/>
    <w:rsid w:val="00A20280"/>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DE4"/>
    <w:rsid w:val="00A9246D"/>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D0091"/>
    <w:rsid w:val="00AD23D8"/>
    <w:rsid w:val="00AD23EF"/>
    <w:rsid w:val="00AD307B"/>
    <w:rsid w:val="00AD41B3"/>
    <w:rsid w:val="00AD4C48"/>
    <w:rsid w:val="00AD57AF"/>
    <w:rsid w:val="00AD6267"/>
    <w:rsid w:val="00AD6DEC"/>
    <w:rsid w:val="00AD7317"/>
    <w:rsid w:val="00AE01A8"/>
    <w:rsid w:val="00AE0CBD"/>
    <w:rsid w:val="00AE123A"/>
    <w:rsid w:val="00AE1D09"/>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37E8B"/>
    <w:rsid w:val="00B41B81"/>
    <w:rsid w:val="00B42980"/>
    <w:rsid w:val="00B434B2"/>
    <w:rsid w:val="00B434C7"/>
    <w:rsid w:val="00B43D45"/>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956"/>
    <w:rsid w:val="00B94C7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C09"/>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4AAB"/>
    <w:rsid w:val="00C058AF"/>
    <w:rsid w:val="00C124C1"/>
    <w:rsid w:val="00C128AE"/>
    <w:rsid w:val="00C136D6"/>
    <w:rsid w:val="00C13D5B"/>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91F"/>
    <w:rsid w:val="00C52BC8"/>
    <w:rsid w:val="00C52C59"/>
    <w:rsid w:val="00C5349E"/>
    <w:rsid w:val="00C5354B"/>
    <w:rsid w:val="00C54467"/>
    <w:rsid w:val="00C54D3D"/>
    <w:rsid w:val="00C55116"/>
    <w:rsid w:val="00C55A30"/>
    <w:rsid w:val="00C5787F"/>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7500"/>
    <w:rsid w:val="00CB0696"/>
    <w:rsid w:val="00CB1239"/>
    <w:rsid w:val="00CB19FE"/>
    <w:rsid w:val="00CB304C"/>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0FC"/>
    <w:rsid w:val="00CF1D74"/>
    <w:rsid w:val="00CF2BE2"/>
    <w:rsid w:val="00CF3157"/>
    <w:rsid w:val="00CF55F9"/>
    <w:rsid w:val="00CF71A6"/>
    <w:rsid w:val="00CF7495"/>
    <w:rsid w:val="00CF7671"/>
    <w:rsid w:val="00CF7C5B"/>
    <w:rsid w:val="00D01CF9"/>
    <w:rsid w:val="00D02246"/>
    <w:rsid w:val="00D0334D"/>
    <w:rsid w:val="00D0374D"/>
    <w:rsid w:val="00D05A76"/>
    <w:rsid w:val="00D07384"/>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5538"/>
    <w:rsid w:val="00D664BF"/>
    <w:rsid w:val="00D66D8B"/>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4F27"/>
    <w:rsid w:val="00D850D4"/>
    <w:rsid w:val="00D862D1"/>
    <w:rsid w:val="00D873C6"/>
    <w:rsid w:val="00D91027"/>
    <w:rsid w:val="00D94C7D"/>
    <w:rsid w:val="00D94CA4"/>
    <w:rsid w:val="00D94FB4"/>
    <w:rsid w:val="00D95E99"/>
    <w:rsid w:val="00DA098C"/>
    <w:rsid w:val="00DA1A3A"/>
    <w:rsid w:val="00DA2712"/>
    <w:rsid w:val="00DA2C65"/>
    <w:rsid w:val="00DA395D"/>
    <w:rsid w:val="00DA6D33"/>
    <w:rsid w:val="00DB16B8"/>
    <w:rsid w:val="00DB1869"/>
    <w:rsid w:val="00DB1D52"/>
    <w:rsid w:val="00DB1F62"/>
    <w:rsid w:val="00DB2E03"/>
    <w:rsid w:val="00DB2E97"/>
    <w:rsid w:val="00DB3369"/>
    <w:rsid w:val="00DB3742"/>
    <w:rsid w:val="00DB3F4B"/>
    <w:rsid w:val="00DB61A4"/>
    <w:rsid w:val="00DB67C1"/>
    <w:rsid w:val="00DB70CD"/>
    <w:rsid w:val="00DB70F4"/>
    <w:rsid w:val="00DB7343"/>
    <w:rsid w:val="00DC1056"/>
    <w:rsid w:val="00DC211E"/>
    <w:rsid w:val="00DC21D8"/>
    <w:rsid w:val="00DC282A"/>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91044"/>
    <w:rsid w:val="00E910D3"/>
    <w:rsid w:val="00E9214B"/>
    <w:rsid w:val="00E923CF"/>
    <w:rsid w:val="00E9335F"/>
    <w:rsid w:val="00E95111"/>
    <w:rsid w:val="00EA061E"/>
    <w:rsid w:val="00EA14C8"/>
    <w:rsid w:val="00EA19D3"/>
    <w:rsid w:val="00EA2358"/>
    <w:rsid w:val="00EA2C8B"/>
    <w:rsid w:val="00EA3582"/>
    <w:rsid w:val="00EA6649"/>
    <w:rsid w:val="00EB05D0"/>
    <w:rsid w:val="00EB07C5"/>
    <w:rsid w:val="00EB107E"/>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F23"/>
    <w:rsid w:val="00ED6DC0"/>
    <w:rsid w:val="00ED79CE"/>
    <w:rsid w:val="00ED7A7A"/>
    <w:rsid w:val="00EE038C"/>
    <w:rsid w:val="00EE040B"/>
    <w:rsid w:val="00EE06A3"/>
    <w:rsid w:val="00EE47C5"/>
    <w:rsid w:val="00EE490C"/>
    <w:rsid w:val="00EE4E02"/>
    <w:rsid w:val="00EE613B"/>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67E"/>
    <w:rsid w:val="00F02686"/>
    <w:rsid w:val="00F030DA"/>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4811"/>
    <w:rsid w:val="00F34B14"/>
    <w:rsid w:val="00F36A6A"/>
    <w:rsid w:val="00F40101"/>
    <w:rsid w:val="00F404F7"/>
    <w:rsid w:val="00F40CCA"/>
    <w:rsid w:val="00F41521"/>
    <w:rsid w:val="00F41975"/>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5B72"/>
    <w:rsid w:val="00F86B6D"/>
    <w:rsid w:val="00F8766F"/>
    <w:rsid w:val="00F9104C"/>
    <w:rsid w:val="00F91082"/>
    <w:rsid w:val="00F91A9A"/>
    <w:rsid w:val="00F93ABB"/>
    <w:rsid w:val="00F94D79"/>
    <w:rsid w:val="00F97E7E"/>
    <w:rsid w:val="00FA118A"/>
    <w:rsid w:val="00FA31C7"/>
    <w:rsid w:val="00FA472D"/>
    <w:rsid w:val="00FA7254"/>
    <w:rsid w:val="00FB0214"/>
    <w:rsid w:val="00FB080C"/>
    <w:rsid w:val="00FB12BC"/>
    <w:rsid w:val="00FB18F6"/>
    <w:rsid w:val="00FB2A52"/>
    <w:rsid w:val="00FB2F13"/>
    <w:rsid w:val="00FB539B"/>
    <w:rsid w:val="00FB6E19"/>
    <w:rsid w:val="00FB71F6"/>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2511F9D"/>
    <w:rsid w:val="03056ED3"/>
    <w:rsid w:val="03A300D1"/>
    <w:rsid w:val="03A314B8"/>
    <w:rsid w:val="03D82B98"/>
    <w:rsid w:val="03F83E8B"/>
    <w:rsid w:val="043C0407"/>
    <w:rsid w:val="073562D9"/>
    <w:rsid w:val="07B72767"/>
    <w:rsid w:val="08077E72"/>
    <w:rsid w:val="08E36F8D"/>
    <w:rsid w:val="09270E73"/>
    <w:rsid w:val="09CC2AAC"/>
    <w:rsid w:val="09D820EE"/>
    <w:rsid w:val="0A3E2F0D"/>
    <w:rsid w:val="0A652D3E"/>
    <w:rsid w:val="0B253A7F"/>
    <w:rsid w:val="0B3A48F0"/>
    <w:rsid w:val="0C3660F8"/>
    <w:rsid w:val="0C92213C"/>
    <w:rsid w:val="0D4F221D"/>
    <w:rsid w:val="0D84032B"/>
    <w:rsid w:val="0DE76FA1"/>
    <w:rsid w:val="0ED317E0"/>
    <w:rsid w:val="0F0A0484"/>
    <w:rsid w:val="10A27F31"/>
    <w:rsid w:val="10CA487C"/>
    <w:rsid w:val="11927058"/>
    <w:rsid w:val="126537F7"/>
    <w:rsid w:val="13AF4F03"/>
    <w:rsid w:val="14736E66"/>
    <w:rsid w:val="149B6AC2"/>
    <w:rsid w:val="14C637BF"/>
    <w:rsid w:val="15293653"/>
    <w:rsid w:val="1534169A"/>
    <w:rsid w:val="15C03E03"/>
    <w:rsid w:val="162A25EB"/>
    <w:rsid w:val="16B5608C"/>
    <w:rsid w:val="16FD2A55"/>
    <w:rsid w:val="17366761"/>
    <w:rsid w:val="177C01F0"/>
    <w:rsid w:val="178057B9"/>
    <w:rsid w:val="17CE6630"/>
    <w:rsid w:val="18043E1F"/>
    <w:rsid w:val="195B09D0"/>
    <w:rsid w:val="19820BA0"/>
    <w:rsid w:val="1AFA16D5"/>
    <w:rsid w:val="1B4F19F8"/>
    <w:rsid w:val="1BD92184"/>
    <w:rsid w:val="1C5170A2"/>
    <w:rsid w:val="1D4061A8"/>
    <w:rsid w:val="1E004BE2"/>
    <w:rsid w:val="1E5A0A86"/>
    <w:rsid w:val="1E9B4F4B"/>
    <w:rsid w:val="1F063325"/>
    <w:rsid w:val="1FBC5DF5"/>
    <w:rsid w:val="1FC55574"/>
    <w:rsid w:val="203A5D23"/>
    <w:rsid w:val="20AE2B29"/>
    <w:rsid w:val="219A5199"/>
    <w:rsid w:val="21B83F86"/>
    <w:rsid w:val="21E55E66"/>
    <w:rsid w:val="221178A8"/>
    <w:rsid w:val="221213CF"/>
    <w:rsid w:val="22327A92"/>
    <w:rsid w:val="22965435"/>
    <w:rsid w:val="22BD6F35"/>
    <w:rsid w:val="231D53A2"/>
    <w:rsid w:val="23B7504C"/>
    <w:rsid w:val="24571307"/>
    <w:rsid w:val="24BA2984"/>
    <w:rsid w:val="24C97D0D"/>
    <w:rsid w:val="25246333"/>
    <w:rsid w:val="2562393C"/>
    <w:rsid w:val="26446DE3"/>
    <w:rsid w:val="264D165B"/>
    <w:rsid w:val="26D7699F"/>
    <w:rsid w:val="274A5E17"/>
    <w:rsid w:val="2B09065E"/>
    <w:rsid w:val="2B774624"/>
    <w:rsid w:val="2BC068DD"/>
    <w:rsid w:val="2C7A72BE"/>
    <w:rsid w:val="2E804C4A"/>
    <w:rsid w:val="2F401D3C"/>
    <w:rsid w:val="2FA95C88"/>
    <w:rsid w:val="3041370F"/>
    <w:rsid w:val="30803872"/>
    <w:rsid w:val="31083A05"/>
    <w:rsid w:val="32453A27"/>
    <w:rsid w:val="325C464C"/>
    <w:rsid w:val="3263064A"/>
    <w:rsid w:val="32AC0C06"/>
    <w:rsid w:val="32DD434B"/>
    <w:rsid w:val="3537750C"/>
    <w:rsid w:val="3537798C"/>
    <w:rsid w:val="357F7ED5"/>
    <w:rsid w:val="35C13FC9"/>
    <w:rsid w:val="362E6D87"/>
    <w:rsid w:val="364257B6"/>
    <w:rsid w:val="36F834D1"/>
    <w:rsid w:val="374264D3"/>
    <w:rsid w:val="37DB7874"/>
    <w:rsid w:val="37EA5922"/>
    <w:rsid w:val="37F30863"/>
    <w:rsid w:val="38276B93"/>
    <w:rsid w:val="393F7DAD"/>
    <w:rsid w:val="3A0B64A7"/>
    <w:rsid w:val="3AF74C02"/>
    <w:rsid w:val="3B5056C1"/>
    <w:rsid w:val="3C0059A5"/>
    <w:rsid w:val="3C134E78"/>
    <w:rsid w:val="3CCA2A44"/>
    <w:rsid w:val="3DF6345D"/>
    <w:rsid w:val="3EC357A9"/>
    <w:rsid w:val="3EE13701"/>
    <w:rsid w:val="3F1A4BB3"/>
    <w:rsid w:val="40192BA6"/>
    <w:rsid w:val="409070C5"/>
    <w:rsid w:val="42550A18"/>
    <w:rsid w:val="42DA422F"/>
    <w:rsid w:val="42F473A1"/>
    <w:rsid w:val="43931DE2"/>
    <w:rsid w:val="441E62C0"/>
    <w:rsid w:val="44274ACD"/>
    <w:rsid w:val="45811C7C"/>
    <w:rsid w:val="45FA6B1E"/>
    <w:rsid w:val="46053138"/>
    <w:rsid w:val="468B3EFB"/>
    <w:rsid w:val="470A6193"/>
    <w:rsid w:val="47DC4F5C"/>
    <w:rsid w:val="48B40671"/>
    <w:rsid w:val="499B5738"/>
    <w:rsid w:val="499F244D"/>
    <w:rsid w:val="4A8F58C2"/>
    <w:rsid w:val="4AF96BC7"/>
    <w:rsid w:val="4BFB4050"/>
    <w:rsid w:val="4CEF36E2"/>
    <w:rsid w:val="4CEF795D"/>
    <w:rsid w:val="4CFD462D"/>
    <w:rsid w:val="4D3B1120"/>
    <w:rsid w:val="4D8C6582"/>
    <w:rsid w:val="4F372FFB"/>
    <w:rsid w:val="4FA76FA4"/>
    <w:rsid w:val="50114897"/>
    <w:rsid w:val="5040259D"/>
    <w:rsid w:val="513F391C"/>
    <w:rsid w:val="51564E44"/>
    <w:rsid w:val="516D4911"/>
    <w:rsid w:val="51F36455"/>
    <w:rsid w:val="52C10D75"/>
    <w:rsid w:val="549D4147"/>
    <w:rsid w:val="550C4BD7"/>
    <w:rsid w:val="55572986"/>
    <w:rsid w:val="56537644"/>
    <w:rsid w:val="5682624E"/>
    <w:rsid w:val="59351195"/>
    <w:rsid w:val="5A957D93"/>
    <w:rsid w:val="5AE85093"/>
    <w:rsid w:val="5B3760D9"/>
    <w:rsid w:val="5D2317D1"/>
    <w:rsid w:val="5F2913F5"/>
    <w:rsid w:val="5F80710D"/>
    <w:rsid w:val="606007BB"/>
    <w:rsid w:val="60AC7F66"/>
    <w:rsid w:val="618835DC"/>
    <w:rsid w:val="61BF10D9"/>
    <w:rsid w:val="61F67397"/>
    <w:rsid w:val="62165280"/>
    <w:rsid w:val="629F7BDB"/>
    <w:rsid w:val="640C7C21"/>
    <w:rsid w:val="64E45EF7"/>
    <w:rsid w:val="65FE4E01"/>
    <w:rsid w:val="66A57729"/>
    <w:rsid w:val="677435B2"/>
    <w:rsid w:val="67EF75F1"/>
    <w:rsid w:val="69124F16"/>
    <w:rsid w:val="69C64B0E"/>
    <w:rsid w:val="69CD5C14"/>
    <w:rsid w:val="69CF0D33"/>
    <w:rsid w:val="6AB24495"/>
    <w:rsid w:val="6B9946B3"/>
    <w:rsid w:val="6D1837C6"/>
    <w:rsid w:val="6DE76850"/>
    <w:rsid w:val="6E9A1018"/>
    <w:rsid w:val="6FB20BD4"/>
    <w:rsid w:val="6FBA59BE"/>
    <w:rsid w:val="70195F54"/>
    <w:rsid w:val="70296B3E"/>
    <w:rsid w:val="70611204"/>
    <w:rsid w:val="7234593E"/>
    <w:rsid w:val="726C71D7"/>
    <w:rsid w:val="72EF4CB6"/>
    <w:rsid w:val="74454ECC"/>
    <w:rsid w:val="74FA2C30"/>
    <w:rsid w:val="76BC49EB"/>
    <w:rsid w:val="77000DA2"/>
    <w:rsid w:val="781E69D1"/>
    <w:rsid w:val="78340059"/>
    <w:rsid w:val="7ADD0453"/>
    <w:rsid w:val="7AF46346"/>
    <w:rsid w:val="7B0F5EBF"/>
    <w:rsid w:val="7B130FB9"/>
    <w:rsid w:val="7BDE0625"/>
    <w:rsid w:val="7BF64EDE"/>
    <w:rsid w:val="7C400C1E"/>
    <w:rsid w:val="7CBF7F35"/>
    <w:rsid w:val="7DD11708"/>
    <w:rsid w:val="7EBC46EA"/>
    <w:rsid w:val="7EC167BD"/>
    <w:rsid w:val="7FF82C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9"/>
    <w:pPr>
      <w:keepNext/>
      <w:keepLines/>
      <w:spacing w:before="260" w:after="260" w:line="416" w:lineRule="auto"/>
      <w:outlineLvl w:val="1"/>
    </w:pPr>
    <w:rPr>
      <w:rFonts w:ascii="Cambria" w:hAnsi="Cambria"/>
      <w:b/>
      <w:bCs/>
      <w:sz w:val="32"/>
      <w:szCs w:val="32"/>
    </w:rPr>
  </w:style>
  <w:style w:type="paragraph" w:styleId="5">
    <w:name w:val="heading 5"/>
    <w:basedOn w:val="1"/>
    <w:next w:val="6"/>
    <w:link w:val="28"/>
    <w:qFormat/>
    <w:uiPriority w:val="9"/>
    <w:pPr>
      <w:keepNext/>
      <w:keepLines/>
      <w:spacing w:before="280" w:after="290" w:line="376" w:lineRule="auto"/>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6">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8">
    <w:name w:val="annotation text"/>
    <w:basedOn w:val="1"/>
    <w:link w:val="29"/>
    <w:qFormat/>
    <w:uiPriority w:val="0"/>
    <w:pPr>
      <w:jc w:val="left"/>
    </w:pPr>
  </w:style>
  <w:style w:type="paragraph" w:styleId="9">
    <w:name w:val="Body Text 3"/>
    <w:basedOn w:val="1"/>
    <w:link w:val="30"/>
    <w:unhideWhenUsed/>
    <w:qFormat/>
    <w:uiPriority w:val="99"/>
    <w:pPr>
      <w:spacing w:after="120"/>
    </w:pPr>
    <w:rPr>
      <w:sz w:val="16"/>
      <w:szCs w:val="16"/>
    </w:rPr>
  </w:style>
  <w:style w:type="paragraph" w:styleId="10">
    <w:name w:val="Body Text"/>
    <w:basedOn w:val="1"/>
    <w:link w:val="31"/>
    <w:unhideWhenUsed/>
    <w:qFormat/>
    <w:uiPriority w:val="0"/>
    <w:pPr>
      <w:spacing w:after="120"/>
    </w:pPr>
  </w:style>
  <w:style w:type="paragraph" w:styleId="11">
    <w:name w:val="Body Text Indent"/>
    <w:basedOn w:val="1"/>
    <w:link w:val="32"/>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3"/>
    <w:qFormat/>
    <w:uiPriority w:val="0"/>
    <w:rPr>
      <w:rFonts w:ascii="宋体" w:hAnsi="Courier New"/>
      <w:kern w:val="0"/>
      <w:sz w:val="20"/>
      <w:szCs w:val="21"/>
    </w:rPr>
  </w:style>
  <w:style w:type="paragraph" w:styleId="14">
    <w:name w:val="Date"/>
    <w:basedOn w:val="1"/>
    <w:next w:val="1"/>
    <w:link w:val="34"/>
    <w:unhideWhenUsed/>
    <w:qFormat/>
    <w:uiPriority w:val="99"/>
    <w:pPr>
      <w:ind w:left="100" w:leftChars="2500"/>
    </w:pPr>
  </w:style>
  <w:style w:type="paragraph" w:styleId="15">
    <w:name w:val="Balloon Text"/>
    <w:basedOn w:val="1"/>
    <w:semiHidden/>
    <w:qFormat/>
    <w:uiPriority w:val="0"/>
    <w:rPr>
      <w:sz w:val="18"/>
      <w:szCs w:val="18"/>
    </w:rPr>
  </w:style>
  <w:style w:type="paragraph" w:styleId="16">
    <w:name w:val="footer"/>
    <w:basedOn w:val="1"/>
    <w:link w:val="35"/>
    <w:unhideWhenUsed/>
    <w:qFormat/>
    <w:uiPriority w:val="99"/>
    <w:pPr>
      <w:tabs>
        <w:tab w:val="center" w:pos="4153"/>
        <w:tab w:val="right" w:pos="8306"/>
      </w:tabs>
      <w:snapToGrid w:val="0"/>
      <w:jc w:val="left"/>
    </w:pPr>
    <w:rPr>
      <w:kern w:val="0"/>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0">
    <w:name w:val="annotation subject"/>
    <w:basedOn w:val="8"/>
    <w:next w:val="8"/>
    <w:link w:val="37"/>
    <w:qFormat/>
    <w:uiPriority w:val="99"/>
    <w:rPr>
      <w:b/>
      <w:bCs/>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unhideWhenUsed/>
    <w:qFormat/>
    <w:uiPriority w:val="99"/>
    <w:rPr>
      <w:color w:val="0000FF"/>
      <w:u w:val="single"/>
    </w:rPr>
  </w:style>
  <w:style w:type="character" w:styleId="25">
    <w:name w:val="annotation reference"/>
    <w:qFormat/>
    <w:uiPriority w:val="0"/>
    <w:rPr>
      <w:sz w:val="21"/>
      <w:szCs w:val="21"/>
    </w:rPr>
  </w:style>
  <w:style w:type="character" w:customStyle="1" w:styleId="26">
    <w:name w:val="标题 1 Char"/>
    <w:link w:val="3"/>
    <w:qFormat/>
    <w:uiPriority w:val="0"/>
    <w:rPr>
      <w:b/>
      <w:bCs/>
      <w:kern w:val="44"/>
      <w:sz w:val="44"/>
      <w:szCs w:val="44"/>
    </w:rPr>
  </w:style>
  <w:style w:type="character" w:customStyle="1" w:styleId="27">
    <w:name w:val="标题 2 Char"/>
    <w:link w:val="4"/>
    <w:qFormat/>
    <w:uiPriority w:val="9"/>
    <w:rPr>
      <w:rFonts w:ascii="Cambria" w:hAnsi="Cambria" w:eastAsia="宋体" w:cs="Times New Roman"/>
      <w:b/>
      <w:bCs/>
      <w:kern w:val="2"/>
      <w:sz w:val="32"/>
      <w:szCs w:val="32"/>
    </w:rPr>
  </w:style>
  <w:style w:type="character" w:customStyle="1" w:styleId="28">
    <w:name w:val="标题 5 Char"/>
    <w:link w:val="5"/>
    <w:semiHidden/>
    <w:qFormat/>
    <w:uiPriority w:val="9"/>
    <w:rPr>
      <w:rFonts w:ascii="Times New Roman" w:hAnsi="Times New Roman"/>
      <w:b/>
      <w:bCs/>
      <w:kern w:val="2"/>
      <w:sz w:val="28"/>
      <w:szCs w:val="28"/>
    </w:rPr>
  </w:style>
  <w:style w:type="character" w:customStyle="1" w:styleId="29">
    <w:name w:val="批注文字 Char"/>
    <w:link w:val="8"/>
    <w:qFormat/>
    <w:uiPriority w:val="0"/>
    <w:rPr>
      <w:rFonts w:ascii="Times New Roman" w:hAnsi="Times New Roman"/>
      <w:kern w:val="2"/>
      <w:sz w:val="21"/>
      <w:szCs w:val="24"/>
    </w:rPr>
  </w:style>
  <w:style w:type="character" w:customStyle="1" w:styleId="30">
    <w:name w:val="正文文本 3 Char"/>
    <w:link w:val="9"/>
    <w:semiHidden/>
    <w:qFormat/>
    <w:uiPriority w:val="99"/>
    <w:rPr>
      <w:rFonts w:ascii="Times New Roman" w:hAnsi="Times New Roman"/>
      <w:kern w:val="2"/>
      <w:sz w:val="16"/>
      <w:szCs w:val="16"/>
    </w:rPr>
  </w:style>
  <w:style w:type="character" w:customStyle="1" w:styleId="31">
    <w:name w:val="正文文本 Char"/>
    <w:link w:val="10"/>
    <w:qFormat/>
    <w:uiPriority w:val="0"/>
    <w:rPr>
      <w:rFonts w:ascii="Times New Roman" w:hAnsi="Times New Roman"/>
      <w:kern w:val="2"/>
      <w:sz w:val="21"/>
      <w:szCs w:val="24"/>
    </w:rPr>
  </w:style>
  <w:style w:type="character" w:customStyle="1" w:styleId="32">
    <w:name w:val="正文文本缩进 Char"/>
    <w:link w:val="11"/>
    <w:qFormat/>
    <w:uiPriority w:val="0"/>
    <w:rPr>
      <w:rFonts w:ascii="仿宋_GB2312" w:hAnsi="Times New Roman" w:eastAsia="仿宋_GB2312" w:cs="Times New Roman"/>
      <w:sz w:val="32"/>
      <w:szCs w:val="20"/>
    </w:rPr>
  </w:style>
  <w:style w:type="character" w:customStyle="1" w:styleId="33">
    <w:name w:val="纯文本 Char"/>
    <w:link w:val="13"/>
    <w:qFormat/>
    <w:uiPriority w:val="0"/>
    <w:rPr>
      <w:rFonts w:ascii="宋体" w:hAnsi="Courier New" w:eastAsia="宋体" w:cs="Courier New"/>
      <w:szCs w:val="21"/>
    </w:rPr>
  </w:style>
  <w:style w:type="character" w:customStyle="1" w:styleId="34">
    <w:name w:val="日期 Char"/>
    <w:link w:val="14"/>
    <w:semiHidden/>
    <w:qFormat/>
    <w:uiPriority w:val="99"/>
    <w:rPr>
      <w:rFonts w:ascii="Times New Roman" w:hAnsi="Times New Roman"/>
      <w:kern w:val="2"/>
      <w:sz w:val="21"/>
      <w:szCs w:val="24"/>
    </w:rPr>
  </w:style>
  <w:style w:type="character" w:customStyle="1" w:styleId="35">
    <w:name w:val="页脚 Char1"/>
    <w:link w:val="16"/>
    <w:qFormat/>
    <w:uiPriority w:val="99"/>
    <w:rPr>
      <w:sz w:val="18"/>
      <w:szCs w:val="18"/>
    </w:rPr>
  </w:style>
  <w:style w:type="character" w:customStyle="1" w:styleId="36">
    <w:name w:val="页眉 Char"/>
    <w:link w:val="17"/>
    <w:qFormat/>
    <w:uiPriority w:val="99"/>
    <w:rPr>
      <w:sz w:val="18"/>
      <w:szCs w:val="18"/>
    </w:rPr>
  </w:style>
  <w:style w:type="character" w:customStyle="1" w:styleId="37">
    <w:name w:val="批注主题 Char"/>
    <w:link w:val="20"/>
    <w:qFormat/>
    <w:uiPriority w:val="99"/>
    <w:rPr>
      <w:rFonts w:ascii="Times New Roman" w:hAnsi="Times New Roman"/>
      <w:b/>
      <w:bCs/>
      <w:kern w:val="2"/>
      <w:sz w:val="21"/>
      <w:szCs w:val="24"/>
    </w:rPr>
  </w:style>
  <w:style w:type="paragraph" w:customStyle="1" w:styleId="38">
    <w:name w:val="Default"/>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character" w:customStyle="1" w:styleId="39">
    <w:name w:val="页脚 Char"/>
    <w:qFormat/>
    <w:uiPriority w:val="99"/>
    <w:rPr>
      <w:lang w:eastAsia="zh-CN"/>
    </w:rPr>
  </w:style>
  <w:style w:type="character" w:customStyle="1" w:styleId="40">
    <w:name w:val="批注文字 Char1"/>
    <w:qFormat/>
    <w:uiPriority w:val="0"/>
    <w:rPr>
      <w:rFonts w:ascii="Times New Roman" w:hAnsi="Times New Roman"/>
      <w:kern w:val="2"/>
      <w:sz w:val="21"/>
      <w:szCs w:val="24"/>
    </w:rPr>
  </w:style>
  <w:style w:type="character" w:customStyle="1" w:styleId="41">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2">
    <w:name w:val="标题 1 字符"/>
    <w:qFormat/>
    <w:uiPriority w:val="9"/>
    <w:rPr>
      <w:b/>
      <w:bCs/>
      <w:kern w:val="44"/>
      <w:sz w:val="44"/>
      <w:szCs w:val="44"/>
    </w:rPr>
  </w:style>
  <w:style w:type="character" w:customStyle="1" w:styleId="43">
    <w:name w:val="批注文字 字符2"/>
    <w:qFormat/>
    <w:uiPriority w:val="0"/>
    <w:rPr>
      <w:rFonts w:ascii="Times New Roman" w:hAnsi="Times New Roman"/>
      <w:kern w:val="2"/>
      <w:sz w:val="21"/>
      <w:szCs w:val="24"/>
    </w:rPr>
  </w:style>
  <w:style w:type="character" w:customStyle="1" w:styleId="44">
    <w:name w:val="apple-style-span"/>
    <w:qFormat/>
    <w:uiPriority w:val="0"/>
  </w:style>
  <w:style w:type="character" w:customStyle="1" w:styleId="45">
    <w:name w:val="textcontents"/>
    <w:qFormat/>
    <w:uiPriority w:val="0"/>
  </w:style>
  <w:style w:type="character" w:customStyle="1" w:styleId="46">
    <w:name w:val="纯文本 Char1"/>
    <w:qFormat/>
    <w:uiPriority w:val="0"/>
    <w:rPr>
      <w:rFonts w:ascii="宋体" w:hAnsi="Courier New" w:eastAsia="宋体" w:cs="Courier New"/>
      <w:szCs w:val="21"/>
    </w:rPr>
  </w:style>
  <w:style w:type="character" w:customStyle="1" w:styleId="47">
    <w:name w:val="正文文本 Char1"/>
    <w:semiHidden/>
    <w:qFormat/>
    <w:locked/>
    <w:uiPriority w:val="0"/>
    <w:rPr>
      <w:kern w:val="2"/>
      <w:sz w:val="21"/>
      <w:szCs w:val="24"/>
    </w:rPr>
  </w:style>
  <w:style w:type="character" w:customStyle="1" w:styleId="48">
    <w:name w:val="正文文本缩进 字符1"/>
    <w:qFormat/>
    <w:uiPriority w:val="0"/>
    <w:rPr>
      <w:rFonts w:ascii="仿宋_GB2312" w:hAnsi="Times New Roman" w:eastAsia="仿宋_GB2312" w:cs="Times New Roman"/>
      <w:sz w:val="32"/>
      <w:szCs w:val="20"/>
    </w:rPr>
  </w:style>
  <w:style w:type="character" w:customStyle="1" w:styleId="49">
    <w:name w:val="批注文字 字符1"/>
    <w:qFormat/>
    <w:uiPriority w:val="0"/>
    <w:rPr>
      <w:kern w:val="2"/>
      <w:sz w:val="21"/>
      <w:szCs w:val="24"/>
    </w:rPr>
  </w:style>
  <w:style w:type="character" w:customStyle="1" w:styleId="50">
    <w:name w:val="纯文本 字符1"/>
    <w:qFormat/>
    <w:uiPriority w:val="0"/>
    <w:rPr>
      <w:rFonts w:ascii="宋体" w:hAnsi="Courier New"/>
    </w:rPr>
  </w:style>
  <w:style w:type="character" w:customStyle="1" w:styleId="51">
    <w:name w:val="正文2 Char Char"/>
    <w:link w:val="52"/>
    <w:qFormat/>
    <w:uiPriority w:val="0"/>
    <w:rPr>
      <w:kern w:val="2"/>
      <w:sz w:val="24"/>
    </w:rPr>
  </w:style>
  <w:style w:type="paragraph" w:customStyle="1" w:styleId="52">
    <w:name w:val="正文2"/>
    <w:basedOn w:val="1"/>
    <w:link w:val="51"/>
    <w:qFormat/>
    <w:uiPriority w:val="0"/>
    <w:pPr>
      <w:adjustRightInd w:val="0"/>
      <w:spacing w:before="156" w:line="360" w:lineRule="auto"/>
      <w:ind w:firstLine="510" w:firstLineChars="200"/>
    </w:pPr>
    <w:rPr>
      <w:sz w:val="24"/>
      <w:szCs w:val="20"/>
    </w:rPr>
  </w:style>
  <w:style w:type="character" w:customStyle="1" w:styleId="53">
    <w:name w:val="批注文字 Char2"/>
    <w:qFormat/>
    <w:uiPriority w:val="0"/>
    <w:rPr>
      <w:rFonts w:ascii="Times New Roman" w:hAnsi="Times New Roman"/>
      <w:kern w:val="2"/>
      <w:sz w:val="21"/>
      <w:szCs w:val="24"/>
    </w:rPr>
  </w:style>
  <w:style w:type="character" w:customStyle="1" w:styleId="54">
    <w:name w:val="纯文本 字符2"/>
    <w:qFormat/>
    <w:uiPriority w:val="0"/>
    <w:rPr>
      <w:rFonts w:ascii="宋体" w:hAnsi="Courier New" w:eastAsia="宋体" w:cs="Courier New"/>
      <w:szCs w:val="21"/>
    </w:rPr>
  </w:style>
  <w:style w:type="paragraph" w:styleId="55">
    <w:name w:val="List Paragraph"/>
    <w:basedOn w:val="1"/>
    <w:qFormat/>
    <w:uiPriority w:val="34"/>
    <w:pPr>
      <w:ind w:firstLine="420" w:firstLineChars="200"/>
    </w:p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paragraph" w:customStyle="1" w:styleId="57">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1">
    <w:name w:val="&gt;合同 正文"/>
    <w:qFormat/>
    <w:uiPriority w:val="0"/>
    <w:pPr>
      <w:spacing w:line="288" w:lineRule="auto"/>
      <w:ind w:firstLine="200" w:firstLineChars="200"/>
    </w:pPr>
    <w:rPr>
      <w:rFonts w:ascii="宋体" w:hAnsi="宋体" w:eastAsia="宋体" w:cs="宋体"/>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85</Pages>
  <Words>16604</Words>
  <Characters>17841</Characters>
  <Lines>495</Lines>
  <Paragraphs>139</Paragraphs>
  <TotalTime>325</TotalTime>
  <ScaleCrop>false</ScaleCrop>
  <LinksUpToDate>false</LinksUpToDate>
  <CharactersWithSpaces>18266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2020-10-16T09:42:00Z</dcterms:created>
  <dc:creator>唐冰</dc:creator>
  <cp:lastModifiedBy>Administrator</cp:lastModifiedBy>
  <cp:lastPrinted>2020-04-02T08:20:00Z</cp:lastPrinted>
  <dcterms:modified xsi:type="dcterms:W3CDTF">2025-07-07T09:33:44Z</dcterms:modified>
  <dc:title>竞争性谈判文件规范</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8756D9CFB1294D3BA162D32C3D54F319_13</vt:lpwstr>
  </property>
  <property fmtid="{D5CDD505-2E9C-101B-9397-08002B2CF9AE}" pid="4" name="KSOTemplateDocerSaveRecord">
    <vt:lpwstr>eyJoZGlkIjoiZDViNzkzZjc0M2IwZjdjYjIzY2Q1ZTM3ODY4ZTE0YjIiLCJ1c2VySWQiOiI2MTI4OTUwMDYifQ==</vt:lpwstr>
  </property>
</Properties>
</file>