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28F91">
      <w:pPr>
        <w:spacing w:line="360" w:lineRule="auto"/>
        <w:jc w:val="center"/>
        <w:rPr>
          <w:rFonts w:hint="eastAsia" w:ascii="方正小标宋简体" w:hAnsi="宋体" w:eastAsia="方正小标宋简体"/>
          <w:color w:val="auto"/>
          <w:sz w:val="52"/>
          <w:szCs w:val="52"/>
        </w:rPr>
      </w:pPr>
      <w:bookmarkStart w:id="177" w:name="_GoBack"/>
    </w:p>
    <w:p w14:paraId="527A9527">
      <w:pPr>
        <w:spacing w:line="360" w:lineRule="auto"/>
        <w:jc w:val="center"/>
        <w:rPr>
          <w:rFonts w:hint="eastAsia" w:ascii="方正小标宋简体" w:hAnsi="宋体" w:eastAsia="方正小标宋简体"/>
          <w:color w:val="auto"/>
          <w:sz w:val="52"/>
          <w:szCs w:val="52"/>
        </w:rPr>
      </w:pPr>
    </w:p>
    <w:p w14:paraId="43B8CD2A">
      <w:pPr>
        <w:spacing w:line="360" w:lineRule="auto"/>
        <w:jc w:val="center"/>
        <w:rPr>
          <w:rFonts w:hint="eastAsia" w:ascii="方正小标宋简体" w:hAnsi="方正小标宋简体" w:eastAsia="方正小标宋简体" w:cs="方正小标宋简体"/>
          <w:color w:val="auto"/>
          <w:sz w:val="52"/>
          <w:szCs w:val="52"/>
        </w:rPr>
      </w:pPr>
      <w:r>
        <w:rPr>
          <w:rFonts w:hint="eastAsia" w:ascii="方正小标宋简体" w:hAnsi="宋体" w:eastAsia="方正小标宋简体"/>
          <w:color w:val="auto"/>
          <w:sz w:val="52"/>
          <w:szCs w:val="52"/>
        </w:rPr>
        <w:t>云之龙咨询集团有限公司</w:t>
      </w:r>
    </w:p>
    <w:p w14:paraId="23A38F7D">
      <w:pPr>
        <w:spacing w:line="360" w:lineRule="auto"/>
        <w:jc w:val="center"/>
        <w:rPr>
          <w:rFonts w:hint="eastAsia" w:ascii="方正小标宋简体" w:hAnsi="方正小标宋简体" w:eastAsia="方正小标宋简体" w:cs="方正小标宋简体"/>
          <w:b/>
          <w:iCs/>
          <w:color w:val="auto"/>
          <w:sz w:val="44"/>
          <w:szCs w:val="44"/>
        </w:rPr>
      </w:pPr>
      <w:r>
        <w:rPr>
          <w:rFonts w:hint="eastAsia" w:ascii="仿宋_GB2312" w:hAnsi="宋体" w:eastAsia="仿宋_GB2312"/>
          <w:b/>
          <w:color w:val="auto"/>
          <w:sz w:val="48"/>
          <w:szCs w:val="48"/>
        </w:rPr>
        <w:t>（服务类政府采购）</w:t>
      </w:r>
    </w:p>
    <w:p w14:paraId="54C46FF9">
      <w:pPr>
        <w:spacing w:line="360" w:lineRule="auto"/>
        <w:jc w:val="center"/>
        <w:rPr>
          <w:rFonts w:hint="eastAsia" w:ascii="方正小标宋简体" w:hAnsi="方正小标宋简体" w:eastAsia="方正小标宋简体" w:cs="方正小标宋简体"/>
          <w:b/>
          <w:color w:val="auto"/>
          <w:sz w:val="44"/>
          <w:szCs w:val="44"/>
        </w:rPr>
      </w:pPr>
    </w:p>
    <w:p w14:paraId="0F087AD4">
      <w:pPr>
        <w:snapToGrid w:val="0"/>
        <w:spacing w:before="156" w:beforeLines="50" w:line="360" w:lineRule="auto"/>
        <w:jc w:val="center"/>
        <w:rPr>
          <w:rFonts w:hint="eastAsia" w:ascii="华文新魏" w:hAnsi="宋体" w:eastAsia="华文新魏"/>
          <w:color w:val="auto"/>
          <w:sz w:val="120"/>
          <w:szCs w:val="120"/>
        </w:rPr>
      </w:pPr>
      <w:r>
        <w:rPr>
          <w:rFonts w:hint="eastAsia" w:ascii="华文新魏" w:hAnsi="宋体" w:eastAsia="华文新魏"/>
          <w:color w:val="auto"/>
          <w:sz w:val="120"/>
          <w:szCs w:val="120"/>
        </w:rPr>
        <w:t>竞争性磋商文件</w:t>
      </w:r>
    </w:p>
    <w:p w14:paraId="535CC28C">
      <w:pPr>
        <w:snapToGrid w:val="0"/>
        <w:spacing w:before="156" w:beforeLines="50" w:line="360" w:lineRule="auto"/>
        <w:jc w:val="center"/>
        <w:rPr>
          <w:rFonts w:hint="eastAsia" w:ascii="仿宋_GB2312" w:hAnsi="宋体" w:eastAsia="仿宋_GB2312"/>
          <w:b/>
          <w:color w:val="auto"/>
          <w:sz w:val="30"/>
          <w:szCs w:val="72"/>
        </w:rPr>
      </w:pPr>
      <w:r>
        <w:rPr>
          <w:rFonts w:hint="eastAsia" w:ascii="仿宋_GB2312" w:hAnsi="宋体" w:eastAsia="仿宋_GB2312"/>
          <w:b/>
          <w:color w:val="auto"/>
          <w:sz w:val="48"/>
          <w:szCs w:val="48"/>
        </w:rPr>
        <w:t>（全流程电子化采购）</w:t>
      </w:r>
    </w:p>
    <w:p w14:paraId="28A06328">
      <w:pPr>
        <w:snapToGrid w:val="0"/>
        <w:spacing w:line="360" w:lineRule="auto"/>
        <w:rPr>
          <w:rFonts w:hint="eastAsia" w:ascii="仿宋_GB2312" w:hAnsi="宋体" w:eastAsia="仿宋_GB2312"/>
          <w:color w:val="auto"/>
          <w:sz w:val="30"/>
          <w:szCs w:val="72"/>
        </w:rPr>
      </w:pPr>
    </w:p>
    <w:p w14:paraId="2C08B765">
      <w:pPr>
        <w:pStyle w:val="16"/>
        <w:snapToGrid w:val="0"/>
        <w:spacing w:line="360" w:lineRule="auto"/>
        <w:ind w:left="2702" w:leftChars="568" w:hanging="1509" w:hangingChars="501"/>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：梧州市政府办公大楼既有建筑节能降碳改造项目</w:t>
      </w:r>
    </w:p>
    <w:p w14:paraId="65706A91">
      <w:pPr>
        <w:snapToGrid w:val="0"/>
        <w:spacing w:line="360" w:lineRule="auto"/>
        <w:ind w:firstLine="1145" w:firstLineChars="400"/>
        <w:rPr>
          <w:rFonts w:hint="eastAsia" w:ascii="仿宋_GB2312" w:hAnsi="宋体" w:eastAsia="仿宋_GB2312"/>
          <w:color w:val="auto"/>
          <w:sz w:val="30"/>
          <w:szCs w:val="72"/>
          <w:lang w:eastAsia="zh-CN"/>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仿宋_GB2312" w:hAnsi="宋体" w:eastAsia="仿宋_GB2312" w:cs="Courier New"/>
          <w:b/>
          <w:bCs/>
          <w:color w:val="auto"/>
          <w:w w:val="95"/>
          <w:sz w:val="30"/>
          <w:szCs w:val="30"/>
          <w:lang w:eastAsia="zh-CN"/>
        </w:rPr>
        <w:t>WZZC2025-C3-990320-YZLZ</w:t>
      </w:r>
    </w:p>
    <w:p w14:paraId="24B52474">
      <w:pPr>
        <w:pStyle w:val="16"/>
        <w:snapToGrid w:val="0"/>
        <w:spacing w:line="360" w:lineRule="auto"/>
        <w:ind w:firstLine="1125" w:firstLineChars="393"/>
        <w:rPr>
          <w:rFonts w:hint="eastAsia" w:ascii="仿宋_GB2312" w:hAnsi="宋体" w:eastAsia="仿宋_GB2312"/>
          <w:b/>
          <w:bCs/>
          <w:color w:val="auto"/>
          <w:sz w:val="30"/>
          <w:szCs w:val="30"/>
        </w:rPr>
      </w:pPr>
      <w:r>
        <w:rPr>
          <w:rFonts w:hint="eastAsia" w:ascii="仿宋_GB2312" w:hAnsi="宋体" w:eastAsia="仿宋_GB2312"/>
          <w:b/>
          <w:bCs/>
          <w:color w:val="auto"/>
          <w:w w:val="95"/>
          <w:sz w:val="30"/>
          <w:szCs w:val="30"/>
        </w:rPr>
        <w:t>采 购 人：</w:t>
      </w:r>
      <w:r>
        <w:rPr>
          <w:rFonts w:hint="eastAsia" w:ascii="仿宋_GB2312" w:hAnsi="宋体" w:eastAsia="仿宋_GB2312"/>
          <w:b/>
          <w:bCs/>
          <w:color w:val="auto"/>
          <w:sz w:val="30"/>
          <w:szCs w:val="30"/>
        </w:rPr>
        <w:t>梧州市机关后勤服务中心</w:t>
      </w:r>
    </w:p>
    <w:p w14:paraId="54443F92">
      <w:pPr>
        <w:pStyle w:val="16"/>
        <w:snapToGrid w:val="0"/>
        <w:spacing w:line="360" w:lineRule="auto"/>
        <w:ind w:firstLine="1125" w:firstLineChars="393"/>
        <w:rPr>
          <w:rFonts w:hint="eastAsia"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59479E2D">
      <w:pPr>
        <w:pStyle w:val="16"/>
        <w:snapToGrid w:val="0"/>
        <w:spacing w:line="360" w:lineRule="auto"/>
        <w:ind w:firstLine="1125" w:firstLineChars="393"/>
        <w:rPr>
          <w:rFonts w:hint="eastAsia" w:ascii="仿宋_GB2312" w:hAnsi="宋体" w:eastAsia="仿宋_GB2312"/>
          <w:b/>
          <w:bCs/>
          <w:color w:val="auto"/>
          <w:w w:val="95"/>
          <w:sz w:val="30"/>
          <w:szCs w:val="30"/>
        </w:rPr>
      </w:pPr>
    </w:p>
    <w:p w14:paraId="2B8C11E5">
      <w:pPr>
        <w:pStyle w:val="16"/>
        <w:snapToGrid w:val="0"/>
        <w:spacing w:line="360" w:lineRule="auto"/>
        <w:ind w:firstLine="1125" w:firstLineChars="393"/>
        <w:rPr>
          <w:rFonts w:hint="eastAsia" w:ascii="仿宋_GB2312" w:hAnsi="宋体" w:eastAsia="仿宋_GB2312"/>
          <w:b/>
          <w:bCs/>
          <w:color w:val="auto"/>
          <w:w w:val="95"/>
          <w:sz w:val="30"/>
          <w:szCs w:val="30"/>
        </w:rPr>
      </w:pPr>
    </w:p>
    <w:p w14:paraId="37974719">
      <w:pPr>
        <w:pStyle w:val="16"/>
        <w:snapToGrid w:val="0"/>
        <w:spacing w:line="360" w:lineRule="auto"/>
        <w:ind w:left="420" w:firstLine="841" w:firstLineChars="294"/>
        <w:jc w:val="center"/>
        <w:rPr>
          <w:rFonts w:ascii="仿宋_GB2312" w:eastAsia="仿宋_GB2312"/>
          <w:color w:val="auto"/>
          <w:szCs w:val="20"/>
        </w:rPr>
      </w:pPr>
      <w:r>
        <w:rPr>
          <w:rFonts w:hint="eastAsia" w:ascii="仿宋_GB2312" w:hAnsi="宋体" w:eastAsia="仿宋_GB2312"/>
          <w:b/>
          <w:bCs/>
          <w:color w:val="auto"/>
          <w:w w:val="95"/>
          <w:sz w:val="30"/>
          <w:szCs w:val="30"/>
        </w:rPr>
        <w:t>2025年11月</w:t>
      </w:r>
      <w:r>
        <w:rPr>
          <w:rFonts w:hint="eastAsia" w:ascii="仿宋_GB2312" w:hAnsi="宋体" w:eastAsia="仿宋_GB2312"/>
          <w:b/>
          <w:bCs/>
          <w:color w:val="auto"/>
          <w:w w:val="95"/>
          <w:sz w:val="30"/>
          <w:szCs w:val="30"/>
          <w:lang w:val="en-US" w:eastAsia="zh-CN"/>
        </w:rPr>
        <w:t>28</w:t>
      </w:r>
      <w:r>
        <w:rPr>
          <w:rFonts w:hint="eastAsia" w:ascii="仿宋_GB2312" w:hAnsi="宋体" w:eastAsia="仿宋_GB2312"/>
          <w:b/>
          <w:bCs/>
          <w:color w:val="auto"/>
          <w:w w:val="95"/>
          <w:sz w:val="30"/>
          <w:szCs w:val="30"/>
        </w:rPr>
        <w:t>日</w:t>
      </w:r>
    </w:p>
    <w:p w14:paraId="418F59CE">
      <w:pPr>
        <w:spacing w:line="360" w:lineRule="auto"/>
        <w:jc w:val="center"/>
        <w:rPr>
          <w:rFonts w:hint="eastAsia" w:ascii="宋体" w:hAnsi="宋体" w:cs="宋体"/>
          <w:b/>
          <w:bCs/>
          <w:color w:val="auto"/>
          <w:kern w:val="0"/>
          <w:sz w:val="32"/>
          <w:szCs w:val="32"/>
        </w:rPr>
      </w:pPr>
    </w:p>
    <w:p w14:paraId="337517DE">
      <w:pPr>
        <w:spacing w:line="360" w:lineRule="auto"/>
        <w:jc w:val="center"/>
        <w:rPr>
          <w:rFonts w:hint="eastAsia" w:ascii="宋体" w:hAnsi="宋体" w:cs="宋体"/>
          <w:b/>
          <w:bCs/>
          <w:color w:val="auto"/>
          <w:kern w:val="0"/>
          <w:sz w:val="32"/>
          <w:szCs w:val="32"/>
        </w:rPr>
      </w:pPr>
    </w:p>
    <w:p w14:paraId="2E2165EF">
      <w:pPr>
        <w:spacing w:line="360" w:lineRule="auto"/>
        <w:jc w:val="center"/>
        <w:rPr>
          <w:rFonts w:hint="eastAsia" w:ascii="宋体" w:hAnsi="宋体"/>
          <w:b/>
          <w:color w:val="auto"/>
          <w:sz w:val="44"/>
          <w:szCs w:val="44"/>
        </w:rPr>
      </w:pPr>
    </w:p>
    <w:p w14:paraId="525043D6">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6C47438E">
      <w:pPr>
        <w:spacing w:line="400" w:lineRule="exact"/>
        <w:jc w:val="center"/>
        <w:rPr>
          <w:rFonts w:hint="eastAsia" w:ascii="宋体" w:hAnsi="宋体"/>
          <w:b/>
          <w:color w:val="auto"/>
          <w:sz w:val="44"/>
          <w:szCs w:val="44"/>
        </w:rPr>
      </w:pPr>
    </w:p>
    <w:p w14:paraId="04F77E20">
      <w:pPr>
        <w:pStyle w:val="21"/>
        <w:tabs>
          <w:tab w:val="right" w:leader="dot" w:pos="8869"/>
        </w:tabs>
        <w:snapToGrid w:val="0"/>
        <w:spacing w:line="500" w:lineRule="atLeast"/>
        <w:rPr>
          <w:rFonts w:hint="eastAsia" w:ascii="宋体" w:hAnsi="宋体"/>
          <w:b/>
          <w:color w:val="auto"/>
          <w:sz w:val="24"/>
        </w:rPr>
      </w:pPr>
      <w:r>
        <w:rPr>
          <w:rFonts w:ascii="宋体" w:hAnsi="宋体"/>
          <w:b/>
          <w:color w:val="auto"/>
          <w:sz w:val="24"/>
        </w:rPr>
        <w:fldChar w:fldCharType="begin"/>
      </w:r>
      <w:r>
        <w:rPr>
          <w:rFonts w:hint="eastAsia" w:ascii="宋体" w:hAnsi="宋体"/>
          <w:b/>
          <w:color w:val="auto"/>
          <w:sz w:val="24"/>
        </w:rPr>
        <w:instrText xml:space="preserve">TOC \o "1-3" \h \z \u</w:instrText>
      </w:r>
      <w:r>
        <w:rPr>
          <w:rFonts w:ascii="宋体" w:hAnsi="宋体"/>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Style w:val="29"/>
          <w:rFonts w:hint="eastAsia" w:ascii="宋体" w:hAnsi="宋体"/>
          <w:b/>
          <w:color w:val="auto"/>
          <w:sz w:val="24"/>
        </w:rPr>
        <w:t>第一章竞争性磋商公告</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_Toc74323456 \h </w:instrText>
      </w:r>
      <w:r>
        <w:rPr>
          <w:rFonts w:ascii="宋体" w:hAnsi="宋体"/>
          <w:b/>
          <w:color w:val="auto"/>
          <w:sz w:val="24"/>
        </w:rPr>
        <w:fldChar w:fldCharType="separate"/>
      </w:r>
      <w:r>
        <w:rPr>
          <w:rFonts w:ascii="宋体" w:hAnsi="宋体"/>
          <w:b/>
          <w:color w:val="auto"/>
          <w:sz w:val="24"/>
        </w:rPr>
        <w:t>2</w:t>
      </w:r>
      <w:r>
        <w:rPr>
          <w:rFonts w:ascii="宋体" w:hAnsi="宋体"/>
          <w:b/>
          <w:color w:val="auto"/>
          <w:sz w:val="24"/>
        </w:rPr>
        <w:fldChar w:fldCharType="end"/>
      </w:r>
      <w:r>
        <w:rPr>
          <w:rFonts w:ascii="宋体" w:hAnsi="宋体"/>
          <w:b/>
          <w:color w:val="auto"/>
          <w:sz w:val="24"/>
        </w:rPr>
        <w:fldChar w:fldCharType="end"/>
      </w:r>
    </w:p>
    <w:p w14:paraId="25AE3585">
      <w:pPr>
        <w:pStyle w:val="21"/>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"_Toc74323457" </w:instrText>
      </w:r>
      <w:r>
        <w:rPr>
          <w:color w:val="auto"/>
        </w:rPr>
        <w:fldChar w:fldCharType="separate"/>
      </w:r>
      <w:r>
        <w:rPr>
          <w:rStyle w:val="29"/>
          <w:rFonts w:hint="eastAsia" w:ascii="宋体" w:hAnsi="宋体"/>
          <w:b/>
          <w:color w:val="auto"/>
          <w:sz w:val="24"/>
        </w:rPr>
        <w:t>第二章供应</w:t>
      </w:r>
      <w:bookmarkStart w:id="0" w:name="_Hlt82161237"/>
      <w:r>
        <w:rPr>
          <w:rStyle w:val="29"/>
          <w:rFonts w:hint="eastAsia" w:ascii="宋体" w:hAnsi="宋体"/>
          <w:b/>
          <w:color w:val="auto"/>
          <w:sz w:val="24"/>
        </w:rPr>
        <w:t>商</w:t>
      </w:r>
      <w:bookmarkEnd w:id="0"/>
      <w:r>
        <w:rPr>
          <w:rStyle w:val="29"/>
          <w:rFonts w:hint="eastAsia" w:ascii="宋体" w:hAnsi="宋体"/>
          <w:b/>
          <w:color w:val="auto"/>
          <w:sz w:val="24"/>
        </w:rPr>
        <w:t>须知</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_Toc74323457 \h </w:instrText>
      </w:r>
      <w:r>
        <w:rPr>
          <w:rFonts w:ascii="宋体" w:hAnsi="宋体"/>
          <w:b/>
          <w:color w:val="auto"/>
          <w:sz w:val="24"/>
        </w:rPr>
        <w:fldChar w:fldCharType="separate"/>
      </w:r>
      <w:r>
        <w:rPr>
          <w:rFonts w:ascii="宋体" w:hAnsi="宋体"/>
          <w:b/>
          <w:color w:val="auto"/>
          <w:sz w:val="24"/>
        </w:rPr>
        <w:t>6</w:t>
      </w:r>
      <w:r>
        <w:rPr>
          <w:rFonts w:ascii="宋体" w:hAnsi="宋体"/>
          <w:b/>
          <w:color w:val="auto"/>
          <w:sz w:val="24"/>
        </w:rPr>
        <w:fldChar w:fldCharType="end"/>
      </w:r>
      <w:r>
        <w:rPr>
          <w:rFonts w:ascii="宋体" w:hAnsi="宋体"/>
          <w:b/>
          <w:color w:val="auto"/>
          <w:sz w:val="24"/>
        </w:rPr>
        <w:fldChar w:fldCharType="end"/>
      </w:r>
    </w:p>
    <w:p w14:paraId="2747E305">
      <w:pPr>
        <w:pStyle w:val="21"/>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"_Toc74323458" </w:instrText>
      </w:r>
      <w:r>
        <w:rPr>
          <w:color w:val="auto"/>
        </w:rPr>
        <w:fldChar w:fldCharType="separate"/>
      </w:r>
      <w:r>
        <w:rPr>
          <w:rStyle w:val="29"/>
          <w:rFonts w:hint="eastAsia" w:ascii="宋体" w:hAnsi="宋体"/>
          <w:b/>
          <w:color w:val="auto"/>
          <w:sz w:val="24"/>
        </w:rPr>
        <w:t>第三章采购需</w:t>
      </w:r>
      <w:bookmarkStart w:id="1" w:name="_Hlt82166940"/>
      <w:r>
        <w:rPr>
          <w:rStyle w:val="29"/>
          <w:rFonts w:hint="eastAsia" w:ascii="宋体" w:hAnsi="宋体"/>
          <w:b/>
          <w:color w:val="auto"/>
          <w:sz w:val="24"/>
        </w:rPr>
        <w:t>求</w:t>
      </w:r>
      <w:bookmarkEnd w:id="1"/>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_Toc74323458 \h </w:instrText>
      </w:r>
      <w:r>
        <w:rPr>
          <w:rFonts w:ascii="宋体" w:hAnsi="宋体"/>
          <w:b/>
          <w:color w:val="auto"/>
          <w:sz w:val="24"/>
        </w:rPr>
        <w:fldChar w:fldCharType="separate"/>
      </w:r>
      <w:r>
        <w:rPr>
          <w:rFonts w:ascii="宋体" w:hAnsi="宋体"/>
          <w:b/>
          <w:color w:val="auto"/>
          <w:sz w:val="24"/>
        </w:rPr>
        <w:t>24</w:t>
      </w:r>
      <w:r>
        <w:rPr>
          <w:rFonts w:ascii="宋体" w:hAnsi="宋体"/>
          <w:b/>
          <w:color w:val="auto"/>
          <w:sz w:val="24"/>
        </w:rPr>
        <w:fldChar w:fldCharType="end"/>
      </w:r>
      <w:r>
        <w:rPr>
          <w:rFonts w:ascii="宋体" w:hAnsi="宋体"/>
          <w:b/>
          <w:color w:val="auto"/>
          <w:sz w:val="24"/>
        </w:rPr>
        <w:fldChar w:fldCharType="end"/>
      </w:r>
    </w:p>
    <w:p w14:paraId="0BDCF709">
      <w:pPr>
        <w:pStyle w:val="21"/>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"_Toc74323459" </w:instrText>
      </w:r>
      <w:r>
        <w:rPr>
          <w:color w:val="auto"/>
        </w:rPr>
        <w:fldChar w:fldCharType="separate"/>
      </w:r>
      <w:r>
        <w:rPr>
          <w:rStyle w:val="29"/>
          <w:rFonts w:hint="eastAsia" w:ascii="宋体" w:hAnsi="宋体"/>
          <w:b/>
          <w:color w:val="auto"/>
          <w:sz w:val="24"/>
        </w:rPr>
        <w:t>第四章评审程序、</w:t>
      </w:r>
      <w:bookmarkStart w:id="2" w:name="_Hlt82166000"/>
      <w:r>
        <w:rPr>
          <w:rStyle w:val="29"/>
          <w:rFonts w:hint="eastAsia" w:ascii="宋体" w:hAnsi="宋体"/>
          <w:b/>
          <w:color w:val="auto"/>
          <w:sz w:val="24"/>
        </w:rPr>
        <w:t>评</w:t>
      </w:r>
      <w:bookmarkEnd w:id="2"/>
      <w:r>
        <w:rPr>
          <w:rStyle w:val="29"/>
          <w:rFonts w:hint="eastAsia" w:ascii="宋体" w:hAnsi="宋体"/>
          <w:b/>
          <w:color w:val="auto"/>
          <w:sz w:val="24"/>
        </w:rPr>
        <w:t>审方法和评审标准</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_Toc74323459 \h </w:instrText>
      </w:r>
      <w:r>
        <w:rPr>
          <w:rFonts w:ascii="宋体" w:hAnsi="宋体"/>
          <w:b/>
          <w:color w:val="auto"/>
          <w:sz w:val="24"/>
        </w:rPr>
        <w:fldChar w:fldCharType="separate"/>
      </w:r>
      <w:r>
        <w:rPr>
          <w:rFonts w:ascii="宋体" w:hAnsi="宋体"/>
          <w:b/>
          <w:color w:val="auto"/>
          <w:sz w:val="24"/>
        </w:rPr>
        <w:t>33</w:t>
      </w:r>
      <w:r>
        <w:rPr>
          <w:rFonts w:ascii="宋体" w:hAnsi="宋体"/>
          <w:b/>
          <w:color w:val="auto"/>
          <w:sz w:val="24"/>
        </w:rPr>
        <w:fldChar w:fldCharType="end"/>
      </w:r>
      <w:r>
        <w:rPr>
          <w:rFonts w:ascii="宋体" w:hAnsi="宋体"/>
          <w:b/>
          <w:color w:val="auto"/>
          <w:sz w:val="24"/>
        </w:rPr>
        <w:fldChar w:fldCharType="end"/>
      </w:r>
    </w:p>
    <w:p w14:paraId="36FDBAEF">
      <w:pPr>
        <w:pStyle w:val="21"/>
        <w:tabs>
          <w:tab w:val="right" w:leader="dot" w:pos="8869"/>
        </w:tabs>
        <w:snapToGrid w:val="0"/>
        <w:spacing w:line="500" w:lineRule="atLeast"/>
        <w:rPr>
          <w:rFonts w:hint="eastAsia" w:ascii="宋体" w:hAnsi="宋体"/>
          <w:b/>
          <w:color w:val="auto"/>
          <w:sz w:val="24"/>
        </w:rPr>
      </w:pPr>
      <w:r>
        <w:rPr>
          <w:color w:val="auto"/>
        </w:rPr>
        <w:fldChar w:fldCharType="begin"/>
      </w:r>
      <w:r>
        <w:rPr>
          <w:color w:val="auto"/>
        </w:rPr>
        <w:instrText xml:space="preserve"> HYPERLINK \l "_Toc74323460" </w:instrText>
      </w:r>
      <w:r>
        <w:rPr>
          <w:color w:val="auto"/>
        </w:rPr>
        <w:fldChar w:fldCharType="separate"/>
      </w:r>
      <w:r>
        <w:rPr>
          <w:rStyle w:val="29"/>
          <w:rFonts w:hint="eastAsia" w:ascii="宋体" w:hAnsi="宋体"/>
          <w:b/>
          <w:color w:val="auto"/>
          <w:sz w:val="24"/>
        </w:rPr>
        <w:t>第五章响应文件格式</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_Toc74323460 \h </w:instrText>
      </w:r>
      <w:r>
        <w:rPr>
          <w:rFonts w:ascii="宋体" w:hAnsi="宋体"/>
          <w:b/>
          <w:color w:val="auto"/>
          <w:sz w:val="24"/>
        </w:rPr>
        <w:fldChar w:fldCharType="separate"/>
      </w:r>
      <w:r>
        <w:rPr>
          <w:rFonts w:ascii="宋体" w:hAnsi="宋体"/>
          <w:b/>
          <w:color w:val="auto"/>
          <w:sz w:val="24"/>
        </w:rPr>
        <w:t>44</w:t>
      </w:r>
      <w:r>
        <w:rPr>
          <w:rFonts w:ascii="宋体" w:hAnsi="宋体"/>
          <w:b/>
          <w:color w:val="auto"/>
          <w:sz w:val="24"/>
        </w:rPr>
        <w:fldChar w:fldCharType="end"/>
      </w:r>
      <w:r>
        <w:rPr>
          <w:rFonts w:ascii="宋体" w:hAnsi="宋体"/>
          <w:b/>
          <w:color w:val="auto"/>
          <w:sz w:val="24"/>
        </w:rPr>
        <w:fldChar w:fldCharType="end"/>
      </w:r>
    </w:p>
    <w:p w14:paraId="3EF9322C">
      <w:pPr>
        <w:pStyle w:val="21"/>
        <w:tabs>
          <w:tab w:val="right" w:leader="dot" w:pos="8869"/>
        </w:tabs>
        <w:snapToGrid w:val="0"/>
        <w:spacing w:line="500" w:lineRule="atLeast"/>
        <w:rPr>
          <w:rFonts w:hint="eastAsia" w:ascii="宋体" w:hAnsi="宋体"/>
          <w:color w:val="auto"/>
          <w:sz w:val="24"/>
        </w:rPr>
      </w:pPr>
      <w:r>
        <w:rPr>
          <w:color w:val="auto"/>
        </w:rPr>
        <w:fldChar w:fldCharType="begin"/>
      </w:r>
      <w:r>
        <w:rPr>
          <w:color w:val="auto"/>
        </w:rPr>
        <w:instrText xml:space="preserve"> HYPERLINK \l "_Toc74323461" </w:instrText>
      </w:r>
      <w:r>
        <w:rPr>
          <w:color w:val="auto"/>
        </w:rPr>
        <w:fldChar w:fldCharType="separate"/>
      </w:r>
      <w:r>
        <w:rPr>
          <w:rStyle w:val="29"/>
          <w:rFonts w:hint="eastAsia" w:ascii="宋体" w:hAnsi="宋体"/>
          <w:b/>
          <w:color w:val="auto"/>
          <w:sz w:val="24"/>
        </w:rPr>
        <w:t>第六章合同文本</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_Toc74323461 \h </w:instrText>
      </w:r>
      <w:r>
        <w:rPr>
          <w:rFonts w:ascii="宋体" w:hAnsi="宋体"/>
          <w:b/>
          <w:color w:val="auto"/>
          <w:sz w:val="24"/>
        </w:rPr>
        <w:fldChar w:fldCharType="separate"/>
      </w:r>
      <w:r>
        <w:rPr>
          <w:rFonts w:ascii="宋体" w:hAnsi="宋体"/>
          <w:b/>
          <w:color w:val="auto"/>
          <w:sz w:val="24"/>
        </w:rPr>
        <w:t>66</w:t>
      </w:r>
      <w:r>
        <w:rPr>
          <w:rFonts w:ascii="宋体" w:hAnsi="宋体"/>
          <w:b/>
          <w:color w:val="auto"/>
          <w:sz w:val="24"/>
        </w:rPr>
        <w:fldChar w:fldCharType="end"/>
      </w:r>
      <w:r>
        <w:rPr>
          <w:rFonts w:ascii="宋体" w:hAnsi="宋体"/>
          <w:b/>
          <w:color w:val="auto"/>
          <w:sz w:val="24"/>
        </w:rPr>
        <w:fldChar w:fldCharType="end"/>
      </w:r>
    </w:p>
    <w:p w14:paraId="7906A988">
      <w:pPr>
        <w:pStyle w:val="22"/>
        <w:tabs>
          <w:tab w:val="right" w:leader="dot" w:pos="8931"/>
          <w:tab w:val="clear" w:pos="8296"/>
        </w:tabs>
        <w:snapToGrid w:val="0"/>
        <w:spacing w:line="500" w:lineRule="atLeast"/>
        <w:ind w:left="0" w:leftChars="0"/>
        <w:rPr>
          <w:rFonts w:hint="eastAsia" w:ascii="宋体" w:hAnsi="宋体"/>
          <w:b/>
          <w:color w:val="auto"/>
          <w:sz w:val="24"/>
        </w:rPr>
      </w:pPr>
      <w:r>
        <w:rPr>
          <w:rFonts w:ascii="宋体" w:hAnsi="宋体"/>
          <w:b/>
          <w:color w:val="auto"/>
          <w:sz w:val="24"/>
        </w:rPr>
        <w:fldChar w:fldCharType="end"/>
      </w:r>
    </w:p>
    <w:p w14:paraId="0FA2C7A9">
      <w:pPr>
        <w:spacing w:line="400" w:lineRule="exact"/>
        <w:jc w:val="left"/>
        <w:rPr>
          <w:rFonts w:hint="eastAsia" w:ascii="宋体" w:hAnsi="宋体"/>
          <w:b/>
          <w:color w:val="auto"/>
          <w:sz w:val="32"/>
          <w:szCs w:val="32"/>
        </w:rPr>
      </w:pPr>
    </w:p>
    <w:p w14:paraId="72D25E9B">
      <w:pPr>
        <w:spacing w:line="400" w:lineRule="exact"/>
        <w:jc w:val="center"/>
        <w:rPr>
          <w:rFonts w:hint="eastAsia" w:ascii="宋体" w:hAnsi="宋体"/>
          <w:b/>
          <w:color w:val="auto"/>
          <w:sz w:val="32"/>
          <w:szCs w:val="32"/>
        </w:rPr>
      </w:pPr>
    </w:p>
    <w:p w14:paraId="0B8453B4">
      <w:pPr>
        <w:spacing w:line="400" w:lineRule="exact"/>
        <w:jc w:val="center"/>
        <w:rPr>
          <w:rFonts w:hint="eastAsia" w:ascii="宋体" w:hAnsi="宋体"/>
          <w:b/>
          <w:color w:val="auto"/>
          <w:sz w:val="32"/>
          <w:szCs w:val="32"/>
        </w:rPr>
      </w:pPr>
    </w:p>
    <w:p w14:paraId="6E8BC960">
      <w:pPr>
        <w:spacing w:line="400" w:lineRule="exact"/>
        <w:jc w:val="center"/>
        <w:rPr>
          <w:rFonts w:hint="eastAsia" w:ascii="宋体" w:hAnsi="宋体"/>
          <w:b/>
          <w:color w:val="auto"/>
          <w:sz w:val="32"/>
          <w:szCs w:val="32"/>
        </w:rPr>
      </w:pPr>
    </w:p>
    <w:p w14:paraId="03B94F6E">
      <w:pPr>
        <w:spacing w:line="400" w:lineRule="exact"/>
        <w:jc w:val="center"/>
        <w:rPr>
          <w:rFonts w:hint="eastAsia" w:ascii="宋体" w:hAnsi="宋体"/>
          <w:b/>
          <w:color w:val="auto"/>
          <w:sz w:val="32"/>
          <w:szCs w:val="32"/>
        </w:rPr>
      </w:pPr>
    </w:p>
    <w:p w14:paraId="3704A556">
      <w:pPr>
        <w:spacing w:line="400" w:lineRule="exact"/>
        <w:rPr>
          <w:rFonts w:hint="eastAsia" w:ascii="宋体" w:hAnsi="宋体"/>
          <w:b/>
          <w:color w:val="auto"/>
          <w:sz w:val="32"/>
          <w:szCs w:val="32"/>
        </w:rPr>
        <w:sectPr>
          <w:headerReference r:id="rId4" w:type="first"/>
          <w:footerReference r:id="rId6" w:type="first"/>
          <w:headerReference r:id="rId3" w:type="default"/>
          <w:footerReference r:id="rId5" w:type="default"/>
          <w:pgSz w:w="11906" w:h="16838"/>
          <w:pgMar w:top="1327" w:right="1253" w:bottom="1327" w:left="1253" w:header="851" w:footer="992" w:gutter="0"/>
          <w:pgNumType w:start="0"/>
          <w:cols w:space="720" w:num="1"/>
          <w:titlePg/>
          <w:docGrid w:type="lines" w:linePitch="312" w:charSpace="0"/>
        </w:sectPr>
      </w:pPr>
    </w:p>
    <w:p w14:paraId="76B1B24A">
      <w:pPr>
        <w:pStyle w:val="2"/>
        <w:spacing w:line="480" w:lineRule="auto"/>
        <w:jc w:val="center"/>
        <w:rPr>
          <w:color w:val="auto"/>
        </w:rPr>
      </w:pPr>
      <w:bookmarkStart w:id="3" w:name="_Toc74323456"/>
      <w:r>
        <w:rPr>
          <w:rFonts w:hint="eastAsia"/>
          <w:color w:val="auto"/>
        </w:rPr>
        <w:t>第一章 竞争性磋商公告</w:t>
      </w:r>
      <w:bookmarkEnd w:id="3"/>
    </w:p>
    <w:p w14:paraId="1A11A537">
      <w:pPr>
        <w:spacing w:line="400" w:lineRule="exact"/>
        <w:jc w:val="center"/>
        <w:rPr>
          <w:rFonts w:hint="eastAsia" w:ascii="宋体" w:hAnsi="宋体"/>
          <w:b/>
          <w:bCs/>
          <w:color w:val="auto"/>
          <w:sz w:val="32"/>
          <w:szCs w:val="32"/>
        </w:rPr>
      </w:pPr>
      <w:r>
        <w:rPr>
          <w:rFonts w:hint="eastAsia" w:ascii="宋体" w:hAnsi="宋体"/>
          <w:b/>
          <w:bCs/>
          <w:color w:val="auto"/>
          <w:sz w:val="32"/>
          <w:szCs w:val="32"/>
        </w:rPr>
        <w:t>竞争性磋商公告</w:t>
      </w:r>
    </w:p>
    <w:p w14:paraId="31FBEAD9">
      <w:pPr>
        <w:spacing w:line="360" w:lineRule="auto"/>
        <w:rPr>
          <w:rFonts w:hint="eastAsia" w:ascii="宋体" w:hAnsi="宋体"/>
          <w:color w:val="auto"/>
          <w:szCs w:val="21"/>
        </w:rPr>
      </w:pPr>
    </w:p>
    <w:p w14:paraId="286D65B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bookmarkStart w:id="4" w:name="_Hlk37430271"/>
      <w:r>
        <w:rPr>
          <w:rFonts w:hint="eastAsia" w:ascii="宋体" w:hAnsi="宋体"/>
          <w:color w:val="auto"/>
          <w:szCs w:val="21"/>
        </w:rPr>
        <w:t>项目概况</w:t>
      </w:r>
    </w:p>
    <w:p w14:paraId="07E30F7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rPr>
        <w:t>梧州市政府办公大楼既有建筑节能降碳改造项目</w:t>
      </w:r>
      <w:r>
        <w:rPr>
          <w:rFonts w:hint="eastAsia" w:ascii="宋体" w:hAnsi="宋体"/>
          <w:color w:val="auto"/>
          <w:szCs w:val="21"/>
        </w:rPr>
        <w:t>采购项目的潜在供应商应在广西政府采购云平台（https://www.gcy.zfcg.gxzf.gov.cn/）获取（下载）竞争性磋商文件，并于</w:t>
      </w:r>
      <w:r>
        <w:rPr>
          <w:rFonts w:hint="eastAsia" w:ascii="宋体" w:hAnsi="宋体"/>
          <w:color w:val="auto"/>
          <w:szCs w:val="21"/>
          <w:u w:val="single"/>
        </w:rPr>
        <w:t>2025年</w:t>
      </w:r>
      <w:r>
        <w:rPr>
          <w:rFonts w:hint="eastAsia" w:ascii="宋体" w:hAnsi="宋体"/>
          <w:color w:val="auto"/>
          <w:szCs w:val="21"/>
          <w:u w:val="single"/>
          <w:lang w:val="en-US" w:eastAsia="zh-CN"/>
        </w:rPr>
        <w:t>12</w:t>
      </w:r>
      <w:r>
        <w:rPr>
          <w:rFonts w:hint="eastAsia" w:ascii="宋体" w:hAnsi="宋体"/>
          <w:color w:val="auto"/>
          <w:szCs w:val="21"/>
          <w:u w:val="single"/>
        </w:rPr>
        <w:t>月</w:t>
      </w:r>
      <w:r>
        <w:rPr>
          <w:rFonts w:hint="eastAsia" w:ascii="宋体" w:hAnsi="宋体"/>
          <w:color w:val="auto"/>
          <w:szCs w:val="21"/>
          <w:u w:val="single"/>
          <w:lang w:val="en-US" w:eastAsia="zh-CN"/>
        </w:rPr>
        <w:t>10</w:t>
      </w:r>
      <w:r>
        <w:rPr>
          <w:rFonts w:hint="eastAsia" w:ascii="宋体" w:hAnsi="宋体"/>
          <w:color w:val="auto"/>
          <w:szCs w:val="21"/>
          <w:u w:val="single"/>
        </w:rPr>
        <w:t>日</w:t>
      </w:r>
      <w:r>
        <w:rPr>
          <w:rFonts w:hint="eastAsia" w:ascii="宋体" w:hAnsi="宋体"/>
          <w:color w:val="auto"/>
          <w:szCs w:val="21"/>
          <w:u w:val="single"/>
          <w:lang w:val="en-US" w:eastAsia="zh-CN"/>
        </w:rPr>
        <w:t>9</w:t>
      </w:r>
      <w:r>
        <w:rPr>
          <w:rFonts w:hint="eastAsia" w:ascii="宋体" w:hAnsi="宋体"/>
          <w:color w:val="auto"/>
          <w:szCs w:val="21"/>
          <w:u w:val="single"/>
        </w:rPr>
        <w:t>时30分</w:t>
      </w:r>
      <w:r>
        <w:rPr>
          <w:rFonts w:hint="eastAsia" w:ascii="宋体" w:hAnsi="宋体"/>
          <w:bCs/>
          <w:color w:val="auto"/>
          <w:szCs w:val="21"/>
          <w:u w:val="single"/>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CD62699">
      <w:pPr>
        <w:ind w:firstLine="354" w:firstLineChars="147"/>
        <w:rPr>
          <w:rFonts w:hint="eastAsia" w:ascii="黑体" w:hAnsi="黑体" w:eastAsia="黑体"/>
          <w:b/>
          <w:color w:val="auto"/>
          <w:sz w:val="24"/>
        </w:rPr>
      </w:pPr>
      <w:bookmarkStart w:id="5" w:name="_Toc35393798"/>
      <w:bookmarkStart w:id="6" w:name="_Toc71365905"/>
      <w:bookmarkStart w:id="7" w:name="_Toc35393629"/>
      <w:bookmarkStart w:id="8" w:name="_Toc28359012"/>
      <w:bookmarkStart w:id="9" w:name="_Toc28359089"/>
      <w:bookmarkStart w:id="10" w:name="_Toc44229878"/>
    </w:p>
    <w:p w14:paraId="2E937C8C">
      <w:pPr>
        <w:ind w:firstLine="354" w:firstLineChars="147"/>
        <w:rPr>
          <w:rFonts w:hint="eastAsia" w:ascii="黑体" w:hAnsi="黑体" w:eastAsia="黑体"/>
          <w:b/>
          <w:color w:val="auto"/>
          <w:sz w:val="24"/>
        </w:rPr>
      </w:pPr>
      <w:r>
        <w:rPr>
          <w:rFonts w:hint="eastAsia" w:ascii="黑体" w:hAnsi="黑体" w:eastAsia="黑体"/>
          <w:b/>
          <w:color w:val="auto"/>
          <w:sz w:val="24"/>
        </w:rPr>
        <w:t>一、项目基本情况</w:t>
      </w:r>
      <w:bookmarkEnd w:id="5"/>
      <w:bookmarkEnd w:id="6"/>
      <w:bookmarkEnd w:id="7"/>
      <w:bookmarkEnd w:id="8"/>
      <w:bookmarkEnd w:id="9"/>
      <w:bookmarkEnd w:id="10"/>
    </w:p>
    <w:p w14:paraId="6B1DCCD7">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WZZC2025-C3-990320-YZLZ</w:t>
      </w:r>
    </w:p>
    <w:p w14:paraId="714846F8">
      <w:pPr>
        <w:spacing w:line="360" w:lineRule="auto"/>
        <w:ind w:firstLine="420" w:firstLineChars="200"/>
        <w:rPr>
          <w:rFonts w:hint="eastAsia" w:ascii="宋体" w:hAnsi="宋体"/>
          <w:color w:val="auto"/>
          <w:szCs w:val="21"/>
          <w:u w:val="single"/>
        </w:rPr>
      </w:pPr>
      <w:r>
        <w:rPr>
          <w:rFonts w:hint="eastAsia" w:ascii="宋体" w:hAnsi="宋体"/>
          <w:color w:val="auto"/>
          <w:szCs w:val="21"/>
        </w:rPr>
        <w:t>项目名称：梧州市政府办公大楼既有建筑节能降碳改造项目</w:t>
      </w:r>
    </w:p>
    <w:p w14:paraId="7CD78376">
      <w:pPr>
        <w:spacing w:line="360" w:lineRule="auto"/>
        <w:ind w:firstLine="420" w:firstLineChars="200"/>
        <w:rPr>
          <w:rFonts w:hint="eastAsia" w:ascii="宋体" w:hAnsi="宋体"/>
          <w:color w:val="auto"/>
          <w:szCs w:val="21"/>
        </w:rPr>
      </w:pPr>
      <w:r>
        <w:rPr>
          <w:rFonts w:hint="eastAsia" w:ascii="宋体" w:hAnsi="宋体"/>
          <w:color w:val="auto"/>
          <w:szCs w:val="21"/>
        </w:rPr>
        <w:t>采购方式：竞争性磋商</w:t>
      </w:r>
    </w:p>
    <w:p w14:paraId="72DB514E">
      <w:pPr>
        <w:spacing w:line="360" w:lineRule="auto"/>
        <w:ind w:firstLine="420" w:firstLineChars="200"/>
        <w:rPr>
          <w:rFonts w:hint="eastAsia" w:ascii="宋体" w:hAnsi="宋体"/>
          <w:color w:val="auto"/>
          <w:szCs w:val="21"/>
        </w:rPr>
      </w:pPr>
      <w:r>
        <w:rPr>
          <w:rFonts w:hint="eastAsia" w:ascii="宋体" w:hAnsi="宋体"/>
          <w:color w:val="auto"/>
          <w:szCs w:val="21"/>
        </w:rPr>
        <w:t>预算金额（元）：970000.00</w:t>
      </w:r>
    </w:p>
    <w:p w14:paraId="62CB1EE3">
      <w:pPr>
        <w:spacing w:line="360" w:lineRule="auto"/>
        <w:ind w:firstLine="420" w:firstLineChars="200"/>
        <w:rPr>
          <w:rFonts w:hint="eastAsia" w:ascii="宋体" w:hAnsi="宋体"/>
          <w:color w:val="auto"/>
          <w:szCs w:val="21"/>
        </w:rPr>
      </w:pPr>
      <w:r>
        <w:rPr>
          <w:rFonts w:hint="eastAsia" w:ascii="宋体" w:hAnsi="宋体"/>
          <w:color w:val="auto"/>
          <w:szCs w:val="21"/>
        </w:rPr>
        <w:t>最高限价（如有）：97万元</w:t>
      </w:r>
    </w:p>
    <w:p w14:paraId="256CC68E">
      <w:pPr>
        <w:spacing w:line="360" w:lineRule="auto"/>
        <w:ind w:firstLine="420" w:firstLineChars="200"/>
        <w:rPr>
          <w:rFonts w:hint="eastAsia" w:ascii="宋体" w:hAnsi="宋体"/>
          <w:color w:val="auto"/>
          <w:szCs w:val="21"/>
        </w:rPr>
      </w:pPr>
      <w:r>
        <w:rPr>
          <w:rFonts w:hint="eastAsia" w:ascii="宋体" w:hAnsi="宋体"/>
          <w:color w:val="auto"/>
          <w:szCs w:val="21"/>
        </w:rPr>
        <w:t>采购需求：</w:t>
      </w:r>
    </w:p>
    <w:tbl>
      <w:tblPr>
        <w:tblStyle w:val="25"/>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9"/>
        <w:gridCol w:w="2220"/>
        <w:gridCol w:w="945"/>
        <w:gridCol w:w="5536"/>
      </w:tblGrid>
      <w:tr w14:paraId="6D9AA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ign w:val="center"/>
          </w:tcPr>
          <w:p w14:paraId="5909F220">
            <w:pPr>
              <w:spacing w:line="500" w:lineRule="exact"/>
              <w:ind w:firstLine="420" w:firstLineChars="200"/>
              <w:rPr>
                <w:rFonts w:hint="eastAsia" w:ascii="宋体" w:hAnsi="宋体"/>
                <w:color w:val="auto"/>
                <w:szCs w:val="21"/>
              </w:rPr>
            </w:pPr>
            <w:r>
              <w:rPr>
                <w:rFonts w:hint="eastAsia" w:ascii="宋体" w:hAnsi="宋体"/>
                <w:color w:val="auto"/>
                <w:szCs w:val="21"/>
                <w:u w:val="single"/>
              </w:rPr>
              <w:t>1</w:t>
            </w:r>
            <w:r>
              <w:rPr>
                <w:rFonts w:hint="eastAsia" w:ascii="宋体" w:hAnsi="宋体"/>
                <w:color w:val="auto"/>
                <w:szCs w:val="21"/>
              </w:rPr>
              <w:t>分标；预算金额：97万元</w:t>
            </w:r>
          </w:p>
        </w:tc>
      </w:tr>
      <w:tr w14:paraId="5656A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61E56734">
            <w:pPr>
              <w:snapToGrid w:val="0"/>
              <w:spacing w:line="500" w:lineRule="exact"/>
              <w:jc w:val="center"/>
              <w:rPr>
                <w:rFonts w:hint="eastAsia" w:ascii="宋体" w:hAnsi="宋体"/>
                <w:color w:val="auto"/>
                <w:szCs w:val="21"/>
              </w:rPr>
            </w:pPr>
            <w:r>
              <w:rPr>
                <w:rFonts w:hint="eastAsia" w:ascii="宋体" w:hAnsi="宋体"/>
                <w:color w:val="auto"/>
                <w:szCs w:val="21"/>
              </w:rPr>
              <w:t>序号</w:t>
            </w:r>
          </w:p>
        </w:tc>
        <w:tc>
          <w:tcPr>
            <w:tcW w:w="2220" w:type="dxa"/>
            <w:tcBorders>
              <w:top w:val="single" w:color="auto" w:sz="4" w:space="0"/>
              <w:left w:val="single" w:color="auto" w:sz="4" w:space="0"/>
              <w:bottom w:val="single" w:color="auto" w:sz="4" w:space="0"/>
              <w:right w:val="single" w:color="auto" w:sz="4" w:space="0"/>
            </w:tcBorders>
            <w:noWrap/>
            <w:vAlign w:val="center"/>
          </w:tcPr>
          <w:p w14:paraId="38B53199">
            <w:pPr>
              <w:snapToGrid w:val="0"/>
              <w:spacing w:line="500" w:lineRule="exact"/>
              <w:jc w:val="center"/>
              <w:rPr>
                <w:rFonts w:hint="eastAsia" w:ascii="宋体" w:hAnsi="宋体"/>
                <w:color w:val="auto"/>
                <w:szCs w:val="21"/>
              </w:rPr>
            </w:pPr>
            <w:r>
              <w:rPr>
                <w:rFonts w:hint="eastAsia" w:ascii="宋体" w:hAnsi="宋体"/>
                <w:color w:val="auto"/>
                <w:szCs w:val="21"/>
              </w:rPr>
              <w:t>标的的名称</w:t>
            </w:r>
          </w:p>
        </w:tc>
        <w:tc>
          <w:tcPr>
            <w:tcW w:w="945" w:type="dxa"/>
            <w:tcBorders>
              <w:top w:val="single" w:color="auto" w:sz="4" w:space="0"/>
              <w:left w:val="single" w:color="auto" w:sz="4" w:space="0"/>
              <w:bottom w:val="single" w:color="auto" w:sz="4" w:space="0"/>
              <w:right w:val="single" w:color="auto" w:sz="4" w:space="0"/>
            </w:tcBorders>
            <w:noWrap/>
            <w:vAlign w:val="center"/>
          </w:tcPr>
          <w:p w14:paraId="1A3C9027">
            <w:pPr>
              <w:snapToGrid w:val="0"/>
              <w:spacing w:line="500" w:lineRule="exact"/>
              <w:jc w:val="center"/>
              <w:rPr>
                <w:rFonts w:hint="eastAsia" w:ascii="宋体" w:hAnsi="宋体"/>
                <w:color w:val="auto"/>
                <w:szCs w:val="21"/>
              </w:rPr>
            </w:pPr>
            <w:r>
              <w:rPr>
                <w:rFonts w:hint="eastAsia" w:ascii="宋体" w:hAnsi="宋体"/>
                <w:color w:val="auto"/>
                <w:szCs w:val="21"/>
              </w:rPr>
              <w:t>数量及</w:t>
            </w:r>
          </w:p>
          <w:p w14:paraId="2072EC48">
            <w:pPr>
              <w:snapToGrid w:val="0"/>
              <w:spacing w:line="500" w:lineRule="exact"/>
              <w:jc w:val="center"/>
              <w:rPr>
                <w:rFonts w:hint="eastAsia" w:ascii="宋体" w:hAnsi="宋体"/>
                <w:color w:val="auto"/>
                <w:szCs w:val="21"/>
              </w:rPr>
            </w:pPr>
            <w:r>
              <w:rPr>
                <w:rFonts w:hint="eastAsia" w:ascii="宋体" w:hAnsi="宋体"/>
                <w:color w:val="auto"/>
                <w:szCs w:val="21"/>
              </w:rPr>
              <w:t>单位</w:t>
            </w:r>
          </w:p>
        </w:tc>
        <w:tc>
          <w:tcPr>
            <w:tcW w:w="5536" w:type="dxa"/>
            <w:tcBorders>
              <w:top w:val="single" w:color="auto" w:sz="4" w:space="0"/>
              <w:left w:val="single" w:color="auto" w:sz="4" w:space="0"/>
              <w:bottom w:val="single" w:color="auto" w:sz="4" w:space="0"/>
              <w:right w:val="single" w:color="auto" w:sz="4" w:space="0"/>
            </w:tcBorders>
            <w:noWrap/>
            <w:vAlign w:val="center"/>
          </w:tcPr>
          <w:p w14:paraId="73DF3DE6">
            <w:pPr>
              <w:snapToGrid w:val="0"/>
              <w:spacing w:line="500" w:lineRule="exact"/>
              <w:jc w:val="center"/>
              <w:rPr>
                <w:rFonts w:hint="eastAsia" w:ascii="宋体" w:hAnsi="宋体"/>
                <w:color w:val="auto"/>
                <w:szCs w:val="21"/>
              </w:rPr>
            </w:pPr>
            <w:r>
              <w:rPr>
                <w:rFonts w:hint="eastAsia" w:ascii="宋体" w:hAnsi="宋体"/>
                <w:color w:val="auto"/>
                <w:szCs w:val="21"/>
              </w:rPr>
              <w:t>简要技术需求或者服务要求</w:t>
            </w:r>
          </w:p>
        </w:tc>
      </w:tr>
      <w:tr w14:paraId="52DCE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5530FAE9">
            <w:pPr>
              <w:snapToGrid w:val="0"/>
              <w:spacing w:line="360" w:lineRule="auto"/>
              <w:jc w:val="center"/>
              <w:rPr>
                <w:rFonts w:hint="eastAsia" w:ascii="宋体" w:hAnsi="宋体"/>
                <w:color w:val="auto"/>
                <w:szCs w:val="21"/>
              </w:rPr>
            </w:pPr>
            <w:r>
              <w:rPr>
                <w:rFonts w:hint="eastAsia" w:ascii="宋体" w:hAnsi="宋体"/>
                <w:color w:val="auto"/>
                <w:szCs w:val="21"/>
              </w:rPr>
              <w:t>01</w:t>
            </w:r>
          </w:p>
        </w:tc>
        <w:tc>
          <w:tcPr>
            <w:tcW w:w="2220" w:type="dxa"/>
            <w:tcBorders>
              <w:top w:val="single" w:color="auto" w:sz="4" w:space="0"/>
              <w:left w:val="single" w:color="auto" w:sz="4" w:space="0"/>
              <w:bottom w:val="single" w:color="auto" w:sz="4" w:space="0"/>
              <w:right w:val="single" w:color="auto" w:sz="4" w:space="0"/>
            </w:tcBorders>
            <w:noWrap/>
            <w:vAlign w:val="center"/>
          </w:tcPr>
          <w:p w14:paraId="5316A731">
            <w:pPr>
              <w:snapToGrid w:val="0"/>
              <w:spacing w:line="360" w:lineRule="auto"/>
              <w:jc w:val="center"/>
              <w:rPr>
                <w:rFonts w:hint="eastAsia" w:ascii="宋体" w:hAnsi="宋体"/>
                <w:color w:val="auto"/>
                <w:szCs w:val="21"/>
              </w:rPr>
            </w:pPr>
            <w:r>
              <w:rPr>
                <w:rFonts w:hint="eastAsia" w:ascii="宋体" w:hAnsi="宋体" w:cs="宋体"/>
                <w:color w:val="auto"/>
                <w:szCs w:val="21"/>
              </w:rPr>
              <w:t>照明系统节能改造技术服务</w:t>
            </w:r>
          </w:p>
        </w:tc>
        <w:tc>
          <w:tcPr>
            <w:tcW w:w="945" w:type="dxa"/>
            <w:tcBorders>
              <w:top w:val="single" w:color="auto" w:sz="4" w:space="0"/>
              <w:left w:val="single" w:color="auto" w:sz="4" w:space="0"/>
              <w:bottom w:val="single" w:color="auto" w:sz="4" w:space="0"/>
              <w:right w:val="single" w:color="auto" w:sz="4" w:space="0"/>
            </w:tcBorders>
            <w:noWrap/>
            <w:vAlign w:val="center"/>
          </w:tcPr>
          <w:p w14:paraId="2718E7E2">
            <w:pPr>
              <w:tabs>
                <w:tab w:val="left" w:pos="180"/>
                <w:tab w:val="left" w:pos="1620"/>
              </w:tabs>
              <w:spacing w:line="360" w:lineRule="auto"/>
              <w:jc w:val="center"/>
              <w:rPr>
                <w:rFonts w:hint="eastAsia" w:ascii="宋体" w:hAnsi="宋体"/>
                <w:color w:val="auto"/>
                <w:szCs w:val="21"/>
              </w:rPr>
            </w:pPr>
            <w:r>
              <w:rPr>
                <w:rFonts w:hint="eastAsia" w:ascii="宋体" w:hAnsi="宋体"/>
                <w:color w:val="auto"/>
                <w:szCs w:val="21"/>
              </w:rPr>
              <w:t>1项</w:t>
            </w:r>
          </w:p>
        </w:tc>
        <w:tc>
          <w:tcPr>
            <w:tcW w:w="5536" w:type="dxa"/>
            <w:tcBorders>
              <w:top w:val="single" w:color="auto" w:sz="4" w:space="0"/>
              <w:left w:val="single" w:color="auto" w:sz="4" w:space="0"/>
              <w:bottom w:val="single" w:color="auto" w:sz="4" w:space="0"/>
              <w:right w:val="single" w:color="auto" w:sz="4" w:space="0"/>
            </w:tcBorders>
            <w:noWrap/>
            <w:vAlign w:val="center"/>
          </w:tcPr>
          <w:p w14:paraId="01847DDB">
            <w:pPr>
              <w:pStyle w:val="62"/>
              <w:spacing w:line="360" w:lineRule="auto"/>
              <w:rPr>
                <w:rFonts w:hint="eastAsia" w:ascii="宋体" w:hAnsi="宋体" w:cs="宋体"/>
                <w:color w:val="auto"/>
                <w:szCs w:val="21"/>
              </w:rPr>
            </w:pPr>
            <w:r>
              <w:rPr>
                <w:rFonts w:hint="eastAsia"/>
                <w:color w:val="auto"/>
              </w:rPr>
              <w:t>通过提供全面的照明系统能效诊断与优化技术服务，实现照明区域综合节能率不低于0.5%（与改造前基准值相比），同时提升照明质量与视觉舒适度。</w:t>
            </w:r>
            <w:r>
              <w:rPr>
                <w:rFonts w:hint="eastAsia" w:ascii="宋体" w:hAnsi="宋体" w:cs="宋体"/>
                <w:color w:val="auto"/>
                <w:szCs w:val="21"/>
              </w:rPr>
              <w:t>具体详见竞争性磋商文件。</w:t>
            </w:r>
          </w:p>
        </w:tc>
      </w:tr>
      <w:tr w14:paraId="2168F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7FECA937">
            <w:pPr>
              <w:snapToGrid w:val="0"/>
              <w:spacing w:line="360" w:lineRule="auto"/>
              <w:jc w:val="center"/>
              <w:rPr>
                <w:rFonts w:hint="eastAsia" w:ascii="宋体" w:hAnsi="宋体"/>
                <w:color w:val="auto"/>
                <w:szCs w:val="21"/>
              </w:rPr>
            </w:pPr>
            <w:r>
              <w:rPr>
                <w:rFonts w:hint="eastAsia" w:ascii="宋体" w:hAnsi="宋体"/>
                <w:color w:val="auto"/>
                <w:szCs w:val="21"/>
              </w:rPr>
              <w:t>02</w:t>
            </w:r>
          </w:p>
        </w:tc>
        <w:tc>
          <w:tcPr>
            <w:tcW w:w="2220" w:type="dxa"/>
            <w:tcBorders>
              <w:top w:val="single" w:color="auto" w:sz="4" w:space="0"/>
              <w:left w:val="single" w:color="auto" w:sz="4" w:space="0"/>
              <w:bottom w:val="single" w:color="auto" w:sz="4" w:space="0"/>
              <w:right w:val="single" w:color="auto" w:sz="4" w:space="0"/>
            </w:tcBorders>
            <w:noWrap/>
            <w:vAlign w:val="center"/>
          </w:tcPr>
          <w:p w14:paraId="3524A967">
            <w:pPr>
              <w:snapToGrid w:val="0"/>
              <w:spacing w:line="360" w:lineRule="auto"/>
              <w:jc w:val="center"/>
              <w:rPr>
                <w:rFonts w:hint="eastAsia" w:ascii="宋体" w:hAnsi="宋体" w:cs="宋体"/>
                <w:color w:val="auto"/>
                <w:szCs w:val="21"/>
              </w:rPr>
            </w:pPr>
            <w:r>
              <w:rPr>
                <w:rFonts w:hint="eastAsia" w:ascii="宋体" w:hAnsi="宋体" w:cs="宋体"/>
                <w:color w:val="auto"/>
                <w:szCs w:val="21"/>
              </w:rPr>
              <w:t>空调系统能效优化技术服务</w:t>
            </w:r>
          </w:p>
        </w:tc>
        <w:tc>
          <w:tcPr>
            <w:tcW w:w="945" w:type="dxa"/>
            <w:tcBorders>
              <w:top w:val="single" w:color="auto" w:sz="4" w:space="0"/>
              <w:left w:val="single" w:color="auto" w:sz="4" w:space="0"/>
              <w:bottom w:val="single" w:color="auto" w:sz="4" w:space="0"/>
              <w:right w:val="single" w:color="auto" w:sz="4" w:space="0"/>
            </w:tcBorders>
            <w:noWrap/>
            <w:vAlign w:val="center"/>
          </w:tcPr>
          <w:p w14:paraId="5A83A929">
            <w:pPr>
              <w:tabs>
                <w:tab w:val="left" w:pos="180"/>
                <w:tab w:val="left" w:pos="1620"/>
              </w:tabs>
              <w:spacing w:line="360" w:lineRule="auto"/>
              <w:jc w:val="center"/>
              <w:rPr>
                <w:rFonts w:hint="eastAsia" w:ascii="宋体" w:hAnsi="宋体"/>
                <w:color w:val="auto"/>
                <w:szCs w:val="21"/>
              </w:rPr>
            </w:pPr>
            <w:r>
              <w:rPr>
                <w:rFonts w:hint="eastAsia" w:ascii="宋体" w:hAnsi="宋体"/>
                <w:color w:val="auto"/>
                <w:szCs w:val="21"/>
              </w:rPr>
              <w:t>1项</w:t>
            </w:r>
          </w:p>
        </w:tc>
        <w:tc>
          <w:tcPr>
            <w:tcW w:w="5536" w:type="dxa"/>
            <w:tcBorders>
              <w:top w:val="single" w:color="auto" w:sz="4" w:space="0"/>
              <w:left w:val="single" w:color="auto" w:sz="4" w:space="0"/>
              <w:bottom w:val="single" w:color="auto" w:sz="4" w:space="0"/>
              <w:right w:val="single" w:color="auto" w:sz="4" w:space="0"/>
            </w:tcBorders>
            <w:noWrap/>
            <w:vAlign w:val="center"/>
          </w:tcPr>
          <w:p w14:paraId="07FD7472">
            <w:pPr>
              <w:pStyle w:val="62"/>
              <w:spacing w:line="360" w:lineRule="auto"/>
              <w:rPr>
                <w:rFonts w:hint="eastAsia" w:ascii="宋体" w:hAnsi="宋体" w:cs="宋体"/>
                <w:color w:val="auto"/>
                <w:szCs w:val="21"/>
              </w:rPr>
            </w:pPr>
            <w:r>
              <w:rPr>
                <w:rFonts w:hint="eastAsia"/>
                <w:color w:val="auto"/>
              </w:rPr>
              <w:t>通过提供空调系统综合能效优化技术服务，实现空调系统综合节能率不低于13%，并建立智能化的空调运行管理与监控平台。</w:t>
            </w:r>
            <w:r>
              <w:rPr>
                <w:rFonts w:hint="eastAsia" w:ascii="宋体" w:hAnsi="宋体" w:cs="宋体"/>
                <w:color w:val="auto"/>
                <w:szCs w:val="21"/>
              </w:rPr>
              <w:t>具体详见竞争性磋商文件。</w:t>
            </w:r>
          </w:p>
        </w:tc>
      </w:tr>
      <w:tr w14:paraId="2C59E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5303E51A">
            <w:pPr>
              <w:snapToGrid w:val="0"/>
              <w:spacing w:line="360" w:lineRule="auto"/>
              <w:jc w:val="center"/>
              <w:rPr>
                <w:rFonts w:hint="eastAsia" w:ascii="宋体" w:hAnsi="宋体"/>
                <w:color w:val="auto"/>
                <w:szCs w:val="21"/>
              </w:rPr>
            </w:pPr>
            <w:r>
              <w:rPr>
                <w:rFonts w:hint="eastAsia" w:ascii="宋体" w:hAnsi="宋体"/>
                <w:color w:val="auto"/>
                <w:szCs w:val="21"/>
              </w:rPr>
              <w:t>03</w:t>
            </w:r>
          </w:p>
        </w:tc>
        <w:tc>
          <w:tcPr>
            <w:tcW w:w="2220" w:type="dxa"/>
            <w:tcBorders>
              <w:top w:val="single" w:color="auto" w:sz="4" w:space="0"/>
              <w:left w:val="single" w:color="auto" w:sz="4" w:space="0"/>
              <w:bottom w:val="single" w:color="auto" w:sz="4" w:space="0"/>
              <w:right w:val="single" w:color="auto" w:sz="4" w:space="0"/>
            </w:tcBorders>
            <w:noWrap/>
            <w:vAlign w:val="center"/>
          </w:tcPr>
          <w:p w14:paraId="5778EB7D">
            <w:pPr>
              <w:snapToGrid w:val="0"/>
              <w:spacing w:line="360" w:lineRule="auto"/>
              <w:jc w:val="center"/>
              <w:rPr>
                <w:rFonts w:hint="eastAsia" w:ascii="宋体" w:hAnsi="宋体" w:cs="宋体"/>
                <w:color w:val="auto"/>
                <w:szCs w:val="21"/>
              </w:rPr>
            </w:pPr>
            <w:r>
              <w:rPr>
                <w:rFonts w:hint="eastAsia" w:ascii="宋体" w:hAnsi="宋体" w:cs="宋体"/>
                <w:color w:val="auto"/>
                <w:szCs w:val="21"/>
              </w:rPr>
              <w:t>建筑围护结构节能改造技术服务</w:t>
            </w:r>
          </w:p>
        </w:tc>
        <w:tc>
          <w:tcPr>
            <w:tcW w:w="945" w:type="dxa"/>
            <w:tcBorders>
              <w:top w:val="single" w:color="auto" w:sz="4" w:space="0"/>
              <w:left w:val="single" w:color="auto" w:sz="4" w:space="0"/>
              <w:bottom w:val="single" w:color="auto" w:sz="4" w:space="0"/>
              <w:right w:val="single" w:color="auto" w:sz="4" w:space="0"/>
            </w:tcBorders>
            <w:noWrap/>
            <w:vAlign w:val="center"/>
          </w:tcPr>
          <w:p w14:paraId="54EEFA78">
            <w:pPr>
              <w:tabs>
                <w:tab w:val="left" w:pos="180"/>
                <w:tab w:val="left" w:pos="1620"/>
              </w:tabs>
              <w:spacing w:line="360" w:lineRule="auto"/>
              <w:jc w:val="center"/>
              <w:rPr>
                <w:rFonts w:hint="eastAsia" w:ascii="宋体" w:hAnsi="宋体"/>
                <w:color w:val="auto"/>
                <w:szCs w:val="21"/>
              </w:rPr>
            </w:pPr>
            <w:r>
              <w:rPr>
                <w:rFonts w:hint="eastAsia" w:ascii="宋体" w:hAnsi="宋体"/>
                <w:color w:val="auto"/>
                <w:szCs w:val="21"/>
              </w:rPr>
              <w:t>1项</w:t>
            </w:r>
          </w:p>
        </w:tc>
        <w:tc>
          <w:tcPr>
            <w:tcW w:w="5536" w:type="dxa"/>
            <w:tcBorders>
              <w:top w:val="single" w:color="auto" w:sz="4" w:space="0"/>
              <w:left w:val="single" w:color="auto" w:sz="4" w:space="0"/>
              <w:bottom w:val="single" w:color="auto" w:sz="4" w:space="0"/>
              <w:right w:val="single" w:color="auto" w:sz="4" w:space="0"/>
            </w:tcBorders>
            <w:noWrap/>
            <w:vAlign w:val="center"/>
          </w:tcPr>
          <w:p w14:paraId="6F0BA22F">
            <w:pPr>
              <w:pStyle w:val="62"/>
              <w:spacing w:line="360" w:lineRule="auto"/>
              <w:rPr>
                <w:rFonts w:hint="eastAsia" w:ascii="宋体" w:hAnsi="宋体" w:cs="宋体"/>
                <w:color w:val="auto"/>
                <w:szCs w:val="21"/>
              </w:rPr>
            </w:pPr>
            <w:r>
              <w:rPr>
                <w:color w:val="auto"/>
              </w:rPr>
              <w:t>通过提供建筑外窗系统的节能性能提升技术服务，增强建筑围护结构的保温隔热性能与气密性，为建筑整体节能目标提供支撑</w:t>
            </w:r>
            <w:r>
              <w:rPr>
                <w:rFonts w:hint="eastAsia"/>
                <w:color w:val="auto"/>
              </w:rPr>
              <w:t>。</w:t>
            </w:r>
            <w:r>
              <w:rPr>
                <w:rFonts w:hint="eastAsia" w:ascii="宋体" w:hAnsi="宋体" w:cs="宋体"/>
                <w:color w:val="auto"/>
                <w:szCs w:val="21"/>
              </w:rPr>
              <w:t>具体详见竞争性磋商文件。</w:t>
            </w:r>
          </w:p>
        </w:tc>
      </w:tr>
    </w:tbl>
    <w:p w14:paraId="102801AF">
      <w:pPr>
        <w:spacing w:line="360" w:lineRule="auto"/>
        <w:ind w:firstLine="420" w:firstLineChars="200"/>
        <w:rPr>
          <w:rFonts w:hint="eastAsia" w:ascii="宋体" w:hAnsi="宋体"/>
          <w:color w:val="auto"/>
          <w:szCs w:val="21"/>
        </w:rPr>
      </w:pPr>
      <w:r>
        <w:rPr>
          <w:rFonts w:hint="eastAsia" w:ascii="宋体" w:hAnsi="宋体"/>
          <w:color w:val="auto"/>
          <w:szCs w:val="21"/>
        </w:rPr>
        <w:t>合同履行期限：</w:t>
      </w:r>
      <w:r>
        <w:rPr>
          <w:rFonts w:hint="eastAsia" w:ascii="宋体" w:hAnsi="宋体" w:cs="宋体"/>
          <w:color w:val="auto"/>
          <w:szCs w:val="21"/>
        </w:rPr>
        <w:t>自签订合同之日起90日历天内。</w:t>
      </w:r>
      <w:r>
        <w:rPr>
          <w:rFonts w:hint="eastAsia" w:ascii="宋体" w:hAnsi="宋体"/>
          <w:color w:val="auto"/>
          <w:szCs w:val="21"/>
        </w:rPr>
        <w:t xml:space="preserve"> </w:t>
      </w:r>
    </w:p>
    <w:p w14:paraId="69D54A92">
      <w:pPr>
        <w:spacing w:line="360" w:lineRule="auto"/>
        <w:ind w:firstLine="420" w:firstLineChars="200"/>
        <w:rPr>
          <w:rFonts w:hint="eastAsia" w:ascii="宋体" w:hAnsi="宋体"/>
          <w:color w:val="auto"/>
          <w:szCs w:val="21"/>
        </w:rPr>
      </w:pPr>
      <w:r>
        <w:rPr>
          <w:rFonts w:hint="eastAsia" w:ascii="宋体" w:hAnsi="宋体"/>
          <w:color w:val="auto"/>
          <w:szCs w:val="21"/>
        </w:rPr>
        <w:t>本项目（</w:t>
      </w:r>
      <w:r>
        <w:rPr>
          <w:rFonts w:ascii="宋体" w:hAnsi="宋体"/>
          <w:color w:val="auto"/>
          <w:szCs w:val="21"/>
        </w:rPr>
        <w:t>否</w:t>
      </w:r>
      <w:r>
        <w:rPr>
          <w:rFonts w:hint="eastAsia" w:ascii="宋体" w:hAnsi="宋体"/>
          <w:color w:val="auto"/>
          <w:szCs w:val="21"/>
        </w:rPr>
        <w:t>）接受联合体</w:t>
      </w:r>
    </w:p>
    <w:p w14:paraId="369AC57D">
      <w:pPr>
        <w:ind w:firstLine="354" w:firstLineChars="147"/>
        <w:rPr>
          <w:rFonts w:hint="eastAsia" w:ascii="黑体" w:hAnsi="黑体" w:eastAsia="黑体"/>
          <w:b/>
          <w:color w:val="auto"/>
          <w:sz w:val="24"/>
        </w:rPr>
      </w:pPr>
      <w:bookmarkStart w:id="11" w:name="_Toc35393799"/>
      <w:bookmarkStart w:id="12" w:name="_Toc71365906"/>
      <w:bookmarkStart w:id="13" w:name="_Toc28359013"/>
      <w:bookmarkStart w:id="14" w:name="_Toc28359090"/>
      <w:bookmarkStart w:id="15" w:name="_Toc44229879"/>
      <w:bookmarkStart w:id="16" w:name="_Toc35393630"/>
      <w:r>
        <w:rPr>
          <w:rFonts w:hint="eastAsia" w:ascii="黑体" w:hAnsi="黑体" w:eastAsia="黑体"/>
          <w:b/>
          <w:color w:val="auto"/>
          <w:sz w:val="24"/>
        </w:rPr>
        <w:t>二、申请人的资格条件：</w:t>
      </w:r>
      <w:bookmarkEnd w:id="11"/>
      <w:bookmarkEnd w:id="12"/>
      <w:bookmarkEnd w:id="13"/>
      <w:bookmarkEnd w:id="14"/>
      <w:bookmarkEnd w:id="15"/>
      <w:bookmarkEnd w:id="16"/>
    </w:p>
    <w:p w14:paraId="6A972F50">
      <w:pPr>
        <w:spacing w:line="360" w:lineRule="auto"/>
        <w:ind w:firstLine="420" w:firstLineChars="200"/>
        <w:rPr>
          <w:rFonts w:hint="eastAsia" w:ascii="宋体" w:hAnsi="宋体"/>
          <w:color w:val="auto"/>
          <w:szCs w:val="21"/>
        </w:rPr>
      </w:pPr>
      <w:bookmarkStart w:id="17" w:name="_Toc28359014"/>
      <w:bookmarkStart w:id="18" w:name="_Toc28359091"/>
      <w:bookmarkStart w:id="19" w:name="_Toc35393631"/>
      <w:bookmarkStart w:id="20" w:name="_Toc35393800"/>
      <w:bookmarkStart w:id="21" w:name="_Toc44229880"/>
      <w:r>
        <w:rPr>
          <w:rFonts w:hint="eastAsia" w:ascii="宋体" w:hAnsi="宋体"/>
          <w:color w:val="auto"/>
          <w:szCs w:val="21"/>
        </w:rPr>
        <w:t>1.满足《中华人民共和国政府采购法》第二十二条规定；</w:t>
      </w:r>
    </w:p>
    <w:p w14:paraId="44FF0746">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本项目属于专门面向中小企业采购的项目，服务的承接单位为符合政策要求的中型或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p>
    <w:p w14:paraId="06C6E1E6">
      <w:pPr>
        <w:ind w:firstLine="308" w:firstLineChars="147"/>
        <w:rPr>
          <w:rFonts w:hint="eastAsia" w:ascii="宋体" w:hAnsi="宋体"/>
          <w:color w:val="auto"/>
          <w:szCs w:val="21"/>
        </w:rPr>
      </w:pPr>
      <w:r>
        <w:rPr>
          <w:rFonts w:hint="eastAsia" w:ascii="宋体" w:hAnsi="宋体"/>
          <w:color w:val="auto"/>
          <w:szCs w:val="21"/>
        </w:rPr>
        <w:t>3.本项目的特定资格要求：</w:t>
      </w:r>
      <w:bookmarkStart w:id="22" w:name="_Toc71365907"/>
      <w:r>
        <w:rPr>
          <w:rFonts w:hint="eastAsia" w:ascii="宋体" w:hAnsi="宋体"/>
          <w:color w:val="auto"/>
          <w:szCs w:val="21"/>
        </w:rPr>
        <w:t>无。</w:t>
      </w:r>
    </w:p>
    <w:p w14:paraId="16D4E363">
      <w:pPr>
        <w:ind w:firstLine="354" w:firstLineChars="147"/>
        <w:rPr>
          <w:rFonts w:hint="eastAsia" w:ascii="黑体" w:hAnsi="黑体" w:eastAsia="黑体"/>
          <w:b/>
          <w:color w:val="auto"/>
          <w:sz w:val="24"/>
        </w:rPr>
      </w:pPr>
      <w:r>
        <w:rPr>
          <w:rFonts w:hint="eastAsia" w:ascii="黑体" w:hAnsi="黑体" w:eastAsia="黑体"/>
          <w:b/>
          <w:color w:val="auto"/>
          <w:sz w:val="24"/>
        </w:rPr>
        <w:t>三、获取竞争性磋商文件</w:t>
      </w:r>
      <w:bookmarkEnd w:id="17"/>
      <w:bookmarkEnd w:id="18"/>
      <w:bookmarkEnd w:id="19"/>
      <w:bookmarkEnd w:id="20"/>
      <w:bookmarkEnd w:id="21"/>
      <w:bookmarkEnd w:id="22"/>
    </w:p>
    <w:p w14:paraId="0024149A">
      <w:pPr>
        <w:spacing w:line="360" w:lineRule="auto"/>
        <w:ind w:firstLine="420" w:firstLineChars="200"/>
        <w:rPr>
          <w:rFonts w:hint="eastAsia" w:ascii="宋体" w:hAnsi="宋体" w:cs="宋体"/>
          <w:bCs/>
          <w:color w:val="auto"/>
          <w:kern w:val="0"/>
          <w:szCs w:val="21"/>
        </w:rPr>
      </w:pPr>
      <w:bookmarkStart w:id="23" w:name="_Toc28359015"/>
      <w:bookmarkStart w:id="24" w:name="_Toc44229881"/>
      <w:bookmarkStart w:id="25" w:name="_Toc35393801"/>
      <w:bookmarkStart w:id="26" w:name="_Toc28359092"/>
      <w:bookmarkStart w:id="27" w:name="_Toc35393632"/>
      <w:r>
        <w:rPr>
          <w:rFonts w:hint="eastAsia" w:ascii="宋体" w:hAnsi="宋体" w:cs="宋体"/>
          <w:bCs/>
          <w:color w:val="auto"/>
          <w:kern w:val="0"/>
          <w:szCs w:val="21"/>
        </w:rPr>
        <w:t>时间：</w:t>
      </w:r>
      <w:r>
        <w:rPr>
          <w:rFonts w:hint="eastAsia" w:ascii="宋体" w:hAnsi="宋体"/>
          <w:bCs/>
          <w:color w:val="auto"/>
          <w:szCs w:val="21"/>
          <w:u w:val="single"/>
        </w:rPr>
        <w:t>2025年</w:t>
      </w:r>
      <w:r>
        <w:rPr>
          <w:rFonts w:hint="eastAsia" w:ascii="宋体" w:hAnsi="宋体"/>
          <w:bCs/>
          <w:color w:val="auto"/>
          <w:szCs w:val="21"/>
          <w:u w:val="single"/>
          <w:lang w:val="en-US" w:eastAsia="zh-CN"/>
        </w:rPr>
        <w:t>11</w:t>
      </w:r>
      <w:r>
        <w:rPr>
          <w:rFonts w:hint="eastAsia" w:ascii="宋体" w:hAnsi="宋体"/>
          <w:bCs/>
          <w:color w:val="auto"/>
          <w:szCs w:val="21"/>
          <w:u w:val="single"/>
        </w:rPr>
        <w:t>月</w:t>
      </w:r>
      <w:r>
        <w:rPr>
          <w:rFonts w:hint="eastAsia" w:ascii="宋体" w:hAnsi="宋体"/>
          <w:bCs/>
          <w:color w:val="auto"/>
          <w:szCs w:val="21"/>
          <w:u w:val="single"/>
          <w:lang w:val="en-US" w:eastAsia="zh-CN"/>
        </w:rPr>
        <w:t>28</w:t>
      </w:r>
      <w:r>
        <w:rPr>
          <w:rFonts w:hint="eastAsia" w:ascii="宋体" w:hAnsi="宋体"/>
          <w:bCs/>
          <w:color w:val="auto"/>
          <w:szCs w:val="21"/>
          <w:u w:val="single"/>
        </w:rPr>
        <w:t>日</w:t>
      </w:r>
      <w:r>
        <w:rPr>
          <w:rFonts w:hint="eastAsia" w:ascii="宋体" w:hAnsi="宋体" w:cs="宋体"/>
          <w:bCs/>
          <w:color w:val="auto"/>
          <w:kern w:val="0"/>
          <w:szCs w:val="21"/>
        </w:rPr>
        <w:t>至</w:t>
      </w:r>
      <w:r>
        <w:rPr>
          <w:rFonts w:hint="eastAsia" w:ascii="宋体" w:hAnsi="宋体"/>
          <w:bCs/>
          <w:color w:val="auto"/>
          <w:szCs w:val="21"/>
          <w:u w:val="single"/>
        </w:rPr>
        <w:t>2025年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5</w:t>
      </w:r>
      <w:r>
        <w:rPr>
          <w:rFonts w:hint="eastAsia" w:ascii="宋体" w:hAnsi="宋体"/>
          <w:bCs/>
          <w:color w:val="auto"/>
          <w:szCs w:val="21"/>
          <w:u w:val="single"/>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8：00</w:t>
      </w:r>
      <w:r>
        <w:rPr>
          <w:rFonts w:hint="eastAsia" w:ascii="宋体" w:hAnsi="宋体" w:cs="宋体"/>
          <w:bCs/>
          <w:color w:val="auto"/>
          <w:kern w:val="0"/>
          <w:szCs w:val="21"/>
        </w:rPr>
        <w:t>至</w:t>
      </w:r>
      <w:r>
        <w:rPr>
          <w:rFonts w:hint="eastAsia" w:ascii="宋体" w:hAnsi="宋体" w:cs="宋体"/>
          <w:bCs/>
          <w:color w:val="auto"/>
          <w:kern w:val="0"/>
          <w:szCs w:val="21"/>
          <w:u w:val="single"/>
        </w:rPr>
        <w:t>12：00</w:t>
      </w:r>
      <w:r>
        <w:rPr>
          <w:rFonts w:hint="eastAsia" w:ascii="宋体" w:hAnsi="宋体" w:cs="宋体"/>
          <w:bCs/>
          <w:color w:val="auto"/>
          <w:kern w:val="0"/>
          <w:szCs w:val="21"/>
        </w:rPr>
        <w:t>，下午</w:t>
      </w:r>
      <w:r>
        <w:rPr>
          <w:rFonts w:hint="eastAsia" w:ascii="宋体" w:hAnsi="宋体" w:cs="宋体"/>
          <w:bCs/>
          <w:color w:val="auto"/>
          <w:kern w:val="0"/>
          <w:szCs w:val="21"/>
          <w:u w:val="single"/>
        </w:rPr>
        <w:t>3：00</w:t>
      </w:r>
      <w:r>
        <w:rPr>
          <w:rFonts w:hint="eastAsia" w:ascii="宋体" w:hAnsi="宋体" w:cs="宋体"/>
          <w:bCs/>
          <w:color w:val="auto"/>
          <w:kern w:val="0"/>
          <w:szCs w:val="21"/>
        </w:rPr>
        <w:t>至</w:t>
      </w:r>
      <w:r>
        <w:rPr>
          <w:rFonts w:hint="eastAsia" w:ascii="宋体" w:hAnsi="宋体" w:cs="宋体"/>
          <w:bCs/>
          <w:color w:val="auto"/>
          <w:kern w:val="0"/>
          <w:szCs w:val="21"/>
          <w:u w:val="single"/>
        </w:rPr>
        <w:t>6：00</w:t>
      </w:r>
      <w:r>
        <w:rPr>
          <w:rFonts w:hint="eastAsia" w:ascii="宋体" w:hAnsi="宋体" w:cs="宋体"/>
          <w:bCs/>
          <w:color w:val="auto"/>
          <w:kern w:val="0"/>
          <w:szCs w:val="21"/>
        </w:rPr>
        <w:t>（北京时间）</w:t>
      </w:r>
    </w:p>
    <w:p w14:paraId="0336FDF0">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6FB8972F">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178CDABB">
      <w:pPr>
        <w:spacing w:line="360" w:lineRule="auto"/>
        <w:ind w:firstLine="420" w:firstLineChars="200"/>
        <w:rPr>
          <w:rFonts w:hint="eastAsia" w:ascii="宋体" w:hAnsi="宋体" w:cs="宋体"/>
          <w:color w:val="auto"/>
          <w:szCs w:val="21"/>
        </w:rPr>
      </w:pPr>
      <w:r>
        <w:rPr>
          <w:rFonts w:hint="eastAsia" w:ascii="宋体" w:hAnsi="宋体" w:cs="宋体"/>
          <w:bCs/>
          <w:color w:val="auto"/>
          <w:kern w:val="0"/>
          <w:szCs w:val="21"/>
        </w:rPr>
        <w:t>售价：</w:t>
      </w:r>
      <w:r>
        <w:rPr>
          <w:rFonts w:hint="eastAsia" w:ascii="宋体" w:hAnsi="宋体" w:cs="宋体"/>
          <w:iCs/>
          <w:color w:val="auto"/>
          <w:szCs w:val="21"/>
          <w:u w:val="single"/>
        </w:rPr>
        <w:t>0</w:t>
      </w:r>
      <w:r>
        <w:rPr>
          <w:rFonts w:hint="eastAsia" w:ascii="宋体" w:hAnsi="宋体" w:cs="宋体"/>
          <w:color w:val="auto"/>
          <w:szCs w:val="21"/>
        </w:rPr>
        <w:t>元</w:t>
      </w:r>
    </w:p>
    <w:p w14:paraId="11AFE485">
      <w:pPr>
        <w:ind w:firstLine="354" w:firstLineChars="147"/>
        <w:rPr>
          <w:rFonts w:hint="eastAsia" w:ascii="黑体" w:hAnsi="黑体" w:eastAsia="黑体"/>
          <w:b/>
          <w:color w:val="auto"/>
          <w:sz w:val="24"/>
        </w:rPr>
      </w:pPr>
      <w:bookmarkStart w:id="28" w:name="_Toc71365908"/>
      <w:r>
        <w:rPr>
          <w:rFonts w:hint="eastAsia" w:ascii="黑体" w:hAnsi="黑体" w:eastAsia="黑体"/>
          <w:b/>
          <w:color w:val="auto"/>
          <w:sz w:val="24"/>
        </w:rPr>
        <w:t>四、响应文件提交</w:t>
      </w:r>
      <w:bookmarkEnd w:id="23"/>
      <w:bookmarkEnd w:id="24"/>
      <w:bookmarkEnd w:id="25"/>
      <w:bookmarkEnd w:id="26"/>
      <w:bookmarkEnd w:id="27"/>
      <w:bookmarkEnd w:id="28"/>
    </w:p>
    <w:p w14:paraId="23DE78B7">
      <w:pPr>
        <w:spacing w:line="360" w:lineRule="auto"/>
        <w:ind w:firstLine="420" w:firstLineChars="200"/>
        <w:rPr>
          <w:rFonts w:hint="eastAsia" w:ascii="宋体" w:hAnsi="宋体"/>
          <w:bCs/>
          <w:color w:val="auto"/>
          <w:szCs w:val="21"/>
        </w:rPr>
      </w:pPr>
      <w:bookmarkStart w:id="29" w:name="_Toc35393802"/>
      <w:bookmarkStart w:id="30" w:name="_Toc44229882"/>
      <w:bookmarkStart w:id="31" w:name="_Toc35393633"/>
      <w:bookmarkStart w:id="32" w:name="_Toc28359016"/>
      <w:bookmarkStart w:id="33" w:name="_Toc28359093"/>
      <w:r>
        <w:rPr>
          <w:rFonts w:hint="eastAsia" w:ascii="宋体" w:hAnsi="宋体"/>
          <w:color w:val="auto"/>
          <w:szCs w:val="21"/>
        </w:rPr>
        <w:t>截止时间：</w:t>
      </w:r>
      <w:r>
        <w:rPr>
          <w:rFonts w:hint="eastAsia" w:ascii="宋体" w:hAnsi="宋体"/>
          <w:bCs/>
          <w:color w:val="auto"/>
          <w:szCs w:val="21"/>
          <w:u w:val="single"/>
        </w:rPr>
        <w:t>2025年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10</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时30分</w:t>
      </w:r>
      <w:r>
        <w:rPr>
          <w:rFonts w:hint="eastAsia" w:ascii="宋体" w:hAnsi="宋体"/>
          <w:bCs/>
          <w:color w:val="auto"/>
          <w:szCs w:val="21"/>
        </w:rPr>
        <w:t>（北京时间）</w:t>
      </w:r>
    </w:p>
    <w:p w14:paraId="28C9D960">
      <w:pPr>
        <w:spacing w:line="360" w:lineRule="auto"/>
        <w:ind w:firstLine="420" w:firstLineChars="200"/>
        <w:rPr>
          <w:rFonts w:hint="eastAsia" w:ascii="宋体" w:hAnsi="宋体"/>
          <w:color w:val="auto"/>
          <w:szCs w:val="21"/>
        </w:rPr>
      </w:pP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62A509FF">
      <w:pPr>
        <w:ind w:firstLine="354" w:firstLineChars="147"/>
        <w:rPr>
          <w:rFonts w:hint="eastAsia" w:ascii="黑体" w:hAnsi="黑体" w:eastAsia="黑体"/>
          <w:b/>
          <w:color w:val="auto"/>
          <w:sz w:val="24"/>
        </w:rPr>
      </w:pPr>
      <w:bookmarkStart w:id="34" w:name="_Toc71365909"/>
      <w:r>
        <w:rPr>
          <w:rFonts w:hint="eastAsia" w:ascii="黑体" w:hAnsi="黑体" w:eastAsia="黑体"/>
          <w:b/>
          <w:color w:val="auto"/>
          <w:sz w:val="24"/>
        </w:rPr>
        <w:t>五、开启</w:t>
      </w:r>
      <w:bookmarkEnd w:id="29"/>
      <w:bookmarkEnd w:id="30"/>
      <w:bookmarkEnd w:id="31"/>
      <w:bookmarkEnd w:id="32"/>
      <w:bookmarkEnd w:id="33"/>
      <w:bookmarkEnd w:id="34"/>
    </w:p>
    <w:p w14:paraId="707D5878">
      <w:pPr>
        <w:spacing w:line="360" w:lineRule="auto"/>
        <w:ind w:firstLine="420" w:firstLineChars="200"/>
        <w:rPr>
          <w:rFonts w:hint="eastAsia"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color w:val="auto"/>
          <w:szCs w:val="21"/>
          <w:u w:val="single"/>
        </w:rPr>
        <w:t>2025</w:t>
      </w:r>
      <w:r>
        <w:rPr>
          <w:rFonts w:hint="eastAsia" w:ascii="宋体" w:hAnsi="宋体"/>
          <w:bCs/>
          <w:color w:val="auto"/>
          <w:szCs w:val="21"/>
          <w:u w:val="single"/>
        </w:rPr>
        <w:t>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10</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时30分</w:t>
      </w:r>
      <w:r>
        <w:rPr>
          <w:rFonts w:hint="eastAsia" w:ascii="宋体" w:hAnsi="宋体"/>
          <w:bCs/>
          <w:color w:val="auto"/>
          <w:szCs w:val="21"/>
        </w:rPr>
        <w:t>（北京时间）</w:t>
      </w:r>
    </w:p>
    <w:p w14:paraId="13B7F5D2">
      <w:pPr>
        <w:spacing w:line="360" w:lineRule="auto"/>
        <w:ind w:firstLine="420" w:firstLineChars="200"/>
        <w:rPr>
          <w:rFonts w:hint="eastAsia"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135E4771">
      <w:pPr>
        <w:ind w:firstLine="354" w:firstLineChars="147"/>
        <w:rPr>
          <w:rFonts w:hint="eastAsia" w:ascii="黑体" w:hAnsi="黑体" w:eastAsia="黑体"/>
          <w:b/>
          <w:color w:val="auto"/>
          <w:sz w:val="24"/>
        </w:rPr>
      </w:pPr>
      <w:bookmarkStart w:id="35" w:name="_Toc35393803"/>
      <w:bookmarkStart w:id="36" w:name="_Toc44229883"/>
      <w:bookmarkStart w:id="37" w:name="_Toc71365910"/>
      <w:bookmarkStart w:id="38" w:name="_Toc35393634"/>
      <w:bookmarkStart w:id="39" w:name="_Toc28359017"/>
      <w:bookmarkStart w:id="40" w:name="_Toc28359094"/>
      <w:r>
        <w:rPr>
          <w:rFonts w:hint="eastAsia" w:ascii="黑体" w:hAnsi="黑体" w:eastAsia="黑体"/>
          <w:b/>
          <w:color w:val="auto"/>
          <w:sz w:val="24"/>
        </w:rPr>
        <w:t>六、公告期限</w:t>
      </w:r>
      <w:bookmarkEnd w:id="35"/>
      <w:bookmarkEnd w:id="36"/>
      <w:bookmarkEnd w:id="37"/>
      <w:bookmarkEnd w:id="38"/>
      <w:bookmarkEnd w:id="39"/>
      <w:bookmarkEnd w:id="40"/>
    </w:p>
    <w:p w14:paraId="22E77ED6">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25F9A7D8">
      <w:pPr>
        <w:ind w:firstLine="354" w:firstLineChars="147"/>
        <w:rPr>
          <w:rFonts w:hint="eastAsia" w:ascii="黑体" w:hAnsi="黑体" w:eastAsia="黑体"/>
          <w:b/>
          <w:color w:val="auto"/>
          <w:sz w:val="24"/>
        </w:rPr>
      </w:pPr>
      <w:bookmarkStart w:id="41" w:name="_Toc35393635"/>
      <w:bookmarkStart w:id="42" w:name="_Toc71365911"/>
      <w:bookmarkStart w:id="43" w:name="_Toc44229884"/>
      <w:bookmarkStart w:id="44" w:name="_Toc35393804"/>
      <w:r>
        <w:rPr>
          <w:rFonts w:hint="eastAsia" w:ascii="黑体" w:hAnsi="黑体" w:eastAsia="黑体"/>
          <w:b/>
          <w:color w:val="auto"/>
          <w:sz w:val="24"/>
        </w:rPr>
        <w:t>七、其他补充事宜</w:t>
      </w:r>
      <w:bookmarkEnd w:id="41"/>
      <w:bookmarkEnd w:id="42"/>
      <w:bookmarkEnd w:id="43"/>
      <w:bookmarkEnd w:id="44"/>
    </w:p>
    <w:p w14:paraId="75A8C39C">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网上查询地址</w:t>
      </w:r>
    </w:p>
    <w:p w14:paraId="6665361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www.ccgp.gov.cn（中国政府采购网）、zfcg.gxzf.gov.cn（广西壮族自治区政府采购网）、http://117.141.250.58:10030/web/cgw/index.ptl（梧州市政府采购网）</w:t>
      </w:r>
    </w:p>
    <w:p w14:paraId="53D8613A">
      <w:pPr>
        <w:spacing w:line="360" w:lineRule="auto"/>
        <w:ind w:firstLine="424" w:firstLineChars="202"/>
        <w:rPr>
          <w:rFonts w:hint="eastAsia" w:ascii="宋体" w:hAnsi="宋体" w:cs="宋体"/>
          <w:color w:val="auto"/>
          <w:kern w:val="0"/>
          <w:szCs w:val="21"/>
        </w:rPr>
      </w:pPr>
      <w:bookmarkStart w:id="45" w:name="_Hlk37429674"/>
      <w:bookmarkStart w:id="46" w:name="_Toc28359018"/>
      <w:bookmarkStart w:id="47" w:name="_Toc44229885"/>
      <w:bookmarkStart w:id="48" w:name="_Toc35393805"/>
      <w:bookmarkStart w:id="49" w:name="_Toc28359095"/>
      <w:bookmarkStart w:id="50" w:name="_Toc35393636"/>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p>
    <w:bookmarkEnd w:id="45"/>
    <w:p w14:paraId="2F16BE3F">
      <w:pPr>
        <w:spacing w:line="360" w:lineRule="auto"/>
        <w:ind w:firstLine="420" w:firstLineChars="200"/>
        <w:rPr>
          <w:rFonts w:hint="eastAsia" w:ascii="宋体" w:hAnsi="宋体" w:cs="宋体"/>
          <w:iCs/>
          <w:color w:val="auto"/>
          <w:kern w:val="0"/>
          <w:szCs w:val="21"/>
        </w:rPr>
      </w:pPr>
      <w:r>
        <w:rPr>
          <w:rFonts w:hint="eastAsia" w:ascii="宋体" w:hAnsi="宋体" w:cs="宋体"/>
          <w:iCs/>
          <w:color w:val="auto"/>
          <w:kern w:val="0"/>
          <w:szCs w:val="21"/>
        </w:rPr>
        <w:t>（1）政府采购促进中小企业发展。</w:t>
      </w:r>
    </w:p>
    <w:p w14:paraId="168D3801">
      <w:pPr>
        <w:spacing w:line="360" w:lineRule="auto"/>
        <w:ind w:firstLine="420" w:firstLineChars="200"/>
        <w:rPr>
          <w:rFonts w:hint="eastAsia" w:ascii="宋体" w:hAnsi="宋体" w:cs="宋体"/>
          <w:iCs/>
          <w:color w:val="auto"/>
          <w:kern w:val="0"/>
          <w:szCs w:val="21"/>
        </w:rPr>
      </w:pPr>
      <w:r>
        <w:rPr>
          <w:rFonts w:hint="eastAsia" w:ascii="宋体" w:hAnsi="宋体" w:cs="宋体"/>
          <w:iCs/>
          <w:color w:val="auto"/>
          <w:kern w:val="0"/>
          <w:szCs w:val="21"/>
        </w:rPr>
        <w:t>（2）政府采购支持采用本国产品的政策。</w:t>
      </w:r>
    </w:p>
    <w:p w14:paraId="42AA2BEB">
      <w:pPr>
        <w:spacing w:line="360" w:lineRule="auto"/>
        <w:ind w:firstLine="420" w:firstLineChars="200"/>
        <w:rPr>
          <w:rFonts w:hint="eastAsia"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14:paraId="1563C0FF">
      <w:pPr>
        <w:spacing w:line="360" w:lineRule="auto"/>
        <w:ind w:firstLine="420" w:firstLineChars="200"/>
        <w:rPr>
          <w:rFonts w:hint="eastAsia" w:ascii="宋体" w:hAnsi="宋体" w:cs="宋体"/>
          <w:iCs/>
          <w:color w:val="auto"/>
          <w:kern w:val="0"/>
          <w:szCs w:val="21"/>
        </w:rPr>
      </w:pPr>
      <w:r>
        <w:rPr>
          <w:rFonts w:hint="eastAsia" w:ascii="宋体" w:hAnsi="宋体" w:cs="宋体"/>
          <w:iCs/>
          <w:color w:val="auto"/>
          <w:kern w:val="0"/>
          <w:szCs w:val="21"/>
        </w:rPr>
        <w:t>（4）政府采购促进残疾人就业政策。</w:t>
      </w:r>
    </w:p>
    <w:p w14:paraId="2EEFBC52">
      <w:pPr>
        <w:spacing w:line="360" w:lineRule="auto"/>
        <w:ind w:firstLine="420" w:firstLineChars="200"/>
        <w:rPr>
          <w:rFonts w:hint="eastAsia" w:ascii="宋体" w:hAnsi="宋体" w:cs="宋体"/>
          <w:iCs/>
          <w:color w:val="auto"/>
          <w:kern w:val="0"/>
          <w:szCs w:val="21"/>
        </w:rPr>
      </w:pPr>
      <w:r>
        <w:rPr>
          <w:rFonts w:hint="eastAsia" w:ascii="宋体" w:hAnsi="宋体" w:cs="宋体"/>
          <w:iCs/>
          <w:color w:val="auto"/>
          <w:kern w:val="0"/>
          <w:szCs w:val="21"/>
        </w:rPr>
        <w:t>（5）政府采购支持监狱企业发展。</w:t>
      </w:r>
    </w:p>
    <w:p w14:paraId="3E186CC8">
      <w:pPr>
        <w:widowControl/>
        <w:spacing w:line="360" w:lineRule="auto"/>
        <w:ind w:firstLine="420" w:firstLineChars="200"/>
        <w:jc w:val="left"/>
        <w:rPr>
          <w:rFonts w:hint="eastAsia" w:ascii="宋体" w:hAnsi="宋体"/>
          <w:color w:val="auto"/>
          <w:szCs w:val="21"/>
        </w:rPr>
      </w:pPr>
      <w:r>
        <w:rPr>
          <w:rFonts w:hint="eastAsia" w:ascii="宋体" w:hAnsi="宋体" w:cs="宋体"/>
          <w:color w:val="auto"/>
          <w:kern w:val="0"/>
          <w:szCs w:val="21"/>
        </w:rPr>
        <w:t>3.供应商</w:t>
      </w:r>
      <w:r>
        <w:rPr>
          <w:rFonts w:hint="eastAsia" w:ascii="宋体" w:hAnsi="宋体"/>
          <w:color w:val="auto"/>
          <w:szCs w:val="21"/>
        </w:rPr>
        <w:t>竞标注意事项</w:t>
      </w:r>
    </w:p>
    <w:p w14:paraId="4A120A13">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政府采购项目电子交易管理操作指南－供应商</w:t>
      </w:r>
      <w:r>
        <w:rPr>
          <w:rFonts w:hint="eastAsia" w:ascii="宋体" w:hAnsi="宋体"/>
          <w:color w:val="auto"/>
          <w:szCs w:val="21"/>
        </w:rPr>
        <w:t>”查看电子竞标具体操作流程。</w:t>
      </w:r>
    </w:p>
    <w:p w14:paraId="31195771">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w:t>
      </w:r>
      <w:r>
        <w:rPr>
          <w:rFonts w:hint="eastAsia" w:ascii="宋体" w:hAnsi="宋体" w:cs="宋体"/>
          <w:b/>
          <w:color w:val="auto"/>
          <w:kern w:val="0"/>
          <w:szCs w:val="21"/>
        </w:rPr>
        <w:t>请致电客服热线：95763或者0771-3381253</w:t>
      </w:r>
      <w:r>
        <w:rPr>
          <w:rFonts w:hint="eastAsia" w:ascii="宋体" w:hAnsi="宋体"/>
          <w:color w:val="auto"/>
          <w:szCs w:val="21"/>
        </w:rPr>
        <w:t>）。</w:t>
      </w:r>
    </w:p>
    <w:p w14:paraId="343C4A0A">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7F1401F">
      <w:pPr>
        <w:widowControl/>
        <w:spacing w:line="360" w:lineRule="auto"/>
        <w:ind w:firstLine="420" w:firstLineChars="200"/>
        <w:jc w:val="left"/>
        <w:rPr>
          <w:rFonts w:hint="eastAsia"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D359A9C">
      <w:pPr>
        <w:spacing w:line="360" w:lineRule="auto"/>
        <w:ind w:firstLine="420" w:firstLineChars="200"/>
        <w:rPr>
          <w:rFonts w:hint="eastAsia" w:ascii="宋体" w:hAnsi="宋体"/>
          <w:color w:val="auto"/>
          <w:szCs w:val="21"/>
          <w:u w:val="single"/>
        </w:rPr>
      </w:pPr>
      <w:r>
        <w:rPr>
          <w:rFonts w:hint="eastAsia" w:ascii="宋体" w:hAnsi="宋体" w:cs="宋体"/>
          <w:color w:val="auto"/>
          <w:kern w:val="0"/>
          <w:szCs w:val="21"/>
        </w:rPr>
        <w:t>（4）供应商需要在具备有摄像头及语音功能且互联网网络状况良好的电脑登录广西政府采购云平台远程开标大厅参与本次磋商，否则后果自负。</w:t>
      </w:r>
    </w:p>
    <w:p w14:paraId="1C79391A">
      <w:pPr>
        <w:ind w:firstLine="354" w:firstLineChars="147"/>
        <w:rPr>
          <w:rFonts w:hint="eastAsia"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6"/>
      <w:bookmarkEnd w:id="47"/>
      <w:bookmarkEnd w:id="48"/>
      <w:bookmarkEnd w:id="49"/>
      <w:bookmarkEnd w:id="50"/>
    </w:p>
    <w:p w14:paraId="71905988">
      <w:pPr>
        <w:spacing w:line="360" w:lineRule="auto"/>
        <w:ind w:firstLine="424" w:firstLineChars="202"/>
        <w:jc w:val="left"/>
        <w:rPr>
          <w:rFonts w:hint="eastAsia" w:ascii="宋体" w:hAnsi="宋体"/>
          <w:color w:val="auto"/>
          <w:szCs w:val="21"/>
        </w:rPr>
      </w:pPr>
      <w:r>
        <w:rPr>
          <w:rFonts w:hint="eastAsia" w:ascii="宋体" w:hAnsi="宋体" w:cs="宋体"/>
          <w:color w:val="auto"/>
          <w:szCs w:val="21"/>
        </w:rPr>
        <w:t>1.采购人信息</w:t>
      </w:r>
    </w:p>
    <w:p w14:paraId="49C7B45C">
      <w:pPr>
        <w:spacing w:line="360" w:lineRule="auto"/>
        <w:ind w:firstLine="424" w:firstLineChars="202"/>
        <w:jc w:val="left"/>
        <w:rPr>
          <w:rFonts w:hint="eastAsia" w:ascii="宋体" w:hAnsi="宋体"/>
          <w:color w:val="auto"/>
          <w:szCs w:val="21"/>
          <w:u w:val="single"/>
        </w:rPr>
      </w:pPr>
      <w:bookmarkStart w:id="51" w:name="_Toc28359009"/>
      <w:bookmarkStart w:id="52" w:name="_Toc28359086"/>
      <w:r>
        <w:rPr>
          <w:rFonts w:hint="eastAsia" w:ascii="宋体" w:hAnsi="宋体"/>
          <w:color w:val="auto"/>
          <w:szCs w:val="21"/>
        </w:rPr>
        <w:t>名 称：</w:t>
      </w:r>
      <w:r>
        <w:rPr>
          <w:rFonts w:hint="eastAsia" w:ascii="宋体" w:hAnsi="宋体"/>
          <w:color w:val="auto"/>
          <w:szCs w:val="21"/>
          <w:u w:val="single"/>
        </w:rPr>
        <w:t>梧州市机关后勤服务中心</w:t>
      </w:r>
    </w:p>
    <w:p w14:paraId="0D5F144D">
      <w:pPr>
        <w:widowControl/>
        <w:spacing w:line="360" w:lineRule="auto"/>
        <w:ind w:firstLine="420" w:firstLineChars="200"/>
        <w:jc w:val="left"/>
        <w:rPr>
          <w:rFonts w:hint="eastAsia" w:ascii="宋体" w:hAnsi="宋体"/>
          <w:bCs/>
          <w:color w:val="auto"/>
          <w:szCs w:val="21"/>
          <w:u w:val="single"/>
        </w:rPr>
      </w:pPr>
      <w:r>
        <w:rPr>
          <w:rFonts w:hint="eastAsia" w:ascii="宋体" w:hAnsi="宋体"/>
          <w:bCs/>
          <w:color w:val="auto"/>
          <w:szCs w:val="21"/>
        </w:rPr>
        <w:t>地    址：</w:t>
      </w:r>
      <w:r>
        <w:rPr>
          <w:rFonts w:hint="eastAsia" w:ascii="宋体" w:hAnsi="宋体"/>
          <w:bCs/>
          <w:color w:val="auto"/>
          <w:szCs w:val="21"/>
          <w:u w:val="single"/>
        </w:rPr>
        <w:t>梧州市长洲区迎宾路19号</w:t>
      </w:r>
    </w:p>
    <w:p w14:paraId="139A9083">
      <w:pPr>
        <w:spacing w:line="360" w:lineRule="auto"/>
        <w:ind w:firstLine="424" w:firstLineChars="202"/>
        <w:jc w:val="left"/>
        <w:rPr>
          <w:rFonts w:hint="eastAsia" w:ascii="宋体" w:hAnsi="宋体"/>
          <w:color w:val="auto"/>
          <w:szCs w:val="21"/>
        </w:rPr>
      </w:pPr>
      <w:r>
        <w:rPr>
          <w:rFonts w:hint="eastAsia" w:ascii="宋体" w:hAnsi="宋体"/>
          <w:bCs/>
          <w:color w:val="auto"/>
          <w:szCs w:val="21"/>
        </w:rPr>
        <w:t>联系方式：</w:t>
      </w:r>
      <w:r>
        <w:rPr>
          <w:rFonts w:hint="eastAsia" w:ascii="宋体" w:hAnsi="宋体"/>
          <w:bCs/>
          <w:color w:val="auto"/>
          <w:szCs w:val="21"/>
          <w:u w:val="single"/>
        </w:rPr>
        <w:t>苏卓华</w:t>
      </w:r>
      <w:r>
        <w:rPr>
          <w:rFonts w:hint="eastAsia" w:ascii="宋体" w:hAnsi="宋体" w:cs="宋体"/>
          <w:color w:val="auto"/>
          <w:szCs w:val="21"/>
          <w:u w:val="single"/>
        </w:rPr>
        <w:t>，0774-6021604</w:t>
      </w:r>
    </w:p>
    <w:p w14:paraId="2BA6B075">
      <w:pPr>
        <w:spacing w:line="360" w:lineRule="auto"/>
        <w:ind w:firstLine="424" w:firstLineChars="202"/>
        <w:jc w:val="left"/>
        <w:rPr>
          <w:rFonts w:hint="eastAsia" w:ascii="宋体" w:hAnsi="宋体"/>
          <w:color w:val="auto"/>
          <w:szCs w:val="21"/>
        </w:rPr>
      </w:pPr>
      <w:r>
        <w:rPr>
          <w:rFonts w:hint="eastAsia" w:ascii="宋体" w:hAnsi="宋体" w:cs="宋体"/>
          <w:color w:val="auto"/>
          <w:szCs w:val="21"/>
        </w:rPr>
        <w:t>2.采购代理机构信息</w:t>
      </w:r>
      <w:bookmarkEnd w:id="51"/>
      <w:bookmarkEnd w:id="52"/>
    </w:p>
    <w:p w14:paraId="34CC3B31">
      <w:pPr>
        <w:spacing w:line="360" w:lineRule="auto"/>
        <w:ind w:firstLine="424" w:firstLineChars="202"/>
        <w:rPr>
          <w:rFonts w:hint="eastAsia" w:ascii="宋体" w:hAnsi="宋体"/>
          <w:color w:val="auto"/>
          <w:szCs w:val="21"/>
        </w:rPr>
      </w:pPr>
      <w:bookmarkStart w:id="53" w:name="_Toc28359010"/>
      <w:bookmarkStart w:id="54" w:name="_Toc28359087"/>
      <w:r>
        <w:rPr>
          <w:rFonts w:hint="eastAsia" w:ascii="宋体" w:hAnsi="宋体"/>
          <w:color w:val="auto"/>
          <w:szCs w:val="21"/>
        </w:rPr>
        <w:t>名 称：</w:t>
      </w:r>
      <w:r>
        <w:rPr>
          <w:rFonts w:hint="eastAsia" w:ascii="宋体" w:hAnsi="宋体"/>
          <w:color w:val="auto"/>
          <w:szCs w:val="21"/>
          <w:u w:val="single"/>
        </w:rPr>
        <w:t>云之龙咨询集团有限公司　</w:t>
      </w:r>
    </w:p>
    <w:p w14:paraId="1A07939B">
      <w:pPr>
        <w:spacing w:line="360" w:lineRule="auto"/>
        <w:ind w:firstLine="424" w:firstLineChars="202"/>
        <w:rPr>
          <w:rFonts w:hint="eastAsia" w:ascii="宋体" w:hAnsi="宋体"/>
          <w:color w:val="auto"/>
          <w:szCs w:val="21"/>
        </w:rPr>
      </w:pPr>
      <w:r>
        <w:rPr>
          <w:rFonts w:hint="eastAsia" w:ascii="宋体" w:hAnsi="宋体"/>
          <w:color w:val="auto"/>
          <w:szCs w:val="21"/>
        </w:rPr>
        <w:t>地　址：</w:t>
      </w:r>
      <w:r>
        <w:rPr>
          <w:rFonts w:hint="eastAsia" w:ascii="宋体" w:hAnsi="宋体"/>
          <w:color w:val="auto"/>
          <w:szCs w:val="21"/>
          <w:u w:val="single"/>
        </w:rPr>
        <w:t>梧州市新兴三路30号神冠豪都B栋1单元1008号房</w:t>
      </w:r>
    </w:p>
    <w:p w14:paraId="2FB65BC1">
      <w:pPr>
        <w:spacing w:line="360" w:lineRule="auto"/>
        <w:ind w:firstLine="424" w:firstLineChars="202"/>
        <w:rPr>
          <w:rFonts w:hint="eastAsia"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周子然、陈丽莹 0774-3859935</w:t>
      </w:r>
    </w:p>
    <w:p w14:paraId="01EAC8AB">
      <w:pPr>
        <w:spacing w:line="360" w:lineRule="auto"/>
        <w:ind w:firstLine="424" w:firstLineChars="202"/>
        <w:rPr>
          <w:rFonts w:hint="eastAsia" w:ascii="宋体" w:hAnsi="宋体"/>
          <w:color w:val="auto"/>
          <w:szCs w:val="21"/>
        </w:rPr>
      </w:pPr>
      <w:r>
        <w:rPr>
          <w:rFonts w:hint="eastAsia" w:ascii="宋体" w:hAnsi="宋体" w:cs="宋体"/>
          <w:color w:val="auto"/>
          <w:szCs w:val="21"/>
        </w:rPr>
        <w:t>3.项目</w:t>
      </w:r>
      <w:r>
        <w:rPr>
          <w:rFonts w:ascii="宋体" w:hAnsi="宋体" w:cs="宋体"/>
          <w:color w:val="auto"/>
          <w:szCs w:val="21"/>
        </w:rPr>
        <w:t>联系方式</w:t>
      </w:r>
      <w:bookmarkEnd w:id="53"/>
      <w:bookmarkEnd w:id="54"/>
    </w:p>
    <w:p w14:paraId="2720FB86">
      <w:pPr>
        <w:pStyle w:val="16"/>
        <w:spacing w:line="360" w:lineRule="auto"/>
        <w:ind w:firstLine="424" w:firstLineChars="202"/>
        <w:rPr>
          <w:rFonts w:hint="eastAsia" w:hAnsi="宋体"/>
          <w:color w:val="auto"/>
          <w:kern w:val="2"/>
          <w:sz w:val="21"/>
          <w:u w:val="single"/>
        </w:rPr>
      </w:pPr>
      <w:r>
        <w:rPr>
          <w:rFonts w:hint="eastAsia" w:hAnsi="宋体"/>
          <w:color w:val="auto"/>
          <w:sz w:val="21"/>
        </w:rPr>
        <w:t>项目联系人：</w:t>
      </w:r>
      <w:r>
        <w:rPr>
          <w:rFonts w:hint="eastAsia" w:hAnsi="宋体"/>
          <w:color w:val="auto"/>
          <w:sz w:val="21"/>
          <w:u w:val="single"/>
        </w:rPr>
        <w:t>周子然、</w:t>
      </w:r>
      <w:r>
        <w:rPr>
          <w:rFonts w:hint="eastAsia" w:hAnsi="宋体"/>
          <w:color w:val="auto"/>
          <w:kern w:val="2"/>
          <w:sz w:val="21"/>
          <w:u w:val="single"/>
        </w:rPr>
        <w:t>陈丽莹</w:t>
      </w:r>
    </w:p>
    <w:p w14:paraId="375E0E63">
      <w:pPr>
        <w:spacing w:line="360" w:lineRule="auto"/>
        <w:ind w:firstLine="424" w:firstLineChars="202"/>
        <w:rPr>
          <w:rFonts w:hint="eastAsia"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0774-3859935</w:t>
      </w:r>
    </w:p>
    <w:bookmarkEnd w:id="4"/>
    <w:p w14:paraId="2E5ABA1E">
      <w:pPr>
        <w:jc w:val="center"/>
        <w:rPr>
          <w:color w:val="auto"/>
        </w:rPr>
      </w:pPr>
      <w:r>
        <w:rPr>
          <w:rFonts w:ascii="宋体" w:hAnsi="宋体"/>
          <w:color w:val="auto"/>
          <w:sz w:val="32"/>
          <w:szCs w:val="32"/>
        </w:rPr>
        <w:br w:type="page"/>
      </w:r>
      <w:bookmarkStart w:id="55" w:name="_Toc74323457"/>
      <w:r>
        <w:rPr>
          <w:rFonts w:hint="eastAsia"/>
          <w:b/>
          <w:bCs/>
          <w:color w:val="auto"/>
          <w:kern w:val="44"/>
          <w:sz w:val="44"/>
          <w:szCs w:val="44"/>
        </w:rPr>
        <w:t>第二章 供应商须知</w:t>
      </w:r>
      <w:bookmarkEnd w:id="55"/>
    </w:p>
    <w:p w14:paraId="69A2D5AE">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供应商须知前附表</w:t>
      </w:r>
    </w:p>
    <w:p w14:paraId="26EC6AAD">
      <w:pPr>
        <w:spacing w:line="400" w:lineRule="exact"/>
        <w:jc w:val="center"/>
        <w:rPr>
          <w:rFonts w:hint="eastAsia" w:ascii="宋体" w:hAnsi="宋体"/>
          <w:b/>
          <w:color w:val="auto"/>
          <w:sz w:val="32"/>
          <w:szCs w:val="32"/>
        </w:rPr>
      </w:pPr>
    </w:p>
    <w:tbl>
      <w:tblPr>
        <w:tblStyle w:val="2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25B9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56C528FE">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7912" w:type="dxa"/>
            <w:noWrap/>
          </w:tcPr>
          <w:p w14:paraId="64C27050">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4922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EC8A144">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7912" w:type="dxa"/>
            <w:noWrap/>
            <w:vAlign w:val="center"/>
          </w:tcPr>
          <w:p w14:paraId="51DF994D">
            <w:pPr>
              <w:spacing w:line="360" w:lineRule="auto"/>
              <w:rPr>
                <w:rFonts w:hint="eastAsia" w:ascii="宋体" w:hAnsi="宋体"/>
                <w:color w:val="auto"/>
                <w:szCs w:val="21"/>
              </w:rPr>
            </w:pPr>
            <w:r>
              <w:rPr>
                <w:rFonts w:hint="eastAsia" w:ascii="宋体" w:hAnsi="宋体" w:cs="宋体"/>
                <w:bCs/>
                <w:color w:val="auto"/>
                <w:szCs w:val="21"/>
              </w:rPr>
              <w:t>1.供应商的资格条件</w:t>
            </w:r>
            <w:r>
              <w:rPr>
                <w:rFonts w:hint="eastAsia" w:ascii="宋体" w:hAnsi="宋体" w:cs="宋体"/>
                <w:color w:val="auto"/>
                <w:szCs w:val="21"/>
              </w:rPr>
              <w:t>：详见竞争性磋商公告</w:t>
            </w:r>
          </w:p>
          <w:p w14:paraId="0A08F285">
            <w:pPr>
              <w:spacing w:line="360" w:lineRule="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144CA01A">
            <w:pPr>
              <w:spacing w:line="360" w:lineRule="auto"/>
              <w:rPr>
                <w:rFonts w:hint="eastAsia"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AA6B95F">
            <w:pPr>
              <w:spacing w:line="360" w:lineRule="auto"/>
              <w:rPr>
                <w:rFonts w:hint="eastAsia" w:ascii="宋体" w:hAnsi="宋体" w:cs="宋体"/>
                <w:color w:val="auto"/>
                <w:szCs w:val="21"/>
              </w:rPr>
            </w:pPr>
            <w:r>
              <w:rPr>
                <w:rFonts w:hint="eastAsia" w:ascii="宋体" w:hAnsi="宋体" w:cs="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21D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2FC7584">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7912" w:type="dxa"/>
            <w:noWrap/>
            <w:vAlign w:val="center"/>
          </w:tcPr>
          <w:p w14:paraId="6A35196D">
            <w:pPr>
              <w:spacing w:line="360" w:lineRule="auto"/>
              <w:rPr>
                <w:rFonts w:hint="eastAsia" w:ascii="宋体" w:hAnsi="宋体" w:cs="宋体"/>
                <w:color w:val="auto"/>
                <w:szCs w:val="21"/>
              </w:rPr>
            </w:pPr>
            <w:r>
              <w:rPr>
                <w:rFonts w:hint="eastAsia" w:ascii="宋体" w:hAnsi="宋体" w:cs="宋体"/>
                <w:color w:val="auto"/>
                <w:szCs w:val="21"/>
              </w:rPr>
              <w:t>是否接受联合体竞标：详见竞争性磋商公告</w:t>
            </w:r>
          </w:p>
        </w:tc>
      </w:tr>
      <w:tr w14:paraId="410C3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85008EE">
            <w:pPr>
              <w:spacing w:line="360" w:lineRule="auto"/>
              <w:jc w:val="center"/>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noWrap/>
            <w:vAlign w:val="center"/>
          </w:tcPr>
          <w:p w14:paraId="01735839">
            <w:pPr>
              <w:spacing w:line="360" w:lineRule="auto"/>
              <w:rPr>
                <w:rFonts w:hint="eastAsia" w:ascii="宋体" w:hAnsi="宋体" w:cs="宋体"/>
                <w:color w:val="auto"/>
                <w:szCs w:val="21"/>
              </w:rPr>
            </w:pPr>
            <w:r>
              <w:rPr>
                <w:rFonts w:hint="eastAsia" w:ascii="宋体" w:hAnsi="宋体"/>
                <w:color w:val="auto"/>
                <w:szCs w:val="21"/>
              </w:rPr>
              <w:t>如接受联合体竞标，联合体竞标要求如下：</w:t>
            </w:r>
            <w:r>
              <w:rPr>
                <w:rFonts w:hint="eastAsia" w:ascii="宋体" w:hAnsi="宋体" w:cs="宋体"/>
                <w:color w:val="auto"/>
                <w:szCs w:val="21"/>
              </w:rPr>
              <w:t>/</w:t>
            </w:r>
          </w:p>
        </w:tc>
      </w:tr>
      <w:tr w14:paraId="740B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D2593A3">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7912" w:type="dxa"/>
            <w:noWrap/>
            <w:vAlign w:val="center"/>
          </w:tcPr>
          <w:p w14:paraId="759D9639">
            <w:pPr>
              <w:pStyle w:val="11"/>
              <w:spacing w:line="360" w:lineRule="auto"/>
              <w:rPr>
                <w:rFonts w:hint="eastAsia" w:ascii="宋体" w:hAnsi="宋体"/>
                <w:color w:val="auto"/>
                <w:szCs w:val="21"/>
              </w:rPr>
            </w:pPr>
            <w:r>
              <w:rPr>
                <w:rFonts w:hint="eastAsia" w:ascii="宋体" w:hAnsi="宋体"/>
                <w:color w:val="auto"/>
                <w:szCs w:val="21"/>
              </w:rPr>
              <w:t>☑不允许分包</w:t>
            </w:r>
          </w:p>
          <w:p w14:paraId="399909E2">
            <w:pPr>
              <w:pStyle w:val="11"/>
              <w:spacing w:line="360" w:lineRule="auto"/>
              <w:rPr>
                <w:rFonts w:hint="eastAsia" w:ascii="宋体" w:hAnsi="宋体"/>
                <w:color w:val="auto"/>
                <w:szCs w:val="21"/>
              </w:rPr>
            </w:pPr>
            <w:r>
              <w:rPr>
                <w:rFonts w:hint="eastAsia" w:ascii="宋体" w:hAnsi="宋体"/>
                <w:color w:val="auto"/>
                <w:szCs w:val="21"/>
              </w:rPr>
              <w:t>□允许分包</w:t>
            </w:r>
          </w:p>
          <w:p w14:paraId="3F1D02A3">
            <w:pPr>
              <w:pStyle w:val="11"/>
              <w:spacing w:line="360" w:lineRule="auto"/>
              <w:rPr>
                <w:rFonts w:hint="eastAsia"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w:t>
            </w:r>
          </w:p>
          <w:p w14:paraId="56FAF165">
            <w:pPr>
              <w:pStyle w:val="11"/>
              <w:spacing w:line="360" w:lineRule="auto"/>
              <w:rPr>
                <w:rFonts w:hint="eastAsia" w:ascii="宋体" w:hAnsi="宋体" w:cs="宋体"/>
                <w:color w:val="auto"/>
                <w:szCs w:val="21"/>
              </w:rPr>
            </w:pPr>
            <w:r>
              <w:rPr>
                <w:rFonts w:hint="eastAsia" w:ascii="宋体" w:hAnsi="宋体"/>
                <w:color w:val="auto"/>
                <w:szCs w:val="21"/>
              </w:rPr>
              <w:t>分包金额或者比例：</w:t>
            </w:r>
            <w:r>
              <w:rPr>
                <w:rFonts w:hint="eastAsia" w:ascii="宋体" w:hAnsi="宋体"/>
                <w:color w:val="auto"/>
                <w:szCs w:val="21"/>
                <w:u w:val="single"/>
              </w:rPr>
              <w:t xml:space="preserve">                                     。</w:t>
            </w:r>
          </w:p>
        </w:tc>
      </w:tr>
      <w:tr w14:paraId="30765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A543B7">
            <w:pPr>
              <w:spacing w:line="460" w:lineRule="exact"/>
              <w:jc w:val="center"/>
              <w:rPr>
                <w:rFonts w:hint="eastAsia" w:ascii="宋体" w:hAnsi="宋体" w:cs="宋体"/>
                <w:color w:val="auto"/>
                <w:szCs w:val="21"/>
              </w:rPr>
            </w:pPr>
            <w:r>
              <w:rPr>
                <w:rFonts w:hint="eastAsia" w:ascii="宋体" w:hAnsi="宋体"/>
                <w:color w:val="auto"/>
              </w:rPr>
              <w:t>7.7</w:t>
            </w:r>
          </w:p>
        </w:tc>
        <w:tc>
          <w:tcPr>
            <w:tcW w:w="7912" w:type="dxa"/>
            <w:noWrap/>
            <w:vAlign w:val="center"/>
          </w:tcPr>
          <w:p w14:paraId="7723B67E">
            <w:pPr>
              <w:spacing w:line="460" w:lineRule="exact"/>
              <w:ind w:right="105" w:rightChars="50"/>
              <w:rPr>
                <w:color w:val="auto"/>
              </w:rPr>
            </w:pPr>
            <w:r>
              <w:rPr>
                <w:rFonts w:hint="eastAsia"/>
                <w:color w:val="auto"/>
              </w:rPr>
              <w:t>是否组织现场踏勘：</w:t>
            </w:r>
          </w:p>
          <w:p w14:paraId="301CF915">
            <w:pPr>
              <w:spacing w:line="460" w:lineRule="exact"/>
              <w:ind w:right="105" w:rightChars="50"/>
              <w:rPr>
                <w:rFonts w:hint="eastAsia" w:ascii="宋体" w:hAnsi="宋体"/>
                <w:color w:val="auto"/>
              </w:rPr>
            </w:pPr>
            <w:r>
              <w:rPr>
                <w:rFonts w:hint="eastAsia"/>
                <w:color w:val="auto"/>
              </w:rPr>
              <w:t>□不</w:t>
            </w:r>
            <w:r>
              <w:rPr>
                <w:rFonts w:hint="eastAsia" w:ascii="宋体" w:hAnsi="宋体"/>
                <w:color w:val="auto"/>
              </w:rPr>
              <w:t>组织</w:t>
            </w:r>
          </w:p>
          <w:p w14:paraId="628C7777">
            <w:pPr>
              <w:spacing w:line="460" w:lineRule="exact"/>
              <w:ind w:right="105" w:rightChars="50"/>
              <w:rPr>
                <w:rFonts w:hint="eastAsia" w:ascii="宋体" w:hAnsi="宋体"/>
                <w:color w:val="auto"/>
              </w:rPr>
            </w:pPr>
            <w:r>
              <w:rPr>
                <w:rFonts w:hint="eastAsia"/>
                <w:color w:val="auto"/>
              </w:rPr>
              <w:t>☑</w:t>
            </w:r>
            <w:r>
              <w:rPr>
                <w:rFonts w:hint="eastAsia" w:ascii="宋体" w:hAnsi="宋体"/>
                <w:color w:val="auto"/>
              </w:rPr>
              <w:t>组织，</w:t>
            </w:r>
            <w:r>
              <w:rPr>
                <w:rFonts w:hint="eastAsia"/>
                <w:color w:val="auto"/>
              </w:rPr>
              <w:t>踏勘</w:t>
            </w:r>
            <w:r>
              <w:rPr>
                <w:rFonts w:hint="eastAsia" w:ascii="宋体" w:hAnsi="宋体"/>
                <w:color w:val="auto"/>
              </w:rPr>
              <w:t>时间：</w:t>
            </w:r>
            <w:r>
              <w:rPr>
                <w:rFonts w:ascii="宋体" w:hAnsi="宋体"/>
                <w:color w:val="auto"/>
              </w:rPr>
              <w:t>20</w:t>
            </w:r>
            <w:r>
              <w:rPr>
                <w:rFonts w:hint="eastAsia" w:ascii="宋体" w:hAnsi="宋体"/>
                <w:color w:val="auto"/>
              </w:rPr>
              <w:t>25年</w:t>
            </w:r>
            <w:r>
              <w:rPr>
                <w:rFonts w:hint="eastAsia" w:ascii="宋体" w:hAnsi="宋体"/>
                <w:color w:val="auto"/>
                <w:u w:val="single"/>
                <w:lang w:val="en-US" w:eastAsia="zh-CN"/>
              </w:rPr>
              <w:t>12</w:t>
            </w:r>
            <w:r>
              <w:rPr>
                <w:rFonts w:hint="eastAsia" w:ascii="宋体" w:hAnsi="宋体"/>
                <w:color w:val="auto"/>
              </w:rPr>
              <w:t>月</w:t>
            </w:r>
            <w:r>
              <w:rPr>
                <w:rFonts w:hint="eastAsia" w:ascii="宋体" w:hAnsi="宋体"/>
                <w:color w:val="auto"/>
                <w:u w:val="single"/>
                <w:lang w:val="en-US" w:eastAsia="zh-CN"/>
              </w:rPr>
              <w:t>8</w:t>
            </w:r>
            <w:r>
              <w:rPr>
                <w:rFonts w:hint="eastAsia" w:ascii="宋体" w:hAnsi="宋体"/>
                <w:color w:val="auto"/>
              </w:rPr>
              <w:t>日9时3</w:t>
            </w:r>
            <w:r>
              <w:rPr>
                <w:rFonts w:ascii="宋体" w:hAnsi="宋体"/>
                <w:color w:val="auto"/>
              </w:rPr>
              <w:t>0</w:t>
            </w:r>
            <w:r>
              <w:rPr>
                <w:rFonts w:hint="eastAsia" w:ascii="宋体" w:hAnsi="宋体"/>
                <w:color w:val="auto"/>
              </w:rPr>
              <w:t>分（逾期不候，其责任由供应商自行承担）。</w:t>
            </w:r>
          </w:p>
          <w:p w14:paraId="41CFEC18">
            <w:pPr>
              <w:spacing w:line="460" w:lineRule="exact"/>
              <w:ind w:right="105" w:rightChars="50"/>
              <w:rPr>
                <w:rFonts w:hint="eastAsia" w:ascii="宋体" w:hAnsi="宋体"/>
                <w:color w:val="auto"/>
              </w:rPr>
            </w:pPr>
            <w:r>
              <w:rPr>
                <w:rFonts w:hint="eastAsia"/>
                <w:color w:val="auto"/>
              </w:rPr>
              <w:t>踏勘</w:t>
            </w:r>
            <w:r>
              <w:rPr>
                <w:rFonts w:hint="eastAsia" w:ascii="宋体" w:hAnsi="宋体"/>
                <w:color w:val="auto"/>
              </w:rPr>
              <w:t>集中地点：</w:t>
            </w:r>
            <w:r>
              <w:rPr>
                <w:rFonts w:hint="eastAsia" w:ascii="宋体" w:hAnsi="宋体"/>
                <w:color w:val="auto"/>
                <w:u w:val="single"/>
              </w:rPr>
              <w:t>梧州市政府办公大楼</w:t>
            </w:r>
            <w:r>
              <w:rPr>
                <w:rFonts w:hint="eastAsia" w:ascii="宋体" w:hAnsi="宋体" w:cs="宋体"/>
                <w:bCs/>
                <w:color w:val="auto"/>
                <w:szCs w:val="21"/>
              </w:rPr>
              <w:t xml:space="preserve"> </w:t>
            </w:r>
          </w:p>
          <w:p w14:paraId="60A122B8">
            <w:pPr>
              <w:adjustRightInd w:val="0"/>
              <w:snapToGrid w:val="0"/>
              <w:spacing w:line="460" w:lineRule="exact"/>
              <w:ind w:right="105" w:rightChars="50"/>
              <w:rPr>
                <w:rFonts w:hint="eastAsia" w:ascii="宋体" w:hAnsi="宋体" w:cs="宋体"/>
                <w:color w:val="auto"/>
              </w:rPr>
            </w:pPr>
            <w:r>
              <w:rPr>
                <w:rFonts w:hint="eastAsia" w:ascii="宋体" w:hAnsi="宋体" w:cs="宋体"/>
                <w:color w:val="auto"/>
                <w:lang w:val="zh-CN"/>
              </w:rPr>
              <w:t>联系人：</w:t>
            </w:r>
            <w:r>
              <w:rPr>
                <w:rFonts w:hint="eastAsia" w:ascii="宋体" w:hAnsi="宋体" w:cs="宋体"/>
                <w:color w:val="auto"/>
                <w:u w:val="single"/>
              </w:rPr>
              <w:t>陈小姐</w:t>
            </w:r>
          </w:p>
          <w:p w14:paraId="20BDCA0F">
            <w:pPr>
              <w:adjustRightInd w:val="0"/>
              <w:snapToGrid w:val="0"/>
              <w:spacing w:line="460" w:lineRule="exact"/>
              <w:ind w:right="105" w:rightChars="50"/>
              <w:rPr>
                <w:rFonts w:hint="eastAsia" w:ascii="宋体" w:hAnsi="宋体" w:cs="宋体"/>
                <w:color w:val="auto"/>
              </w:rPr>
            </w:pPr>
            <w:r>
              <w:rPr>
                <w:rFonts w:hint="eastAsia" w:ascii="宋体" w:hAnsi="宋体" w:cs="宋体"/>
                <w:color w:val="auto"/>
                <w:lang w:val="zh-CN"/>
              </w:rPr>
              <w:t>联系电话:</w:t>
            </w:r>
            <w:r>
              <w:rPr>
                <w:rFonts w:hint="eastAsia" w:ascii="宋体" w:hAnsi="宋体" w:cs="宋体"/>
                <w:color w:val="auto"/>
                <w:szCs w:val="21"/>
                <w:u w:val="single"/>
              </w:rPr>
              <w:t>0774-3830977</w:t>
            </w:r>
          </w:p>
          <w:p w14:paraId="2BFD536E">
            <w:pPr>
              <w:spacing w:line="460" w:lineRule="exact"/>
              <w:ind w:right="105" w:rightChars="50"/>
              <w:rPr>
                <w:rFonts w:hint="eastAsia" w:ascii="宋体" w:hAnsi="宋体"/>
                <w:color w:val="auto"/>
                <w:szCs w:val="21"/>
              </w:rPr>
            </w:pPr>
            <w:r>
              <w:rPr>
                <w:rFonts w:hint="eastAsia" w:ascii="宋体" w:hAnsi="宋体"/>
                <w:color w:val="auto"/>
              </w:rPr>
              <w:t>由已获取竞争性磋商文件的潜在供应商派拟人员按时参与现场</w:t>
            </w:r>
            <w:r>
              <w:rPr>
                <w:rFonts w:hint="eastAsia"/>
                <w:color w:val="auto"/>
              </w:rPr>
              <w:t>踏勘</w:t>
            </w:r>
            <w:r>
              <w:rPr>
                <w:rFonts w:hint="eastAsia" w:ascii="宋体" w:hAnsi="宋体"/>
                <w:color w:val="auto"/>
              </w:rPr>
              <w:t>事宜，并由采购人向采购代理机构提供现场</w:t>
            </w:r>
            <w:r>
              <w:rPr>
                <w:rFonts w:hint="eastAsia"/>
                <w:color w:val="auto"/>
              </w:rPr>
              <w:t>踏勘</w:t>
            </w:r>
            <w:r>
              <w:rPr>
                <w:rFonts w:hint="eastAsia" w:ascii="宋体" w:hAnsi="宋体"/>
                <w:color w:val="auto"/>
              </w:rPr>
              <w:t>证明，供应商在竞标时已充分考虑了现场和周围环境条件，</w:t>
            </w:r>
            <w:r>
              <w:rPr>
                <w:rFonts w:hint="eastAsia"/>
                <w:color w:val="auto"/>
              </w:rPr>
              <w:t>踏勘</w:t>
            </w:r>
            <w:r>
              <w:rPr>
                <w:rFonts w:hint="eastAsia" w:ascii="宋体" w:hAnsi="宋体"/>
                <w:color w:val="auto"/>
              </w:rPr>
              <w:t>现场所发生的费用及安全责任由供应商自行承担。</w:t>
            </w:r>
          </w:p>
        </w:tc>
      </w:tr>
      <w:tr w14:paraId="7A3E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7C1EE24">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noWrap/>
            <w:vAlign w:val="center"/>
          </w:tcPr>
          <w:p w14:paraId="75D9C82C">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3EE12BCE">
            <w:pPr>
              <w:pStyle w:val="11"/>
              <w:spacing w:line="360" w:lineRule="auto"/>
              <w:rPr>
                <w:rFonts w:hint="eastAsia" w:ascii="宋体" w:hAnsi="宋体"/>
                <w:color w:val="auto"/>
                <w:szCs w:val="21"/>
              </w:rPr>
            </w:pPr>
            <w:r>
              <w:rPr>
                <w:rFonts w:hint="eastAsia" w:ascii="宋体" w:hAnsi="宋体" w:cs="宋体"/>
                <w:color w:val="auto"/>
                <w:szCs w:val="21"/>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F5A665C">
            <w:pPr>
              <w:spacing w:line="360" w:lineRule="auto"/>
              <w:contextualSpacing/>
              <w:jc w:val="left"/>
              <w:rPr>
                <w:rFonts w:hint="eastAsia" w:ascii="宋体" w:hAnsi="宋体" w:cs="宋体"/>
                <w:color w:val="auto"/>
                <w:szCs w:val="21"/>
              </w:rPr>
            </w:pPr>
            <w:r>
              <w:rPr>
                <w:rFonts w:hint="eastAsia" w:ascii="宋体" w:hAnsi="宋体" w:cs="宋体"/>
                <w:color w:val="auto"/>
                <w:szCs w:val="21"/>
              </w:rPr>
              <w:t>2. 供应商依法缴纳税收的相关材料（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5</w:t>
            </w:r>
            <w:r>
              <w:rPr>
                <w:rFonts w:hint="eastAsia" w:ascii="宋体" w:hAnsi="宋体" w:cs="宋体"/>
                <w:color w:val="auto"/>
                <w:szCs w:val="21"/>
              </w:rPr>
              <w:t>月至提交响应文件截止之日内任意1个月的依法缴纳税收的凭据复印件；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到响应文件提交截止时间止不足要求月数的，则不需要提供）；（</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A15C02C">
            <w:pPr>
              <w:spacing w:line="360" w:lineRule="auto"/>
              <w:contextualSpacing/>
              <w:jc w:val="left"/>
              <w:rPr>
                <w:rFonts w:hint="eastAsia" w:ascii="宋体" w:hAnsi="宋体" w:cs="宋体"/>
                <w:color w:val="auto"/>
                <w:szCs w:val="21"/>
              </w:rPr>
            </w:pPr>
            <w:r>
              <w:rPr>
                <w:rFonts w:hint="eastAsia" w:ascii="宋体" w:hAnsi="宋体" w:cs="宋体"/>
                <w:color w:val="auto"/>
                <w:szCs w:val="21"/>
              </w:rPr>
              <w:t>3. 供应商依法缴纳社会保障资金的相关材料[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5</w:t>
            </w:r>
            <w:r>
              <w:rPr>
                <w:rFonts w:hint="eastAsia" w:ascii="宋体" w:hAnsi="宋体" w:cs="宋体"/>
                <w:color w:val="auto"/>
                <w:szCs w:val="21"/>
              </w:rPr>
              <w:t>月至提交响应文件截止之日内任意1个月的依法缴纳社会保障资金的缴费凭证（</w:t>
            </w:r>
            <w:r>
              <w:rPr>
                <w:rFonts w:hint="eastAsia"/>
                <w:color w:val="auto"/>
              </w:rPr>
              <w:t>如：</w:t>
            </w:r>
            <w:r>
              <w:rPr>
                <w:rFonts w:hint="eastAsia" w:ascii="宋体" w:hAnsi="宋体" w:cs="宋体"/>
                <w:color w:val="auto"/>
                <w:szCs w:val="21"/>
              </w:rPr>
              <w:t>专用收据、社会保险缴纳清单或者社保部门的证明）复印件；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到响应文件提交截止时间止不足要求月数的则不需要提供]；（</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F7A2F47">
            <w:pPr>
              <w:spacing w:line="360" w:lineRule="auto"/>
              <w:contextualSpacing/>
              <w:jc w:val="left"/>
              <w:rPr>
                <w:rFonts w:hint="eastAsia" w:ascii="宋体" w:hAnsi="宋体" w:cs="宋体"/>
                <w:b/>
                <w:color w:val="auto"/>
                <w:szCs w:val="21"/>
              </w:rPr>
            </w:pPr>
            <w:r>
              <w:rPr>
                <w:rFonts w:hint="eastAsia" w:ascii="宋体" w:hAnsi="宋体" w:cs="宋体"/>
                <w:color w:val="auto"/>
                <w:szCs w:val="21"/>
              </w:rPr>
              <w:t>4. 供应商</w:t>
            </w:r>
            <w:r>
              <w:rPr>
                <w:rFonts w:hint="eastAsia"/>
                <w:color w:val="auto"/>
                <w:szCs w:val="21"/>
              </w:rPr>
              <w:t>财务状况报告</w:t>
            </w:r>
            <w:r>
              <w:rPr>
                <w:rFonts w:hint="eastAsia" w:ascii="宋体" w:hAnsi="宋体" w:cs="宋体"/>
                <w:color w:val="auto"/>
                <w:szCs w:val="21"/>
              </w:rPr>
              <w:t>[</w:t>
            </w:r>
            <w:r>
              <w:rPr>
                <w:rFonts w:hint="eastAsia"/>
                <w:color w:val="auto"/>
                <w:szCs w:val="21"/>
                <w:u w:val="single"/>
              </w:rPr>
              <w:t>2024</w:t>
            </w:r>
            <w:r>
              <w:rPr>
                <w:rFonts w:hint="eastAsia"/>
                <w:color w:val="auto"/>
                <w:szCs w:val="21"/>
              </w:rPr>
              <w:t>年度财务报表复印件，或者银行出具的资信证明，或者中国人民银行征信中心出具的信用报告（企业竞标的提供企业信用报告，自然人竞标的提供个人信用报告，供应商属于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，需提供成立之日起至响应文件提交截止时间前的月报表</w:t>
            </w:r>
            <w:r>
              <w:rPr>
                <w:rFonts w:hint="eastAsia"/>
                <w:color w:val="auto"/>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，否则响应文件按无效响应处理</w:t>
            </w:r>
            <w:r>
              <w:rPr>
                <w:rFonts w:hint="eastAsia" w:ascii="宋体" w:hAnsi="宋体" w:cs="宋体"/>
                <w:bCs/>
                <w:color w:val="auto"/>
                <w:szCs w:val="21"/>
              </w:rPr>
              <w:t>）</w:t>
            </w:r>
          </w:p>
          <w:p w14:paraId="2D7481B9">
            <w:pPr>
              <w:snapToGrid w:val="0"/>
              <w:spacing w:line="360" w:lineRule="auto"/>
              <w:jc w:val="left"/>
              <w:rPr>
                <w:rFonts w:hint="eastAsia" w:ascii="宋体" w:hAnsi="宋体" w:cs="宋体"/>
                <w:color w:val="auto"/>
                <w:szCs w:val="21"/>
              </w:rPr>
            </w:pPr>
            <w:r>
              <w:rPr>
                <w:rFonts w:hint="eastAsia" w:ascii="宋体" w:hAnsi="宋体" w:cs="宋体"/>
                <w:color w:val="auto"/>
                <w:szCs w:val="21"/>
              </w:rPr>
              <w:t>5.供应商直接控股股东信息表（格式后附）；（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9A16242">
            <w:pPr>
              <w:snapToGrid w:val="0"/>
              <w:spacing w:line="360" w:lineRule="auto"/>
              <w:jc w:val="left"/>
              <w:rPr>
                <w:rFonts w:hint="eastAsia" w:ascii="宋体" w:hAnsi="宋体" w:cs="宋体"/>
                <w:color w:val="auto"/>
                <w:szCs w:val="21"/>
              </w:rPr>
            </w:pPr>
            <w:r>
              <w:rPr>
                <w:rFonts w:hint="eastAsia" w:ascii="宋体" w:hAnsi="宋体" w:cs="宋体"/>
                <w:color w:val="auto"/>
                <w:szCs w:val="21"/>
              </w:rPr>
              <w:t>6. 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F4365D3">
            <w:pPr>
              <w:snapToGrid w:val="0"/>
              <w:spacing w:line="360" w:lineRule="auto"/>
              <w:jc w:val="left"/>
              <w:rPr>
                <w:rFonts w:hint="eastAsia" w:ascii="宋体" w:hAnsi="宋体" w:cs="宋体"/>
                <w:color w:val="auto"/>
                <w:szCs w:val="21"/>
              </w:rPr>
            </w:pPr>
            <w:r>
              <w:rPr>
                <w:rFonts w:hint="eastAsia" w:ascii="宋体" w:hAnsi="宋体" w:cs="宋体"/>
                <w:color w:val="auto"/>
                <w:szCs w:val="21"/>
              </w:rPr>
              <w:t>7.竞标声明（格式后附）；（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7A6466B">
            <w:pPr>
              <w:snapToGrid w:val="0"/>
              <w:spacing w:line="360" w:lineRule="auto"/>
              <w:jc w:val="left"/>
              <w:rPr>
                <w:color w:val="auto"/>
              </w:rPr>
            </w:pPr>
            <w:r>
              <w:rPr>
                <w:rFonts w:hint="eastAsia" w:ascii="宋体" w:hAnsi="宋体"/>
                <w:color w:val="auto"/>
                <w:szCs w:val="21"/>
              </w:rPr>
              <w:t>8.《中小企业声明函》（格式后附）；</w:t>
            </w:r>
            <w:r>
              <w:rPr>
                <w:rFonts w:hint="eastAsia"/>
                <w:color w:val="auto"/>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0E8269B">
            <w:pPr>
              <w:snapToGrid w:val="0"/>
              <w:spacing w:line="360" w:lineRule="auto"/>
              <w:jc w:val="left"/>
              <w:rPr>
                <w:rFonts w:hint="eastAsia" w:ascii="宋体" w:hAnsi="宋体" w:cs="宋体"/>
                <w:color w:val="auto"/>
                <w:szCs w:val="21"/>
              </w:rPr>
            </w:pPr>
            <w:r>
              <w:rPr>
                <w:rFonts w:hint="eastAsia" w:ascii="宋体" w:hAnsi="宋体" w:cs="宋体"/>
                <w:color w:val="auto"/>
                <w:szCs w:val="21"/>
              </w:rPr>
              <w:t>9.除磋商文件规定必须提供以外，供应商认为需要提供的其他证明材料；</w:t>
            </w:r>
          </w:p>
          <w:p w14:paraId="351DB079">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w:t>
            </w:r>
          </w:p>
          <w:p w14:paraId="4F07D338">
            <w:pPr>
              <w:snapToGrid w:val="0"/>
              <w:spacing w:line="360" w:lineRule="auto"/>
              <w:ind w:firstLine="413" w:firstLineChars="196"/>
              <w:jc w:val="left"/>
              <w:rPr>
                <w:rFonts w:hint="eastAsia" w:ascii="宋体" w:hAnsi="宋体" w:cs="宋体"/>
                <w:b/>
                <w:color w:val="auto"/>
                <w:szCs w:val="21"/>
              </w:rPr>
            </w:pPr>
            <w:r>
              <w:rPr>
                <w:rFonts w:hint="eastAsia" w:ascii="宋体" w:hAnsi="宋体" w:cs="宋体"/>
                <w:b/>
                <w:color w:val="auto"/>
                <w:szCs w:val="21"/>
              </w:rPr>
              <w:t>1.以上标明“必须提供”的材料属于复印件的，必须加盖供应商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tc>
      </w:tr>
      <w:tr w14:paraId="34E0E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B1E9FE8">
            <w:pPr>
              <w:spacing w:line="360" w:lineRule="auto"/>
              <w:jc w:val="center"/>
              <w:rPr>
                <w:rFonts w:hint="eastAsia" w:ascii="宋体" w:hAnsi="宋体" w:cs="宋体"/>
                <w:color w:val="auto"/>
                <w:szCs w:val="21"/>
              </w:rPr>
            </w:pPr>
            <w:r>
              <w:rPr>
                <w:rFonts w:hint="eastAsia" w:ascii="宋体" w:hAnsi="宋体" w:cs="宋体"/>
                <w:color w:val="auto"/>
                <w:szCs w:val="21"/>
              </w:rPr>
              <w:t>12.1.2</w:t>
            </w:r>
          </w:p>
        </w:tc>
        <w:tc>
          <w:tcPr>
            <w:tcW w:w="7912" w:type="dxa"/>
            <w:noWrap/>
            <w:vAlign w:val="center"/>
          </w:tcPr>
          <w:p w14:paraId="40E97427">
            <w:pPr>
              <w:spacing w:line="360" w:lineRule="auto"/>
              <w:rPr>
                <w:rFonts w:hint="eastAsia" w:ascii="宋体" w:hAnsi="宋体" w:cs="宋体"/>
                <w:color w:val="auto"/>
                <w:szCs w:val="21"/>
              </w:rPr>
            </w:pPr>
            <w:r>
              <w:rPr>
                <w:rFonts w:hint="eastAsia" w:ascii="宋体" w:hAnsi="宋体" w:cs="宋体"/>
                <w:color w:val="auto"/>
                <w:szCs w:val="21"/>
              </w:rPr>
              <w:t>报价文件</w:t>
            </w:r>
          </w:p>
          <w:p w14:paraId="5719D315">
            <w:pPr>
              <w:spacing w:line="360" w:lineRule="auto"/>
              <w:rPr>
                <w:rFonts w:hint="eastAsia" w:ascii="宋体" w:hAnsi="宋体" w:cs="宋体"/>
                <w:color w:val="auto"/>
                <w:szCs w:val="21"/>
              </w:rPr>
            </w:pPr>
            <w:r>
              <w:rPr>
                <w:rFonts w:hint="eastAsia" w:ascii="宋体" w:hAnsi="宋体" w:cs="宋体"/>
                <w:color w:val="auto"/>
                <w:szCs w:val="21"/>
              </w:rPr>
              <w:t>1.竞标报价表（格式后附）；（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4C3C172">
            <w:pPr>
              <w:spacing w:line="360" w:lineRule="auto"/>
              <w:rPr>
                <w:rFonts w:hint="eastAsia" w:ascii="宋体" w:hAnsi="宋体" w:cs="宋体"/>
                <w:color w:val="auto"/>
                <w:szCs w:val="21"/>
              </w:rPr>
            </w:pPr>
            <w:r>
              <w:rPr>
                <w:rFonts w:hint="eastAsia" w:ascii="宋体" w:hAnsi="宋体" w:cs="宋体"/>
                <w:color w:val="auto"/>
                <w:szCs w:val="21"/>
              </w:rPr>
              <w:t>2.供应商认为需要提供的其他有关资料。</w:t>
            </w:r>
          </w:p>
        </w:tc>
      </w:tr>
      <w:tr w14:paraId="338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3E5C1BB">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noWrap/>
            <w:vAlign w:val="center"/>
          </w:tcPr>
          <w:p w14:paraId="104604F1">
            <w:pPr>
              <w:spacing w:line="360" w:lineRule="auto"/>
              <w:rPr>
                <w:rFonts w:hint="eastAsia" w:ascii="宋体" w:hAnsi="宋体" w:cs="宋体"/>
                <w:b/>
                <w:bCs/>
                <w:color w:val="auto"/>
                <w:szCs w:val="21"/>
              </w:rPr>
            </w:pPr>
            <w:r>
              <w:rPr>
                <w:rFonts w:hint="eastAsia" w:ascii="宋体" w:hAnsi="宋体" w:cs="宋体"/>
                <w:b/>
                <w:bCs/>
                <w:color w:val="auto"/>
                <w:szCs w:val="21"/>
              </w:rPr>
              <w:t>商务技术文件</w:t>
            </w:r>
          </w:p>
          <w:p w14:paraId="69385B81">
            <w:pPr>
              <w:spacing w:line="360" w:lineRule="auto"/>
              <w:rPr>
                <w:rFonts w:hint="eastAsia"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21B486B">
            <w:pPr>
              <w:snapToGrid w:val="0"/>
              <w:spacing w:line="360" w:lineRule="auto"/>
              <w:jc w:val="left"/>
              <w:rPr>
                <w:rFonts w:hint="eastAsia" w:ascii="宋体" w:hAnsi="宋体" w:cs="宋体"/>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BB60191">
            <w:pPr>
              <w:spacing w:line="360" w:lineRule="auto"/>
              <w:rPr>
                <w:rFonts w:hint="eastAsia" w:ascii="宋体" w:hAnsi="宋体" w:cs="宋体"/>
                <w:b/>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70670990">
            <w:pPr>
              <w:spacing w:line="360" w:lineRule="auto"/>
              <w:rPr>
                <w:rFonts w:hint="eastAsia" w:ascii="宋体" w:hAnsi="宋体" w:cs="宋体"/>
                <w:color w:val="auto"/>
                <w:szCs w:val="21"/>
              </w:rPr>
            </w:pPr>
            <w:r>
              <w:rPr>
                <w:rFonts w:hint="eastAsia" w:ascii="宋体" w:hAnsi="宋体" w:cs="宋体"/>
                <w:color w:val="auto"/>
                <w:szCs w:val="21"/>
              </w:rPr>
              <w:t>4.磋商保证金提交凭证；（</w:t>
            </w:r>
            <w:r>
              <w:rPr>
                <w:rFonts w:hint="eastAsia"/>
                <w:b/>
                <w:bCs/>
                <w:color w:val="auto"/>
              </w:rPr>
              <w:t>必须提供</w:t>
            </w:r>
            <w:r>
              <w:rPr>
                <w:rFonts w:hint="eastAsia" w:ascii="宋体" w:hAnsi="宋体" w:cs="宋体"/>
                <w:b/>
                <w:color w:val="auto"/>
                <w:szCs w:val="21"/>
              </w:rPr>
              <w:t>，否则响应文件按无效响应处理</w:t>
            </w:r>
            <w:r>
              <w:rPr>
                <w:rFonts w:hint="eastAsia" w:ascii="宋体" w:hAnsi="宋体" w:cs="宋体"/>
                <w:color w:val="auto"/>
                <w:szCs w:val="21"/>
              </w:rPr>
              <w:t>）</w:t>
            </w:r>
          </w:p>
          <w:p w14:paraId="3BE6DD1D">
            <w:pPr>
              <w:spacing w:line="360" w:lineRule="auto"/>
              <w:rPr>
                <w:rFonts w:hint="eastAsia" w:ascii="宋体" w:hAnsi="宋体" w:cs="宋体"/>
                <w:color w:val="auto"/>
                <w:szCs w:val="21"/>
              </w:rPr>
            </w:pPr>
            <w:r>
              <w:rPr>
                <w:rFonts w:hint="eastAsia" w:ascii="宋体" w:hAnsi="宋体" w:cs="宋体"/>
                <w:color w:val="auto"/>
                <w:szCs w:val="21"/>
              </w:rPr>
              <w:t>5.商务要求偏离表（格式后附）；（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2BD687F">
            <w:pPr>
              <w:spacing w:line="360" w:lineRule="auto"/>
              <w:rPr>
                <w:rFonts w:hint="eastAsia" w:ascii="宋体" w:hAnsi="宋体" w:cs="宋体"/>
                <w:color w:val="auto"/>
                <w:szCs w:val="21"/>
              </w:rPr>
            </w:pPr>
            <w:r>
              <w:rPr>
                <w:rFonts w:hint="eastAsia" w:ascii="宋体" w:hAnsi="宋体" w:cs="宋体"/>
                <w:color w:val="auto"/>
                <w:szCs w:val="21"/>
              </w:rPr>
              <w:t>6.技术要求偏离表（格式后附）；（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75E8423">
            <w:pPr>
              <w:spacing w:line="360" w:lineRule="auto"/>
              <w:rPr>
                <w:rFonts w:hint="eastAsia" w:ascii="宋体" w:hAnsi="宋体"/>
                <w:bCs/>
                <w:color w:val="auto"/>
                <w:szCs w:val="21"/>
              </w:rPr>
            </w:pPr>
            <w:r>
              <w:rPr>
                <w:rFonts w:hint="eastAsia" w:ascii="宋体" w:hAnsi="宋体"/>
                <w:bCs/>
                <w:color w:val="auto"/>
                <w:szCs w:val="21"/>
              </w:rPr>
              <w:t>7.</w:t>
            </w:r>
            <w:r>
              <w:rPr>
                <w:rFonts w:ascii="宋体" w:hAnsi="宋体" w:cs="宋体"/>
                <w:bCs/>
                <w:color w:val="auto"/>
                <w:kern w:val="0"/>
                <w:szCs w:val="21"/>
              </w:rPr>
              <w:t>项目技术方案</w:t>
            </w:r>
            <w:r>
              <w:rPr>
                <w:rFonts w:hint="eastAsia" w:ascii="宋体" w:hAnsi="宋体" w:cs="宋体"/>
                <w:color w:val="auto"/>
                <w:szCs w:val="21"/>
              </w:rPr>
              <w:t>（格式自拟）</w:t>
            </w:r>
            <w:r>
              <w:rPr>
                <w:rFonts w:hint="eastAsia" w:ascii="宋体" w:hAnsi="宋体"/>
                <w:bCs/>
                <w:color w:val="auto"/>
                <w:szCs w:val="21"/>
              </w:rPr>
              <w:t>；</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0000ECD">
            <w:pPr>
              <w:spacing w:line="360" w:lineRule="auto"/>
              <w:rPr>
                <w:rFonts w:hint="eastAsia" w:ascii="宋体" w:hAnsi="宋体" w:cs="宋体"/>
                <w:color w:val="auto"/>
                <w:szCs w:val="21"/>
              </w:rPr>
            </w:pPr>
            <w:r>
              <w:rPr>
                <w:rFonts w:hint="eastAsia" w:ascii="宋体" w:hAnsi="宋体" w:cs="宋体"/>
                <w:color w:val="auto"/>
                <w:szCs w:val="21"/>
              </w:rPr>
              <w:t>8.项目设计方案图（格式自拟）；（</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D44B160">
            <w:pPr>
              <w:spacing w:line="360" w:lineRule="auto"/>
              <w:rPr>
                <w:rFonts w:hint="eastAsia" w:ascii="宋体" w:hAnsi="宋体" w:cs="宋体"/>
                <w:color w:val="auto"/>
                <w:szCs w:val="21"/>
              </w:rPr>
            </w:pPr>
            <w:r>
              <w:rPr>
                <w:rFonts w:hint="eastAsia" w:ascii="宋体" w:hAnsi="宋体" w:cs="宋体"/>
                <w:color w:val="auto"/>
                <w:szCs w:val="21"/>
              </w:rPr>
              <w:t>9.项目实施方案（格式自拟）；（</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F55A716">
            <w:pPr>
              <w:spacing w:line="360" w:lineRule="auto"/>
              <w:rPr>
                <w:rFonts w:hint="eastAsia" w:ascii="宋体" w:hAnsi="宋体" w:cs="宋体"/>
                <w:color w:val="auto"/>
                <w:szCs w:val="21"/>
              </w:rPr>
            </w:pPr>
            <w:r>
              <w:rPr>
                <w:rFonts w:hint="eastAsia" w:ascii="宋体" w:hAnsi="宋体" w:cs="宋体"/>
                <w:color w:val="auto"/>
                <w:szCs w:val="21"/>
              </w:rPr>
              <w:t>10.售后服务方案（格式自拟）；（</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3F7D089">
            <w:pPr>
              <w:spacing w:line="360" w:lineRule="auto"/>
              <w:rPr>
                <w:rFonts w:hint="eastAsia" w:ascii="宋体" w:hAnsi="宋体" w:cs="宋体"/>
                <w:color w:val="auto"/>
                <w:szCs w:val="21"/>
              </w:rPr>
            </w:pPr>
            <w:r>
              <w:rPr>
                <w:rFonts w:hint="eastAsia" w:ascii="宋体" w:hAnsi="宋体" w:cs="宋体"/>
                <w:color w:val="auto"/>
                <w:szCs w:val="21"/>
              </w:rPr>
              <w:t>11.代理服务费承诺书（格式后附）；</w:t>
            </w:r>
          </w:p>
          <w:p w14:paraId="7507CD91">
            <w:pPr>
              <w:spacing w:line="360" w:lineRule="auto"/>
              <w:rPr>
                <w:rFonts w:hint="eastAsia" w:ascii="宋体" w:hAnsi="宋体" w:cs="宋体"/>
                <w:color w:val="auto"/>
                <w:szCs w:val="21"/>
              </w:rPr>
            </w:pPr>
            <w:r>
              <w:rPr>
                <w:rFonts w:hint="eastAsia" w:ascii="宋体" w:hAnsi="宋体" w:cs="宋体"/>
                <w:color w:val="auto"/>
                <w:szCs w:val="21"/>
              </w:rPr>
              <w:t>12.供应商认为需要提供的其他有关资料。</w:t>
            </w:r>
          </w:p>
          <w:p w14:paraId="47661D8D">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注：以上标明“必须提供”的材料属于复印件的，必须加盖供应商</w:t>
            </w:r>
            <w:r>
              <w:rPr>
                <w:rFonts w:hint="eastAsia" w:ascii="宋体" w:hAnsi="宋体"/>
                <w:b/>
                <w:bCs/>
                <w:color w:val="auto"/>
                <w:szCs w:val="21"/>
              </w:rPr>
              <w:t>电子签章</w:t>
            </w:r>
            <w:r>
              <w:rPr>
                <w:rFonts w:hint="eastAsia" w:ascii="宋体" w:hAnsi="宋体" w:cs="宋体"/>
                <w:b/>
                <w:color w:val="auto"/>
                <w:szCs w:val="21"/>
              </w:rPr>
              <w:t>，否则响应文件按无效响应处理。</w:t>
            </w:r>
          </w:p>
        </w:tc>
      </w:tr>
      <w:tr w14:paraId="5A55C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4B01FD">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7912" w:type="dxa"/>
            <w:noWrap/>
            <w:vAlign w:val="center"/>
          </w:tcPr>
          <w:p w14:paraId="79981475">
            <w:pPr>
              <w:spacing w:line="360" w:lineRule="auto"/>
              <w:contextualSpacing/>
              <w:jc w:val="left"/>
              <w:rPr>
                <w:rFonts w:hint="eastAsia" w:ascii="宋体" w:hAnsi="宋体" w:cs="宋体"/>
                <w:color w:val="auto"/>
                <w:szCs w:val="21"/>
              </w:rPr>
            </w:pPr>
            <w:r>
              <w:rPr>
                <w:rFonts w:hint="eastAsia" w:ascii="宋体" w:hAnsi="宋体"/>
                <w:color w:val="auto"/>
                <w:szCs w:val="21"/>
              </w:rPr>
              <w:t>竞标报价是履行合同的最终价格，</w:t>
            </w:r>
            <w:r>
              <w:rPr>
                <w:rFonts w:hint="eastAsia" w:ascii="宋体" w:hAnsi="宋体" w:cs="宋体"/>
                <w:color w:val="auto"/>
                <w:szCs w:val="21"/>
              </w:rPr>
              <w:t>即满足全部采购需求所应提供的服务的价格；包括竞标服务的成本、运输（含保险）（如有）、技术服务、培训、税费等所有费用。</w:t>
            </w:r>
            <w:r>
              <w:rPr>
                <w:rFonts w:hint="eastAsia" w:ascii="宋体" w:hAnsi="宋体"/>
                <w:b/>
                <w:color w:val="auto"/>
                <w:szCs w:val="21"/>
              </w:rPr>
              <w:t>（采购需求另有约定的，从其约定）</w:t>
            </w:r>
          </w:p>
        </w:tc>
      </w:tr>
      <w:tr w14:paraId="30372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982DB5">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noWrap/>
            <w:vAlign w:val="center"/>
          </w:tcPr>
          <w:p w14:paraId="711E3DD6">
            <w:pPr>
              <w:pStyle w:val="10"/>
              <w:widowControl w:val="0"/>
              <w:tabs>
                <w:tab w:val="clear" w:pos="454"/>
              </w:tabs>
              <w:snapToGrid w:val="0"/>
              <w:spacing w:afterLines="0" w:line="360" w:lineRule="auto"/>
              <w:ind w:left="283" w:hanging="283" w:hangingChars="135"/>
              <w:rPr>
                <w:rFonts w:hint="eastAsia"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hint="eastAsia" w:ascii="宋体" w:hAnsi="宋体" w:cs="宋体"/>
                <w:color w:val="auto"/>
                <w:kern w:val="2"/>
                <w:sz w:val="21"/>
                <w:szCs w:val="21"/>
                <w:u w:val="single"/>
              </w:rPr>
              <w:t>120</w:t>
            </w:r>
            <w:r>
              <w:rPr>
                <w:rFonts w:hint="eastAsia" w:ascii="宋体" w:hAnsi="宋体" w:cs="宋体"/>
                <w:color w:val="auto"/>
                <w:kern w:val="2"/>
                <w:sz w:val="21"/>
                <w:szCs w:val="21"/>
              </w:rPr>
              <w:t>日。</w:t>
            </w:r>
          </w:p>
        </w:tc>
      </w:tr>
      <w:tr w14:paraId="636A7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ED50A94">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7912" w:type="dxa"/>
            <w:noWrap/>
            <w:vAlign w:val="center"/>
          </w:tcPr>
          <w:p w14:paraId="5E03B046">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sym w:font="Wingdings 2" w:char="00A3"/>
            </w:r>
            <w:r>
              <w:rPr>
                <w:rFonts w:hint="eastAsia" w:ascii="宋体" w:hAnsi="宋体"/>
                <w:color w:val="auto"/>
                <w:szCs w:val="21"/>
              </w:rPr>
              <w:t>本项目不收取磋商保证金。</w:t>
            </w:r>
          </w:p>
          <w:p w14:paraId="4E8E4578">
            <w:pPr>
              <w:snapToGrid w:val="0"/>
              <w:spacing w:line="360" w:lineRule="auto"/>
              <w:rPr>
                <w:rFonts w:hint="eastAsia" w:ascii="宋体" w:hAnsi="宋体"/>
                <w:color w:val="auto"/>
                <w:szCs w:val="21"/>
              </w:rPr>
            </w:pPr>
            <w:r>
              <w:rPr>
                <w:rFonts w:ascii="宋体" w:hAnsi="宋体"/>
                <w:color w:val="auto"/>
                <w:szCs w:val="21"/>
              </w:rPr>
              <w:t>☑本项目</w:t>
            </w:r>
            <w:r>
              <w:rPr>
                <w:rFonts w:hint="eastAsia" w:ascii="宋体" w:hAnsi="宋体"/>
                <w:color w:val="auto"/>
                <w:szCs w:val="21"/>
              </w:rPr>
              <w:t>收取磋商保证金，具体规定如下：</w:t>
            </w:r>
          </w:p>
          <w:p w14:paraId="430BF6D8">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磋商保证金人民币</w:t>
            </w:r>
            <w:r>
              <w:rPr>
                <w:rFonts w:hint="eastAsia" w:ascii="宋体" w:hAnsi="宋体" w:cs="宋体"/>
                <w:color w:val="auto"/>
                <w:kern w:val="0"/>
                <w:szCs w:val="21"/>
                <w:u w:val="single"/>
              </w:rPr>
              <w:t>9700</w:t>
            </w:r>
            <w:r>
              <w:rPr>
                <w:rFonts w:hint="eastAsia" w:ascii="宋体" w:hAnsi="宋体" w:cs="宋体"/>
                <w:color w:val="auto"/>
                <w:kern w:val="0"/>
                <w:szCs w:val="21"/>
              </w:rPr>
              <w:t>元。</w:t>
            </w:r>
          </w:p>
          <w:p w14:paraId="3D0985AD">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磋商保证金的交纳方式：银行转账、支票、汇票、本票或者银行、保险机构出具的保函</w:t>
            </w:r>
            <w:r>
              <w:rPr>
                <w:rFonts w:hint="eastAsia"/>
                <w:color w:val="auto"/>
              </w:rPr>
              <w:t>（包含电子保函）</w:t>
            </w:r>
            <w:r>
              <w:rPr>
                <w:rFonts w:hint="eastAsia" w:ascii="宋体" w:hAnsi="宋体" w:cs="宋体"/>
                <w:color w:val="auto"/>
                <w:kern w:val="0"/>
                <w:szCs w:val="21"/>
              </w:rPr>
              <w:t>，禁止采用现钞方式。采用银行转账方式的，在响应文件提交截止时间前交至指定账户并且到账（开户银行：中信银行南宁东葛支行，开户名称：云之龙咨询集团有限公司梧州分公司，银行账号：8113001013700074625）；采用支票、汇票、本票或者保函等方式的，在响应文件提交截止时间前，供应商必须提交单独密封的支票、汇票、本票或者保函原件（电子保函须提交复印件并加盖供应商公章）。否则视为无效磋商保证金。</w:t>
            </w:r>
          </w:p>
          <w:p w14:paraId="315A0315">
            <w:pPr>
              <w:snapToGrid w:val="0"/>
              <w:spacing w:line="360" w:lineRule="auto"/>
              <w:rPr>
                <w:rFonts w:hint="eastAsia" w:ascii="宋体" w:hAnsi="宋体" w:cs="宋体"/>
                <w:color w:val="auto"/>
                <w:szCs w:val="21"/>
              </w:rPr>
            </w:pPr>
            <w:r>
              <w:rPr>
                <w:rFonts w:hint="eastAsia" w:ascii="宋体" w:hAnsi="宋体" w:cs="宋体"/>
                <w:color w:val="auto"/>
                <w:szCs w:val="21"/>
              </w:rPr>
              <w:t>相关要求：</w:t>
            </w:r>
          </w:p>
          <w:p w14:paraId="6535102C">
            <w:pPr>
              <w:snapToGrid w:val="0"/>
              <w:spacing w:line="360" w:lineRule="auto"/>
              <w:rPr>
                <w:rFonts w:hint="eastAsia"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3FBA5621">
            <w:pPr>
              <w:snapToGrid w:val="0"/>
              <w:spacing w:line="360" w:lineRule="auto"/>
              <w:rPr>
                <w:rFonts w:hint="eastAsia" w:ascii="宋体" w:hAnsi="宋体"/>
                <w:color w:val="auto"/>
                <w:szCs w:val="21"/>
              </w:rPr>
            </w:pPr>
            <w:r>
              <w:rPr>
                <w:rFonts w:hint="eastAsia" w:ascii="宋体" w:hAnsi="宋体"/>
                <w:color w:val="auto"/>
                <w:szCs w:val="21"/>
              </w:rPr>
              <w:t>2.磋商保证金采用支票、汇票、本票或者银行、保险机构出具的保函</w:t>
            </w:r>
            <w:r>
              <w:rPr>
                <w:rFonts w:hint="eastAsia"/>
                <w:color w:val="auto"/>
              </w:rPr>
              <w:t>（包含电子保函）</w:t>
            </w:r>
            <w:r>
              <w:rPr>
                <w:rFonts w:hint="eastAsia" w:ascii="宋体" w:hAnsi="宋体"/>
                <w:color w:val="auto"/>
                <w:szCs w:val="21"/>
              </w:rPr>
              <w:t>交纳方式的，供应商应将支票、汇票、本票或者银行、保险机构出具的保函</w:t>
            </w:r>
            <w:r>
              <w:rPr>
                <w:rFonts w:hint="eastAsia"/>
                <w:color w:val="auto"/>
              </w:rPr>
              <w:t>（包含电子保函）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在响应文件提交截止时间前采用现场或邮寄方式（现场提交地址：梧州市新兴三路30号神冠豪都B栋1单元1008号房；邮寄地址：梧州市新兴三路30号神冠豪都B栋1单元1008号房，收件人：周子然、陈丽莹 ，联系方式：0774-3859935）</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支票、汇票、本票或者银行、保险机构出具的保函原件（电子保函须提交复印件并加盖供应商公章）提交给采购人或者采购代理机构，并妥善保管。</w:t>
            </w:r>
          </w:p>
          <w:p w14:paraId="6A870A46">
            <w:pPr>
              <w:snapToGrid w:val="0"/>
              <w:spacing w:line="360" w:lineRule="auto"/>
              <w:rPr>
                <w:rFonts w:hint="eastAsia" w:ascii="宋体" w:hAnsi="宋体" w:cs="宋体"/>
                <w:b/>
                <w:color w:val="auto"/>
                <w:szCs w:val="21"/>
              </w:rPr>
            </w:pPr>
            <w:r>
              <w:rPr>
                <w:rFonts w:hint="eastAsia" w:ascii="宋体" w:hAnsi="宋体" w:cs="宋体"/>
                <w:color w:val="auto"/>
                <w:szCs w:val="21"/>
              </w:rPr>
              <w:t>3.供应商为联合体的，可以由联合体中的一方或者多方共同交纳磋商保证金，其交纳的保证金对联合体各方均具有约束力。</w:t>
            </w:r>
          </w:p>
          <w:p w14:paraId="59A21AE9">
            <w:pPr>
              <w:snapToGrid w:val="0"/>
              <w:spacing w:line="360" w:lineRule="auto"/>
              <w:rPr>
                <w:rFonts w:hint="eastAsia" w:ascii="宋体" w:hAnsi="宋体" w:cs="宋体"/>
                <w:b/>
                <w:color w:val="auto"/>
                <w:szCs w:val="21"/>
              </w:rPr>
            </w:pPr>
            <w:r>
              <w:rPr>
                <w:rFonts w:hint="eastAsia" w:ascii="宋体" w:hAnsi="宋体" w:cs="宋体"/>
                <w:b/>
                <w:color w:val="auto"/>
                <w:szCs w:val="21"/>
              </w:rPr>
              <w:t xml:space="preserve">备注： </w:t>
            </w:r>
          </w:p>
          <w:p w14:paraId="3AEF43AC">
            <w:pPr>
              <w:snapToGrid w:val="0"/>
              <w:spacing w:line="360" w:lineRule="auto"/>
              <w:rPr>
                <w:rFonts w:hint="eastAsia"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14:paraId="0803EDF6">
            <w:pPr>
              <w:snapToGrid w:val="0"/>
              <w:spacing w:line="360" w:lineRule="auto"/>
              <w:rPr>
                <w:rFonts w:hint="eastAsia"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14:paraId="19CCACFE">
            <w:pPr>
              <w:snapToGrid w:val="0"/>
              <w:spacing w:line="360" w:lineRule="auto"/>
              <w:rPr>
                <w:rFonts w:hint="eastAsia"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5C154FB5">
            <w:pPr>
              <w:snapToGrid w:val="0"/>
              <w:spacing w:line="360" w:lineRule="auto"/>
              <w:rPr>
                <w:rFonts w:hint="eastAsia" w:ascii="宋体" w:hAnsi="宋体" w:cs="宋体"/>
                <w:b/>
                <w:color w:val="auto"/>
                <w:szCs w:val="21"/>
              </w:rPr>
            </w:pPr>
            <w:r>
              <w:rPr>
                <w:rFonts w:hint="eastAsia" w:ascii="宋体" w:hAnsi="宋体" w:cs="宋体"/>
                <w:b/>
                <w:color w:val="auto"/>
                <w:szCs w:val="21"/>
              </w:rPr>
              <w:t>4.保函有效期低于竞标有效期的，视为无效磋商保证金。</w:t>
            </w:r>
          </w:p>
          <w:p w14:paraId="389FBEE0">
            <w:pPr>
              <w:snapToGrid w:val="0"/>
              <w:spacing w:line="360" w:lineRule="auto"/>
              <w:rPr>
                <w:rFonts w:hint="eastAsia" w:ascii="宋体" w:hAnsi="宋体" w:cs="宋体"/>
                <w:color w:val="auto"/>
                <w:szCs w:val="21"/>
              </w:rPr>
            </w:pPr>
            <w:r>
              <w:rPr>
                <w:rFonts w:hint="eastAsia" w:ascii="宋体" w:hAnsi="宋体" w:cs="宋体"/>
                <w:b/>
                <w:color w:val="auto"/>
                <w:szCs w:val="21"/>
              </w:rPr>
              <w:t>5.采用银行、保险机构出具保函（包含电子保函）的，必须为无条件保函，否则视为无效磋商保证金。</w:t>
            </w:r>
          </w:p>
        </w:tc>
      </w:tr>
      <w:tr w14:paraId="096EA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624358B">
            <w:pPr>
              <w:spacing w:line="360" w:lineRule="auto"/>
              <w:jc w:val="center"/>
              <w:rPr>
                <w:rFonts w:hint="eastAsia" w:ascii="宋体" w:hAnsi="宋体" w:cs="宋体"/>
                <w:color w:val="auto"/>
                <w:szCs w:val="21"/>
              </w:rPr>
            </w:pPr>
            <w:r>
              <w:rPr>
                <w:rFonts w:ascii="宋体" w:hAnsi="宋体" w:cs="宋体"/>
                <w:color w:val="auto"/>
                <w:szCs w:val="21"/>
              </w:rPr>
              <w:t>19</w:t>
            </w:r>
          </w:p>
        </w:tc>
        <w:tc>
          <w:tcPr>
            <w:tcW w:w="7912" w:type="dxa"/>
            <w:noWrap/>
            <w:vAlign w:val="center"/>
          </w:tcPr>
          <w:p w14:paraId="3626CC0B">
            <w:pPr>
              <w:autoSpaceDE w:val="0"/>
              <w:autoSpaceDN w:val="0"/>
              <w:adjustRightInd w:val="0"/>
              <w:spacing w:line="360" w:lineRule="auto"/>
              <w:textAlignment w:val="bottom"/>
              <w:rPr>
                <w:rFonts w:hint="eastAsia"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14:paraId="657C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4B622E4">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7912" w:type="dxa"/>
            <w:noWrap/>
            <w:vAlign w:val="center"/>
          </w:tcPr>
          <w:p w14:paraId="0A6588C8">
            <w:pPr>
              <w:spacing w:line="360" w:lineRule="auto"/>
              <w:contextualSpacing/>
              <w:jc w:val="left"/>
              <w:rPr>
                <w:rFonts w:hint="eastAsia" w:ascii="宋体" w:hAnsi="宋体" w:cs="宋体"/>
                <w:color w:val="auto"/>
                <w:szCs w:val="21"/>
                <w:u w:val="single"/>
              </w:rPr>
            </w:pPr>
            <w:r>
              <w:rPr>
                <w:rFonts w:hint="eastAsia" w:ascii="宋体" w:hAnsi="宋体" w:cs="宋体"/>
                <w:color w:val="auto"/>
                <w:szCs w:val="21"/>
              </w:rPr>
              <w:t>响应文件提交截止时间：详见竞争性磋商公告。</w:t>
            </w:r>
          </w:p>
          <w:p w14:paraId="743D0F2F">
            <w:pPr>
              <w:spacing w:line="360" w:lineRule="auto"/>
              <w:contextualSpacing/>
              <w:jc w:val="left"/>
              <w:rPr>
                <w:rFonts w:hint="eastAsia" w:ascii="宋体" w:hAnsi="宋体" w:cs="宋体"/>
                <w:color w:val="auto"/>
                <w:szCs w:val="21"/>
              </w:rPr>
            </w:pPr>
            <w:r>
              <w:rPr>
                <w:rFonts w:hint="eastAsia" w:ascii="宋体" w:hAnsi="宋体" w:cs="宋体"/>
                <w:color w:val="auto"/>
                <w:szCs w:val="21"/>
              </w:rPr>
              <w:t>响应文件提交地点：详见竞争性磋商公告。</w:t>
            </w:r>
          </w:p>
        </w:tc>
      </w:tr>
      <w:tr w14:paraId="2913E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2DD28C8">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7912" w:type="dxa"/>
            <w:noWrap/>
            <w:vAlign w:val="center"/>
          </w:tcPr>
          <w:p w14:paraId="297282E2">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3</w:t>
            </w:r>
            <w:r>
              <w:rPr>
                <w:rFonts w:hint="eastAsia" w:ascii="宋体" w:hAnsi="宋体" w:cs="宋体"/>
                <w:color w:val="auto"/>
                <w:szCs w:val="21"/>
              </w:rPr>
              <w:t>人。</w:t>
            </w:r>
          </w:p>
        </w:tc>
      </w:tr>
      <w:tr w14:paraId="74946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B751065">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noWrap/>
            <w:vAlign w:val="center"/>
          </w:tcPr>
          <w:p w14:paraId="5502E927">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首次响应文件开启时间详见竞争性磋商公告</w:t>
            </w:r>
          </w:p>
          <w:p w14:paraId="6BB75DC0">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首次响应文件解密时间：</w:t>
            </w:r>
            <w:r>
              <w:rPr>
                <w:rFonts w:hint="eastAsia" w:hAnsi="宋体"/>
                <w:color w:val="auto"/>
                <w:u w:val="single"/>
              </w:rPr>
              <w:t>30</w:t>
            </w:r>
            <w:r>
              <w:rPr>
                <w:rFonts w:hint="eastAsia" w:hAnsi="宋体"/>
                <w:color w:val="auto"/>
              </w:rPr>
              <w:t>分钟</w:t>
            </w:r>
          </w:p>
        </w:tc>
      </w:tr>
      <w:tr w14:paraId="4195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ign w:val="center"/>
          </w:tcPr>
          <w:p w14:paraId="7D43919A">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6.3</w:t>
            </w:r>
          </w:p>
        </w:tc>
        <w:tc>
          <w:tcPr>
            <w:tcW w:w="7912" w:type="dxa"/>
            <w:noWrap/>
            <w:vAlign w:val="center"/>
          </w:tcPr>
          <w:p w14:paraId="2435B0F7">
            <w:pPr>
              <w:snapToGrid w:val="0"/>
              <w:spacing w:line="360" w:lineRule="auto"/>
              <w:rPr>
                <w:rFonts w:hint="eastAsia"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p w14:paraId="3AD2BC7D">
            <w:pPr>
              <w:snapToGrid w:val="0"/>
              <w:spacing w:line="360" w:lineRule="auto"/>
              <w:rPr>
                <w:rFonts w:hint="eastAsia" w:ascii="宋体" w:hAnsi="宋体" w:cs="宋体"/>
                <w:color w:val="auto"/>
                <w:szCs w:val="21"/>
              </w:rPr>
            </w:pPr>
            <w:r>
              <w:rPr>
                <w:rFonts w:hint="eastAsia" w:ascii="宋体" w:hAnsi="宋体" w:cs="宋体"/>
                <w:color w:val="auto"/>
                <w:szCs w:val="21"/>
              </w:rPr>
              <w:t>技术要求评审中允许负偏离的条款数为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tc>
      </w:tr>
      <w:tr w14:paraId="3B241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A546F70">
            <w:pPr>
              <w:spacing w:line="360" w:lineRule="auto"/>
              <w:jc w:val="center"/>
              <w:rPr>
                <w:rFonts w:hint="eastAsia" w:ascii="宋体" w:hAnsi="宋体" w:cs="宋体"/>
                <w:color w:val="auto"/>
                <w:szCs w:val="21"/>
              </w:rPr>
            </w:pPr>
            <w:r>
              <w:rPr>
                <w:rFonts w:ascii="宋体" w:hAnsi="宋体" w:cs="宋体"/>
                <w:color w:val="auto"/>
                <w:szCs w:val="21"/>
              </w:rPr>
              <w:t>28.1</w:t>
            </w:r>
          </w:p>
        </w:tc>
        <w:tc>
          <w:tcPr>
            <w:tcW w:w="7912" w:type="dxa"/>
            <w:noWrap/>
            <w:vAlign w:val="center"/>
          </w:tcPr>
          <w:p w14:paraId="0443E13A">
            <w:pPr>
              <w:autoSpaceDE w:val="0"/>
              <w:autoSpaceDN w:val="0"/>
              <w:snapToGrid w:val="0"/>
              <w:spacing w:line="360" w:lineRule="auto"/>
              <w:textAlignment w:val="bottom"/>
              <w:rPr>
                <w:rFonts w:hint="eastAsia" w:ascii="宋体" w:hAnsi="宋体" w:cs="宋体"/>
                <w:color w:val="auto"/>
                <w:szCs w:val="21"/>
              </w:rPr>
            </w:pPr>
            <w:r>
              <w:rPr>
                <w:rFonts w:hint="eastAsia" w:ascii="宋体" w:hAnsi="宋体"/>
                <w:color w:val="auto"/>
                <w:szCs w:val="21"/>
              </w:rPr>
              <w:t>☑本项目不收取履约保证金。</w:t>
            </w:r>
          </w:p>
        </w:tc>
      </w:tr>
      <w:tr w14:paraId="1465B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1A3E67F">
            <w:pPr>
              <w:spacing w:line="360" w:lineRule="auto"/>
              <w:jc w:val="center"/>
              <w:rPr>
                <w:rFonts w:hint="eastAsia" w:ascii="宋体" w:hAnsi="宋体" w:cs="宋体"/>
                <w:color w:val="auto"/>
                <w:szCs w:val="21"/>
              </w:rPr>
            </w:pPr>
            <w:r>
              <w:rPr>
                <w:rFonts w:ascii="宋体" w:hAnsi="宋体" w:cs="宋体"/>
                <w:color w:val="auto"/>
                <w:szCs w:val="21"/>
              </w:rPr>
              <w:t>29.1</w:t>
            </w:r>
          </w:p>
        </w:tc>
        <w:tc>
          <w:tcPr>
            <w:tcW w:w="7912" w:type="dxa"/>
            <w:noWrap/>
            <w:vAlign w:val="center"/>
          </w:tcPr>
          <w:p w14:paraId="37CE984A">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0BB515FE">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3D197336">
            <w:pPr>
              <w:snapToGrid w:val="0"/>
              <w:spacing w:line="360" w:lineRule="auto"/>
              <w:rPr>
                <w:rFonts w:hint="eastAsia"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678E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C7C3C86">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noWrap/>
            <w:vAlign w:val="center"/>
          </w:tcPr>
          <w:p w14:paraId="652AAA7B">
            <w:pPr>
              <w:snapToGrid w:val="0"/>
              <w:spacing w:line="360" w:lineRule="auto"/>
              <w:rPr>
                <w:rFonts w:hint="eastAsia" w:ascii="宋体" w:hAnsi="宋体" w:cs="宋体"/>
                <w:color w:val="auto"/>
                <w:szCs w:val="21"/>
              </w:rPr>
            </w:pPr>
            <w:r>
              <w:rPr>
                <w:rFonts w:hint="eastAsia" w:ascii="宋体" w:hAnsi="宋体" w:cs="宋体"/>
                <w:color w:val="auto"/>
                <w:szCs w:val="21"/>
              </w:rPr>
              <w:t>接收质疑函方式：以书面形式。</w:t>
            </w:r>
          </w:p>
          <w:p w14:paraId="30DB2DAA">
            <w:pPr>
              <w:pStyle w:val="16"/>
              <w:snapToGrid w:val="0"/>
              <w:spacing w:line="360" w:lineRule="auto"/>
              <w:rPr>
                <w:rFonts w:hint="eastAsia" w:hAnsi="宋体" w:cs="宋体"/>
                <w:color w:val="auto"/>
                <w:kern w:val="2"/>
                <w:sz w:val="21"/>
              </w:rPr>
            </w:pPr>
            <w:r>
              <w:rPr>
                <w:rFonts w:hint="eastAsia" w:hAnsi="宋体" w:cs="宋体"/>
                <w:color w:val="auto"/>
                <w:kern w:val="2"/>
                <w:sz w:val="21"/>
              </w:rPr>
              <w:t>质疑联系部门及联系方式：云之龙咨询集团有限公司，联系电话：0774-3859935，通讯地址：（梧州市新兴三路30号神冠豪都B栋1单元1008号房）</w:t>
            </w:r>
          </w:p>
          <w:p w14:paraId="6373ABB2">
            <w:pPr>
              <w:pStyle w:val="16"/>
              <w:snapToGrid w:val="0"/>
              <w:spacing w:line="360" w:lineRule="auto"/>
              <w:rPr>
                <w:rFonts w:hint="eastAsia" w:hAnsi="宋体"/>
                <w:color w:val="auto"/>
              </w:rPr>
            </w:pPr>
            <w:r>
              <w:rPr>
                <w:rFonts w:hint="eastAsia" w:hAnsi="宋体" w:cs="宋体"/>
                <w:color w:val="auto"/>
                <w:kern w:val="2"/>
                <w:sz w:val="21"/>
              </w:rPr>
              <w:t>业务时间：工作日每天上午</w:t>
            </w:r>
            <w:r>
              <w:rPr>
                <w:rFonts w:hAnsi="宋体" w:cs="宋体"/>
                <w:color w:val="auto"/>
                <w:kern w:val="2"/>
                <w:sz w:val="21"/>
              </w:rPr>
              <w:t>8</w:t>
            </w:r>
            <w:r>
              <w:rPr>
                <w:rFonts w:hint="eastAsia" w:hAnsi="宋体" w:cs="宋体"/>
                <w:color w:val="auto"/>
                <w:kern w:val="2"/>
                <w:sz w:val="21"/>
              </w:rPr>
              <w:t>时</w:t>
            </w:r>
            <w:r>
              <w:rPr>
                <w:rFonts w:hAnsi="宋体" w:cs="宋体"/>
                <w:color w:val="auto"/>
                <w:kern w:val="2"/>
                <w:sz w:val="21"/>
              </w:rPr>
              <w:t>00</w:t>
            </w:r>
            <w:r>
              <w:rPr>
                <w:rFonts w:hint="eastAsia" w:hAnsi="宋体" w:cs="宋体"/>
                <w:color w:val="auto"/>
                <w:kern w:val="2"/>
                <w:sz w:val="21"/>
              </w:rPr>
              <w:t>分到</w:t>
            </w:r>
            <w:r>
              <w:rPr>
                <w:rFonts w:hAnsi="宋体" w:cs="宋体"/>
                <w:color w:val="auto"/>
                <w:kern w:val="2"/>
                <w:sz w:val="21"/>
              </w:rPr>
              <w:t>12</w:t>
            </w:r>
            <w:r>
              <w:rPr>
                <w:rFonts w:hint="eastAsia" w:hAnsi="宋体" w:cs="宋体"/>
                <w:color w:val="auto"/>
                <w:kern w:val="2"/>
                <w:sz w:val="21"/>
              </w:rPr>
              <w:t>时</w:t>
            </w:r>
            <w:r>
              <w:rPr>
                <w:rFonts w:hAnsi="宋体" w:cs="宋体"/>
                <w:color w:val="auto"/>
                <w:kern w:val="2"/>
                <w:sz w:val="21"/>
              </w:rPr>
              <w:t>00</w:t>
            </w:r>
            <w:r>
              <w:rPr>
                <w:rFonts w:hint="eastAsia" w:hAnsi="宋体" w:cs="宋体"/>
                <w:color w:val="auto"/>
                <w:kern w:val="2"/>
                <w:sz w:val="21"/>
              </w:rPr>
              <w:t>分，下午</w:t>
            </w:r>
            <w:r>
              <w:rPr>
                <w:rFonts w:hAnsi="宋体" w:cs="宋体"/>
                <w:color w:val="auto"/>
                <w:kern w:val="2"/>
                <w:sz w:val="21"/>
              </w:rPr>
              <w:t>3</w:t>
            </w:r>
            <w:r>
              <w:rPr>
                <w:rFonts w:hint="eastAsia" w:hAnsi="宋体" w:cs="宋体"/>
                <w:color w:val="auto"/>
                <w:kern w:val="2"/>
                <w:sz w:val="21"/>
              </w:rPr>
              <w:t>时</w:t>
            </w:r>
            <w:r>
              <w:rPr>
                <w:rFonts w:hAnsi="宋体" w:cs="宋体"/>
                <w:color w:val="auto"/>
                <w:kern w:val="2"/>
                <w:sz w:val="21"/>
              </w:rPr>
              <w:t>00</w:t>
            </w:r>
            <w:r>
              <w:rPr>
                <w:rFonts w:hint="eastAsia" w:hAnsi="宋体" w:cs="宋体"/>
                <w:color w:val="auto"/>
                <w:kern w:val="2"/>
                <w:sz w:val="21"/>
              </w:rPr>
              <w:t>分到</w:t>
            </w:r>
            <w:r>
              <w:rPr>
                <w:rFonts w:hAnsi="宋体" w:cs="宋体"/>
                <w:color w:val="auto"/>
                <w:kern w:val="2"/>
                <w:sz w:val="21"/>
              </w:rPr>
              <w:t>6</w:t>
            </w:r>
            <w:r>
              <w:rPr>
                <w:rFonts w:hint="eastAsia" w:hAnsi="宋体" w:cs="宋体"/>
                <w:color w:val="auto"/>
                <w:kern w:val="2"/>
                <w:sz w:val="21"/>
              </w:rPr>
              <w:t>时</w:t>
            </w:r>
            <w:r>
              <w:rPr>
                <w:rFonts w:hAnsi="宋体" w:cs="宋体"/>
                <w:color w:val="auto"/>
                <w:kern w:val="2"/>
                <w:sz w:val="21"/>
              </w:rPr>
              <w:t>00</w:t>
            </w:r>
            <w:r>
              <w:rPr>
                <w:rFonts w:hint="eastAsia" w:hAnsi="宋体" w:cs="宋体"/>
                <w:color w:val="auto"/>
                <w:kern w:val="2"/>
                <w:sz w:val="21"/>
              </w:rPr>
              <w:t>分。</w:t>
            </w:r>
          </w:p>
        </w:tc>
      </w:tr>
      <w:tr w14:paraId="65C95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9EE0F50">
            <w:pPr>
              <w:spacing w:line="360" w:lineRule="auto"/>
              <w:jc w:val="center"/>
              <w:rPr>
                <w:rFonts w:hint="eastAsia" w:ascii="宋体" w:hAnsi="宋体" w:cs="宋体"/>
                <w:color w:val="auto"/>
                <w:szCs w:val="21"/>
              </w:rPr>
            </w:pPr>
            <w:r>
              <w:rPr>
                <w:rFonts w:ascii="宋体" w:hAnsi="宋体" w:cs="宋体"/>
                <w:color w:val="auto"/>
                <w:szCs w:val="21"/>
              </w:rPr>
              <w:t>32.1</w:t>
            </w:r>
          </w:p>
        </w:tc>
        <w:tc>
          <w:tcPr>
            <w:tcW w:w="7912" w:type="dxa"/>
            <w:noWrap/>
            <w:vAlign w:val="center"/>
          </w:tcPr>
          <w:p w14:paraId="6CCE6027">
            <w:pPr>
              <w:pStyle w:val="16"/>
              <w:snapToGrid w:val="0"/>
              <w:spacing w:line="360" w:lineRule="auto"/>
              <w:rPr>
                <w:rFonts w:hint="eastAsia" w:hAnsi="宋体" w:cs="宋体"/>
                <w:color w:val="auto"/>
                <w:sz w:val="21"/>
              </w:rPr>
            </w:pPr>
            <w:r>
              <w:rPr>
                <w:rFonts w:hint="eastAsia" w:hAnsi="宋体" w:cs="宋体"/>
                <w:color w:val="auto"/>
                <w:sz w:val="21"/>
              </w:rPr>
              <w:t>1.采购代理费支付方式：</w:t>
            </w:r>
          </w:p>
          <w:p w14:paraId="444BAE2E">
            <w:pPr>
              <w:pStyle w:val="16"/>
              <w:snapToGrid w:val="0"/>
              <w:spacing w:line="360" w:lineRule="auto"/>
              <w:rPr>
                <w:rFonts w:hint="eastAsia" w:hAnsi="宋体" w:cs="宋体"/>
                <w:color w:val="auto"/>
                <w:sz w:val="21"/>
              </w:rPr>
            </w:pPr>
            <w:r>
              <w:rPr>
                <w:rFonts w:hint="eastAsia" w:hAnsi="宋体" w:cs="宋体"/>
                <w:color w:val="auto"/>
                <w:sz w:val="21"/>
              </w:rPr>
              <w:t>☑本项目代理服务费在发布成交结果公告后5日内，由成交供应商一次性向采购代理机构支付。</w:t>
            </w:r>
          </w:p>
          <w:p w14:paraId="2665F7D9">
            <w:pPr>
              <w:pStyle w:val="16"/>
              <w:snapToGrid w:val="0"/>
              <w:spacing w:line="360" w:lineRule="auto"/>
              <w:rPr>
                <w:rFonts w:hint="eastAsia" w:hAnsi="宋体" w:cs="宋体"/>
                <w:color w:val="auto"/>
                <w:sz w:val="21"/>
              </w:rPr>
            </w:pPr>
            <w:r>
              <w:rPr>
                <w:rFonts w:hint="eastAsia" w:hAnsi="宋体" w:cs="宋体"/>
                <w:color w:val="auto"/>
                <w:sz w:val="21"/>
              </w:rPr>
              <w:t>□采购人支付。</w:t>
            </w:r>
          </w:p>
          <w:p w14:paraId="30E21135">
            <w:pPr>
              <w:pStyle w:val="16"/>
              <w:snapToGrid w:val="0"/>
              <w:spacing w:line="360" w:lineRule="auto"/>
              <w:rPr>
                <w:rFonts w:hint="eastAsia" w:hAnsi="宋体" w:cs="宋体"/>
                <w:color w:val="auto"/>
                <w:sz w:val="21"/>
              </w:rPr>
            </w:pPr>
            <w:r>
              <w:rPr>
                <w:rFonts w:hint="eastAsia" w:hAnsi="宋体" w:cs="宋体"/>
                <w:color w:val="auto"/>
                <w:sz w:val="21"/>
              </w:rPr>
              <w:t>2.采购代理费收取标准：</w:t>
            </w:r>
          </w:p>
          <w:p w14:paraId="6BBADBC5">
            <w:pPr>
              <w:pStyle w:val="16"/>
              <w:snapToGrid w:val="0"/>
              <w:spacing w:line="360" w:lineRule="auto"/>
              <w:rPr>
                <w:rFonts w:hint="eastAsia" w:hAnsi="宋体" w:cs="宋体"/>
                <w:color w:val="auto"/>
                <w:sz w:val="21"/>
              </w:rPr>
            </w:pPr>
            <w:r>
              <w:rPr>
                <w:rFonts w:hint="eastAsia" w:hAnsi="宋体" w:cs="宋体"/>
                <w:color w:val="auto"/>
                <w:sz w:val="21"/>
              </w:rPr>
              <w:t>☑以项目成交金额为计费额，按本须知正文第</w:t>
            </w:r>
            <w:r>
              <w:rPr>
                <w:rFonts w:hAnsi="宋体" w:cs="宋体"/>
                <w:color w:val="auto"/>
                <w:sz w:val="21"/>
              </w:rPr>
              <w:t>32</w:t>
            </w:r>
            <w:r>
              <w:rPr>
                <w:rFonts w:hint="eastAsia" w:hAnsi="宋体" w:cs="宋体"/>
                <w:color w:val="auto"/>
                <w:sz w:val="21"/>
              </w:rPr>
              <w:t>.</w:t>
            </w:r>
            <w:r>
              <w:rPr>
                <w:rFonts w:hAnsi="宋体" w:cs="宋体"/>
                <w:color w:val="auto"/>
                <w:sz w:val="21"/>
              </w:rPr>
              <w:t>2</w:t>
            </w:r>
            <w:r>
              <w:rPr>
                <w:rFonts w:hint="eastAsia" w:hAnsi="宋体" w:cs="宋体"/>
                <w:color w:val="auto"/>
                <w:sz w:val="21"/>
              </w:rPr>
              <w:t>条规定的收费计算标准（服务类）采用差额定率累进法计算出收费基准价格，采购代理收费以收费基准价格收取。</w:t>
            </w:r>
          </w:p>
          <w:p w14:paraId="7A8DF346">
            <w:pPr>
              <w:pStyle w:val="16"/>
              <w:snapToGrid w:val="0"/>
              <w:spacing w:line="360" w:lineRule="auto"/>
              <w:rPr>
                <w:rFonts w:hint="eastAsia"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32BAB50C">
            <w:pPr>
              <w:pStyle w:val="16"/>
              <w:snapToGrid w:val="0"/>
              <w:spacing w:line="360" w:lineRule="auto"/>
              <w:rPr>
                <w:rFonts w:hint="eastAsia" w:hAnsi="宋体" w:cs="宋体"/>
                <w:color w:val="auto"/>
                <w:sz w:val="21"/>
              </w:rPr>
            </w:pPr>
            <w:r>
              <w:rPr>
                <w:rFonts w:hint="eastAsia" w:hAnsi="宋体" w:cs="宋体"/>
                <w:color w:val="auto"/>
                <w:sz w:val="21"/>
              </w:rPr>
              <w:t>3. 采购代理费收取银行账户</w:t>
            </w:r>
          </w:p>
          <w:p w14:paraId="3FC06780">
            <w:pPr>
              <w:pStyle w:val="16"/>
              <w:snapToGrid w:val="0"/>
              <w:spacing w:line="360" w:lineRule="auto"/>
              <w:rPr>
                <w:rFonts w:hint="eastAsia" w:hAnsi="宋体" w:cs="宋体"/>
                <w:color w:val="auto"/>
                <w:sz w:val="21"/>
              </w:rPr>
            </w:pPr>
            <w:r>
              <w:rPr>
                <w:rFonts w:hint="eastAsia" w:hAnsi="宋体" w:cs="宋体"/>
                <w:color w:val="auto"/>
                <w:sz w:val="21"/>
              </w:rPr>
              <w:t>账户名称：云之龙咨询集团有限公司梧州分公司</w:t>
            </w:r>
          </w:p>
          <w:p w14:paraId="534F60AE">
            <w:pPr>
              <w:pStyle w:val="16"/>
              <w:snapToGrid w:val="0"/>
              <w:spacing w:line="360" w:lineRule="auto"/>
              <w:rPr>
                <w:rFonts w:hint="eastAsia" w:hAnsi="宋体" w:cs="宋体"/>
                <w:color w:val="auto"/>
                <w:sz w:val="21"/>
              </w:rPr>
            </w:pPr>
            <w:r>
              <w:rPr>
                <w:rFonts w:hint="eastAsia" w:hAnsi="宋体" w:cs="宋体"/>
                <w:color w:val="auto"/>
                <w:sz w:val="21"/>
              </w:rPr>
              <w:t>账号：8113001014500158361</w:t>
            </w:r>
          </w:p>
          <w:p w14:paraId="273CE27B">
            <w:pPr>
              <w:pStyle w:val="16"/>
              <w:snapToGrid w:val="0"/>
              <w:spacing w:line="360" w:lineRule="auto"/>
              <w:rPr>
                <w:rFonts w:hint="eastAsia" w:hAnsi="宋体" w:cs="宋体"/>
                <w:color w:val="auto"/>
                <w:sz w:val="21"/>
              </w:rPr>
            </w:pPr>
            <w:r>
              <w:rPr>
                <w:rFonts w:hint="eastAsia" w:hAnsi="宋体" w:cs="宋体"/>
                <w:color w:val="auto"/>
                <w:sz w:val="21"/>
              </w:rPr>
              <w:t>开户行：中信银行南宁东葛支行</w:t>
            </w:r>
          </w:p>
        </w:tc>
      </w:tr>
      <w:tr w14:paraId="67488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5171CF">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noWrap/>
            <w:vAlign w:val="center"/>
          </w:tcPr>
          <w:p w14:paraId="6787FED8">
            <w:pPr>
              <w:pStyle w:val="16"/>
              <w:snapToGrid w:val="0"/>
              <w:spacing w:line="360" w:lineRule="auto"/>
              <w:rPr>
                <w:rFonts w:hint="eastAsia" w:hAnsi="宋体" w:cs="宋体"/>
                <w:color w:val="auto"/>
                <w:kern w:val="2"/>
                <w:sz w:val="21"/>
              </w:rPr>
            </w:pPr>
            <w:r>
              <w:rPr>
                <w:rFonts w:hint="eastAsia" w:hAnsi="宋体"/>
                <w:color w:val="auto"/>
                <w:sz w:val="21"/>
              </w:rPr>
              <w:t>解释：</w:t>
            </w:r>
            <w:r>
              <w:rPr>
                <w:rFonts w:hAnsi="宋体"/>
                <w:color w:val="auto"/>
                <w:sz w:val="21"/>
              </w:rPr>
              <w:t>构成本</w:t>
            </w:r>
            <w:r>
              <w:rPr>
                <w:rFonts w:hint="eastAsia" w:hAnsi="宋体"/>
                <w:color w:val="auto"/>
                <w:sz w:val="21"/>
              </w:rPr>
              <w:t>磋商文件</w:t>
            </w:r>
            <w:r>
              <w:rPr>
                <w:rFonts w:hAnsi="宋体"/>
                <w:color w:val="auto"/>
                <w:sz w:val="21"/>
              </w:rPr>
              <w:t>的各个组成文件应互为解释，互为说明；除</w:t>
            </w:r>
            <w:r>
              <w:rPr>
                <w:rFonts w:hint="eastAsia" w:hAnsi="宋体"/>
                <w:color w:val="auto"/>
                <w:sz w:val="21"/>
              </w:rPr>
              <w:t>磋商文件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竞争性磋商</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磋商文件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为准。按本款前述规定仍不能形成结论的，由</w:t>
            </w:r>
            <w:r>
              <w:rPr>
                <w:rFonts w:hint="eastAsia" w:hAnsi="宋体"/>
                <w:color w:val="auto"/>
                <w:sz w:val="21"/>
              </w:rPr>
              <w:t>采购</w:t>
            </w:r>
            <w:r>
              <w:rPr>
                <w:rFonts w:hAnsi="宋体"/>
                <w:color w:val="auto"/>
                <w:sz w:val="21"/>
              </w:rPr>
              <w:t>人</w:t>
            </w:r>
            <w:r>
              <w:rPr>
                <w:rFonts w:hint="eastAsia" w:hAnsi="宋体"/>
                <w:color w:val="auto"/>
                <w:sz w:val="21"/>
              </w:rPr>
              <w:t>或者采购代理机构</w:t>
            </w:r>
            <w:r>
              <w:rPr>
                <w:rFonts w:hAnsi="宋体"/>
                <w:color w:val="auto"/>
                <w:sz w:val="21"/>
              </w:rPr>
              <w:t>负责解释。</w:t>
            </w:r>
          </w:p>
        </w:tc>
      </w:tr>
      <w:tr w14:paraId="785D4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555D505">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noWrap/>
            <w:vAlign w:val="center"/>
          </w:tcPr>
          <w:p w14:paraId="28DA1E79">
            <w:pPr>
              <w:pStyle w:val="16"/>
              <w:snapToGrid w:val="0"/>
              <w:spacing w:line="360" w:lineRule="auto"/>
              <w:rPr>
                <w:rFonts w:hint="eastAsia"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2CFD2E2">
            <w:pPr>
              <w:pStyle w:val="16"/>
              <w:snapToGrid w:val="0"/>
              <w:spacing w:line="360" w:lineRule="auto"/>
              <w:rPr>
                <w:rFonts w:hint="eastAsia" w:hAnsi="宋体" w:cs="宋体"/>
                <w:color w:val="auto"/>
                <w:sz w:val="21"/>
              </w:rPr>
            </w:pPr>
            <w:r>
              <w:rPr>
                <w:rFonts w:hint="eastAsia" w:hAnsi="宋体" w:cs="宋体"/>
                <w:bCs/>
                <w:color w:val="auto"/>
                <w:sz w:val="21"/>
              </w:rPr>
              <w:t>2.本磋商文件所称的“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09DA1A85">
            <w:pPr>
              <w:pStyle w:val="16"/>
              <w:snapToGrid w:val="0"/>
              <w:spacing w:line="360" w:lineRule="auto"/>
              <w:rPr>
                <w:rFonts w:hint="eastAsia" w:hAnsi="宋体" w:cs="宋体"/>
                <w:bCs/>
                <w:color w:val="auto"/>
                <w:sz w:val="21"/>
              </w:rPr>
            </w:pPr>
            <w:r>
              <w:rPr>
                <w:rFonts w:hAnsi="宋体" w:cs="宋体"/>
                <w:color w:val="auto"/>
                <w:sz w:val="21"/>
              </w:rPr>
              <w:t>3</w:t>
            </w:r>
            <w:r>
              <w:rPr>
                <w:rFonts w:hint="eastAsia" w:hAnsi="宋体" w:cs="宋体"/>
                <w:color w:val="auto"/>
                <w:sz w:val="21"/>
              </w:rPr>
              <w:t>.供应商为其他组织或者自然人时，本磋商文件规定的法定代表人指负责人或者自然人。本磋商文件所称负责人是指参加竞标的其他组织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负责人，本磋商文件所称自然人指参与竞标的自然人本人，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14:paraId="0F3821CF">
            <w:pPr>
              <w:pStyle w:val="16"/>
              <w:snapToGrid w:val="0"/>
              <w:spacing w:line="360" w:lineRule="auto"/>
              <w:rPr>
                <w:rFonts w:hint="eastAsia" w:hAnsi="宋体" w:cs="宋体"/>
                <w:color w:val="auto"/>
                <w:sz w:val="21"/>
              </w:rPr>
            </w:pPr>
            <w:r>
              <w:rPr>
                <w:rFonts w:hAnsi="宋体" w:cs="宋体"/>
                <w:color w:val="auto"/>
                <w:sz w:val="21"/>
              </w:rPr>
              <w:t>4.</w:t>
            </w:r>
            <w:r>
              <w:rPr>
                <w:rFonts w:hint="eastAsia" w:hAnsi="宋体" w:cs="宋体"/>
                <w:color w:val="auto"/>
                <w:sz w:val="21"/>
              </w:rPr>
              <w:t>本磋商文件中描述供应商的“签字”是指供应商的法定代表人或者委托代理人亲自在文件规定签署处亲笔写上个人的名字的行为，私章、签字章、印鉴、影印等其他形式均不能代替亲笔签字。</w:t>
            </w:r>
          </w:p>
          <w:p w14:paraId="7775AC3B">
            <w:pPr>
              <w:pStyle w:val="16"/>
              <w:snapToGrid w:val="0"/>
              <w:spacing w:line="360" w:lineRule="auto"/>
              <w:rPr>
                <w:rFonts w:hint="eastAsia"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本磋商文件所称的“以上”“以下”“以内”“届满”，包括本数；所称的“不满”“超过”“以外”，不包括本数。</w:t>
            </w:r>
          </w:p>
        </w:tc>
      </w:tr>
    </w:tbl>
    <w:p w14:paraId="2ECBCC7C">
      <w:pPr>
        <w:spacing w:line="400" w:lineRule="exact"/>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5B707681">
      <w:pPr>
        <w:spacing w:line="400" w:lineRule="exact"/>
        <w:jc w:val="center"/>
        <w:rPr>
          <w:rFonts w:hint="eastAsia" w:ascii="宋体" w:hAnsi="宋体"/>
          <w:b/>
          <w:color w:val="auto"/>
          <w:sz w:val="32"/>
          <w:szCs w:val="32"/>
        </w:rPr>
      </w:pPr>
    </w:p>
    <w:p w14:paraId="047F1B51">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1B47ADD9">
      <w:pPr>
        <w:spacing w:line="400" w:lineRule="exact"/>
        <w:rPr>
          <w:rFonts w:hint="eastAsia" w:ascii="宋体" w:hAnsi="宋体"/>
          <w:color w:val="auto"/>
          <w:szCs w:val="21"/>
        </w:rPr>
      </w:pPr>
    </w:p>
    <w:p w14:paraId="27E512E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1.适用范围</w:t>
      </w:r>
    </w:p>
    <w:p w14:paraId="1A1232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472E26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508BDE6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2.定义</w:t>
      </w:r>
    </w:p>
    <w:p w14:paraId="20DFE3F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48387C2D">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3A00AC3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46DB2945">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60CB28D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6CEB763B">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2023AE5F">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是指：供应商根据本磋商文件要求，编制包含资格证明、报价、商务技术等所有内容的文件。</w:t>
      </w:r>
    </w:p>
    <w:p w14:paraId="13E52C96">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2.8“实质性要求”是指磋商文件中已经指明不满足则响应文件按无效响应处理的条款，或者不能负偏离的条款，或者采购需求中带“▲”的条款。</w:t>
      </w:r>
    </w:p>
    <w:p w14:paraId="59EC2133">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52C28FE5">
      <w:pPr>
        <w:spacing w:line="360" w:lineRule="auto"/>
        <w:ind w:firstLine="420" w:firstLineChars="200"/>
        <w:contextualSpacing/>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0D173363">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4E1B25B8">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0282EC0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3.供应商的资格条件</w:t>
      </w:r>
    </w:p>
    <w:p w14:paraId="73A45B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0358CF6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4.竞标费用</w:t>
      </w:r>
    </w:p>
    <w:p w14:paraId="011935D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3F32BB3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5.联合体竞标</w:t>
      </w:r>
    </w:p>
    <w:p w14:paraId="184505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2AEFC5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4B824BF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5.3</w:t>
      </w:r>
      <w:bookmarkStart w:id="56" w:name="_Hlk66782192"/>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6"/>
    </w:p>
    <w:p w14:paraId="60A8135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 xml:space="preserve">6.转包与分包             </w:t>
      </w:r>
    </w:p>
    <w:p w14:paraId="2AFA2887">
      <w:pPr>
        <w:pStyle w:val="5"/>
        <w:keepNext w:val="0"/>
        <w:keepLines w:val="0"/>
        <w:spacing w:before="0" w:after="0" w:line="360" w:lineRule="auto"/>
        <w:ind w:left="420" w:leftChars="200"/>
        <w:rPr>
          <w:rFonts w:hint="eastAsia" w:ascii="宋体" w:hAnsi="宋体"/>
          <w:b w:val="0"/>
          <w:color w:val="auto"/>
          <w:sz w:val="21"/>
          <w:szCs w:val="21"/>
        </w:rPr>
      </w:pPr>
      <w:bookmarkStart w:id="57" w:name="_Toc254970532"/>
      <w:bookmarkStart w:id="58" w:name="_Toc254970673"/>
      <w:r>
        <w:rPr>
          <w:rFonts w:hint="eastAsia" w:ascii="宋体" w:hAnsi="宋体"/>
          <w:b w:val="0"/>
          <w:color w:val="auto"/>
          <w:sz w:val="21"/>
          <w:szCs w:val="21"/>
        </w:rPr>
        <w:t>6.1本项目不允许转包。</w:t>
      </w:r>
    </w:p>
    <w:p w14:paraId="59F1808F">
      <w:pPr>
        <w:pStyle w:val="5"/>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0DDCCA9">
      <w:pPr>
        <w:pStyle w:val="5"/>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80139A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7.特别说明</w:t>
      </w:r>
      <w:bookmarkEnd w:id="57"/>
      <w:bookmarkEnd w:id="58"/>
    </w:p>
    <w:p w14:paraId="620D6F5E">
      <w:pPr>
        <w:spacing w:line="360" w:lineRule="auto"/>
        <w:ind w:firstLine="420" w:firstLineChars="200"/>
        <w:rPr>
          <w:rFonts w:hint="eastAsia" w:ascii="宋体" w:hAnsi="宋体" w:cs="宋体"/>
          <w:color w:val="auto"/>
          <w:szCs w:val="21"/>
        </w:rPr>
      </w:pPr>
      <w:bookmarkStart w:id="59" w:name="_8.1提供相同品牌产品且通过资格审查、符合性审查的不同投标人参加同一合"/>
      <w:bookmarkEnd w:id="59"/>
      <w:r>
        <w:rPr>
          <w:rFonts w:hint="eastAsia" w:ascii="宋体" w:hAnsi="宋体" w:cs="宋体"/>
          <w:color w:val="auto"/>
          <w:szCs w:val="21"/>
        </w:rPr>
        <w:t>7.</w:t>
      </w:r>
      <w:r>
        <w:rPr>
          <w:rFonts w:ascii="宋体" w:hAnsi="宋体" w:cs="宋体"/>
          <w:color w:val="auto"/>
          <w:szCs w:val="21"/>
        </w:rPr>
        <w:t>1</w:t>
      </w:r>
      <w:bookmarkStart w:id="60"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60"/>
    <w:p w14:paraId="38764FE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2DE31F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D3613B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1E9F15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58057DB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65B4B9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612F3D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6C57EDE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044FC2C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2EFA4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3E7598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（1）不同供应商的响应文件由同一单位或者个人编制,或不同供应商报名的IP地址一致的；或不同供应商竞标设备信息（包括但不限于：IP地址、MAC地址、硬盘号、CPU号、主板号）一致的； </w:t>
      </w:r>
    </w:p>
    <w:p w14:paraId="406985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2B2EC14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3BB91E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47C781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4BB983AD">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26FD6FF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63BD5B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725AF9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271E01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452CE1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65D0B6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12E754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4F92FE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552A36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7.7现场踏勘相关说明详见“供应商须知前附表”。</w:t>
      </w:r>
    </w:p>
    <w:p w14:paraId="4F84779D">
      <w:pPr>
        <w:spacing w:line="360" w:lineRule="auto"/>
        <w:ind w:firstLine="420" w:firstLineChars="200"/>
        <w:rPr>
          <w:rFonts w:hint="eastAsia" w:ascii="宋体" w:hAnsi="宋体" w:cs="宋体"/>
          <w:color w:val="auto"/>
          <w:szCs w:val="21"/>
        </w:rPr>
      </w:pPr>
    </w:p>
    <w:p w14:paraId="27ED9D86">
      <w:pPr>
        <w:spacing w:line="360" w:lineRule="auto"/>
        <w:ind w:left="1" w:firstLine="417" w:firstLineChars="199"/>
        <w:jc w:val="center"/>
        <w:rPr>
          <w:rFonts w:hint="eastAsia" w:ascii="宋体" w:hAnsi="宋体"/>
          <w:color w:val="auto"/>
        </w:rPr>
      </w:pPr>
      <w:bookmarkStart w:id="61" w:name="_Toc254970675"/>
      <w:bookmarkStart w:id="62" w:name="_Toc254970534"/>
    </w:p>
    <w:p w14:paraId="61C0EF33">
      <w:pPr>
        <w:spacing w:line="360" w:lineRule="auto"/>
        <w:jc w:val="center"/>
        <w:rPr>
          <w:rFonts w:hint="eastAsia" w:ascii="宋体" w:hAnsi="宋体"/>
          <w:b/>
          <w:bCs/>
          <w:color w:val="auto"/>
          <w:sz w:val="32"/>
          <w:szCs w:val="32"/>
        </w:rPr>
      </w:pPr>
      <w:r>
        <w:rPr>
          <w:rFonts w:hint="eastAsia" w:ascii="宋体" w:hAnsi="宋体"/>
          <w:b/>
          <w:bCs/>
          <w:color w:val="auto"/>
          <w:sz w:val="32"/>
          <w:szCs w:val="32"/>
        </w:rPr>
        <w:t>二、磋商文件</w:t>
      </w:r>
      <w:bookmarkEnd w:id="61"/>
      <w:bookmarkEnd w:id="62"/>
    </w:p>
    <w:p w14:paraId="41A56958">
      <w:pPr>
        <w:spacing w:line="360" w:lineRule="auto"/>
        <w:rPr>
          <w:rFonts w:hint="eastAsia" w:ascii="宋体" w:hAnsi="宋体"/>
          <w:color w:val="auto"/>
          <w:szCs w:val="21"/>
        </w:rPr>
      </w:pPr>
    </w:p>
    <w:p w14:paraId="01C72B7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8.磋商文件的构成</w:t>
      </w:r>
    </w:p>
    <w:p w14:paraId="50DA32B1">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w:t>
      </w:r>
    </w:p>
    <w:p w14:paraId="5DD78352">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2FD5DB86">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3A536B63">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2D4B8849">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45B831C2">
      <w:pPr>
        <w:spacing w:line="360" w:lineRule="auto"/>
        <w:ind w:firstLine="420" w:firstLineChars="200"/>
        <w:jc w:val="left"/>
        <w:rPr>
          <w:rFonts w:hint="eastAsia" w:ascii="宋体" w:hAnsi="宋体"/>
          <w:color w:val="auto"/>
          <w:szCs w:val="21"/>
        </w:rPr>
      </w:pPr>
      <w:r>
        <w:rPr>
          <w:rFonts w:hint="eastAsia" w:ascii="宋体" w:hAnsi="宋体"/>
          <w:color w:val="auto"/>
          <w:szCs w:val="21"/>
        </w:rPr>
        <w:t>（6）合同文本。</w:t>
      </w:r>
    </w:p>
    <w:p w14:paraId="4659C62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9.供应商的询问</w:t>
      </w:r>
    </w:p>
    <w:p w14:paraId="7D12B3FB">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供应商应认真阅读磋商文件的采购需求，如供应商对磋商文件有疑问的，如要求采购人作出澄清或者修改的，供应商应在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518F95C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10.磋商文件的澄清和修改</w:t>
      </w:r>
    </w:p>
    <w:p w14:paraId="0C71B4DC">
      <w:pPr>
        <w:spacing w:line="360" w:lineRule="auto"/>
        <w:ind w:firstLine="420" w:firstLineChars="200"/>
        <w:rPr>
          <w:rFonts w:hint="eastAsia"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01340CEE">
      <w:pPr>
        <w:spacing w:line="360" w:lineRule="auto"/>
        <w:rPr>
          <w:rFonts w:hint="eastAsia" w:ascii="宋体" w:hAnsi="宋体"/>
          <w:color w:val="auto"/>
          <w:szCs w:val="21"/>
        </w:rPr>
      </w:pPr>
    </w:p>
    <w:p w14:paraId="44E0B1FF">
      <w:pPr>
        <w:spacing w:line="360" w:lineRule="auto"/>
        <w:jc w:val="center"/>
        <w:rPr>
          <w:rFonts w:hint="eastAsia" w:ascii="宋体" w:hAnsi="宋体"/>
          <w:b/>
          <w:bCs/>
          <w:color w:val="auto"/>
          <w:szCs w:val="21"/>
        </w:rPr>
      </w:pPr>
      <w:r>
        <w:rPr>
          <w:rFonts w:hint="eastAsia" w:ascii="宋体" w:hAnsi="宋体"/>
          <w:b/>
          <w:bCs/>
          <w:color w:val="auto"/>
          <w:sz w:val="32"/>
          <w:szCs w:val="32"/>
        </w:rPr>
        <w:t>三、响应文件的编制</w:t>
      </w:r>
    </w:p>
    <w:p w14:paraId="7B194B91">
      <w:pPr>
        <w:spacing w:line="360" w:lineRule="auto"/>
        <w:rPr>
          <w:rFonts w:hint="eastAsia" w:ascii="宋体" w:hAnsi="宋体"/>
          <w:color w:val="auto"/>
          <w:szCs w:val="21"/>
        </w:rPr>
      </w:pPr>
    </w:p>
    <w:p w14:paraId="1474ED5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11.响应文件的编制原则</w:t>
      </w:r>
    </w:p>
    <w:p w14:paraId="64C2F4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w:t>
      </w:r>
      <w:r>
        <w:rPr>
          <w:rFonts w:hint="eastAsia" w:ascii="宋体" w:hAnsi="宋体"/>
          <w:color w:val="auto"/>
          <w:szCs w:val="21"/>
        </w:rPr>
        <w:t>提出的要求和条件作出明确响应</w:t>
      </w:r>
      <w:r>
        <w:rPr>
          <w:rFonts w:hint="eastAsia" w:ascii="宋体" w:hAnsi="宋体" w:cs="宋体"/>
          <w:color w:val="auto"/>
          <w:szCs w:val="21"/>
        </w:rPr>
        <w:t>。</w:t>
      </w:r>
    </w:p>
    <w:p w14:paraId="2617C7C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12.响应文件的组成</w:t>
      </w:r>
    </w:p>
    <w:p w14:paraId="795893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12.1响应文件由资格证明文件、报价文件、商务技术文件三部分组成。</w:t>
      </w:r>
    </w:p>
    <w:p w14:paraId="561157C4">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12.1.1资格证明文件：详见“供应商须知前附表”</w:t>
      </w:r>
    </w:p>
    <w:p w14:paraId="7260E0ED">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12.1.2报价文件：详见“供应商须知前附表”</w:t>
      </w:r>
    </w:p>
    <w:p w14:paraId="09A1E56D">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12.1.3商务技术文件：详见“供应商须知前附表”</w:t>
      </w:r>
    </w:p>
    <w:p w14:paraId="22EB4DD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13.计量单位</w:t>
      </w:r>
    </w:p>
    <w:p w14:paraId="38169A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562F5FE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14.竞标的风险</w:t>
      </w:r>
    </w:p>
    <w:p w14:paraId="727FEB8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307A76A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15.竞标报价</w:t>
      </w:r>
    </w:p>
    <w:p w14:paraId="6525ABF8">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15.1竞标报价应按磋商文件中“竞标报价表”格式填写。</w:t>
      </w:r>
    </w:p>
    <w:p w14:paraId="71432CBF">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15.2竞标报价的内容见“供应商须知前附表”。</w:t>
      </w:r>
    </w:p>
    <w:p w14:paraId="39188B8E">
      <w:pPr>
        <w:spacing w:line="360" w:lineRule="auto"/>
        <w:ind w:left="426" w:leftChars="203"/>
        <w:rPr>
          <w:rFonts w:hint="eastAsia" w:ascii="宋体" w:hAnsi="宋体" w:cs="宋体"/>
          <w:color w:val="auto"/>
          <w:szCs w:val="21"/>
        </w:rPr>
      </w:pPr>
      <w:r>
        <w:rPr>
          <w:rFonts w:hint="eastAsia" w:ascii="宋体" w:hAnsi="宋体" w:cs="宋体"/>
          <w:color w:val="auto"/>
          <w:szCs w:val="21"/>
        </w:rPr>
        <w:t>15.3竞标报价要求</w:t>
      </w:r>
    </w:p>
    <w:p w14:paraId="7DAE9D4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2ED48CB4">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2B269C0D">
      <w:pPr>
        <w:spacing w:line="360" w:lineRule="auto"/>
        <w:rPr>
          <w:rFonts w:hint="eastAsia" w:ascii="宋体" w:hAnsi="宋体" w:cs="宋体"/>
          <w:color w:val="auto"/>
          <w:szCs w:val="21"/>
        </w:rPr>
      </w:pPr>
      <w:r>
        <w:rPr>
          <w:rFonts w:hint="eastAsia" w:ascii="宋体" w:hAnsi="宋体" w:cs="宋体"/>
          <w:color w:val="auto"/>
          <w:szCs w:val="21"/>
        </w:rPr>
        <w:t>不得存在漏项报价；</w:t>
      </w:r>
    </w:p>
    <w:p w14:paraId="033D5D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642DCD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竞标报价（包含首次报价、最后报价）超过所竞标分标规定的采购预算金额或者最高限价的，其响应文件将按无效处理。</w:t>
      </w:r>
    </w:p>
    <w:p w14:paraId="4C258B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63" w:name="_Hlk42592874"/>
      <w:r>
        <w:rPr>
          <w:rFonts w:hint="eastAsia" w:ascii="宋体" w:hAnsi="宋体" w:cs="宋体"/>
          <w:color w:val="auto"/>
          <w:szCs w:val="21"/>
        </w:rPr>
        <w:t>竞标报价（包含首次报价、最后报价）超过分项采购预算金额或者最高限价的，其响应文件将按无效处理。</w:t>
      </w:r>
    </w:p>
    <w:bookmarkEnd w:id="63"/>
    <w:p w14:paraId="5772D36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16.竞标有效期</w:t>
      </w:r>
    </w:p>
    <w:p w14:paraId="6B2512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851E9E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r>
        <w:rPr>
          <w:rFonts w:hint="eastAsia" w:ascii="宋体" w:hAnsi="宋体"/>
          <w:color w:val="auto"/>
          <w:szCs w:val="21"/>
        </w:rPr>
        <w:t>承诺的竞标有效期低于采购文件规定期限的，供应商的响应文件作无效处理。</w:t>
      </w:r>
    </w:p>
    <w:p w14:paraId="498704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5BB83A9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17.磋商保证金</w:t>
      </w:r>
    </w:p>
    <w:p w14:paraId="45ABAF0E">
      <w:pPr>
        <w:spacing w:line="360" w:lineRule="auto"/>
        <w:ind w:left="420" w:leftChars="200"/>
        <w:rPr>
          <w:rFonts w:hint="eastAsia" w:ascii="宋体" w:hAnsi="宋体" w:cs="宋体"/>
          <w:color w:val="auto"/>
          <w:szCs w:val="21"/>
        </w:rPr>
      </w:pPr>
      <w:r>
        <w:rPr>
          <w:rFonts w:hint="eastAsia" w:ascii="宋体" w:hAnsi="宋体" w:cs="宋体"/>
          <w:color w:val="auto"/>
          <w:szCs w:val="21"/>
        </w:rPr>
        <w:t>17.1供应商须按“供应商须知前附表”的规定提交磋商保证金。</w:t>
      </w:r>
    </w:p>
    <w:p w14:paraId="666798E1">
      <w:pPr>
        <w:spacing w:line="360" w:lineRule="auto"/>
        <w:ind w:left="420" w:leftChars="200"/>
        <w:rPr>
          <w:rFonts w:hint="eastAsia" w:ascii="宋体" w:hAnsi="宋体" w:cs="宋体"/>
          <w:color w:val="auto"/>
          <w:szCs w:val="21"/>
        </w:rPr>
      </w:pPr>
      <w:r>
        <w:rPr>
          <w:rFonts w:hint="eastAsia" w:ascii="宋体" w:hAnsi="宋体" w:cs="宋体"/>
          <w:color w:val="auto"/>
          <w:szCs w:val="21"/>
        </w:rPr>
        <w:t>17.2磋商保证金的退还</w:t>
      </w:r>
    </w:p>
    <w:p w14:paraId="2F60E60D">
      <w:pPr>
        <w:spacing w:line="360" w:lineRule="auto"/>
        <w:ind w:firstLine="420" w:firstLineChars="200"/>
        <w:rPr>
          <w:rFonts w:hint="eastAsia" w:ascii="宋体" w:hAnsi="宋体" w:cs="宋体"/>
          <w:color w:val="auto"/>
          <w:szCs w:val="21"/>
        </w:rPr>
      </w:pPr>
      <w:bookmarkStart w:id="64" w:name="_Hlk66782243"/>
      <w:r>
        <w:rPr>
          <w:rFonts w:hint="eastAsia" w:ascii="宋体" w:hAnsi="宋体" w:cs="宋体"/>
          <w:color w:val="auto"/>
          <w:szCs w:val="21"/>
        </w:rPr>
        <w:t>未</w:t>
      </w:r>
      <w:r>
        <w:rPr>
          <w:rFonts w:hint="eastAsia" w:ascii="宋体" w:hAnsi="宋体" w:cs="宋体"/>
          <w:color w:val="auto"/>
          <w:spacing w:val="-6"/>
          <w:szCs w:val="21"/>
        </w:rPr>
        <w:t>成交供应商的磋商保证金自成交通知书发出之日起5个工作日内退还；</w:t>
      </w:r>
      <w:r>
        <w:rPr>
          <w:rFonts w:hint="eastAsia" w:ascii="宋体" w:hAnsi="宋体" w:cs="宋体"/>
          <w:color w:val="auto"/>
          <w:szCs w:val="21"/>
        </w:rPr>
        <w:t>成交供应商的磋商保证金自签订合同之日起5个工作日内退还。</w:t>
      </w:r>
      <w:bookmarkEnd w:id="64"/>
    </w:p>
    <w:p w14:paraId="3366534B">
      <w:pPr>
        <w:spacing w:line="360" w:lineRule="auto"/>
        <w:ind w:left="420" w:leftChars="200"/>
        <w:rPr>
          <w:rFonts w:hint="eastAsia" w:ascii="宋体" w:hAnsi="宋体" w:cs="宋体"/>
          <w:color w:val="auto"/>
          <w:szCs w:val="21"/>
        </w:rPr>
      </w:pPr>
      <w:r>
        <w:rPr>
          <w:rFonts w:hint="eastAsia" w:ascii="宋体" w:hAnsi="宋体" w:cs="宋体"/>
          <w:color w:val="auto"/>
          <w:szCs w:val="21"/>
        </w:rPr>
        <w:t>17.3除逾期退还磋商保证金和终止采购的情形以外，磋商保证金不计息。</w:t>
      </w:r>
    </w:p>
    <w:p w14:paraId="77964487">
      <w:pPr>
        <w:spacing w:line="360" w:lineRule="auto"/>
        <w:ind w:left="420" w:leftChars="200"/>
        <w:rPr>
          <w:rFonts w:hint="eastAsia"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5ACFD88A">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（1）供应商在提交响应文件截止时间后撤回响应文件的；</w:t>
      </w:r>
    </w:p>
    <w:p w14:paraId="72B31CBE">
      <w:pPr>
        <w:spacing w:line="360" w:lineRule="auto"/>
        <w:ind w:left="420" w:leftChars="200"/>
        <w:rPr>
          <w:rFonts w:hint="eastAsia" w:ascii="宋体" w:hAnsi="宋体" w:cs="宋体"/>
          <w:color w:val="auto"/>
          <w:szCs w:val="21"/>
        </w:rPr>
      </w:pPr>
      <w:r>
        <w:rPr>
          <w:rFonts w:hint="eastAsia" w:ascii="宋体" w:hAnsi="宋体"/>
          <w:color w:val="auto"/>
          <w:szCs w:val="21"/>
        </w:rPr>
        <w:t>（2）未按规定提交履约保证金的；</w:t>
      </w:r>
    </w:p>
    <w:p w14:paraId="5C629377">
      <w:pPr>
        <w:spacing w:line="360" w:lineRule="auto"/>
        <w:ind w:left="420" w:leftChars="200"/>
        <w:rPr>
          <w:rFonts w:hint="eastAsia" w:ascii="宋体" w:hAnsi="宋体" w:cs="宋体"/>
          <w:color w:val="auto"/>
          <w:szCs w:val="21"/>
        </w:rPr>
      </w:pPr>
      <w:r>
        <w:rPr>
          <w:rFonts w:hint="eastAsia" w:ascii="宋体" w:hAnsi="宋体" w:cs="宋体"/>
          <w:color w:val="auto"/>
          <w:szCs w:val="21"/>
        </w:rPr>
        <w:t>（3）供应商在响应文件中提供虚假材料的；</w:t>
      </w:r>
    </w:p>
    <w:p w14:paraId="4CC032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045FD112">
      <w:pPr>
        <w:spacing w:line="360" w:lineRule="auto"/>
        <w:ind w:left="420" w:leftChars="200"/>
        <w:rPr>
          <w:rFonts w:hint="eastAsia" w:ascii="宋体" w:hAnsi="宋体" w:cs="宋体"/>
          <w:color w:val="auto"/>
          <w:szCs w:val="21"/>
        </w:rPr>
      </w:pPr>
      <w:r>
        <w:rPr>
          <w:rFonts w:hint="eastAsia" w:ascii="宋体" w:hAnsi="宋体" w:cs="宋体"/>
          <w:color w:val="auto"/>
          <w:szCs w:val="21"/>
        </w:rPr>
        <w:t>（5）供应商与采购人、其他供应商或者采购代理机构恶意串通的；</w:t>
      </w:r>
    </w:p>
    <w:p w14:paraId="6AE45975">
      <w:pPr>
        <w:spacing w:line="360" w:lineRule="auto"/>
        <w:ind w:left="420" w:leftChars="200"/>
        <w:rPr>
          <w:rFonts w:hint="eastAsia" w:ascii="宋体" w:hAnsi="宋体" w:cs="宋体"/>
          <w:color w:val="auto"/>
          <w:szCs w:val="21"/>
        </w:rPr>
      </w:pPr>
      <w:r>
        <w:rPr>
          <w:rFonts w:hint="eastAsia" w:ascii="宋体" w:hAnsi="宋体" w:cs="宋体"/>
          <w:color w:val="auto"/>
          <w:szCs w:val="21"/>
        </w:rPr>
        <w:t>（6）法律法规规定的其他情形。</w:t>
      </w:r>
    </w:p>
    <w:p w14:paraId="5548C70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18.响应文件编制的要求</w:t>
      </w:r>
    </w:p>
    <w:p w14:paraId="640741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056CEC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3EAB0A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w:t>
      </w:r>
      <w:r>
        <w:rPr>
          <w:rFonts w:hint="eastAsia" w:ascii="宋体" w:hAnsi="宋体" w:cs="宋体"/>
          <w:b/>
          <w:bCs/>
          <w:color w:val="auto"/>
          <w:szCs w:val="21"/>
        </w:rPr>
        <w:t>，否则按无效响应处理。</w:t>
      </w:r>
    </w:p>
    <w:p w14:paraId="42C639A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w:t>
      </w:r>
      <w:r>
        <w:rPr>
          <w:rFonts w:hint="eastAsia" w:ascii="宋体" w:hAnsi="宋体"/>
          <w:b/>
          <w:color w:val="auto"/>
          <w:szCs w:val="21"/>
        </w:rPr>
        <w:t>并与广西政府采购云平台中获取采购文件的供应商名称一致，</w:t>
      </w:r>
      <w:r>
        <w:rPr>
          <w:rFonts w:hint="eastAsia" w:ascii="宋体" w:hAnsi="宋体" w:cs="宋体"/>
          <w:color w:val="auto"/>
          <w:szCs w:val="21"/>
        </w:rPr>
        <w:t>供应商为自然人的，标注的供应商名称应与身份证姓名及签名一致</w:t>
      </w:r>
      <w:r>
        <w:rPr>
          <w:rFonts w:hint="eastAsia" w:ascii="宋体" w:hAnsi="宋体" w:cs="宋体"/>
          <w:b/>
          <w:bCs/>
          <w:color w:val="auto"/>
          <w:szCs w:val="21"/>
        </w:rPr>
        <w:t>，否则其响应文件按无效响应处理。</w:t>
      </w:r>
    </w:p>
    <w:p w14:paraId="499EF0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18D501E">
      <w:pPr>
        <w:spacing w:line="360" w:lineRule="auto"/>
        <w:ind w:firstLine="482" w:firstLineChars="200"/>
        <w:rPr>
          <w:rFonts w:hint="eastAsia"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55478C8D">
      <w:pPr>
        <w:spacing w:line="360" w:lineRule="auto"/>
        <w:ind w:firstLine="420" w:firstLineChars="200"/>
        <w:rPr>
          <w:rFonts w:hint="eastAsia" w:ascii="宋体" w:hAnsi="宋体" w:cs="宋体"/>
          <w:color w:val="auto"/>
          <w:szCs w:val="21"/>
        </w:rPr>
      </w:pPr>
      <w:r>
        <w:rPr>
          <w:rFonts w:hint="eastAsia"/>
          <w:color w:val="auto"/>
        </w:rPr>
        <w:t>电子备份响应文件是指通过在线编制生成且后缀名为“</w:t>
      </w:r>
      <w:r>
        <w:rPr>
          <w:color w:val="auto"/>
        </w:rPr>
        <w:t>bfbs</w:t>
      </w:r>
      <w:r>
        <w:rPr>
          <w:rFonts w:hint="eastAsia"/>
          <w:color w:val="auto"/>
        </w:rPr>
        <w:t>”的文件，是否接受电子备份响应文件</w:t>
      </w:r>
      <w:r>
        <w:rPr>
          <w:rFonts w:hint="eastAsia" w:hAnsi="宋体"/>
          <w:bCs/>
          <w:color w:val="auto"/>
          <w:szCs w:val="21"/>
        </w:rPr>
        <w:t>详见“供应商须知前附表”。</w:t>
      </w:r>
    </w:p>
    <w:p w14:paraId="34E7EE9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20.响应文件的提交</w:t>
      </w:r>
    </w:p>
    <w:p w14:paraId="40B8E9E0">
      <w:pPr>
        <w:spacing w:line="360" w:lineRule="auto"/>
        <w:ind w:firstLine="420" w:firstLineChars="200"/>
        <w:rPr>
          <w:rFonts w:hint="eastAsia"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p>
    <w:p w14:paraId="10F11A1C">
      <w:pPr>
        <w:spacing w:line="360" w:lineRule="auto"/>
        <w:ind w:firstLine="422" w:firstLineChars="200"/>
        <w:rPr>
          <w:rFonts w:hint="eastAsia" w:ascii="宋体" w:hAnsi="宋体" w:cs="宋体"/>
          <w:color w:val="auto"/>
          <w:szCs w:val="21"/>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未在规定时间内提交或者未按照磋商文件要求加密的电子响应文件，广西政府采购云平台将拒收。</w:t>
      </w:r>
    </w:p>
    <w:p w14:paraId="0C834E9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246A7CA1">
      <w:pPr>
        <w:snapToGrid w:val="0"/>
        <w:spacing w:line="360" w:lineRule="auto"/>
        <w:ind w:firstLine="420"/>
        <w:jc w:val="left"/>
        <w:rPr>
          <w:rFonts w:hint="eastAsia" w:ascii="宋体" w:hAnsi="宋体"/>
          <w:color w:val="auto"/>
          <w:szCs w:val="21"/>
        </w:rPr>
      </w:pPr>
      <w:bookmarkStart w:id="65" w:name="_Toc254970543"/>
      <w:bookmarkStart w:id="66" w:name="_Toc254970684"/>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bookmarkEnd w:id="65"/>
    <w:bookmarkEnd w:id="66"/>
    <w:p w14:paraId="243BDF71">
      <w:pPr>
        <w:pStyle w:val="67"/>
        <w:spacing w:before="0"/>
        <w:ind w:firstLine="420"/>
        <w:rPr>
          <w:rFonts w:hint="eastAsia"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27F7B94F">
      <w:pPr>
        <w:spacing w:line="360" w:lineRule="auto"/>
        <w:ind w:firstLine="482" w:firstLineChars="200"/>
        <w:rPr>
          <w:rFonts w:hint="eastAsia" w:ascii="黑体" w:hAnsi="黑体" w:eastAsia="黑体" w:cs="宋体"/>
          <w:b/>
          <w:bCs/>
          <w:color w:val="auto"/>
          <w:sz w:val="24"/>
        </w:rPr>
      </w:pPr>
      <w:bookmarkStart w:id="67" w:name="_Hlk45702405"/>
      <w:r>
        <w:rPr>
          <w:rFonts w:hint="eastAsia" w:ascii="黑体" w:hAnsi="黑体" w:eastAsia="黑体" w:cs="宋体"/>
          <w:b/>
          <w:bCs/>
          <w:color w:val="auto"/>
          <w:sz w:val="24"/>
        </w:rPr>
        <w:t>22.响应文件的退回</w:t>
      </w:r>
    </w:p>
    <w:p w14:paraId="658CDB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采购人和采购代理机构对已提交的响应文件概不退回。</w:t>
      </w:r>
    </w:p>
    <w:p w14:paraId="67D0620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23.截止时间后的撤回</w:t>
      </w:r>
    </w:p>
    <w:p w14:paraId="404CA4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供应商在响应文件提交截止时间后向采购人、采购代理机构书面申请撤回响应文件的，将根据本须知正文17.4的规定不予退还其磋商保证金。</w:t>
      </w:r>
    </w:p>
    <w:bookmarkEnd w:id="67"/>
    <w:p w14:paraId="5759DC54">
      <w:pPr>
        <w:spacing w:line="360" w:lineRule="auto"/>
        <w:rPr>
          <w:rFonts w:hint="eastAsia" w:ascii="宋体" w:hAnsi="宋体"/>
          <w:color w:val="auto"/>
          <w:szCs w:val="21"/>
        </w:rPr>
      </w:pPr>
    </w:p>
    <w:p w14:paraId="2D665649">
      <w:pPr>
        <w:spacing w:line="360" w:lineRule="auto"/>
        <w:ind w:left="420" w:firstLine="420"/>
        <w:jc w:val="center"/>
        <w:rPr>
          <w:rFonts w:hint="eastAsia" w:ascii="宋体" w:hAnsi="宋体"/>
          <w:b/>
          <w:bCs/>
          <w:color w:val="auto"/>
          <w:sz w:val="32"/>
          <w:szCs w:val="32"/>
        </w:rPr>
      </w:pPr>
      <w:r>
        <w:rPr>
          <w:rFonts w:hint="eastAsia" w:ascii="宋体" w:hAnsi="宋体"/>
          <w:b/>
          <w:bCs/>
          <w:color w:val="auto"/>
          <w:sz w:val="32"/>
          <w:szCs w:val="32"/>
        </w:rPr>
        <w:t>四、评审及磋商</w:t>
      </w:r>
    </w:p>
    <w:p w14:paraId="4A090B35">
      <w:pPr>
        <w:spacing w:line="360" w:lineRule="auto"/>
        <w:ind w:left="420" w:firstLine="420"/>
        <w:rPr>
          <w:rFonts w:hint="eastAsia" w:ascii="宋体" w:hAnsi="宋体"/>
          <w:color w:val="auto"/>
          <w:szCs w:val="21"/>
        </w:rPr>
      </w:pPr>
    </w:p>
    <w:p w14:paraId="57FFBE2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24.磋商小组成立</w:t>
      </w:r>
    </w:p>
    <w:p w14:paraId="092FC0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080A2D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711DD5">
      <w:pPr>
        <w:spacing w:line="360" w:lineRule="auto"/>
        <w:ind w:firstLine="420" w:firstLineChars="200"/>
        <w:rPr>
          <w:rFonts w:hint="eastAsia" w:hAnsi="宋体"/>
          <w:bCs/>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539230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24.4参加过采购项目前期咨询论证的专家，不得参加该采购项目的评审活动。</w:t>
      </w:r>
    </w:p>
    <w:p w14:paraId="2A601F1A">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4495EC08">
      <w:pPr>
        <w:spacing w:line="360" w:lineRule="auto"/>
        <w:ind w:firstLine="420" w:firstLineChars="200"/>
        <w:rPr>
          <w:rFonts w:hint="eastAsia"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468CC29A">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211263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598642CE">
      <w:pPr>
        <w:spacing w:line="360" w:lineRule="auto"/>
        <w:ind w:firstLine="420" w:firstLineChars="200"/>
        <w:rPr>
          <w:rFonts w:hint="eastAsia"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0EBDAEB5">
      <w:pP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 xml:space="preserve">6.3 </w:t>
      </w:r>
      <w:r>
        <w:rPr>
          <w:rFonts w:hint="eastAsia" w:ascii="宋体" w:hAnsi="宋体"/>
          <w:color w:val="auto"/>
          <w:szCs w:val="21"/>
        </w:rPr>
        <w:t>商务/技术要求允许负偏离的条款数详见“供应商须知前附表”。</w:t>
      </w:r>
    </w:p>
    <w:p w14:paraId="1DE40F60">
      <w:pPr>
        <w:spacing w:line="360" w:lineRule="auto"/>
        <w:ind w:firstLine="420" w:firstLineChars="200"/>
        <w:rPr>
          <w:rFonts w:hint="eastAsia" w:ascii="宋体" w:hAnsi="宋体"/>
          <w:color w:val="auto"/>
          <w:szCs w:val="21"/>
        </w:rPr>
      </w:pPr>
      <w:r>
        <w:rPr>
          <w:rFonts w:hint="eastAsia" w:ascii="宋体" w:hAnsi="宋体" w:cs="宋体"/>
          <w:color w:val="auto"/>
        </w:rPr>
        <w:t>26.</w:t>
      </w:r>
      <w:r>
        <w:rPr>
          <w:rFonts w:ascii="宋体" w:hAnsi="宋体" w:cs="宋体"/>
          <w:color w:val="auto"/>
        </w:rPr>
        <w:t>4</w:t>
      </w:r>
      <w:r>
        <w:rPr>
          <w:rFonts w:hint="eastAsia" w:ascii="宋体" w:hAnsi="宋体" w:cs="宋体"/>
          <w:color w:val="auto"/>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512EA380">
      <w:pPr>
        <w:spacing w:line="360" w:lineRule="auto"/>
        <w:ind w:firstLine="420" w:firstLineChars="200"/>
        <w:rPr>
          <w:rFonts w:hint="eastAsia" w:hAnsi="宋体"/>
          <w:color w:val="auto"/>
        </w:rPr>
      </w:pPr>
      <w:r>
        <w:rPr>
          <w:rFonts w:hint="eastAsia" w:ascii="宋体" w:hAnsi="宋体" w:cs="宋体"/>
          <w:color w:val="auto"/>
        </w:rPr>
        <w:t>2</w:t>
      </w:r>
      <w:r>
        <w:rPr>
          <w:rFonts w:ascii="宋体" w:hAnsi="宋体" w:cs="宋体"/>
          <w:color w:val="auto"/>
        </w:rPr>
        <w:t>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0543463D">
      <w:pPr>
        <w:spacing w:line="360" w:lineRule="auto"/>
        <w:ind w:firstLine="420" w:firstLineChars="200"/>
        <w:rPr>
          <w:rFonts w:hint="eastAsia" w:hAnsi="宋体"/>
          <w:color w:val="auto"/>
        </w:rPr>
      </w:pPr>
      <w:r>
        <w:rPr>
          <w:rFonts w:hint="eastAsia" w:hAnsi="宋体"/>
          <w:color w:val="auto"/>
        </w:rPr>
        <w:t xml:space="preserve">（1）电子交易平台发生故障而无法登录访问的； </w:t>
      </w:r>
    </w:p>
    <w:p w14:paraId="00EA3262">
      <w:pPr>
        <w:spacing w:line="360" w:lineRule="auto"/>
        <w:ind w:firstLine="420" w:firstLineChars="200"/>
        <w:rPr>
          <w:rFonts w:hint="eastAsia" w:hAnsi="宋体"/>
          <w:color w:val="auto"/>
        </w:rPr>
      </w:pPr>
      <w:r>
        <w:rPr>
          <w:rFonts w:hint="eastAsia" w:hAnsi="宋体"/>
          <w:color w:val="auto"/>
        </w:rPr>
        <w:t>（2）电子交易平台应用或数据库出现错误，不能进行正常操作的；</w:t>
      </w:r>
    </w:p>
    <w:p w14:paraId="339B9120">
      <w:pPr>
        <w:spacing w:line="360" w:lineRule="auto"/>
        <w:ind w:firstLine="420" w:firstLineChars="200"/>
        <w:rPr>
          <w:rFonts w:hint="eastAsia" w:hAnsi="宋体"/>
          <w:color w:val="auto"/>
        </w:rPr>
      </w:pPr>
      <w:r>
        <w:rPr>
          <w:rFonts w:hint="eastAsia" w:hAnsi="宋体"/>
          <w:color w:val="auto"/>
        </w:rPr>
        <w:t>（3）电子交易平台发现严重安全漏洞，有潜在泄密危险的；</w:t>
      </w:r>
    </w:p>
    <w:p w14:paraId="721B42F4">
      <w:pPr>
        <w:spacing w:line="360" w:lineRule="auto"/>
        <w:ind w:firstLine="420" w:firstLineChars="200"/>
        <w:rPr>
          <w:rFonts w:hint="eastAsia" w:hAnsi="宋体"/>
          <w:color w:val="auto"/>
        </w:rPr>
      </w:pPr>
      <w:r>
        <w:rPr>
          <w:rFonts w:hint="eastAsia" w:hAnsi="宋体"/>
          <w:color w:val="auto"/>
        </w:rPr>
        <w:t xml:space="preserve">（4）病毒发作导致不能进行正常操作的； </w:t>
      </w:r>
    </w:p>
    <w:p w14:paraId="1AE4772D">
      <w:pPr>
        <w:spacing w:line="360" w:lineRule="auto"/>
        <w:ind w:firstLine="420" w:firstLineChars="200"/>
        <w:rPr>
          <w:rFonts w:hint="eastAsia" w:hAnsi="宋体"/>
          <w:color w:val="auto"/>
        </w:rPr>
      </w:pPr>
      <w:r>
        <w:rPr>
          <w:rFonts w:hint="eastAsia" w:hAnsi="宋体"/>
          <w:color w:val="auto"/>
        </w:rPr>
        <w:t>（5）其他无法保证电子交易的公平、公正和安全的情况。</w:t>
      </w:r>
    </w:p>
    <w:p w14:paraId="49BCC433">
      <w:pPr>
        <w:spacing w:line="360" w:lineRule="auto"/>
        <w:ind w:firstLine="420" w:firstLineChars="200"/>
        <w:rPr>
          <w:rFonts w:hint="eastAsia" w:ascii="宋体" w:hAnsi="宋体" w:cs="宋体"/>
          <w:color w:val="auto"/>
          <w:szCs w:val="21"/>
        </w:rPr>
      </w:pPr>
      <w:r>
        <w:rPr>
          <w:rFonts w:hint="eastAsia" w:ascii="宋体" w:hAnsi="宋体"/>
          <w:color w:val="auto"/>
        </w:rPr>
        <w:t>26.</w:t>
      </w:r>
      <w:r>
        <w:rPr>
          <w:rFonts w:ascii="宋体" w:hAnsi="宋体"/>
          <w:color w:val="auto"/>
        </w:rPr>
        <w:t>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69BFC3F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7CCE136D">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8CC32FD">
      <w:pPr>
        <w:spacing w:line="360" w:lineRule="auto"/>
        <w:ind w:firstLine="420" w:firstLineChars="200"/>
        <w:rPr>
          <w:rFonts w:hint="eastAsia"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8"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68"/>
    </w:p>
    <w:p w14:paraId="1CCCC717">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14:paraId="76FE7327">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14:paraId="1A94890B">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（2）出现影响采购公正的违法、违规行为的；</w:t>
      </w:r>
    </w:p>
    <w:p w14:paraId="4F5A37CC">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14:paraId="531B6DEA">
      <w:pPr>
        <w:spacing w:line="360" w:lineRule="auto"/>
        <w:ind w:firstLine="420" w:firstLineChars="200"/>
        <w:rPr>
          <w:rFonts w:hint="eastAsia"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14:paraId="5E549DE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6F3B407F">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.1履约保证金的金额、提交方式、缴纳期限、退付的时间和条件详见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4F263934">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.2在履约保证金退还日期前，若成交供应商的开户名称、开户银行、账号有变动的，请以书面形式通知履约保证金收取单位，否则由此产生的后果由成交供应商自行承担。</w:t>
      </w:r>
    </w:p>
    <w:p w14:paraId="086D5D7B">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66A7E623">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5234BE3B">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4C72BE64">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29.2签订合同时间：按成交通知书规定的时间与采购人签订合同。</w:t>
      </w:r>
    </w:p>
    <w:p w14:paraId="68FEDDD0">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4906C73">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39D433C">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432904E7">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17ADDCED">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4011CC2">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39B8FB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8A25E3F">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58064305">
      <w:pPr>
        <w:pStyle w:val="6"/>
        <w:spacing w:line="360" w:lineRule="auto"/>
        <w:rPr>
          <w:rFonts w:hint="eastAsia"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0345F023">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2D1A0F9C">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5BD5A38C">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2DF01477">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6E4DF491">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FAC48A0">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F6AF5F8">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556B0EBF">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0721A58F">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30D90F34">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122916D5">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4D5DB428">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1ED54703">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771207D1">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09C2D2F1">
      <w:pPr>
        <w:spacing w:line="360" w:lineRule="auto"/>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12231E54">
      <w:pPr>
        <w:spacing w:line="360" w:lineRule="auto"/>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684F2786">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3FAC238F">
      <w:pPr>
        <w:spacing w:line="360" w:lineRule="auto"/>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9DD03A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3EE234A6">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w:t>
      </w:r>
      <w:r>
        <w:rPr>
          <w:rFonts w:hint="eastAsia"/>
          <w:color w:val="auto"/>
        </w:rPr>
        <w:t>费</w:t>
      </w:r>
      <w:r>
        <w:rPr>
          <w:rFonts w:hint="eastAsia" w:ascii="宋体" w:hAnsi="宋体" w:cs="宋体"/>
          <w:color w:val="auto"/>
          <w:szCs w:val="21"/>
        </w:rPr>
        <w:t>收取标准及缴费账户详见“供应商须知前附表”，供应商为联合体的，可以由联合体中的一方或者多方共同交纳代理服务费。</w:t>
      </w:r>
    </w:p>
    <w:p w14:paraId="070A9E5F">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tbl>
      <w:tblPr>
        <w:tblStyle w:val="25"/>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2D1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3D6A62BA">
            <w:pPr>
              <w:spacing w:line="360" w:lineRule="auto"/>
              <w:rPr>
                <w:rFonts w:hint="eastAsia" w:ascii="宋体" w:hAnsi="宋体" w:cs="宋体"/>
                <w:color w:val="auto"/>
                <w:szCs w:val="21"/>
              </w:rPr>
            </w:pPr>
            <w:r>
              <w:rPr>
                <w:rFonts w:hint="eastAsia" w:ascii="宋体" w:hAnsi="宋体" w:cs="宋体"/>
                <w:color w:val="auto"/>
                <w:szCs w:val="21"/>
              </w:rPr>
              <w:t xml:space="preserve">               费率</w:t>
            </w:r>
          </w:p>
          <w:p w14:paraId="355A4699">
            <w:pPr>
              <w:spacing w:line="360" w:lineRule="auto"/>
              <w:rPr>
                <w:rFonts w:hint="eastAsia" w:ascii="宋体" w:hAnsi="宋体" w:cs="宋体"/>
                <w:color w:val="auto"/>
                <w:szCs w:val="21"/>
              </w:rPr>
            </w:pPr>
            <w:r>
              <w:rPr>
                <w:rFonts w:hint="eastAsia" w:ascii="宋体" w:hAnsi="宋体" w:cs="宋体"/>
                <w:color w:val="auto"/>
                <w:szCs w:val="21"/>
              </w:rPr>
              <w:t>金额</w:t>
            </w:r>
          </w:p>
        </w:tc>
        <w:tc>
          <w:tcPr>
            <w:tcW w:w="1659" w:type="dxa"/>
            <w:noWrap/>
            <w:vAlign w:val="center"/>
          </w:tcPr>
          <w:p w14:paraId="63532AEE">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货物类</w:t>
            </w:r>
          </w:p>
        </w:tc>
        <w:tc>
          <w:tcPr>
            <w:tcW w:w="1532" w:type="dxa"/>
            <w:noWrap/>
            <w:vAlign w:val="center"/>
          </w:tcPr>
          <w:p w14:paraId="08A2D404">
            <w:pPr>
              <w:spacing w:line="360" w:lineRule="auto"/>
              <w:jc w:val="center"/>
              <w:rPr>
                <w:rFonts w:hint="eastAsia" w:ascii="宋体" w:hAnsi="宋体" w:cs="宋体"/>
                <w:color w:val="auto"/>
                <w:szCs w:val="21"/>
              </w:rPr>
            </w:pPr>
            <w:r>
              <w:rPr>
                <w:rFonts w:hint="eastAsia" w:ascii="宋体" w:hAnsi="宋体" w:cs="宋体"/>
                <w:color w:val="auto"/>
                <w:szCs w:val="21"/>
              </w:rPr>
              <w:t>服务类</w:t>
            </w:r>
          </w:p>
        </w:tc>
        <w:tc>
          <w:tcPr>
            <w:tcW w:w="1546" w:type="dxa"/>
            <w:noWrap/>
            <w:vAlign w:val="center"/>
          </w:tcPr>
          <w:p w14:paraId="69AC51FA">
            <w:pPr>
              <w:spacing w:line="360" w:lineRule="auto"/>
              <w:jc w:val="center"/>
              <w:rPr>
                <w:rFonts w:hint="eastAsia" w:ascii="宋体" w:hAnsi="宋体" w:cs="宋体"/>
                <w:color w:val="auto"/>
                <w:szCs w:val="21"/>
              </w:rPr>
            </w:pPr>
            <w:r>
              <w:rPr>
                <w:rFonts w:hint="eastAsia" w:ascii="宋体" w:hAnsi="宋体" w:cs="宋体"/>
                <w:color w:val="auto"/>
                <w:szCs w:val="21"/>
              </w:rPr>
              <w:t>工程类</w:t>
            </w:r>
          </w:p>
        </w:tc>
      </w:tr>
      <w:tr w14:paraId="6E30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54B9837">
            <w:pPr>
              <w:spacing w:line="360" w:lineRule="auto"/>
              <w:rPr>
                <w:rFonts w:hint="eastAsia" w:ascii="宋体" w:hAnsi="宋体" w:cs="宋体"/>
                <w:color w:val="auto"/>
                <w:szCs w:val="21"/>
              </w:rPr>
            </w:pPr>
            <w:r>
              <w:rPr>
                <w:rFonts w:hint="eastAsia" w:ascii="宋体" w:hAnsi="宋体" w:cs="宋体"/>
                <w:color w:val="auto"/>
                <w:szCs w:val="21"/>
              </w:rPr>
              <w:t>100万元以下</w:t>
            </w:r>
          </w:p>
        </w:tc>
        <w:tc>
          <w:tcPr>
            <w:tcW w:w="1659" w:type="dxa"/>
            <w:noWrap/>
          </w:tcPr>
          <w:p w14:paraId="101B2317">
            <w:pPr>
              <w:spacing w:line="360" w:lineRule="auto"/>
              <w:rPr>
                <w:rFonts w:hint="eastAsia" w:ascii="宋体" w:hAnsi="宋体" w:cs="宋体"/>
                <w:color w:val="auto"/>
                <w:szCs w:val="21"/>
              </w:rPr>
            </w:pPr>
            <w:r>
              <w:rPr>
                <w:rFonts w:hint="eastAsia" w:ascii="宋体" w:hAnsi="宋体" w:cs="宋体"/>
                <w:color w:val="auto"/>
                <w:kern w:val="0"/>
                <w:szCs w:val="21"/>
              </w:rPr>
              <w:t xml:space="preserve">  1.5%                </w:t>
            </w:r>
          </w:p>
        </w:tc>
        <w:tc>
          <w:tcPr>
            <w:tcW w:w="1532" w:type="dxa"/>
            <w:noWrap/>
          </w:tcPr>
          <w:p w14:paraId="7C1DEA2A">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1.5%</w:t>
            </w:r>
          </w:p>
        </w:tc>
        <w:tc>
          <w:tcPr>
            <w:tcW w:w="1546" w:type="dxa"/>
            <w:noWrap/>
          </w:tcPr>
          <w:p w14:paraId="22AD5208">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1.0% </w:t>
            </w:r>
          </w:p>
        </w:tc>
      </w:tr>
      <w:tr w14:paraId="7E87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1E7B7DA">
            <w:pPr>
              <w:spacing w:line="360" w:lineRule="auto"/>
              <w:rPr>
                <w:rFonts w:hint="eastAsia" w:ascii="宋体" w:hAnsi="宋体" w:cs="宋体"/>
                <w:color w:val="auto"/>
                <w:szCs w:val="21"/>
              </w:rPr>
            </w:pPr>
            <w:r>
              <w:rPr>
                <w:rFonts w:hint="eastAsia" w:ascii="宋体" w:hAnsi="宋体" w:cs="宋体"/>
                <w:color w:val="auto"/>
                <w:szCs w:val="21"/>
              </w:rPr>
              <w:t>100万～500万元</w:t>
            </w:r>
          </w:p>
        </w:tc>
        <w:tc>
          <w:tcPr>
            <w:tcW w:w="1659" w:type="dxa"/>
            <w:noWrap/>
          </w:tcPr>
          <w:p w14:paraId="11850B6D">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1.1%                 </w:t>
            </w:r>
          </w:p>
        </w:tc>
        <w:tc>
          <w:tcPr>
            <w:tcW w:w="1532" w:type="dxa"/>
            <w:noWrap/>
          </w:tcPr>
          <w:p w14:paraId="38141749">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0.8%</w:t>
            </w:r>
          </w:p>
        </w:tc>
        <w:tc>
          <w:tcPr>
            <w:tcW w:w="1546" w:type="dxa"/>
            <w:noWrap/>
          </w:tcPr>
          <w:p w14:paraId="75CE1851">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0.7% </w:t>
            </w:r>
          </w:p>
        </w:tc>
      </w:tr>
      <w:tr w14:paraId="3F4D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E0CD522">
            <w:pPr>
              <w:spacing w:line="360" w:lineRule="auto"/>
              <w:rPr>
                <w:rFonts w:hint="eastAsia" w:ascii="宋体" w:hAnsi="宋体" w:cs="宋体"/>
                <w:color w:val="auto"/>
                <w:szCs w:val="21"/>
              </w:rPr>
            </w:pPr>
            <w:r>
              <w:rPr>
                <w:rFonts w:hint="eastAsia" w:ascii="宋体" w:hAnsi="宋体" w:cs="宋体"/>
                <w:color w:val="auto"/>
                <w:szCs w:val="21"/>
              </w:rPr>
              <w:t>500万～1000万元</w:t>
            </w:r>
          </w:p>
        </w:tc>
        <w:tc>
          <w:tcPr>
            <w:tcW w:w="1659" w:type="dxa"/>
            <w:noWrap/>
          </w:tcPr>
          <w:p w14:paraId="0D595332">
            <w:pPr>
              <w:spacing w:line="360" w:lineRule="auto"/>
              <w:rPr>
                <w:rFonts w:hint="eastAsia" w:ascii="宋体" w:hAnsi="宋体" w:cs="宋体"/>
                <w:color w:val="auto"/>
                <w:szCs w:val="21"/>
              </w:rPr>
            </w:pPr>
            <w:r>
              <w:rPr>
                <w:rFonts w:hint="eastAsia" w:ascii="宋体" w:hAnsi="宋体" w:cs="宋体"/>
                <w:color w:val="auto"/>
                <w:kern w:val="0"/>
                <w:szCs w:val="21"/>
              </w:rPr>
              <w:t xml:space="preserve">  0.8%                </w:t>
            </w:r>
          </w:p>
        </w:tc>
        <w:tc>
          <w:tcPr>
            <w:tcW w:w="1532" w:type="dxa"/>
            <w:noWrap/>
          </w:tcPr>
          <w:p w14:paraId="36D95079">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0.45%</w:t>
            </w:r>
          </w:p>
        </w:tc>
        <w:tc>
          <w:tcPr>
            <w:tcW w:w="1546" w:type="dxa"/>
            <w:noWrap/>
          </w:tcPr>
          <w:p w14:paraId="49F10B59">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0.55%</w:t>
            </w:r>
          </w:p>
        </w:tc>
      </w:tr>
      <w:tr w14:paraId="0C72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0D59F0B5">
            <w:pPr>
              <w:spacing w:line="360" w:lineRule="auto"/>
              <w:rPr>
                <w:rFonts w:hint="eastAsia" w:ascii="宋体" w:hAnsi="宋体" w:cs="宋体"/>
                <w:color w:val="auto"/>
                <w:szCs w:val="21"/>
              </w:rPr>
            </w:pPr>
            <w:r>
              <w:rPr>
                <w:rFonts w:hint="eastAsia" w:ascii="宋体" w:hAnsi="宋体" w:cs="宋体"/>
                <w:color w:val="auto"/>
                <w:szCs w:val="21"/>
              </w:rPr>
              <w:t>1000万～5000万元</w:t>
            </w:r>
          </w:p>
        </w:tc>
        <w:tc>
          <w:tcPr>
            <w:tcW w:w="1659" w:type="dxa"/>
            <w:noWrap/>
          </w:tcPr>
          <w:p w14:paraId="4E73F55E">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0.5%                </w:t>
            </w:r>
          </w:p>
        </w:tc>
        <w:tc>
          <w:tcPr>
            <w:tcW w:w="1532" w:type="dxa"/>
            <w:noWrap/>
          </w:tcPr>
          <w:p w14:paraId="5198F808">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0.25%</w:t>
            </w:r>
          </w:p>
        </w:tc>
        <w:tc>
          <w:tcPr>
            <w:tcW w:w="1546" w:type="dxa"/>
            <w:noWrap/>
          </w:tcPr>
          <w:p w14:paraId="74701F6C">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0.35% </w:t>
            </w:r>
          </w:p>
        </w:tc>
      </w:tr>
      <w:tr w14:paraId="57BC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CFC0BAE">
            <w:pPr>
              <w:spacing w:line="360" w:lineRule="auto"/>
              <w:rPr>
                <w:rFonts w:hint="eastAsia" w:ascii="宋体" w:hAnsi="宋体" w:cs="宋体"/>
                <w:color w:val="auto"/>
                <w:szCs w:val="21"/>
              </w:rPr>
            </w:pPr>
            <w:r>
              <w:rPr>
                <w:rFonts w:hint="eastAsia" w:ascii="宋体" w:hAnsi="宋体" w:cs="宋体"/>
                <w:color w:val="auto"/>
                <w:szCs w:val="21"/>
              </w:rPr>
              <w:t>5000万元～1亿元</w:t>
            </w:r>
          </w:p>
        </w:tc>
        <w:tc>
          <w:tcPr>
            <w:tcW w:w="1659" w:type="dxa"/>
            <w:noWrap/>
          </w:tcPr>
          <w:p w14:paraId="0C58CCCF">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0.25%                 </w:t>
            </w:r>
          </w:p>
        </w:tc>
        <w:tc>
          <w:tcPr>
            <w:tcW w:w="1532" w:type="dxa"/>
            <w:noWrap/>
          </w:tcPr>
          <w:p w14:paraId="45B5D653">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0.1%</w:t>
            </w:r>
          </w:p>
        </w:tc>
        <w:tc>
          <w:tcPr>
            <w:tcW w:w="1546" w:type="dxa"/>
            <w:noWrap/>
          </w:tcPr>
          <w:p w14:paraId="6BEBFFAC">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w:t>
            </w:r>
          </w:p>
        </w:tc>
      </w:tr>
      <w:tr w14:paraId="1082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0076F83">
            <w:pPr>
              <w:spacing w:line="360" w:lineRule="auto"/>
              <w:rPr>
                <w:rFonts w:hint="eastAsia" w:ascii="宋体" w:hAnsi="宋体" w:cs="宋体"/>
                <w:color w:val="auto"/>
                <w:szCs w:val="21"/>
              </w:rPr>
            </w:pPr>
            <w:r>
              <w:rPr>
                <w:rFonts w:hint="eastAsia" w:ascii="宋体" w:hAnsi="宋体" w:cs="宋体"/>
                <w:color w:val="auto"/>
                <w:szCs w:val="21"/>
              </w:rPr>
              <w:t>1亿～5亿元</w:t>
            </w:r>
          </w:p>
        </w:tc>
        <w:tc>
          <w:tcPr>
            <w:tcW w:w="1659" w:type="dxa"/>
            <w:noWrap/>
          </w:tcPr>
          <w:p w14:paraId="684DECEC">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0.05%</w:t>
            </w:r>
          </w:p>
        </w:tc>
        <w:tc>
          <w:tcPr>
            <w:tcW w:w="1532" w:type="dxa"/>
            <w:noWrap/>
          </w:tcPr>
          <w:p w14:paraId="10870F26">
            <w:pPr>
              <w:spacing w:line="360" w:lineRule="auto"/>
              <w:rPr>
                <w:rFonts w:hint="eastAsia" w:ascii="宋体" w:hAnsi="宋体" w:cs="宋体"/>
                <w:color w:val="auto"/>
                <w:szCs w:val="21"/>
              </w:rPr>
            </w:pPr>
            <w:r>
              <w:rPr>
                <w:rFonts w:hint="eastAsia" w:ascii="宋体" w:hAnsi="宋体" w:cs="宋体"/>
                <w:color w:val="auto"/>
                <w:szCs w:val="21"/>
              </w:rPr>
              <w:t xml:space="preserve">  0.05%</w:t>
            </w:r>
          </w:p>
        </w:tc>
        <w:tc>
          <w:tcPr>
            <w:tcW w:w="1546" w:type="dxa"/>
            <w:noWrap/>
          </w:tcPr>
          <w:p w14:paraId="285CF07C">
            <w:pPr>
              <w:spacing w:line="360" w:lineRule="auto"/>
              <w:rPr>
                <w:rFonts w:hint="eastAsia" w:ascii="宋体" w:hAnsi="宋体" w:cs="宋体"/>
                <w:color w:val="auto"/>
                <w:szCs w:val="21"/>
              </w:rPr>
            </w:pPr>
            <w:r>
              <w:rPr>
                <w:rFonts w:hint="eastAsia" w:ascii="宋体" w:hAnsi="宋体" w:cs="宋体"/>
                <w:color w:val="auto"/>
                <w:szCs w:val="21"/>
              </w:rPr>
              <w:t xml:space="preserve">  0.05%</w:t>
            </w:r>
          </w:p>
        </w:tc>
      </w:tr>
      <w:tr w14:paraId="037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AF72016">
            <w:pPr>
              <w:spacing w:line="360" w:lineRule="auto"/>
              <w:rPr>
                <w:rFonts w:hint="eastAsia" w:ascii="宋体" w:hAnsi="宋体" w:cs="宋体"/>
                <w:color w:val="auto"/>
                <w:szCs w:val="21"/>
              </w:rPr>
            </w:pPr>
            <w:r>
              <w:rPr>
                <w:rFonts w:hint="eastAsia" w:ascii="宋体" w:hAnsi="宋体" w:cs="宋体"/>
                <w:color w:val="auto"/>
                <w:szCs w:val="21"/>
              </w:rPr>
              <w:t>5亿～10亿元</w:t>
            </w:r>
          </w:p>
        </w:tc>
        <w:tc>
          <w:tcPr>
            <w:tcW w:w="1659" w:type="dxa"/>
            <w:noWrap/>
          </w:tcPr>
          <w:p w14:paraId="7596E67F">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c>
          <w:tcPr>
            <w:tcW w:w="1532" w:type="dxa"/>
            <w:noWrap/>
          </w:tcPr>
          <w:p w14:paraId="391595BE">
            <w:pPr>
              <w:spacing w:line="360" w:lineRule="auto"/>
              <w:rPr>
                <w:rFonts w:hint="eastAsia" w:ascii="宋体" w:hAnsi="宋体" w:cs="宋体"/>
                <w:color w:val="auto"/>
                <w:szCs w:val="21"/>
              </w:rPr>
            </w:pPr>
            <w:r>
              <w:rPr>
                <w:rFonts w:hint="eastAsia" w:ascii="宋体" w:hAnsi="宋体" w:cs="宋体"/>
                <w:color w:val="auto"/>
                <w:szCs w:val="21"/>
              </w:rPr>
              <w:t xml:space="preserve">  0.035%</w:t>
            </w:r>
          </w:p>
        </w:tc>
        <w:tc>
          <w:tcPr>
            <w:tcW w:w="1546" w:type="dxa"/>
            <w:noWrap/>
          </w:tcPr>
          <w:p w14:paraId="0C1E5A64">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r>
      <w:tr w14:paraId="6F31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2A60B92">
            <w:pPr>
              <w:spacing w:line="360" w:lineRule="auto"/>
              <w:rPr>
                <w:rFonts w:hint="eastAsia" w:ascii="宋体" w:hAnsi="宋体" w:cs="宋体"/>
                <w:color w:val="auto"/>
                <w:szCs w:val="21"/>
              </w:rPr>
            </w:pPr>
            <w:r>
              <w:rPr>
                <w:rFonts w:hint="eastAsia" w:ascii="宋体" w:hAnsi="宋体" w:cs="宋体"/>
                <w:color w:val="auto"/>
                <w:szCs w:val="21"/>
              </w:rPr>
              <w:t>10亿～50亿元</w:t>
            </w:r>
          </w:p>
        </w:tc>
        <w:tc>
          <w:tcPr>
            <w:tcW w:w="1659" w:type="dxa"/>
            <w:noWrap/>
          </w:tcPr>
          <w:p w14:paraId="5716A1FA">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c>
          <w:tcPr>
            <w:tcW w:w="1532" w:type="dxa"/>
            <w:noWrap/>
          </w:tcPr>
          <w:p w14:paraId="1A50C7AB">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0.008%</w:t>
            </w:r>
          </w:p>
        </w:tc>
        <w:tc>
          <w:tcPr>
            <w:tcW w:w="1546" w:type="dxa"/>
            <w:noWrap/>
          </w:tcPr>
          <w:p w14:paraId="2808A86A">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r>
      <w:tr w14:paraId="62A7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0DF37AE">
            <w:pPr>
              <w:spacing w:line="360" w:lineRule="auto"/>
              <w:rPr>
                <w:rFonts w:hint="eastAsia" w:ascii="宋体" w:hAnsi="宋体" w:cs="宋体"/>
                <w:color w:val="auto"/>
                <w:szCs w:val="21"/>
              </w:rPr>
            </w:pPr>
            <w:r>
              <w:rPr>
                <w:rFonts w:hint="eastAsia" w:ascii="宋体" w:hAnsi="宋体" w:cs="宋体"/>
                <w:color w:val="auto"/>
                <w:szCs w:val="21"/>
              </w:rPr>
              <w:t>50亿～100亿元</w:t>
            </w:r>
          </w:p>
        </w:tc>
        <w:tc>
          <w:tcPr>
            <w:tcW w:w="1659" w:type="dxa"/>
            <w:noWrap/>
          </w:tcPr>
          <w:p w14:paraId="6E67E726">
            <w:pPr>
              <w:spacing w:line="360" w:lineRule="auto"/>
              <w:rPr>
                <w:rFonts w:hint="eastAsia" w:ascii="宋体" w:hAnsi="宋体" w:cs="宋体"/>
                <w:color w:val="auto"/>
                <w:szCs w:val="21"/>
              </w:rPr>
            </w:pPr>
            <w:r>
              <w:rPr>
                <w:rFonts w:hint="eastAsia" w:ascii="宋体" w:hAnsi="宋体" w:cs="宋体"/>
                <w:color w:val="auto"/>
                <w:szCs w:val="21"/>
              </w:rPr>
              <w:t xml:space="preserve"> 0.006%</w:t>
            </w:r>
          </w:p>
        </w:tc>
        <w:tc>
          <w:tcPr>
            <w:tcW w:w="1532" w:type="dxa"/>
            <w:noWrap/>
          </w:tcPr>
          <w:p w14:paraId="231B8DF3">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0.006%</w:t>
            </w:r>
          </w:p>
        </w:tc>
        <w:tc>
          <w:tcPr>
            <w:tcW w:w="1546" w:type="dxa"/>
            <w:noWrap/>
          </w:tcPr>
          <w:p w14:paraId="7321618A">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0.006%</w:t>
            </w:r>
          </w:p>
        </w:tc>
      </w:tr>
      <w:tr w14:paraId="27C4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noWrap/>
          </w:tcPr>
          <w:p w14:paraId="5EA8B7D0">
            <w:pPr>
              <w:spacing w:line="360" w:lineRule="auto"/>
              <w:rPr>
                <w:rFonts w:hint="eastAsia" w:ascii="宋体" w:hAnsi="宋体" w:cs="宋体"/>
                <w:color w:val="auto"/>
                <w:szCs w:val="21"/>
              </w:rPr>
            </w:pPr>
            <w:r>
              <w:rPr>
                <w:rFonts w:hint="eastAsia" w:ascii="宋体" w:hAnsi="宋体" w:cs="宋体"/>
                <w:color w:val="auto"/>
                <w:szCs w:val="21"/>
              </w:rPr>
              <w:t>100亿以上</w:t>
            </w:r>
          </w:p>
        </w:tc>
        <w:tc>
          <w:tcPr>
            <w:tcW w:w="1659" w:type="dxa"/>
            <w:noWrap/>
          </w:tcPr>
          <w:p w14:paraId="09A09250">
            <w:pPr>
              <w:spacing w:line="360" w:lineRule="auto"/>
              <w:rPr>
                <w:rFonts w:hint="eastAsia" w:ascii="宋体" w:hAnsi="宋体" w:cs="宋体"/>
                <w:color w:val="auto"/>
                <w:szCs w:val="21"/>
              </w:rPr>
            </w:pPr>
            <w:r>
              <w:rPr>
                <w:rFonts w:hint="eastAsia" w:ascii="宋体" w:hAnsi="宋体" w:cs="宋体"/>
                <w:color w:val="auto"/>
                <w:szCs w:val="21"/>
              </w:rPr>
              <w:t xml:space="preserve"> 0.004%</w:t>
            </w:r>
          </w:p>
        </w:tc>
        <w:tc>
          <w:tcPr>
            <w:tcW w:w="1532" w:type="dxa"/>
            <w:noWrap/>
          </w:tcPr>
          <w:p w14:paraId="7019C22E">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0.004%</w:t>
            </w:r>
          </w:p>
        </w:tc>
        <w:tc>
          <w:tcPr>
            <w:tcW w:w="1546" w:type="dxa"/>
            <w:noWrap/>
          </w:tcPr>
          <w:p w14:paraId="273B449E">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0.004%</w:t>
            </w:r>
          </w:p>
        </w:tc>
      </w:tr>
    </w:tbl>
    <w:p w14:paraId="288FA4FB">
      <w:pPr>
        <w:spacing w:line="360" w:lineRule="auto"/>
        <w:ind w:firstLine="420" w:firstLineChars="200"/>
        <w:rPr>
          <w:rFonts w:hint="eastAsia" w:ascii="宋体" w:hAnsi="宋体" w:cs="宋体"/>
          <w:color w:val="auto"/>
        </w:rPr>
      </w:pPr>
      <w:r>
        <w:rPr>
          <w:rFonts w:ascii="宋体" w:hAnsi="宋体" w:cs="宋体"/>
          <w:color w:val="auto"/>
        </w:rPr>
        <w:t>注：</w:t>
      </w:r>
    </w:p>
    <w:p w14:paraId="29B8EF00">
      <w:pPr>
        <w:spacing w:line="360" w:lineRule="auto"/>
        <w:ind w:firstLine="420" w:firstLineChars="200"/>
        <w:rPr>
          <w:rFonts w:hint="eastAsia"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36B5A738">
      <w:pPr>
        <w:spacing w:line="360" w:lineRule="auto"/>
        <w:ind w:firstLine="420" w:firstLineChars="200"/>
        <w:rPr>
          <w:rFonts w:hint="eastAsia"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71DCEF79">
      <w:pPr>
        <w:spacing w:line="360" w:lineRule="auto"/>
        <w:ind w:firstLine="420" w:firstLineChars="200"/>
        <w:rPr>
          <w:rFonts w:hint="eastAsia" w:ascii="宋体" w:hAnsi="宋体" w:cs="宋体"/>
          <w:color w:val="auto"/>
        </w:rPr>
      </w:pPr>
      <w:r>
        <w:rPr>
          <w:rFonts w:ascii="宋体" w:hAnsi="宋体" w:cs="宋体"/>
          <w:color w:val="auto"/>
        </w:rPr>
        <w:t>例如：某</w:t>
      </w:r>
      <w:r>
        <w:rPr>
          <w:rFonts w:hint="eastAsia" w:ascii="宋体" w:hAnsi="宋体" w:cs="宋体"/>
          <w:color w:val="auto"/>
        </w:rPr>
        <w:t>服务采购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43DBF6E2">
      <w:pPr>
        <w:spacing w:line="360" w:lineRule="auto"/>
        <w:ind w:firstLine="420" w:firstLineChars="200"/>
        <w:rPr>
          <w:rFonts w:hint="eastAsia" w:ascii="宋体" w:hAnsi="宋体" w:cs="宋体"/>
          <w:color w:val="auto"/>
        </w:rPr>
      </w:pPr>
      <w:r>
        <w:rPr>
          <w:rFonts w:ascii="宋体" w:hAnsi="宋体" w:cs="宋体"/>
          <w:color w:val="auto"/>
        </w:rPr>
        <w:t>100 万元 ×l.5 %＝ 1.5 万元</w:t>
      </w:r>
    </w:p>
    <w:p w14:paraId="689B14BD">
      <w:pPr>
        <w:spacing w:line="360" w:lineRule="auto"/>
        <w:ind w:firstLine="420" w:firstLineChars="200"/>
        <w:rPr>
          <w:rFonts w:hint="eastAsia" w:ascii="宋体" w:hAnsi="宋体" w:cs="宋体"/>
          <w:color w:val="auto"/>
        </w:rPr>
      </w:pPr>
      <w:r>
        <w:rPr>
          <w:rFonts w:ascii="宋体" w:hAnsi="宋体" w:cs="宋体"/>
          <w:color w:val="auto"/>
        </w:rPr>
        <w:t>（ 150 － 100 ）万元 ×0.8%＝ 0.4万元</w:t>
      </w:r>
    </w:p>
    <w:p w14:paraId="2077924B">
      <w:pPr>
        <w:spacing w:line="360" w:lineRule="auto"/>
        <w:ind w:firstLine="420" w:firstLineChars="200"/>
        <w:rPr>
          <w:rFonts w:hint="eastAsia" w:ascii="宋体" w:hAnsi="宋体" w:cs="宋体"/>
          <w:color w:val="auto"/>
        </w:rPr>
      </w:pPr>
      <w:r>
        <w:rPr>
          <w:rFonts w:ascii="宋体" w:hAnsi="宋体" w:cs="宋体"/>
          <w:color w:val="auto"/>
        </w:rPr>
        <w:t>合计收费＝ 1.5 ＋ 0.4＝ 1.9 万元</w:t>
      </w:r>
    </w:p>
    <w:p w14:paraId="263415D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3736EE10">
      <w:pPr>
        <w:pStyle w:val="16"/>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14:paraId="5157B98C">
      <w:pPr>
        <w:pStyle w:val="16"/>
        <w:spacing w:line="360" w:lineRule="auto"/>
        <w:ind w:firstLine="420" w:firstLineChars="200"/>
        <w:textAlignment w:val="center"/>
        <w:rPr>
          <w:rFonts w:hint="eastAsia" w:hAnsi="宋体" w:cs="宋体"/>
          <w:color w:val="auto"/>
          <w:kern w:val="2"/>
          <w:sz w:val="21"/>
        </w:rPr>
      </w:pPr>
      <w:r>
        <w:rPr>
          <w:rFonts w:hAnsi="宋体" w:cs="宋体"/>
          <w:color w:val="auto"/>
          <w:kern w:val="2"/>
          <w:sz w:val="21"/>
        </w:rPr>
        <w:t>33.2</w:t>
      </w:r>
      <w:r>
        <w:rPr>
          <w:rFonts w:hint="eastAsia" w:hAnsi="宋体" w:cs="宋体"/>
          <w:color w:val="auto"/>
          <w:kern w:val="2"/>
          <w:sz w:val="21"/>
        </w:rPr>
        <w:t xml:space="preserve"> 其他事项详见“供应商须知前附表”。</w:t>
      </w:r>
    </w:p>
    <w:p w14:paraId="2D76129E">
      <w:pPr>
        <w:pStyle w:val="16"/>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5B4FA50">
      <w:pPr>
        <w:pStyle w:val="16"/>
        <w:spacing w:line="360" w:lineRule="auto"/>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2AF38A68">
      <w:pPr>
        <w:pStyle w:val="16"/>
        <w:spacing w:line="360" w:lineRule="auto"/>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5C118C39">
      <w:pPr>
        <w:pStyle w:val="16"/>
        <w:spacing w:line="360" w:lineRule="auto"/>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283D5BBF">
      <w:pPr>
        <w:pStyle w:val="16"/>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4F57D96">
      <w:pPr>
        <w:pStyle w:val="16"/>
        <w:spacing w:line="360" w:lineRule="auto"/>
        <w:ind w:firstLine="420" w:firstLineChars="200"/>
        <w:textAlignment w:val="center"/>
        <w:rPr>
          <w:b/>
          <w:bCs/>
          <w:color w:val="auto"/>
          <w:sz w:val="18"/>
          <w:szCs w:val="18"/>
        </w:rPr>
      </w:pPr>
      <w:r>
        <w:rPr>
          <w:rFonts w:hint="eastAsia" w:hAnsi="宋体" w:cs="宋体"/>
          <w:color w:val="auto"/>
          <w:kern w:val="2"/>
          <w:sz w:val="21"/>
        </w:rPr>
        <w:t>依据本磋商文件规定享受扶持政策获得政府采购合同的，小微企业不得将合同分包给大中型企业，中型企业不得将合同分包给大型企业。</w:t>
      </w:r>
      <w:r>
        <w:rPr>
          <w:rFonts w:hAnsi="宋体"/>
          <w:b/>
          <w:color w:val="auto"/>
        </w:rPr>
        <w:br w:type="page"/>
      </w:r>
    </w:p>
    <w:p w14:paraId="68DFBD1B">
      <w:pPr>
        <w:pStyle w:val="16"/>
        <w:snapToGrid w:val="0"/>
        <w:spacing w:before="120" w:after="120"/>
        <w:rPr>
          <w:rFonts w:hint="eastAsia" w:hAnsi="宋体"/>
          <w:color w:val="auto"/>
        </w:rPr>
      </w:pPr>
    </w:p>
    <w:p w14:paraId="6A6697F0">
      <w:pPr>
        <w:pStyle w:val="2"/>
        <w:jc w:val="center"/>
        <w:rPr>
          <w:color w:val="auto"/>
        </w:rPr>
      </w:pPr>
      <w:bookmarkStart w:id="69" w:name="_Toc74323458"/>
      <w:r>
        <w:rPr>
          <w:rFonts w:hint="eastAsia"/>
          <w:color w:val="auto"/>
        </w:rPr>
        <w:t>第三章 采购需求</w:t>
      </w:r>
      <w:bookmarkEnd w:id="69"/>
    </w:p>
    <w:p w14:paraId="7CDFB7F0">
      <w:pPr>
        <w:spacing w:line="360" w:lineRule="auto"/>
        <w:jc w:val="left"/>
        <w:rPr>
          <w:rFonts w:hint="eastAsia" w:ascii="宋体" w:hAnsi="宋体" w:cs="宋体"/>
          <w:color w:val="auto"/>
          <w:szCs w:val="21"/>
        </w:rPr>
      </w:pPr>
      <w:r>
        <w:rPr>
          <w:rFonts w:hint="eastAsia" w:ascii="宋体" w:hAnsi="宋体" w:cs="宋体"/>
          <w:color w:val="auto"/>
          <w:szCs w:val="21"/>
        </w:rPr>
        <w:t>说明：</w:t>
      </w:r>
    </w:p>
    <w:p w14:paraId="2DA065A7">
      <w:pPr>
        <w:numPr>
          <w:ilvl w:val="0"/>
          <w:numId w:val="1"/>
        </w:numPr>
        <w:spacing w:line="360" w:lineRule="auto"/>
        <w:ind w:firstLine="420" w:firstLineChars="200"/>
        <w:jc w:val="left"/>
        <w:rPr>
          <w:color w:val="auto"/>
        </w:rPr>
      </w:pPr>
      <w:r>
        <w:rPr>
          <w:rFonts w:hint="eastAsia"/>
          <w:color w:val="auto"/>
        </w:rPr>
        <w:t>为落实政府采购政策需满足的要求</w:t>
      </w:r>
    </w:p>
    <w:p w14:paraId="7D688E0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14:paraId="2F1EBFD9">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 “实质性要求”是指采购需求中带“▲”的条款或者不能负偏离的条款或者已经指明不满足响应文件</w:t>
      </w:r>
      <w:r>
        <w:rPr>
          <w:rFonts w:hint="eastAsia"/>
          <w:color w:val="auto"/>
        </w:rPr>
        <w:t>按</w:t>
      </w:r>
      <w:r>
        <w:rPr>
          <w:rFonts w:hint="eastAsia" w:ascii="宋体" w:hAnsi="宋体" w:cs="宋体"/>
          <w:color w:val="auto"/>
          <w:szCs w:val="21"/>
        </w:rPr>
        <w:t>无效处理的条款。</w:t>
      </w:r>
    </w:p>
    <w:p w14:paraId="49B2BEF9">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695539CF">
      <w:pPr>
        <w:spacing w:line="360" w:lineRule="auto"/>
        <w:ind w:firstLine="308" w:firstLineChars="147"/>
        <w:jc w:val="left"/>
        <w:rPr>
          <w:rFonts w:hint="eastAsia" w:ascii="宋体" w:hAnsi="宋体" w:cs="宋体"/>
          <w:color w:val="auto"/>
          <w:szCs w:val="21"/>
        </w:rPr>
      </w:pPr>
      <w:r>
        <w:rPr>
          <w:rFonts w:hint="eastAsia" w:ascii="宋体" w:hAnsi="宋体" w:cs="宋体"/>
          <w:color w:val="auto"/>
          <w:szCs w:val="21"/>
        </w:rPr>
        <w:t>4.供应商必须自行为其竞标产品侵犯他人的知识产权或者专利成果的行为承担相应法律责任。</w:t>
      </w:r>
    </w:p>
    <w:p w14:paraId="0597B4DC">
      <w:pPr>
        <w:spacing w:line="360" w:lineRule="auto"/>
        <w:ind w:firstLine="310" w:firstLineChars="147"/>
        <w:jc w:val="left"/>
        <w:rPr>
          <w:rFonts w:hint="eastAsia" w:ascii="宋体" w:hAnsi="宋体"/>
          <w:b/>
          <w:color w:val="auto"/>
          <w:szCs w:val="21"/>
          <w:u w:val="single"/>
        </w:rPr>
      </w:pPr>
      <w:r>
        <w:rPr>
          <w:rFonts w:hint="eastAsia" w:ascii="宋体" w:hAnsi="宋体"/>
          <w:b/>
          <w:color w:val="auto"/>
          <w:szCs w:val="21"/>
        </w:rPr>
        <w:t>采购预算：</w:t>
      </w:r>
      <w:r>
        <w:rPr>
          <w:rFonts w:hint="eastAsia" w:ascii="宋体" w:hAnsi="宋体"/>
          <w:b/>
          <w:color w:val="auto"/>
          <w:szCs w:val="21"/>
          <w:u w:val="single"/>
        </w:rPr>
        <w:t>97万元，</w:t>
      </w:r>
    </w:p>
    <w:p w14:paraId="28021CA9">
      <w:pPr>
        <w:spacing w:line="360" w:lineRule="auto"/>
        <w:ind w:firstLine="424" w:firstLineChars="202"/>
        <w:jc w:val="left"/>
        <w:rPr>
          <w:rFonts w:hint="eastAsia" w:ascii="宋体" w:hAnsi="宋体" w:cs="宋体"/>
          <w:color w:val="auto"/>
          <w:szCs w:val="21"/>
        </w:rPr>
      </w:pPr>
      <w:r>
        <w:rPr>
          <w:rFonts w:ascii="宋体" w:hAnsi="宋体" w:cs="宋体"/>
          <w:color w:val="auto"/>
          <w:szCs w:val="21"/>
        </w:rPr>
        <w:t>最高限价（如有）</w:t>
      </w:r>
      <w:r>
        <w:rPr>
          <w:rFonts w:hint="eastAsia" w:ascii="宋体" w:hAnsi="宋体" w:cs="宋体"/>
          <w:color w:val="auto"/>
          <w:szCs w:val="21"/>
        </w:rPr>
        <w:t>：</w:t>
      </w:r>
      <w:r>
        <w:rPr>
          <w:rFonts w:ascii="宋体" w:hAnsi="宋体" w:cs="宋体"/>
          <w:color w:val="auto"/>
          <w:szCs w:val="21"/>
        </w:rPr>
        <w:t>97 万元</w:t>
      </w:r>
    </w:p>
    <w:tbl>
      <w:tblPr>
        <w:tblStyle w:val="2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1332"/>
        <w:gridCol w:w="67"/>
        <w:gridCol w:w="781"/>
        <w:gridCol w:w="847"/>
        <w:gridCol w:w="4852"/>
      </w:tblGrid>
      <w:tr w14:paraId="16C22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3" w:type="dxa"/>
            <w:vAlign w:val="center"/>
          </w:tcPr>
          <w:p w14:paraId="741256D5">
            <w:pPr>
              <w:spacing w:line="360" w:lineRule="auto"/>
              <w:jc w:val="center"/>
              <w:rPr>
                <w:rFonts w:hint="eastAsia" w:ascii="宋体" w:hAnsi="宋体" w:cs="宋体"/>
                <w:b/>
                <w:color w:val="auto"/>
                <w:szCs w:val="21"/>
              </w:rPr>
            </w:pPr>
            <w:r>
              <w:rPr>
                <w:rFonts w:hint="eastAsia" w:ascii="宋体" w:hAnsi="宋体" w:cs="宋体"/>
                <w:b/>
                <w:color w:val="auto"/>
                <w:szCs w:val="21"/>
              </w:rPr>
              <w:t>序号</w:t>
            </w:r>
          </w:p>
        </w:tc>
        <w:tc>
          <w:tcPr>
            <w:tcW w:w="1332" w:type="dxa"/>
            <w:vAlign w:val="center"/>
          </w:tcPr>
          <w:p w14:paraId="7E9A289B">
            <w:pPr>
              <w:spacing w:line="360" w:lineRule="auto"/>
              <w:jc w:val="center"/>
              <w:rPr>
                <w:rFonts w:hint="eastAsia" w:ascii="宋体" w:hAnsi="宋体" w:cs="宋体"/>
                <w:b/>
                <w:color w:val="auto"/>
                <w:szCs w:val="21"/>
              </w:rPr>
            </w:pPr>
            <w:r>
              <w:rPr>
                <w:rFonts w:hint="eastAsia" w:ascii="宋体" w:hAnsi="宋体" w:cs="宋体"/>
                <w:b/>
                <w:color w:val="auto"/>
                <w:szCs w:val="21"/>
              </w:rPr>
              <w:t>标的的名称</w:t>
            </w:r>
          </w:p>
        </w:tc>
        <w:tc>
          <w:tcPr>
            <w:tcW w:w="848" w:type="dxa"/>
            <w:gridSpan w:val="2"/>
            <w:tcBorders>
              <w:right w:val="single" w:color="auto" w:sz="4" w:space="0"/>
            </w:tcBorders>
            <w:vAlign w:val="center"/>
          </w:tcPr>
          <w:p w14:paraId="7B14ACA1">
            <w:pPr>
              <w:spacing w:line="360" w:lineRule="auto"/>
              <w:jc w:val="center"/>
              <w:rPr>
                <w:rFonts w:hint="eastAsia" w:ascii="宋体" w:hAnsi="宋体" w:cs="宋体"/>
                <w:b/>
                <w:color w:val="auto"/>
                <w:szCs w:val="21"/>
              </w:rPr>
            </w:pPr>
            <w:r>
              <w:rPr>
                <w:rFonts w:hint="eastAsia" w:ascii="宋体" w:hAnsi="宋体" w:cs="宋体"/>
                <w:b/>
                <w:color w:val="auto"/>
                <w:szCs w:val="21"/>
              </w:rPr>
              <w:t>所属行业</w:t>
            </w:r>
          </w:p>
        </w:tc>
        <w:tc>
          <w:tcPr>
            <w:tcW w:w="847" w:type="dxa"/>
            <w:tcBorders>
              <w:right w:val="single" w:color="auto" w:sz="4" w:space="0"/>
            </w:tcBorders>
            <w:vAlign w:val="center"/>
          </w:tcPr>
          <w:p w14:paraId="632F9319">
            <w:pPr>
              <w:spacing w:line="360" w:lineRule="auto"/>
              <w:jc w:val="center"/>
              <w:rPr>
                <w:rFonts w:hint="eastAsia" w:ascii="宋体" w:hAnsi="宋体" w:cs="宋体"/>
                <w:b/>
                <w:color w:val="auto"/>
                <w:szCs w:val="21"/>
              </w:rPr>
            </w:pPr>
            <w:r>
              <w:rPr>
                <w:rFonts w:hint="eastAsia" w:ascii="宋体" w:hAnsi="宋体" w:cs="宋体"/>
                <w:b/>
                <w:color w:val="auto"/>
                <w:szCs w:val="21"/>
              </w:rPr>
              <w:t>数量及单位</w:t>
            </w:r>
          </w:p>
        </w:tc>
        <w:tc>
          <w:tcPr>
            <w:tcW w:w="4852" w:type="dxa"/>
            <w:tcBorders>
              <w:left w:val="single" w:color="auto" w:sz="4" w:space="0"/>
            </w:tcBorders>
            <w:vAlign w:val="center"/>
          </w:tcPr>
          <w:p w14:paraId="332B149A">
            <w:pPr>
              <w:spacing w:line="360" w:lineRule="auto"/>
              <w:jc w:val="center"/>
              <w:rPr>
                <w:rFonts w:hint="eastAsia" w:ascii="宋体" w:hAnsi="宋体" w:cs="宋体"/>
                <w:b/>
                <w:color w:val="auto"/>
                <w:szCs w:val="21"/>
              </w:rPr>
            </w:pPr>
            <w:r>
              <w:rPr>
                <w:rFonts w:hint="eastAsia" w:ascii="宋体" w:hAnsi="宋体" w:cs="宋体"/>
                <w:b/>
                <w:color w:val="auto"/>
                <w:szCs w:val="21"/>
              </w:rPr>
              <w:t>▲技术要求</w:t>
            </w:r>
          </w:p>
        </w:tc>
      </w:tr>
      <w:tr w14:paraId="55B7B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vAlign w:val="center"/>
          </w:tcPr>
          <w:p w14:paraId="3286E2FF">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332" w:type="dxa"/>
            <w:vAlign w:val="center"/>
          </w:tcPr>
          <w:p w14:paraId="7BBF132B">
            <w:pPr>
              <w:spacing w:line="360" w:lineRule="auto"/>
              <w:jc w:val="center"/>
              <w:rPr>
                <w:rFonts w:hint="eastAsia" w:ascii="宋体" w:hAnsi="宋体" w:cs="宋体"/>
                <w:color w:val="auto"/>
                <w:szCs w:val="21"/>
              </w:rPr>
            </w:pPr>
            <w:r>
              <w:rPr>
                <w:rFonts w:hint="eastAsia" w:ascii="宋体" w:hAnsi="宋体" w:cs="宋体"/>
                <w:color w:val="auto"/>
                <w:szCs w:val="21"/>
              </w:rPr>
              <w:t>照明系统节能改造技术服务</w:t>
            </w:r>
          </w:p>
        </w:tc>
        <w:tc>
          <w:tcPr>
            <w:tcW w:w="848" w:type="dxa"/>
            <w:gridSpan w:val="2"/>
            <w:tcBorders>
              <w:right w:val="single" w:color="auto" w:sz="4" w:space="0"/>
            </w:tcBorders>
            <w:vAlign w:val="center"/>
          </w:tcPr>
          <w:p w14:paraId="6C4F6436">
            <w:pPr>
              <w:spacing w:line="360" w:lineRule="auto"/>
              <w:jc w:val="center"/>
              <w:rPr>
                <w:rFonts w:hint="eastAsia" w:ascii="宋体" w:hAnsi="宋体" w:cs="宋体"/>
                <w:color w:val="auto"/>
                <w:szCs w:val="21"/>
              </w:rPr>
            </w:pPr>
            <w:r>
              <w:rPr>
                <w:rFonts w:hint="eastAsia" w:ascii="宋体" w:hAnsi="宋体" w:cs="宋体"/>
                <w:color w:val="auto"/>
                <w:szCs w:val="21"/>
              </w:rPr>
              <w:t>其他未列明行业</w:t>
            </w:r>
          </w:p>
        </w:tc>
        <w:tc>
          <w:tcPr>
            <w:tcW w:w="847" w:type="dxa"/>
            <w:tcBorders>
              <w:right w:val="single" w:color="auto" w:sz="4" w:space="0"/>
            </w:tcBorders>
            <w:vAlign w:val="center"/>
          </w:tcPr>
          <w:p w14:paraId="3CC454BE">
            <w:pPr>
              <w:spacing w:line="360" w:lineRule="auto"/>
              <w:jc w:val="center"/>
              <w:rPr>
                <w:rFonts w:hint="eastAsia" w:ascii="宋体" w:hAnsi="宋体" w:cs="宋体"/>
                <w:color w:val="auto"/>
                <w:szCs w:val="21"/>
              </w:rPr>
            </w:pPr>
            <w:r>
              <w:rPr>
                <w:rFonts w:hint="eastAsia" w:ascii="宋体" w:hAnsi="宋体" w:cs="宋体"/>
                <w:color w:val="auto"/>
                <w:szCs w:val="21"/>
              </w:rPr>
              <w:t>1项</w:t>
            </w:r>
          </w:p>
        </w:tc>
        <w:tc>
          <w:tcPr>
            <w:tcW w:w="4852" w:type="dxa"/>
            <w:tcBorders>
              <w:left w:val="single" w:color="auto" w:sz="4" w:space="0"/>
            </w:tcBorders>
            <w:vAlign w:val="center"/>
          </w:tcPr>
          <w:p w14:paraId="52F3D0DE">
            <w:pPr>
              <w:pStyle w:val="62"/>
              <w:numPr>
                <w:ilvl w:val="0"/>
                <w:numId w:val="2"/>
              </w:numPr>
              <w:spacing w:line="360" w:lineRule="auto"/>
              <w:ind w:firstLine="422"/>
              <w:rPr>
                <w:color w:val="auto"/>
              </w:rPr>
            </w:pPr>
            <w:r>
              <w:rPr>
                <w:rFonts w:hint="eastAsia"/>
                <w:b/>
                <w:bCs/>
                <w:color w:val="auto"/>
              </w:rPr>
              <w:t>服务目标</w:t>
            </w:r>
          </w:p>
          <w:p w14:paraId="6EA0B84D">
            <w:pPr>
              <w:pStyle w:val="62"/>
              <w:spacing w:line="360" w:lineRule="auto"/>
              <w:rPr>
                <w:color w:val="auto"/>
              </w:rPr>
            </w:pPr>
            <w:r>
              <w:rPr>
                <w:rFonts w:hint="eastAsia"/>
                <w:color w:val="auto"/>
              </w:rPr>
              <w:t>通过提供全面的照明系统能效诊断与优化技术服务，实现照明区域综合节能率不低于0.5%（与改造前基准值相比），同时提升照明质量与视觉舒适度。</w:t>
            </w:r>
          </w:p>
          <w:p w14:paraId="26CB5224">
            <w:pPr>
              <w:pStyle w:val="62"/>
              <w:numPr>
                <w:ilvl w:val="0"/>
                <w:numId w:val="2"/>
              </w:numPr>
              <w:spacing w:line="360" w:lineRule="auto"/>
              <w:ind w:firstLine="422"/>
              <w:rPr>
                <w:b/>
                <w:bCs/>
                <w:color w:val="auto"/>
              </w:rPr>
            </w:pPr>
            <w:r>
              <w:rPr>
                <w:b/>
                <w:bCs/>
                <w:color w:val="auto"/>
              </w:rPr>
              <w:t>服务内容及技术要求</w:t>
            </w:r>
          </w:p>
          <w:p w14:paraId="611B05C5">
            <w:pPr>
              <w:pStyle w:val="62"/>
              <w:numPr>
                <w:ilvl w:val="0"/>
                <w:numId w:val="3"/>
              </w:numPr>
              <w:spacing w:line="360" w:lineRule="auto"/>
              <w:ind w:firstLine="422"/>
              <w:rPr>
                <w:color w:val="auto"/>
              </w:rPr>
            </w:pPr>
            <w:r>
              <w:rPr>
                <w:rFonts w:hint="eastAsia"/>
                <w:b/>
                <w:bCs/>
                <w:color w:val="auto"/>
              </w:rPr>
              <w:t>照明系统能效诊断与分析服务：</w:t>
            </w:r>
            <w:r>
              <w:rPr>
                <w:rFonts w:hint="eastAsia"/>
                <w:color w:val="auto"/>
              </w:rPr>
              <w:t>供应商须对现场照明环境进行勘察、测量和数据采集，提供详细的照明系统能效诊断报告，包括但不限于现有能耗基准、照度分布、照明功率密度评估及节能潜力分析。</w:t>
            </w:r>
          </w:p>
          <w:p w14:paraId="64B93679">
            <w:pPr>
              <w:pStyle w:val="62"/>
              <w:numPr>
                <w:ilvl w:val="0"/>
                <w:numId w:val="3"/>
              </w:numPr>
              <w:spacing w:line="360" w:lineRule="auto"/>
              <w:ind w:firstLine="422"/>
              <w:rPr>
                <w:color w:val="auto"/>
              </w:rPr>
            </w:pPr>
            <w:r>
              <w:rPr>
                <w:b/>
                <w:bCs/>
                <w:color w:val="auto"/>
              </w:rPr>
              <w:t>高光效照明系统优化设计与方案制定服务</w:t>
            </w:r>
            <w:r>
              <w:rPr>
                <w:color w:val="auto"/>
              </w:rPr>
              <w:t>：基于诊断结果，</w:t>
            </w:r>
            <w:r>
              <w:rPr>
                <w:rFonts w:hint="eastAsia"/>
                <w:color w:val="auto"/>
              </w:rPr>
              <w:t>供应商</w:t>
            </w:r>
            <w:r>
              <w:rPr>
                <w:color w:val="auto"/>
              </w:rPr>
              <w:t>须提供一套完整的照明系统优化技术方案。方案应包括技术路径比选、节能率测算过程、拟采用灯具的技术选型论证及实施计划</w:t>
            </w:r>
            <w:r>
              <w:rPr>
                <w:rFonts w:hint="eastAsia"/>
                <w:color w:val="auto"/>
              </w:rPr>
              <w:t>。</w:t>
            </w:r>
          </w:p>
          <w:p w14:paraId="306BACFB">
            <w:pPr>
              <w:pStyle w:val="62"/>
              <w:spacing w:line="360" w:lineRule="auto"/>
              <w:ind w:firstLine="422"/>
              <w:rPr>
                <w:b/>
                <w:bCs/>
                <w:color w:val="auto"/>
              </w:rPr>
            </w:pPr>
            <w:r>
              <w:rPr>
                <w:b/>
                <w:bCs/>
                <w:color w:val="auto"/>
              </w:rPr>
              <w:t>技术方案中拟采用的关键灯具性能标准</w:t>
            </w:r>
            <w:r>
              <w:rPr>
                <w:rFonts w:hint="eastAsia"/>
                <w:b/>
                <w:bCs/>
                <w:color w:val="auto"/>
              </w:rPr>
              <w:t>（非节能产品政府采购品目清单中的政府强制采购产品）：</w:t>
            </w:r>
          </w:p>
          <w:p w14:paraId="2DD7D7AD">
            <w:pPr>
              <w:pStyle w:val="62"/>
              <w:spacing w:line="360" w:lineRule="auto"/>
              <w:ind w:firstLine="422"/>
              <w:rPr>
                <w:color w:val="auto"/>
              </w:rPr>
            </w:pPr>
            <w:r>
              <w:rPr>
                <w:b/>
                <w:bCs/>
                <w:color w:val="auto"/>
              </w:rPr>
              <w:t>节能灯（单管）：</w:t>
            </w:r>
            <w:r>
              <w:rPr>
                <w:color w:val="auto"/>
              </w:rPr>
              <w:t>拟采用灯具需满足以下性能，以确保整体节能效果：尺寸1.2米，功率≤12W，光效≥225LM/W，色温6000K±500K，显色指数≥97，光通量≥1800LM。数量约15套</w:t>
            </w:r>
            <w:r>
              <w:rPr>
                <w:rFonts w:hint="eastAsia"/>
                <w:color w:val="auto"/>
              </w:rPr>
              <w:t>。</w:t>
            </w:r>
          </w:p>
          <w:p w14:paraId="4C79CE0E">
            <w:pPr>
              <w:pStyle w:val="62"/>
              <w:spacing w:line="360" w:lineRule="auto"/>
              <w:ind w:firstLine="422"/>
              <w:rPr>
                <w:color w:val="auto"/>
              </w:rPr>
            </w:pPr>
            <w:r>
              <w:rPr>
                <w:b/>
                <w:bCs/>
                <w:color w:val="auto"/>
              </w:rPr>
              <w:t>节能灯（</w:t>
            </w:r>
            <w:r>
              <w:rPr>
                <w:rFonts w:hint="eastAsia"/>
                <w:b/>
                <w:bCs/>
                <w:color w:val="auto"/>
              </w:rPr>
              <w:t>双</w:t>
            </w:r>
            <w:r>
              <w:rPr>
                <w:b/>
                <w:bCs/>
                <w:color w:val="auto"/>
              </w:rPr>
              <w:t>管）：</w:t>
            </w:r>
            <w:r>
              <w:rPr>
                <w:color w:val="auto"/>
              </w:rPr>
              <w:t>拟采用灯具需满足以下性能，以确保整体节能效果：尺寸1.2米，功率≤</w:t>
            </w:r>
            <w:r>
              <w:rPr>
                <w:rFonts w:hint="eastAsia"/>
                <w:color w:val="auto"/>
              </w:rPr>
              <w:t>24</w:t>
            </w:r>
            <w:r>
              <w:rPr>
                <w:color w:val="auto"/>
              </w:rPr>
              <w:t>W，光效≥225LM/W，色温6000K±500K，显色指数≥97，光通量≥1800LM。数量约15</w:t>
            </w:r>
            <w:r>
              <w:rPr>
                <w:rFonts w:hint="eastAsia"/>
                <w:color w:val="auto"/>
              </w:rPr>
              <w:t>0</w:t>
            </w:r>
            <w:r>
              <w:rPr>
                <w:color w:val="auto"/>
              </w:rPr>
              <w:t>套</w:t>
            </w:r>
            <w:r>
              <w:rPr>
                <w:rFonts w:hint="eastAsia"/>
                <w:color w:val="auto"/>
              </w:rPr>
              <w:t>。</w:t>
            </w:r>
          </w:p>
          <w:p w14:paraId="77E2D07D">
            <w:pPr>
              <w:pStyle w:val="62"/>
              <w:spacing w:line="360" w:lineRule="auto"/>
              <w:ind w:firstLine="422"/>
              <w:rPr>
                <w:color w:val="auto"/>
              </w:rPr>
            </w:pPr>
            <w:r>
              <w:rPr>
                <w:b/>
                <w:bCs/>
                <w:color w:val="auto"/>
              </w:rPr>
              <w:t>节能灯（</w:t>
            </w:r>
            <w:r>
              <w:rPr>
                <w:rFonts w:hint="eastAsia"/>
                <w:b/>
                <w:bCs/>
                <w:color w:val="auto"/>
              </w:rPr>
              <w:t>三</w:t>
            </w:r>
            <w:r>
              <w:rPr>
                <w:b/>
                <w:bCs/>
                <w:color w:val="auto"/>
              </w:rPr>
              <w:t>管）：</w:t>
            </w:r>
            <w:r>
              <w:rPr>
                <w:color w:val="auto"/>
              </w:rPr>
              <w:t>拟采用灯具需满足以下性能，以确保整体节能效果：尺寸1.2米，功率≤</w:t>
            </w:r>
            <w:r>
              <w:rPr>
                <w:rFonts w:hint="eastAsia"/>
                <w:color w:val="auto"/>
              </w:rPr>
              <w:t>36</w:t>
            </w:r>
            <w:r>
              <w:rPr>
                <w:color w:val="auto"/>
              </w:rPr>
              <w:t>W，光效≥225LM/W，色温6000K±500K，显色指数≥97，光通量≥1800LM。数量约</w:t>
            </w:r>
            <w:r>
              <w:rPr>
                <w:rFonts w:hint="eastAsia"/>
                <w:color w:val="auto"/>
              </w:rPr>
              <w:t>30</w:t>
            </w:r>
            <w:r>
              <w:rPr>
                <w:color w:val="auto"/>
              </w:rPr>
              <w:t>套</w:t>
            </w:r>
            <w:r>
              <w:rPr>
                <w:rFonts w:hint="eastAsia"/>
                <w:color w:val="auto"/>
              </w:rPr>
              <w:t>。</w:t>
            </w:r>
          </w:p>
          <w:p w14:paraId="536550B5">
            <w:pPr>
              <w:pStyle w:val="62"/>
              <w:spacing w:line="360" w:lineRule="auto"/>
              <w:ind w:firstLine="422"/>
              <w:rPr>
                <w:color w:val="auto"/>
              </w:rPr>
            </w:pPr>
            <w:r>
              <w:rPr>
                <w:rFonts w:hint="eastAsia"/>
                <w:b/>
                <w:bCs/>
                <w:color w:val="auto"/>
              </w:rPr>
              <w:t>LED平板灯</w:t>
            </w:r>
            <w:r>
              <w:rPr>
                <w:b/>
                <w:bCs/>
                <w:color w:val="auto"/>
              </w:rPr>
              <w:t>：</w:t>
            </w:r>
            <w:r>
              <w:rPr>
                <w:color w:val="auto"/>
              </w:rPr>
              <w:t>拟采用灯具需满足以下性能，以确保整体节能效果：尺寸</w:t>
            </w:r>
            <w:r>
              <w:rPr>
                <w:rFonts w:hint="eastAsia"/>
                <w:color w:val="auto"/>
              </w:rPr>
              <w:t>0.6×0.6</w:t>
            </w:r>
            <w:r>
              <w:rPr>
                <w:color w:val="auto"/>
              </w:rPr>
              <w:t>米，功率≤</w:t>
            </w:r>
            <w:r>
              <w:rPr>
                <w:rFonts w:hint="eastAsia"/>
                <w:color w:val="auto"/>
              </w:rPr>
              <w:t>20</w:t>
            </w:r>
            <w:r>
              <w:rPr>
                <w:color w:val="auto"/>
              </w:rPr>
              <w:t>W，色温6000K±500K，显色指数≥</w:t>
            </w:r>
            <w:r>
              <w:rPr>
                <w:rFonts w:hint="eastAsia"/>
                <w:color w:val="auto"/>
              </w:rPr>
              <w:t>80</w:t>
            </w:r>
            <w:r>
              <w:rPr>
                <w:color w:val="auto"/>
              </w:rPr>
              <w:t>。数量约</w:t>
            </w:r>
            <w:r>
              <w:rPr>
                <w:rFonts w:hint="eastAsia"/>
                <w:color w:val="auto"/>
              </w:rPr>
              <w:t>34</w:t>
            </w:r>
            <w:r>
              <w:rPr>
                <w:color w:val="auto"/>
              </w:rPr>
              <w:t>套</w:t>
            </w:r>
            <w:r>
              <w:rPr>
                <w:rFonts w:hint="eastAsia"/>
                <w:color w:val="auto"/>
              </w:rPr>
              <w:t>。</w:t>
            </w:r>
          </w:p>
          <w:p w14:paraId="70D60EFC">
            <w:pPr>
              <w:pStyle w:val="62"/>
              <w:numPr>
                <w:ilvl w:val="0"/>
                <w:numId w:val="2"/>
              </w:numPr>
              <w:spacing w:line="360" w:lineRule="auto"/>
              <w:ind w:firstLine="422"/>
              <w:rPr>
                <w:b/>
                <w:bCs/>
                <w:color w:val="auto"/>
              </w:rPr>
            </w:pPr>
            <w:r>
              <w:rPr>
                <w:b/>
                <w:bCs/>
                <w:color w:val="auto"/>
              </w:rPr>
              <w:t>灯具更换与系统集成调试服务</w:t>
            </w:r>
          </w:p>
          <w:p w14:paraId="5F09D494">
            <w:pPr>
              <w:pStyle w:val="62"/>
              <w:spacing w:line="360" w:lineRule="auto"/>
              <w:rPr>
                <w:color w:val="auto"/>
              </w:rPr>
            </w:pPr>
            <w:r>
              <w:rPr>
                <w:color w:val="auto"/>
              </w:rPr>
              <w:t>负责安全拆除原有灯具约229套，并依据批准的技术方案，进行新灯具的安装、系统集成与调试。服务需确保新照明系统运行稳定、控制</w:t>
            </w:r>
            <w:r>
              <w:rPr>
                <w:rFonts w:hint="eastAsia"/>
                <w:color w:val="auto"/>
              </w:rPr>
              <w:t>有效</w:t>
            </w:r>
            <w:r>
              <w:rPr>
                <w:color w:val="auto"/>
              </w:rPr>
              <w:t>、达到设计照度与均匀度要求</w:t>
            </w:r>
            <w:r>
              <w:rPr>
                <w:rFonts w:hint="eastAsia"/>
                <w:color w:val="auto"/>
              </w:rPr>
              <w:t>。</w:t>
            </w:r>
          </w:p>
          <w:p w14:paraId="172D157F">
            <w:pPr>
              <w:pStyle w:val="62"/>
              <w:numPr>
                <w:ilvl w:val="0"/>
                <w:numId w:val="2"/>
              </w:numPr>
              <w:spacing w:line="360" w:lineRule="auto"/>
              <w:ind w:firstLine="422"/>
              <w:rPr>
                <w:b/>
                <w:bCs/>
                <w:color w:val="auto"/>
              </w:rPr>
            </w:pPr>
            <w:r>
              <w:rPr>
                <w:b/>
                <w:bCs/>
                <w:color w:val="auto"/>
              </w:rPr>
              <w:t>节能效果验证与培训服务</w:t>
            </w:r>
          </w:p>
          <w:p w14:paraId="379E79E9">
            <w:pPr>
              <w:pStyle w:val="62"/>
              <w:spacing w:line="360" w:lineRule="auto"/>
              <w:rPr>
                <w:color w:val="auto"/>
              </w:rPr>
            </w:pPr>
            <w:r>
              <w:rPr>
                <w:color w:val="auto"/>
              </w:rPr>
              <w:t>改造完成后，</w:t>
            </w:r>
            <w:r>
              <w:rPr>
                <w:rFonts w:hint="eastAsia"/>
                <w:color w:val="auto"/>
              </w:rPr>
              <w:t>供应商</w:t>
            </w:r>
            <w:r>
              <w:rPr>
                <w:color w:val="auto"/>
              </w:rPr>
              <w:t>须提供照明系统节能效果验证报告，通过对比改造前后数据，验证节能目标的达成情况。并向</w:t>
            </w:r>
            <w:r>
              <w:rPr>
                <w:rFonts w:hint="eastAsia"/>
                <w:color w:val="auto"/>
              </w:rPr>
              <w:t>采购人</w:t>
            </w:r>
            <w:r>
              <w:rPr>
                <w:color w:val="auto"/>
              </w:rPr>
              <w:t>提供系统操作与维护的现场培训服务</w:t>
            </w:r>
            <w:r>
              <w:rPr>
                <w:rFonts w:hint="eastAsia"/>
                <w:color w:val="auto"/>
              </w:rPr>
              <w:t>。</w:t>
            </w:r>
          </w:p>
        </w:tc>
      </w:tr>
      <w:tr w14:paraId="79AC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vAlign w:val="center"/>
          </w:tcPr>
          <w:p w14:paraId="0339E866">
            <w:pPr>
              <w:spacing w:line="360" w:lineRule="auto"/>
              <w:jc w:val="center"/>
              <w:rPr>
                <w:rFonts w:hint="eastAsia" w:ascii="宋体" w:hAnsi="宋体" w:cs="宋体"/>
                <w:color w:val="auto"/>
                <w:szCs w:val="21"/>
              </w:rPr>
            </w:pPr>
            <w:r>
              <w:rPr>
                <w:rFonts w:hint="eastAsia" w:ascii="宋体" w:hAnsi="宋体" w:cs="宋体"/>
                <w:color w:val="auto"/>
                <w:szCs w:val="21"/>
              </w:rPr>
              <w:t>2</w:t>
            </w:r>
          </w:p>
        </w:tc>
        <w:tc>
          <w:tcPr>
            <w:tcW w:w="1332" w:type="dxa"/>
            <w:vAlign w:val="center"/>
          </w:tcPr>
          <w:p w14:paraId="5F9531F2">
            <w:pPr>
              <w:spacing w:line="360" w:lineRule="auto"/>
              <w:jc w:val="center"/>
              <w:rPr>
                <w:rFonts w:hint="eastAsia" w:ascii="宋体" w:hAnsi="宋体" w:cs="宋体"/>
                <w:color w:val="auto"/>
                <w:szCs w:val="21"/>
              </w:rPr>
            </w:pPr>
            <w:r>
              <w:rPr>
                <w:rFonts w:hint="eastAsia" w:ascii="宋体" w:hAnsi="宋体" w:cs="宋体"/>
                <w:color w:val="auto"/>
                <w:szCs w:val="21"/>
              </w:rPr>
              <w:t>空调系统能效优化技术服务</w:t>
            </w:r>
          </w:p>
        </w:tc>
        <w:tc>
          <w:tcPr>
            <w:tcW w:w="848" w:type="dxa"/>
            <w:gridSpan w:val="2"/>
            <w:tcBorders>
              <w:right w:val="single" w:color="auto" w:sz="4" w:space="0"/>
            </w:tcBorders>
            <w:vAlign w:val="center"/>
          </w:tcPr>
          <w:p w14:paraId="79AA0726">
            <w:pPr>
              <w:spacing w:line="360" w:lineRule="auto"/>
              <w:jc w:val="center"/>
              <w:rPr>
                <w:rFonts w:hint="eastAsia" w:ascii="宋体" w:hAnsi="宋体" w:cs="宋体"/>
                <w:color w:val="auto"/>
                <w:szCs w:val="21"/>
              </w:rPr>
            </w:pPr>
            <w:r>
              <w:rPr>
                <w:rFonts w:hint="eastAsia" w:ascii="宋体" w:hAnsi="宋体" w:cs="宋体"/>
                <w:color w:val="auto"/>
                <w:szCs w:val="21"/>
              </w:rPr>
              <w:t>其他未列明行业</w:t>
            </w:r>
          </w:p>
        </w:tc>
        <w:tc>
          <w:tcPr>
            <w:tcW w:w="847" w:type="dxa"/>
            <w:tcBorders>
              <w:right w:val="single" w:color="auto" w:sz="4" w:space="0"/>
            </w:tcBorders>
            <w:vAlign w:val="center"/>
          </w:tcPr>
          <w:p w14:paraId="0AE145C7">
            <w:pPr>
              <w:spacing w:line="360" w:lineRule="auto"/>
              <w:jc w:val="center"/>
              <w:rPr>
                <w:rFonts w:hint="eastAsia" w:ascii="宋体" w:hAnsi="宋体" w:cs="宋体"/>
                <w:color w:val="auto"/>
                <w:szCs w:val="21"/>
              </w:rPr>
            </w:pPr>
            <w:r>
              <w:rPr>
                <w:rFonts w:hint="eastAsia" w:ascii="宋体" w:hAnsi="宋体" w:cs="宋体"/>
                <w:color w:val="auto"/>
                <w:szCs w:val="21"/>
              </w:rPr>
              <w:t>1项</w:t>
            </w:r>
          </w:p>
        </w:tc>
        <w:tc>
          <w:tcPr>
            <w:tcW w:w="4852" w:type="dxa"/>
            <w:tcBorders>
              <w:left w:val="single" w:color="auto" w:sz="4" w:space="0"/>
            </w:tcBorders>
            <w:vAlign w:val="center"/>
          </w:tcPr>
          <w:p w14:paraId="7F3E9844">
            <w:pPr>
              <w:pStyle w:val="62"/>
              <w:spacing w:line="360" w:lineRule="auto"/>
              <w:ind w:firstLine="422"/>
              <w:rPr>
                <w:color w:val="auto"/>
              </w:rPr>
            </w:pPr>
            <w:r>
              <w:rPr>
                <w:rFonts w:hint="eastAsia"/>
                <w:b/>
                <w:bCs/>
                <w:color w:val="auto"/>
              </w:rPr>
              <w:t>一、服务目标</w:t>
            </w:r>
          </w:p>
          <w:p w14:paraId="1F6452A7">
            <w:pPr>
              <w:pStyle w:val="62"/>
              <w:spacing w:line="360" w:lineRule="auto"/>
              <w:rPr>
                <w:color w:val="auto"/>
              </w:rPr>
            </w:pPr>
            <w:r>
              <w:rPr>
                <w:rFonts w:hint="eastAsia"/>
                <w:color w:val="auto"/>
              </w:rPr>
              <w:t>通过提供空调系统综合能效优化技术服务，实现空调系统综合节能率不低于13%，并建立智能化的空调运行管理与监控平台。</w:t>
            </w:r>
          </w:p>
          <w:p w14:paraId="66C3A483">
            <w:pPr>
              <w:pStyle w:val="62"/>
              <w:numPr>
                <w:ilvl w:val="0"/>
                <w:numId w:val="4"/>
              </w:numPr>
              <w:spacing w:line="360" w:lineRule="auto"/>
              <w:ind w:firstLine="422"/>
              <w:rPr>
                <w:b/>
                <w:bCs/>
                <w:color w:val="auto"/>
              </w:rPr>
            </w:pPr>
            <w:r>
              <w:rPr>
                <w:rFonts w:hint="eastAsia"/>
                <w:b/>
                <w:bCs/>
                <w:color w:val="auto"/>
              </w:rPr>
              <w:t>服务内容及技术要求</w:t>
            </w:r>
          </w:p>
          <w:p w14:paraId="7A8B193E">
            <w:pPr>
              <w:pStyle w:val="62"/>
              <w:numPr>
                <w:ilvl w:val="0"/>
                <w:numId w:val="5"/>
              </w:numPr>
              <w:spacing w:line="360" w:lineRule="auto"/>
              <w:ind w:firstLine="422"/>
              <w:rPr>
                <w:color w:val="auto"/>
              </w:rPr>
            </w:pPr>
            <w:r>
              <w:rPr>
                <w:rFonts w:hint="eastAsia"/>
                <w:b/>
                <w:bCs/>
                <w:color w:val="auto"/>
              </w:rPr>
              <w:t>空调系统能效诊断与优化路径设计服务：</w:t>
            </w:r>
            <w:r>
              <w:rPr>
                <w:rFonts w:hint="eastAsia"/>
                <w:color w:val="auto"/>
              </w:rPr>
              <w:t>供应商须对现有空调系统进行全面的能效测试与诊断，出具诊断报告，并提出包含冷媒优化、智控系统建设在内的综合性能效提升技术方案与节能率测算。</w:t>
            </w:r>
          </w:p>
          <w:p w14:paraId="45544FB1">
            <w:pPr>
              <w:pStyle w:val="62"/>
              <w:numPr>
                <w:ilvl w:val="0"/>
                <w:numId w:val="5"/>
              </w:numPr>
              <w:spacing w:line="360" w:lineRule="auto"/>
              <w:ind w:firstLine="422"/>
              <w:rPr>
                <w:color w:val="auto"/>
              </w:rPr>
            </w:pPr>
            <w:r>
              <w:rPr>
                <w:rFonts w:hint="eastAsia"/>
                <w:b/>
                <w:bCs/>
                <w:color w:val="auto"/>
              </w:rPr>
              <w:t>环保制冷工质替换与系统调优服务</w:t>
            </w:r>
            <w:r>
              <w:rPr>
                <w:b/>
                <w:bCs/>
                <w:color w:val="auto"/>
              </w:rPr>
              <w:t>：</w:t>
            </w:r>
            <w:r>
              <w:rPr>
                <w:color w:val="auto"/>
              </w:rPr>
              <w:t>基于技术方案，提供制冷工质的环保化替换服务。须采用ODP=0、GWP&lt;3的生态冷媒，服务内容包括安全回收原制冷剂、系统清洗、新冷媒加注及系统全工况调试优化，以确保系统能效提升。服务覆盖量约498.5匹</w:t>
            </w:r>
            <w:r>
              <w:rPr>
                <w:rFonts w:hint="eastAsia"/>
                <w:color w:val="auto"/>
              </w:rPr>
              <w:t>。</w:t>
            </w:r>
          </w:p>
          <w:p w14:paraId="4E820FFE">
            <w:pPr>
              <w:pStyle w:val="62"/>
              <w:numPr>
                <w:ilvl w:val="0"/>
                <w:numId w:val="5"/>
              </w:numPr>
              <w:spacing w:line="360" w:lineRule="auto"/>
              <w:ind w:firstLine="422"/>
              <w:rPr>
                <w:color w:val="auto"/>
              </w:rPr>
            </w:pPr>
            <w:r>
              <w:rPr>
                <w:rFonts w:hint="eastAsia"/>
                <w:b/>
                <w:bCs/>
                <w:color w:val="auto"/>
              </w:rPr>
              <w:t>空调系统智能控制策略设计与系统集成服务：</w:t>
            </w:r>
            <w:r>
              <w:rPr>
                <w:rFonts w:hint="eastAsia"/>
                <w:color w:val="auto"/>
              </w:rPr>
              <w:t>供应商须设计并实施一套空调智能控制策略，包括但不限于远程启停、温度设定、定时策略、能耗监测等。通过安装单相/三相分体空调控制器（约183个），完成硬件与软件平台的集成联调，实现对其能耗数据的远程实时动态监测与智能控制。</w:t>
            </w:r>
          </w:p>
          <w:p w14:paraId="6EAC632E">
            <w:pPr>
              <w:pStyle w:val="62"/>
              <w:spacing w:line="360" w:lineRule="auto"/>
              <w:ind w:left="420" w:leftChars="200" w:firstLine="0" w:firstLineChars="0"/>
              <w:rPr>
                <w:b/>
                <w:bCs/>
                <w:color w:val="auto"/>
              </w:rPr>
            </w:pPr>
            <w:r>
              <w:rPr>
                <w:b/>
                <w:bCs/>
                <w:color w:val="auto"/>
              </w:rPr>
              <w:t>为实现控制服务所需的关键硬件性能参考：</w:t>
            </w:r>
          </w:p>
          <w:p w14:paraId="6665C8BB">
            <w:pPr>
              <w:pStyle w:val="62"/>
              <w:spacing w:line="360" w:lineRule="auto"/>
              <w:ind w:firstLine="422"/>
              <w:rPr>
                <w:color w:val="auto"/>
              </w:rPr>
            </w:pPr>
            <w:r>
              <w:rPr>
                <w:b/>
                <w:bCs/>
                <w:color w:val="auto"/>
              </w:rPr>
              <w:t>单相控制器：</w:t>
            </w:r>
            <w:r>
              <w:rPr>
                <w:color w:val="auto"/>
              </w:rPr>
              <w:t>需适配220V电压，电流容量16A/30A，内含五年数据通讯服务</w:t>
            </w:r>
            <w:r>
              <w:rPr>
                <w:rFonts w:hint="eastAsia"/>
                <w:color w:val="auto"/>
              </w:rPr>
              <w:t>。</w:t>
            </w:r>
          </w:p>
          <w:p w14:paraId="69D292DC">
            <w:pPr>
              <w:pStyle w:val="62"/>
              <w:spacing w:line="360" w:lineRule="auto"/>
              <w:ind w:firstLine="422"/>
              <w:rPr>
                <w:color w:val="auto"/>
              </w:rPr>
            </w:pPr>
            <w:r>
              <w:rPr>
                <w:b/>
                <w:bCs/>
                <w:color w:val="auto"/>
              </w:rPr>
              <w:t>三相控制器：</w:t>
            </w:r>
            <w:r>
              <w:rPr>
                <w:color w:val="auto"/>
              </w:rPr>
              <w:t>需适配380V电压，电流容量60A，内含五年数据通讯服务</w:t>
            </w:r>
            <w:r>
              <w:rPr>
                <w:rFonts w:hint="eastAsia"/>
                <w:color w:val="auto"/>
              </w:rPr>
              <w:t>。</w:t>
            </w:r>
          </w:p>
          <w:p w14:paraId="4E58F576">
            <w:pPr>
              <w:pStyle w:val="62"/>
              <w:numPr>
                <w:ilvl w:val="0"/>
                <w:numId w:val="5"/>
              </w:numPr>
              <w:spacing w:line="360" w:lineRule="auto"/>
              <w:ind w:firstLine="422"/>
              <w:rPr>
                <w:color w:val="auto"/>
              </w:rPr>
            </w:pPr>
            <w:r>
              <w:rPr>
                <w:rFonts w:hint="eastAsia"/>
                <w:b/>
                <w:bCs/>
                <w:color w:val="auto"/>
              </w:rPr>
              <w:t>能效管理平台部署与数据服务：</w:t>
            </w:r>
            <w:r>
              <w:rPr>
                <w:rFonts w:hint="eastAsia"/>
                <w:color w:val="auto"/>
              </w:rPr>
              <w:t>负责部署平台展示系统，确保其稳定运行，并提供至少五年的数据流量与平台功能服务，实现对空调设备的精细化能耗管理。</w:t>
            </w:r>
          </w:p>
          <w:p w14:paraId="45CD8D27">
            <w:pPr>
              <w:pStyle w:val="62"/>
              <w:numPr>
                <w:ilvl w:val="0"/>
                <w:numId w:val="5"/>
              </w:numPr>
              <w:spacing w:line="360" w:lineRule="auto"/>
              <w:ind w:firstLine="422"/>
              <w:rPr>
                <w:color w:val="auto"/>
              </w:rPr>
            </w:pPr>
            <w:r>
              <w:rPr>
                <w:b/>
                <w:bCs/>
                <w:color w:val="auto"/>
              </w:rPr>
              <w:t>系统联调、效果验证与运维培训服务：</w:t>
            </w:r>
            <w:r>
              <w:rPr>
                <w:color w:val="auto"/>
              </w:rPr>
              <w:t>完成整个能效优化系统的联合调试，出具能效优化效果评估报告，并对</w:t>
            </w:r>
            <w:r>
              <w:rPr>
                <w:rFonts w:hint="eastAsia"/>
                <w:color w:val="auto"/>
              </w:rPr>
              <w:t>采购人</w:t>
            </w:r>
            <w:r>
              <w:rPr>
                <w:color w:val="auto"/>
              </w:rPr>
              <w:t>人员进行系统操作与维护培训</w:t>
            </w:r>
            <w:r>
              <w:rPr>
                <w:rFonts w:hint="eastAsia"/>
                <w:color w:val="auto"/>
              </w:rPr>
              <w:t>。</w:t>
            </w:r>
          </w:p>
        </w:tc>
      </w:tr>
      <w:tr w14:paraId="1B0CE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vAlign w:val="center"/>
          </w:tcPr>
          <w:p w14:paraId="7A9253F4">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1332" w:type="dxa"/>
            <w:vAlign w:val="center"/>
          </w:tcPr>
          <w:p w14:paraId="5AABBD89">
            <w:pPr>
              <w:spacing w:line="360" w:lineRule="auto"/>
              <w:jc w:val="center"/>
              <w:rPr>
                <w:rFonts w:hint="eastAsia" w:ascii="宋体" w:hAnsi="宋体" w:cs="宋体"/>
                <w:color w:val="auto"/>
                <w:szCs w:val="21"/>
              </w:rPr>
            </w:pPr>
            <w:r>
              <w:rPr>
                <w:rFonts w:hint="eastAsia" w:ascii="宋体" w:hAnsi="宋体" w:cs="宋体"/>
                <w:color w:val="auto"/>
                <w:szCs w:val="21"/>
              </w:rPr>
              <w:t>建筑围护结构节能改造技术服务</w:t>
            </w:r>
          </w:p>
        </w:tc>
        <w:tc>
          <w:tcPr>
            <w:tcW w:w="848" w:type="dxa"/>
            <w:gridSpan w:val="2"/>
            <w:tcBorders>
              <w:right w:val="single" w:color="auto" w:sz="4" w:space="0"/>
            </w:tcBorders>
            <w:vAlign w:val="center"/>
          </w:tcPr>
          <w:p w14:paraId="09932164">
            <w:pPr>
              <w:spacing w:line="360" w:lineRule="auto"/>
              <w:jc w:val="center"/>
              <w:rPr>
                <w:rFonts w:hint="eastAsia" w:ascii="宋体" w:hAnsi="宋体" w:cs="宋体"/>
                <w:color w:val="auto"/>
                <w:szCs w:val="21"/>
              </w:rPr>
            </w:pPr>
            <w:r>
              <w:rPr>
                <w:rFonts w:hint="eastAsia" w:ascii="宋体" w:hAnsi="宋体" w:cs="宋体"/>
                <w:color w:val="auto"/>
                <w:szCs w:val="21"/>
              </w:rPr>
              <w:t>其他未列明行业</w:t>
            </w:r>
          </w:p>
        </w:tc>
        <w:tc>
          <w:tcPr>
            <w:tcW w:w="847" w:type="dxa"/>
            <w:tcBorders>
              <w:right w:val="single" w:color="auto" w:sz="4" w:space="0"/>
            </w:tcBorders>
            <w:vAlign w:val="center"/>
          </w:tcPr>
          <w:p w14:paraId="6C74AD07">
            <w:pPr>
              <w:spacing w:line="360" w:lineRule="auto"/>
              <w:jc w:val="center"/>
              <w:rPr>
                <w:rFonts w:hint="eastAsia" w:ascii="宋体" w:hAnsi="宋体" w:cs="宋体"/>
                <w:color w:val="auto"/>
                <w:szCs w:val="21"/>
              </w:rPr>
            </w:pPr>
            <w:r>
              <w:rPr>
                <w:rFonts w:hint="eastAsia" w:ascii="宋体" w:hAnsi="宋体" w:cs="宋体"/>
                <w:color w:val="auto"/>
                <w:szCs w:val="21"/>
              </w:rPr>
              <w:t>1项</w:t>
            </w:r>
          </w:p>
        </w:tc>
        <w:tc>
          <w:tcPr>
            <w:tcW w:w="4852" w:type="dxa"/>
            <w:tcBorders>
              <w:left w:val="single" w:color="auto" w:sz="4" w:space="0"/>
            </w:tcBorders>
            <w:vAlign w:val="center"/>
          </w:tcPr>
          <w:p w14:paraId="531ECC1E">
            <w:pPr>
              <w:pStyle w:val="62"/>
              <w:spacing w:line="360" w:lineRule="auto"/>
              <w:ind w:firstLine="422"/>
              <w:rPr>
                <w:b/>
                <w:bCs/>
                <w:color w:val="auto"/>
              </w:rPr>
            </w:pPr>
            <w:r>
              <w:rPr>
                <w:rFonts w:hint="eastAsia"/>
                <w:b/>
                <w:bCs/>
                <w:color w:val="auto"/>
              </w:rPr>
              <w:t>一、服务目标</w:t>
            </w:r>
          </w:p>
          <w:p w14:paraId="5F898E5D">
            <w:pPr>
              <w:pStyle w:val="62"/>
              <w:spacing w:line="360" w:lineRule="auto"/>
              <w:rPr>
                <w:b/>
                <w:bCs/>
                <w:color w:val="auto"/>
              </w:rPr>
            </w:pPr>
            <w:r>
              <w:rPr>
                <w:color w:val="auto"/>
              </w:rPr>
              <w:t>通过提供建筑外窗系统的节能性能提升技术服务，增强建筑围护结构的保温隔热性能与气密性，为建筑整体节能目标提供支撑</w:t>
            </w:r>
            <w:r>
              <w:rPr>
                <w:rFonts w:hint="eastAsia"/>
                <w:color w:val="auto"/>
              </w:rPr>
              <w:t>。</w:t>
            </w:r>
          </w:p>
          <w:p w14:paraId="3B275C1A">
            <w:pPr>
              <w:pStyle w:val="62"/>
              <w:spacing w:line="360" w:lineRule="auto"/>
              <w:ind w:left="420" w:firstLine="0" w:firstLineChars="0"/>
              <w:rPr>
                <w:b/>
                <w:bCs/>
                <w:color w:val="auto"/>
              </w:rPr>
            </w:pPr>
            <w:r>
              <w:rPr>
                <w:rFonts w:hint="eastAsia"/>
                <w:b/>
                <w:bCs/>
                <w:color w:val="auto"/>
              </w:rPr>
              <w:t>二、服务内容及技术要求</w:t>
            </w:r>
          </w:p>
          <w:p w14:paraId="700534DF">
            <w:pPr>
              <w:pStyle w:val="62"/>
              <w:numPr>
                <w:ilvl w:val="0"/>
                <w:numId w:val="6"/>
              </w:numPr>
              <w:spacing w:line="360" w:lineRule="auto"/>
              <w:ind w:firstLine="422" w:firstLineChars="0"/>
              <w:rPr>
                <w:color w:val="auto"/>
              </w:rPr>
            </w:pPr>
            <w:r>
              <w:rPr>
                <w:rFonts w:hint="eastAsia"/>
                <w:b/>
                <w:bCs/>
                <w:color w:val="auto"/>
              </w:rPr>
              <w:t>建筑外窗热工性能诊断与方案设计服务：</w:t>
            </w:r>
            <w:r>
              <w:rPr>
                <w:rFonts w:hint="eastAsia"/>
                <w:color w:val="auto"/>
              </w:rPr>
              <w:t>供应商须对现有外窗系统的热工性能（传热系数）、气密性等进行评估，提供诊断报告及节能改造技术方案，并进行节能效益分析。</w:t>
            </w:r>
          </w:p>
          <w:p w14:paraId="12CA50A4">
            <w:pPr>
              <w:pStyle w:val="62"/>
              <w:numPr>
                <w:ilvl w:val="0"/>
                <w:numId w:val="6"/>
              </w:numPr>
              <w:spacing w:line="360" w:lineRule="auto"/>
              <w:ind w:firstLine="422" w:firstLineChars="0"/>
              <w:rPr>
                <w:color w:val="auto"/>
              </w:rPr>
            </w:pPr>
            <w:r>
              <w:rPr>
                <w:b/>
                <w:bCs/>
                <w:color w:val="auto"/>
              </w:rPr>
              <w:t>节能外窗系统技术咨询与设计服务：</w:t>
            </w:r>
            <w:r>
              <w:rPr>
                <w:rFonts w:hint="eastAsia"/>
                <w:color w:val="auto"/>
              </w:rPr>
              <w:t>供应商</w:t>
            </w:r>
            <w:r>
              <w:rPr>
                <w:color w:val="auto"/>
              </w:rPr>
              <w:t>须提供外窗系统的技术选型、性能参数设计服务。推荐并采用经技术经济论证的、断桥铝合金窗系统中空Low-E玻璃</w:t>
            </w:r>
            <w:r>
              <w:rPr>
                <w:rFonts w:hint="eastAsia"/>
                <w:color w:val="auto"/>
              </w:rPr>
              <w:t>（约300平方米）</w:t>
            </w:r>
            <w:r>
              <w:rPr>
                <w:color w:val="auto"/>
              </w:rPr>
              <w:t>方案，以确保其保温隔热性能满足建筑节能设计要求</w:t>
            </w:r>
            <w:r>
              <w:rPr>
                <w:rFonts w:hint="eastAsia"/>
                <w:color w:val="auto"/>
              </w:rPr>
              <w:t>。</w:t>
            </w:r>
          </w:p>
          <w:p w14:paraId="76846058">
            <w:pPr>
              <w:pStyle w:val="62"/>
              <w:spacing w:line="360" w:lineRule="auto"/>
              <w:ind w:left="420" w:firstLine="0" w:firstLineChars="0"/>
              <w:rPr>
                <w:b/>
                <w:bCs/>
                <w:color w:val="auto"/>
              </w:rPr>
            </w:pPr>
            <w:r>
              <w:rPr>
                <w:b/>
                <w:bCs/>
                <w:color w:val="auto"/>
              </w:rPr>
              <w:t>技术方案中拟采用的外窗系统性能标准：</w:t>
            </w:r>
          </w:p>
          <w:p w14:paraId="4F70F5B9">
            <w:pPr>
              <w:pStyle w:val="62"/>
              <w:spacing w:line="360" w:lineRule="auto"/>
              <w:ind w:firstLine="422"/>
              <w:rPr>
                <w:color w:val="auto"/>
              </w:rPr>
            </w:pPr>
            <w:r>
              <w:rPr>
                <w:b/>
                <w:bCs/>
                <w:color w:val="auto"/>
              </w:rPr>
              <w:t>型材：</w:t>
            </w:r>
            <w:r>
              <w:rPr>
                <w:color w:val="auto"/>
              </w:rPr>
              <w:t>采用6063-T5原生铝型材，宽度112mm，主壁厚≥2.0mm</w:t>
            </w:r>
            <w:r>
              <w:rPr>
                <w:rFonts w:hint="eastAsia"/>
                <w:color w:val="auto"/>
              </w:rPr>
              <w:t>。</w:t>
            </w:r>
          </w:p>
          <w:p w14:paraId="3B8F8775">
            <w:pPr>
              <w:pStyle w:val="62"/>
              <w:spacing w:line="360" w:lineRule="auto"/>
              <w:ind w:firstLine="422"/>
              <w:rPr>
                <w:color w:val="auto"/>
              </w:rPr>
            </w:pPr>
            <w:r>
              <w:rPr>
                <w:b/>
                <w:bCs/>
                <w:color w:val="auto"/>
              </w:rPr>
              <w:t>玻璃配置：</w:t>
            </w:r>
            <w:r>
              <w:rPr>
                <w:color w:val="auto"/>
              </w:rPr>
              <w:t>采用5mm+20A空气层+5mm的中空Low-E玻璃</w:t>
            </w:r>
            <w:r>
              <w:rPr>
                <w:rFonts w:hint="eastAsia"/>
                <w:color w:val="auto"/>
              </w:rPr>
              <w:t>。</w:t>
            </w:r>
          </w:p>
          <w:p w14:paraId="0C4C77C3">
            <w:pPr>
              <w:pStyle w:val="62"/>
              <w:spacing w:line="360" w:lineRule="auto"/>
              <w:ind w:firstLine="422"/>
              <w:rPr>
                <w:color w:val="auto"/>
              </w:rPr>
            </w:pPr>
            <w:r>
              <w:rPr>
                <w:b/>
                <w:bCs/>
                <w:color w:val="auto"/>
              </w:rPr>
              <w:t>五金系统：</w:t>
            </w:r>
            <w:r>
              <w:rPr>
                <w:color w:val="auto"/>
              </w:rPr>
              <w:t>采用全套</w:t>
            </w:r>
            <w:r>
              <w:rPr>
                <w:rFonts w:hint="eastAsia"/>
                <w:color w:val="auto"/>
              </w:rPr>
              <w:t>同</w:t>
            </w:r>
            <w:r>
              <w:rPr>
                <w:color w:val="auto"/>
              </w:rPr>
              <w:t>品牌五金，以确保使用寿命与密封性能。</w:t>
            </w:r>
          </w:p>
          <w:p w14:paraId="6C9B28A9">
            <w:pPr>
              <w:pStyle w:val="62"/>
              <w:spacing w:line="360" w:lineRule="auto"/>
              <w:ind w:firstLine="422"/>
              <w:rPr>
                <w:color w:val="auto"/>
              </w:rPr>
            </w:pPr>
            <w:r>
              <w:rPr>
                <w:b/>
                <w:bCs/>
                <w:color w:val="auto"/>
              </w:rPr>
              <w:t>其他性能要求：</w:t>
            </w:r>
            <w:r>
              <w:rPr>
                <w:color w:val="auto"/>
              </w:rPr>
              <w:t>标牌无缝焊接、整体大副框（推入式安装）、地漏式排水设计等，均服务于提升整个外窗系统的综合性能</w:t>
            </w:r>
            <w:r>
              <w:rPr>
                <w:rFonts w:hint="eastAsia"/>
                <w:color w:val="auto"/>
              </w:rPr>
              <w:t>。</w:t>
            </w:r>
          </w:p>
          <w:p w14:paraId="1773DDC6">
            <w:pPr>
              <w:pStyle w:val="62"/>
              <w:numPr>
                <w:ilvl w:val="0"/>
                <w:numId w:val="6"/>
              </w:numPr>
              <w:spacing w:line="360" w:lineRule="auto"/>
              <w:ind w:firstLine="422" w:firstLineChars="0"/>
              <w:rPr>
                <w:color w:val="auto"/>
              </w:rPr>
            </w:pPr>
            <w:r>
              <w:rPr>
                <w:rFonts w:hint="eastAsia"/>
                <w:b/>
                <w:bCs/>
                <w:color w:val="auto"/>
              </w:rPr>
              <w:t>外窗系统拆除与专业化安装调试服务：</w:t>
            </w:r>
            <w:r>
              <w:rPr>
                <w:rFonts w:hint="eastAsia"/>
                <w:color w:val="auto"/>
              </w:rPr>
              <w:t>负责安全拆除原有窗体，并依据设计技术方案，进行新外窗系统的专业化安装、气密性及水密性专项调试，确保安装质量符合国家相关标准规范。</w:t>
            </w:r>
          </w:p>
          <w:p w14:paraId="530FAA81">
            <w:pPr>
              <w:pStyle w:val="62"/>
              <w:numPr>
                <w:ilvl w:val="0"/>
                <w:numId w:val="6"/>
              </w:numPr>
              <w:spacing w:line="360" w:lineRule="auto"/>
              <w:ind w:firstLine="422" w:firstLineChars="0"/>
              <w:rPr>
                <w:color w:val="auto"/>
              </w:rPr>
            </w:pPr>
            <w:r>
              <w:rPr>
                <w:b/>
                <w:bCs/>
                <w:color w:val="auto"/>
              </w:rPr>
              <w:t>性能验证与完工培训服务：</w:t>
            </w:r>
            <w:r>
              <w:rPr>
                <w:color w:val="auto"/>
              </w:rPr>
              <w:t>改造完成后，提供关键性能指标（如气密性）的验证报告，并向</w:t>
            </w:r>
            <w:r>
              <w:rPr>
                <w:rFonts w:hint="eastAsia"/>
                <w:color w:val="auto"/>
              </w:rPr>
              <w:t>采购人</w:t>
            </w:r>
            <w:r>
              <w:rPr>
                <w:color w:val="auto"/>
              </w:rPr>
              <w:t>提供外窗系统使用与维护的要点培训</w:t>
            </w:r>
            <w:r>
              <w:rPr>
                <w:rFonts w:hint="eastAsia"/>
                <w:color w:val="auto"/>
              </w:rPr>
              <w:t>。</w:t>
            </w:r>
          </w:p>
        </w:tc>
      </w:tr>
      <w:tr w14:paraId="3B1D8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tcPr>
          <w:p w14:paraId="59C02378">
            <w:pPr>
              <w:spacing w:line="360" w:lineRule="auto"/>
              <w:rPr>
                <w:rFonts w:hint="eastAsia" w:ascii="宋体" w:hAnsi="宋体" w:cs="宋体"/>
                <w:color w:val="auto"/>
                <w:szCs w:val="21"/>
              </w:rPr>
            </w:pPr>
            <w:r>
              <w:rPr>
                <w:rFonts w:hint="eastAsia" w:ascii="宋体" w:hAnsi="宋体" w:cs="宋体"/>
                <w:b/>
                <w:color w:val="auto"/>
                <w:szCs w:val="21"/>
              </w:rPr>
              <w:t>▲一、商务要求</w:t>
            </w:r>
          </w:p>
        </w:tc>
      </w:tr>
      <w:tr w14:paraId="0BD96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042" w:type="dxa"/>
            <w:gridSpan w:val="3"/>
            <w:tcBorders>
              <w:top w:val="single" w:color="auto" w:sz="4" w:space="0"/>
              <w:left w:val="single" w:color="auto" w:sz="4" w:space="0"/>
              <w:bottom w:val="single" w:color="auto" w:sz="4" w:space="0"/>
              <w:right w:val="single" w:color="auto" w:sz="4" w:space="0"/>
            </w:tcBorders>
            <w:vAlign w:val="center"/>
          </w:tcPr>
          <w:p w14:paraId="777631EF">
            <w:pPr>
              <w:spacing w:line="360" w:lineRule="auto"/>
              <w:rPr>
                <w:rFonts w:hint="eastAsia" w:ascii="宋体" w:hAnsi="宋体" w:cs="宋体"/>
                <w:b/>
                <w:color w:val="auto"/>
                <w:szCs w:val="21"/>
              </w:rPr>
            </w:pPr>
            <w:r>
              <w:rPr>
                <w:rFonts w:hint="eastAsia" w:ascii="宋体" w:hAnsi="宋体" w:cs="宋体"/>
                <w:color w:val="auto"/>
                <w:szCs w:val="21"/>
              </w:rPr>
              <w:t>服务期限（合同履行期限）及地点</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0C668EAB">
            <w:pPr>
              <w:spacing w:line="360" w:lineRule="auto"/>
              <w:rPr>
                <w:rFonts w:hint="eastAsia" w:ascii="宋体" w:hAnsi="宋体" w:cs="宋体"/>
                <w:bCs/>
                <w:color w:val="auto"/>
                <w:szCs w:val="21"/>
              </w:rPr>
            </w:pPr>
            <w:r>
              <w:rPr>
                <w:rFonts w:hint="eastAsia" w:ascii="宋体" w:hAnsi="宋体" w:cs="宋体"/>
                <w:bCs/>
                <w:color w:val="auto"/>
                <w:szCs w:val="21"/>
              </w:rPr>
              <w:t>1.服务期限：自签订合同之日起90日历天内。</w:t>
            </w:r>
          </w:p>
          <w:p w14:paraId="557BFEE0">
            <w:pPr>
              <w:spacing w:line="360" w:lineRule="auto"/>
              <w:rPr>
                <w:rFonts w:hint="eastAsia" w:ascii="宋体" w:hAnsi="宋体" w:cs="宋体"/>
                <w:bCs/>
                <w:color w:val="auto"/>
                <w:szCs w:val="21"/>
              </w:rPr>
            </w:pPr>
            <w:r>
              <w:rPr>
                <w:rFonts w:hint="eastAsia" w:ascii="宋体" w:hAnsi="宋体" w:cs="宋体"/>
                <w:bCs/>
                <w:color w:val="auto"/>
                <w:szCs w:val="21"/>
              </w:rPr>
              <w:t>2.交付时间：自签订合同之日起90日历天内。</w:t>
            </w:r>
          </w:p>
          <w:p w14:paraId="10EDBF87">
            <w:pPr>
              <w:spacing w:line="360" w:lineRule="auto"/>
              <w:rPr>
                <w:rFonts w:hint="eastAsia" w:ascii="宋体" w:hAnsi="宋体" w:cs="宋体"/>
                <w:b/>
                <w:color w:val="auto"/>
                <w:szCs w:val="21"/>
              </w:rPr>
            </w:pPr>
            <w:r>
              <w:rPr>
                <w:rFonts w:hint="eastAsia" w:ascii="宋体" w:hAnsi="宋体" w:cs="宋体"/>
                <w:bCs/>
                <w:color w:val="auto"/>
                <w:szCs w:val="21"/>
              </w:rPr>
              <w:t>3.交付（实施）的地点：梧州市政府办公大楼。</w:t>
            </w:r>
          </w:p>
        </w:tc>
      </w:tr>
      <w:tr w14:paraId="710FC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2DDC4D2D">
            <w:pPr>
              <w:spacing w:line="360" w:lineRule="auto"/>
              <w:rPr>
                <w:rFonts w:hint="eastAsia" w:ascii="宋体" w:hAnsi="宋体" w:cs="宋体"/>
                <w:b/>
                <w:color w:val="auto"/>
                <w:szCs w:val="21"/>
              </w:rPr>
            </w:pPr>
            <w:r>
              <w:rPr>
                <w:rFonts w:hint="eastAsia" w:ascii="宋体" w:hAnsi="宋体" w:cs="宋体"/>
                <w:color w:val="auto"/>
                <w:szCs w:val="21"/>
              </w:rPr>
              <w:t>合同签订时间</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77898066">
            <w:pPr>
              <w:spacing w:line="360" w:lineRule="auto"/>
              <w:rPr>
                <w:rFonts w:hint="eastAsia" w:ascii="宋体" w:hAnsi="宋体" w:cs="宋体"/>
                <w:b/>
                <w:color w:val="auto"/>
                <w:szCs w:val="21"/>
              </w:rPr>
            </w:pPr>
            <w:r>
              <w:rPr>
                <w:rFonts w:hint="eastAsia" w:ascii="宋体" w:hAnsi="宋体" w:cs="宋体"/>
                <w:color w:val="auto"/>
                <w:szCs w:val="21"/>
              </w:rPr>
              <w:t xml:space="preserve">自成交通知书发出之日起 </w:t>
            </w:r>
            <w:r>
              <w:rPr>
                <w:rFonts w:hint="eastAsia" w:ascii="宋体" w:hAnsi="宋体" w:cs="宋体"/>
                <w:color w:val="auto"/>
                <w:szCs w:val="21"/>
                <w:u w:val="single"/>
              </w:rPr>
              <w:t xml:space="preserve">15 </w:t>
            </w:r>
            <w:r>
              <w:rPr>
                <w:rFonts w:hint="eastAsia" w:ascii="宋体" w:hAnsi="宋体" w:cs="宋体"/>
                <w:color w:val="auto"/>
                <w:szCs w:val="21"/>
              </w:rPr>
              <w:t>日内</w:t>
            </w:r>
          </w:p>
        </w:tc>
      </w:tr>
      <w:tr w14:paraId="085B1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063B5435">
            <w:pPr>
              <w:spacing w:line="360" w:lineRule="auto"/>
              <w:rPr>
                <w:rFonts w:hint="eastAsia" w:ascii="宋体" w:hAnsi="宋体" w:cs="宋体"/>
                <w:b/>
                <w:color w:val="auto"/>
                <w:szCs w:val="21"/>
              </w:rPr>
            </w:pPr>
            <w:r>
              <w:rPr>
                <w:rFonts w:hint="eastAsia" w:ascii="宋体" w:hAnsi="宋体" w:cs="宋体"/>
                <w:color w:val="auto"/>
                <w:szCs w:val="21"/>
              </w:rPr>
              <w:t>付款条件</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2D1A23F0">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1.双方签订合同之日起10个工作日内，采购人向成交供应商支付合同总金额的50%作为预付款，项目完成并经采购人验收合格且全部交付正常使用后，采购人在10个工作日向成交供应商支付合同总金额的50%。</w:t>
            </w:r>
          </w:p>
          <w:p w14:paraId="5EE167E1">
            <w:pPr>
              <w:rPr>
                <w:rFonts w:hint="eastAsia" w:ascii="宋体" w:hAnsi="宋体" w:cs="宋体"/>
                <w:b/>
                <w:color w:val="auto"/>
                <w:szCs w:val="21"/>
              </w:rPr>
            </w:pPr>
            <w:r>
              <w:rPr>
                <w:rFonts w:hint="eastAsia" w:ascii="宋体" w:hAnsi="宋体" w:cs="宋体"/>
                <w:color w:val="auto"/>
                <w:szCs w:val="21"/>
              </w:rPr>
              <w:t>2.成交供应商在申请款项时，必须向采购人提供相应金额的符合国家规定的有效发票。</w:t>
            </w:r>
          </w:p>
        </w:tc>
      </w:tr>
      <w:tr w14:paraId="6F5E9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2A8F1247">
            <w:pPr>
              <w:spacing w:line="360" w:lineRule="auto"/>
              <w:rPr>
                <w:rFonts w:hint="eastAsia" w:ascii="宋体" w:hAnsi="宋体" w:cs="宋体"/>
                <w:color w:val="auto"/>
                <w:szCs w:val="21"/>
              </w:rPr>
            </w:pPr>
            <w:r>
              <w:rPr>
                <w:rFonts w:hint="eastAsia" w:ascii="宋体" w:hAnsi="宋体" w:cs="宋体"/>
                <w:color w:val="auto"/>
                <w:szCs w:val="21"/>
              </w:rPr>
              <w:t>售后服务要求</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4DBCF4C0">
            <w:pPr>
              <w:tabs>
                <w:tab w:val="left" w:pos="180"/>
                <w:tab w:val="left" w:pos="1620"/>
              </w:tabs>
              <w:spacing w:line="360" w:lineRule="auto"/>
              <w:rPr>
                <w:color w:val="auto"/>
              </w:rPr>
            </w:pPr>
            <w:r>
              <w:rPr>
                <w:rFonts w:hint="eastAsia" w:ascii="宋体" w:hAnsi="宋体" w:cs="宋体"/>
                <w:color w:val="auto"/>
                <w:szCs w:val="21"/>
              </w:rPr>
              <w:t>1.本服务项目伴随的所有货物按国家有关产品“三包”规定执行“三包”，质保期除特别注明外，最短不得少于1年。</w:t>
            </w:r>
          </w:p>
          <w:p w14:paraId="6506441D">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2.“质保期”是指在规定时限或成交供应商承诺时限内，因货物质量、性能问题导致 不能正常使用需要维修维护或设备更换而产生的所有费用均由成交供应商负责支付，包括人员上门、设备货物及配件的更换和运输等。如由于采购人操作不当或维护不当造成的货物不能正常使用，则成交供应商需协助采购人进行维护或更换。</w:t>
            </w:r>
          </w:p>
          <w:p w14:paraId="3C6FE89F">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3.在供应商承诺的质保期内，设备保修保换所需要的配件均是原厂原装，不得使用兼容产品。</w:t>
            </w:r>
          </w:p>
          <w:p w14:paraId="2C3BFEAB">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4.本服务项目伴随的所有货物无条件送货上门至采购人指定地点（含装卸），现场安装所需工具、器材由成交供应商自理，各项性能指标达到服务内容及要求的，由供需双方共同签字认可；最终验收前产生的所有费用由成交供应商承担；</w:t>
            </w:r>
          </w:p>
          <w:p w14:paraId="14A5B6F9">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5.处理问题响应时间：接到采购人处理问题通知后应在当天内到达采购人指定现场解决（属于本服务项目伴随的所有货物接到维护电话保证24小时响应，自接到维修通知起4小时内到达现场处理解决，一般维修处理时限不超过12小时，12小时内不能修复的，提供替代品）；</w:t>
            </w:r>
          </w:p>
          <w:p w14:paraId="3469218F">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6.本服务项目伴随的所有货物成交供应商负责处理解决货物出现的质量及安全问题并承担一切费用，所有非故意性损坏以及正常使用范围内造成的损坏均要无条件维修，因人为因素出现的故障不在无条件保修范围内，但成交供应商也要积极帮助采购人修理，并提供优惠价格的配件和服务；</w:t>
            </w:r>
          </w:p>
          <w:p w14:paraId="40394025">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7.本服务项目伴随的所有货物均备有配件，接报修通知后4小时内到达现场处理。</w:t>
            </w:r>
          </w:p>
        </w:tc>
      </w:tr>
      <w:tr w14:paraId="54807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1A3D0C42">
            <w:pPr>
              <w:spacing w:line="360" w:lineRule="auto"/>
              <w:rPr>
                <w:rFonts w:hint="eastAsia" w:ascii="宋体" w:hAnsi="宋体" w:cs="宋体"/>
                <w:color w:val="auto"/>
                <w:szCs w:val="21"/>
              </w:rPr>
            </w:pPr>
            <w:r>
              <w:rPr>
                <w:rFonts w:hint="eastAsia" w:ascii="宋体" w:hAnsi="宋体" w:cs="宋体"/>
                <w:bCs/>
                <w:color w:val="auto"/>
                <w:szCs w:val="21"/>
              </w:rPr>
              <w:t>验收标准</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330BF70D">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1.符合采购需求要求的服务标准、服务要求等。</w:t>
            </w:r>
          </w:p>
          <w:p w14:paraId="6D11749A">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2.验收方式：服务完成后，成交供应商须向采购人提交验收申请，验收内容要包括每一项技术和商务要求的履约情况，采购人收到申请后五个工作日进行验收（如有特殊情况，按采购人指定的时间，另行验收）。</w:t>
            </w:r>
          </w:p>
          <w:p w14:paraId="51B331B4">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3.验收过程中所产生的一切费用均由成交供应商承担。报价时应考虑相关费用。</w:t>
            </w:r>
          </w:p>
          <w:p w14:paraId="6286A6AC">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4.成交供应商在服务验收时由采购人对照采购文件的服务内容及要求全面核对检验，如不符合采购文件的服务内容及要求以及提供虚假承诺的，一经查实，将上报有关部门按虚假应标处理，采购人可按相关规定做终止服务处理，同时将取消其成交资格并追究其违约责任。</w:t>
            </w:r>
          </w:p>
          <w:p w14:paraId="62B4FDFB">
            <w:pPr>
              <w:tabs>
                <w:tab w:val="left" w:pos="180"/>
                <w:tab w:val="left" w:pos="1620"/>
              </w:tabs>
              <w:spacing w:line="360" w:lineRule="auto"/>
              <w:rPr>
                <w:color w:val="auto"/>
              </w:rPr>
            </w:pPr>
            <w:r>
              <w:rPr>
                <w:rFonts w:hint="eastAsia" w:ascii="宋体" w:hAnsi="宋体" w:cs="宋体"/>
                <w:color w:val="auto"/>
                <w:szCs w:val="21"/>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71E1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60406630">
            <w:pPr>
              <w:tabs>
                <w:tab w:val="left" w:pos="180"/>
                <w:tab w:val="left" w:pos="1620"/>
              </w:tabs>
              <w:spacing w:line="360" w:lineRule="auto"/>
              <w:rPr>
                <w:rFonts w:hint="eastAsia" w:ascii="宋体" w:hAnsi="宋体" w:cs="宋体"/>
                <w:color w:val="auto"/>
                <w:szCs w:val="21"/>
              </w:rPr>
            </w:pPr>
            <w:r>
              <w:rPr>
                <w:rFonts w:ascii="宋体" w:hAnsi="宋体" w:cs="宋体"/>
                <w:color w:val="auto"/>
                <w:szCs w:val="21"/>
              </w:rPr>
              <w:t>报价要求</w:t>
            </w:r>
          </w:p>
        </w:tc>
        <w:tc>
          <w:tcPr>
            <w:tcW w:w="6480" w:type="dxa"/>
            <w:gridSpan w:val="3"/>
            <w:tcBorders>
              <w:top w:val="single" w:color="auto" w:sz="4" w:space="0"/>
              <w:left w:val="single" w:color="auto" w:sz="4" w:space="0"/>
              <w:bottom w:val="single" w:color="auto" w:sz="4" w:space="0"/>
              <w:right w:val="single" w:color="auto" w:sz="4" w:space="0"/>
            </w:tcBorders>
          </w:tcPr>
          <w:p w14:paraId="219D359A">
            <w:pPr>
              <w:tabs>
                <w:tab w:val="left" w:pos="180"/>
                <w:tab w:val="left" w:pos="1620"/>
              </w:tabs>
              <w:spacing w:line="360" w:lineRule="auto"/>
              <w:rPr>
                <w:rFonts w:hint="eastAsia" w:ascii="宋体" w:hAnsi="宋体" w:cs="宋体"/>
                <w:color w:val="auto"/>
                <w:szCs w:val="21"/>
              </w:rPr>
            </w:pPr>
            <w:r>
              <w:rPr>
                <w:rFonts w:ascii="宋体" w:hAnsi="宋体" w:cs="宋体"/>
                <w:color w:val="auto"/>
                <w:szCs w:val="21"/>
              </w:rPr>
              <w:t>本项目不允许转包、分包，本次报价需为人民币报价，报价必须包含供应商完成本项目服务所有内容及其他可能发生的一切费用。报价包含但不限于服务</w:t>
            </w:r>
            <w:r>
              <w:rPr>
                <w:rFonts w:hint="eastAsia" w:ascii="宋体" w:hAnsi="宋体" w:cs="宋体"/>
                <w:color w:val="auto"/>
                <w:szCs w:val="21"/>
              </w:rPr>
              <w:t>所包含的货物成本、</w:t>
            </w:r>
            <w:r>
              <w:rPr>
                <w:rFonts w:ascii="宋体" w:hAnsi="宋体" w:cs="宋体"/>
                <w:color w:val="auto"/>
                <w:szCs w:val="21"/>
              </w:rPr>
              <w:t>提交成果、编制、组织、策划、开发、调研、技术协助、校准、培训、技术指导、税金等 类似服务内容的全部费用，采购人不再支付其他任何费用。</w:t>
            </w:r>
          </w:p>
        </w:tc>
      </w:tr>
      <w:tr w14:paraId="049F8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48C82B4A">
            <w:pPr>
              <w:spacing w:line="360" w:lineRule="auto"/>
              <w:rPr>
                <w:rFonts w:hint="eastAsia" w:ascii="宋体" w:hAnsi="宋体" w:cs="宋体"/>
                <w:bCs/>
                <w:color w:val="auto"/>
                <w:szCs w:val="21"/>
              </w:rPr>
            </w:pPr>
            <w:r>
              <w:rPr>
                <w:rFonts w:hint="eastAsia" w:ascii="宋体" w:hAnsi="宋体" w:cs="宋体"/>
                <w:bCs/>
                <w:color w:val="auto"/>
                <w:szCs w:val="21"/>
              </w:rPr>
              <w:t>知识产权</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42319EA2">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采购人在中华人民共和国境内使用供应商提供的产品及服务时免受第三方提出的侵犯其专利权或其它知识产权的起诉。如果第三方提出侵权指控，成交供应商承担由此而引起的一切法律责任和费用。</w:t>
            </w:r>
          </w:p>
        </w:tc>
      </w:tr>
      <w:tr w14:paraId="0B3AE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14:paraId="769D4A5E">
            <w:pPr>
              <w:spacing w:line="360" w:lineRule="auto"/>
              <w:rPr>
                <w:rFonts w:hint="eastAsia" w:ascii="宋体" w:hAnsi="宋体" w:cs="宋体"/>
                <w:color w:val="auto"/>
                <w:szCs w:val="21"/>
              </w:rPr>
            </w:pPr>
            <w:r>
              <w:rPr>
                <w:rFonts w:hint="eastAsia" w:ascii="宋体" w:hAnsi="宋体" w:cs="宋体"/>
                <w:b/>
                <w:bCs/>
                <w:color w:val="auto"/>
                <w:szCs w:val="21"/>
              </w:rPr>
              <w:t>二、与实现项目目标相关的其他要求</w:t>
            </w:r>
          </w:p>
        </w:tc>
      </w:tr>
      <w:tr w14:paraId="27CE8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14:paraId="6E457E3C">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为保证项目顺利实施，供应商应在商务技术文件中提供以下方案：</w:t>
            </w:r>
          </w:p>
          <w:p w14:paraId="7B08C186">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1.项目技术方案：包括但不限于改造单位的基础信息和三大改造内容</w:t>
            </w:r>
            <w:r>
              <w:rPr>
                <w:rFonts w:hint="eastAsia" w:ascii="宋体" w:hAnsi="宋体" w:cs="宋体"/>
                <w:bCs/>
                <w:color w:val="auto"/>
                <w:szCs w:val="21"/>
              </w:rPr>
              <w:t>[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w:t>
            </w:r>
            <w:r>
              <w:rPr>
                <w:rFonts w:hint="eastAsia" w:ascii="宋体" w:hAnsi="宋体" w:cs="宋体"/>
                <w:color w:val="auto"/>
                <w:szCs w:val="21"/>
              </w:rPr>
              <w:t>；</w:t>
            </w:r>
          </w:p>
          <w:p w14:paraId="19F52A18">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2.项目设计方案图：包括但不限于改造位置示意图、系统图、平面布置图或材料清单等；</w:t>
            </w:r>
          </w:p>
          <w:p w14:paraId="6D5C8A4C">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3.项目实施方案：包括但不限于改造内容、实施计划及进度安排等；</w:t>
            </w:r>
          </w:p>
          <w:p w14:paraId="12326C90">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4.售后服务方案：包括但不限于承诺的质保期、接到通知到达时现场处理故障时间、一般故障承诺解决时间、故障无法排除时的解决方案、技术培训、回访措施、维护措施、耗材及备品备件优惠措施、维保人员配置等；</w:t>
            </w:r>
          </w:p>
          <w:p w14:paraId="337B99F8">
            <w:pPr>
              <w:tabs>
                <w:tab w:val="left" w:pos="180"/>
                <w:tab w:val="left" w:pos="1620"/>
              </w:tabs>
              <w:spacing w:line="360" w:lineRule="auto"/>
              <w:rPr>
                <w:rFonts w:hint="eastAsia" w:ascii="宋体" w:hAnsi="宋体" w:cs="宋体"/>
                <w:color w:val="auto"/>
                <w:szCs w:val="21"/>
              </w:rPr>
            </w:pPr>
            <w:r>
              <w:rPr>
                <w:rFonts w:hint="eastAsia" w:ascii="宋体" w:hAnsi="宋体" w:cs="宋体"/>
                <w:color w:val="auto"/>
                <w:szCs w:val="21"/>
              </w:rPr>
              <w:t>5.对应采购需求的技术要求、商务要求提供的其他文件资料（格式自拟）。</w:t>
            </w:r>
          </w:p>
        </w:tc>
      </w:tr>
    </w:tbl>
    <w:p w14:paraId="393B981D">
      <w:pPr>
        <w:snapToGrid w:val="0"/>
        <w:spacing w:line="520" w:lineRule="exact"/>
        <w:rPr>
          <w:rFonts w:hint="eastAsia" w:ascii="黑体" w:hAnsi="黑体" w:eastAsia="黑体" w:cs="黑体"/>
          <w:color w:val="auto"/>
          <w:sz w:val="32"/>
          <w:szCs w:val="32"/>
        </w:rPr>
      </w:pPr>
      <w:r>
        <w:rPr>
          <w:rFonts w:hint="eastAsia" w:ascii="宋体" w:hAnsi="宋体" w:cs="宋体"/>
          <w:color w:val="auto"/>
          <w:szCs w:val="21"/>
        </w:rPr>
        <w:br w:type="page"/>
      </w:r>
      <w:r>
        <w:rPr>
          <w:rFonts w:hint="eastAsia" w:ascii="黑体" w:hAnsi="黑体" w:eastAsia="黑体" w:cs="黑体"/>
          <w:color w:val="auto"/>
          <w:sz w:val="32"/>
          <w:szCs w:val="32"/>
        </w:rPr>
        <w:t>附件1：</w:t>
      </w:r>
    </w:p>
    <w:p w14:paraId="3E475A91">
      <w:pPr>
        <w:pStyle w:val="13"/>
        <w:jc w:val="center"/>
        <w:rPr>
          <w:b/>
          <w:color w:val="auto"/>
          <w:sz w:val="28"/>
          <w:szCs w:val="28"/>
        </w:rPr>
      </w:pPr>
      <w:r>
        <w:rPr>
          <w:rFonts w:hint="eastAsia"/>
          <w:b/>
          <w:color w:val="auto"/>
          <w:sz w:val="28"/>
          <w:szCs w:val="28"/>
        </w:rPr>
        <w:t>中小企业划型标准规定</w:t>
      </w:r>
    </w:p>
    <w:p w14:paraId="526A31D5">
      <w:pPr>
        <w:pStyle w:val="13"/>
        <w:jc w:val="center"/>
        <w:rPr>
          <w:rFonts w:hint="eastAsia" w:ascii="宋体" w:hAnsi="宋体"/>
          <w:color w:val="auto"/>
          <w:szCs w:val="21"/>
        </w:rPr>
      </w:pPr>
      <w:r>
        <w:rPr>
          <w:rFonts w:hint="eastAsia" w:ascii="宋体" w:hAnsi="宋体"/>
          <w:color w:val="auto"/>
          <w:szCs w:val="21"/>
        </w:rPr>
        <w:t>工信部联企业〔2011〕300号</w:t>
      </w:r>
    </w:p>
    <w:p w14:paraId="4F06AB51">
      <w:pPr>
        <w:pStyle w:val="13"/>
        <w:rPr>
          <w:color w:val="auto"/>
          <w:sz w:val="24"/>
          <w:szCs w:val="21"/>
        </w:rPr>
      </w:pPr>
    </w:p>
    <w:p w14:paraId="4DE734B1">
      <w:pPr>
        <w:pStyle w:val="13"/>
        <w:rPr>
          <w:color w:val="auto"/>
          <w:szCs w:val="21"/>
        </w:rPr>
      </w:pPr>
      <w:r>
        <w:rPr>
          <w:rFonts w:hint="eastAsia"/>
          <w:color w:val="auto"/>
          <w:szCs w:val="21"/>
        </w:rPr>
        <w:t>　　一、根据《中华人民共和国中小企业促进法》和《国务院关于进一步促进中小企业发展的若干意见》</w:t>
      </w:r>
      <w:r>
        <w:rPr>
          <w:color w:val="auto"/>
          <w:szCs w:val="21"/>
        </w:rPr>
        <w:t>(</w:t>
      </w:r>
      <w:r>
        <w:rPr>
          <w:rFonts w:hint="eastAsia"/>
          <w:color w:val="auto"/>
          <w:szCs w:val="21"/>
        </w:rPr>
        <w:t>国发</w:t>
      </w:r>
      <w:r>
        <w:rPr>
          <w:rFonts w:hint="eastAsia" w:ascii="宋体" w:hAnsi="宋体"/>
          <w:color w:val="auto"/>
          <w:szCs w:val="21"/>
        </w:rPr>
        <w:t>〔2009〕36号</w:t>
      </w:r>
      <w:r>
        <w:rPr>
          <w:color w:val="auto"/>
          <w:szCs w:val="21"/>
        </w:rPr>
        <w:t>)</w:t>
      </w:r>
      <w:r>
        <w:rPr>
          <w:rFonts w:hint="eastAsia"/>
          <w:color w:val="auto"/>
          <w:szCs w:val="21"/>
        </w:rPr>
        <w:t>，制定本规定。</w:t>
      </w:r>
    </w:p>
    <w:p w14:paraId="39DD4437">
      <w:pPr>
        <w:pStyle w:val="13"/>
        <w:rPr>
          <w:color w:val="auto"/>
          <w:szCs w:val="21"/>
        </w:rPr>
      </w:pPr>
      <w:r>
        <w:rPr>
          <w:rFonts w:hint="eastAsia"/>
          <w:color w:val="auto"/>
          <w:szCs w:val="21"/>
        </w:rPr>
        <w:t>　　二、中小企业划分为中型、小型、微型三种类型，具体标准根据企业从业人员、营业收入、资产总额等指标，结合行业特点制定。</w:t>
      </w:r>
    </w:p>
    <w:p w14:paraId="788ECA9E">
      <w:pPr>
        <w:pStyle w:val="13"/>
        <w:rPr>
          <w:color w:val="auto"/>
          <w:szCs w:val="21"/>
        </w:rPr>
      </w:pPr>
      <w:r>
        <w:rPr>
          <w:rFonts w:hint="eastAsia"/>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9000B08">
      <w:pPr>
        <w:pStyle w:val="13"/>
        <w:rPr>
          <w:color w:val="auto"/>
          <w:szCs w:val="21"/>
        </w:rPr>
      </w:pPr>
      <w:r>
        <w:rPr>
          <w:rFonts w:hint="eastAsia"/>
          <w:color w:val="auto"/>
          <w:szCs w:val="21"/>
        </w:rPr>
        <w:t>　　四、各行业划型标准为：</w:t>
      </w:r>
    </w:p>
    <w:p w14:paraId="31B400A8">
      <w:pPr>
        <w:pStyle w:val="13"/>
        <w:rPr>
          <w:color w:val="auto"/>
          <w:szCs w:val="21"/>
        </w:rPr>
      </w:pPr>
      <w:r>
        <w:rPr>
          <w:rFonts w:hint="eastAsia"/>
          <w:color w:val="auto"/>
          <w:szCs w:val="21"/>
        </w:rPr>
        <w:t>　　（一）农、林、牧、渔业。营业收入</w:t>
      </w:r>
      <w:r>
        <w:rPr>
          <w:color w:val="auto"/>
          <w:szCs w:val="21"/>
        </w:rPr>
        <w:t>20000</w:t>
      </w:r>
      <w:r>
        <w:rPr>
          <w:rFonts w:hint="eastAsia"/>
          <w:color w:val="auto"/>
          <w:szCs w:val="21"/>
        </w:rPr>
        <w:t>万元以下的为中小微型企业。其中，营业收入</w:t>
      </w:r>
      <w:r>
        <w:rPr>
          <w:color w:val="auto"/>
          <w:szCs w:val="21"/>
        </w:rPr>
        <w:t>500</w:t>
      </w:r>
      <w:r>
        <w:rPr>
          <w:rFonts w:hint="eastAsia"/>
          <w:color w:val="auto"/>
          <w:szCs w:val="21"/>
        </w:rPr>
        <w:t>万元及以上的为中型企业，营业收入</w:t>
      </w:r>
      <w:r>
        <w:rPr>
          <w:color w:val="auto"/>
          <w:szCs w:val="21"/>
        </w:rPr>
        <w:t>50</w:t>
      </w:r>
      <w:r>
        <w:rPr>
          <w:rFonts w:hint="eastAsia"/>
          <w:color w:val="auto"/>
          <w:szCs w:val="21"/>
        </w:rPr>
        <w:t>万元及以上的为小型企业，营业收入</w:t>
      </w:r>
      <w:r>
        <w:rPr>
          <w:color w:val="auto"/>
          <w:szCs w:val="21"/>
        </w:rPr>
        <w:t>50</w:t>
      </w:r>
      <w:r>
        <w:rPr>
          <w:rFonts w:hint="eastAsia"/>
          <w:color w:val="auto"/>
          <w:szCs w:val="21"/>
        </w:rPr>
        <w:t>万元以下的为微型企业。</w:t>
      </w:r>
    </w:p>
    <w:p w14:paraId="618A0332">
      <w:pPr>
        <w:pStyle w:val="13"/>
        <w:rPr>
          <w:color w:val="auto"/>
          <w:szCs w:val="21"/>
        </w:rPr>
      </w:pPr>
      <w:r>
        <w:rPr>
          <w:rFonts w:hint="eastAsia"/>
          <w:color w:val="auto"/>
          <w:szCs w:val="21"/>
        </w:rPr>
        <w:t>　　（二）工业。从业人员</w:t>
      </w:r>
      <w:r>
        <w:rPr>
          <w:color w:val="auto"/>
          <w:szCs w:val="21"/>
        </w:rPr>
        <w:t>1000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300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300</w:t>
      </w:r>
      <w:r>
        <w:rPr>
          <w:rFonts w:hint="eastAsia"/>
          <w:color w:val="auto"/>
          <w:szCs w:val="21"/>
        </w:rPr>
        <w:t>万元以下的为微型企业。</w:t>
      </w:r>
    </w:p>
    <w:p w14:paraId="06A99106">
      <w:pPr>
        <w:pStyle w:val="13"/>
        <w:rPr>
          <w:color w:val="auto"/>
          <w:szCs w:val="21"/>
        </w:rPr>
      </w:pPr>
      <w:r>
        <w:rPr>
          <w:rFonts w:hint="eastAsia"/>
          <w:color w:val="auto"/>
          <w:szCs w:val="21"/>
        </w:rPr>
        <w:t>　　（三）建筑业。营业收入</w:t>
      </w:r>
      <w:r>
        <w:rPr>
          <w:color w:val="auto"/>
          <w:szCs w:val="21"/>
        </w:rPr>
        <w:t>80000</w:t>
      </w:r>
      <w:r>
        <w:rPr>
          <w:rFonts w:hint="eastAsia"/>
          <w:color w:val="auto"/>
          <w:szCs w:val="21"/>
        </w:rPr>
        <w:t>万元以下或资产总额</w:t>
      </w:r>
      <w:r>
        <w:rPr>
          <w:color w:val="auto"/>
          <w:szCs w:val="21"/>
        </w:rPr>
        <w:t>80000</w:t>
      </w:r>
      <w:r>
        <w:rPr>
          <w:rFonts w:hint="eastAsia"/>
          <w:color w:val="auto"/>
          <w:szCs w:val="21"/>
        </w:rPr>
        <w:t>万元以下的为中小微型企业。其中，营业收入</w:t>
      </w:r>
      <w:r>
        <w:rPr>
          <w:color w:val="auto"/>
          <w:szCs w:val="21"/>
        </w:rPr>
        <w:t>6000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300</w:t>
      </w:r>
      <w:r>
        <w:rPr>
          <w:rFonts w:hint="eastAsia"/>
          <w:color w:val="auto"/>
          <w:szCs w:val="21"/>
        </w:rPr>
        <w:t>万元及以上，且资产总额</w:t>
      </w:r>
      <w:r>
        <w:rPr>
          <w:color w:val="auto"/>
          <w:szCs w:val="21"/>
        </w:rPr>
        <w:t>300</w:t>
      </w:r>
      <w:r>
        <w:rPr>
          <w:rFonts w:hint="eastAsia"/>
          <w:color w:val="auto"/>
          <w:szCs w:val="21"/>
        </w:rPr>
        <w:t>万元及以上的为小型企业；营业收入</w:t>
      </w:r>
      <w:r>
        <w:rPr>
          <w:color w:val="auto"/>
          <w:szCs w:val="21"/>
        </w:rPr>
        <w:t>300</w:t>
      </w:r>
      <w:r>
        <w:rPr>
          <w:rFonts w:hint="eastAsia"/>
          <w:color w:val="auto"/>
          <w:szCs w:val="21"/>
        </w:rPr>
        <w:t>万元以下或资产总额</w:t>
      </w:r>
      <w:r>
        <w:rPr>
          <w:color w:val="auto"/>
          <w:szCs w:val="21"/>
        </w:rPr>
        <w:t>300</w:t>
      </w:r>
      <w:r>
        <w:rPr>
          <w:rFonts w:hint="eastAsia"/>
          <w:color w:val="auto"/>
          <w:szCs w:val="21"/>
        </w:rPr>
        <w:t>万元以下的为微型企业。</w:t>
      </w:r>
    </w:p>
    <w:p w14:paraId="322D5053">
      <w:pPr>
        <w:pStyle w:val="13"/>
        <w:rPr>
          <w:color w:val="auto"/>
          <w:szCs w:val="21"/>
        </w:rPr>
      </w:pPr>
      <w:r>
        <w:rPr>
          <w:rFonts w:hint="eastAsia"/>
          <w:color w:val="auto"/>
          <w:szCs w:val="21"/>
        </w:rPr>
        <w:t>　　（四）批发业。从业人员</w:t>
      </w:r>
      <w:r>
        <w:rPr>
          <w:color w:val="auto"/>
          <w:szCs w:val="21"/>
        </w:rPr>
        <w:t>200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20</w:t>
      </w:r>
      <w:r>
        <w:rPr>
          <w:rFonts w:hint="eastAsia"/>
          <w:color w:val="auto"/>
          <w:szCs w:val="21"/>
        </w:rPr>
        <w:t>人及以上，且营业收入</w:t>
      </w:r>
      <w:r>
        <w:rPr>
          <w:color w:val="auto"/>
          <w:szCs w:val="21"/>
        </w:rPr>
        <w:t>5000</w:t>
      </w:r>
      <w:r>
        <w:rPr>
          <w:rFonts w:hint="eastAsia"/>
          <w:color w:val="auto"/>
          <w:szCs w:val="21"/>
        </w:rPr>
        <w:t>万元及以上的为中型企业；从业人员</w:t>
      </w:r>
      <w:r>
        <w:rPr>
          <w:color w:val="auto"/>
          <w:szCs w:val="21"/>
        </w:rPr>
        <w:t>5</w:t>
      </w:r>
      <w:r>
        <w:rPr>
          <w:rFonts w:hint="eastAsia"/>
          <w:color w:val="auto"/>
          <w:szCs w:val="21"/>
        </w:rPr>
        <w:t>人及以上，且营业收入</w:t>
      </w:r>
      <w:r>
        <w:rPr>
          <w:color w:val="auto"/>
          <w:szCs w:val="21"/>
        </w:rPr>
        <w:t>1000</w:t>
      </w:r>
      <w:r>
        <w:rPr>
          <w:rFonts w:hint="eastAsia"/>
          <w:color w:val="auto"/>
          <w:szCs w:val="21"/>
        </w:rPr>
        <w:t>万元及以上的为小型企业；从业人员</w:t>
      </w:r>
      <w:r>
        <w:rPr>
          <w:color w:val="auto"/>
          <w:szCs w:val="21"/>
        </w:rPr>
        <w:t>5</w:t>
      </w:r>
      <w:r>
        <w:rPr>
          <w:rFonts w:hint="eastAsia"/>
          <w:color w:val="auto"/>
          <w:szCs w:val="21"/>
        </w:rPr>
        <w:t>人以下或营业收入</w:t>
      </w:r>
      <w:r>
        <w:rPr>
          <w:color w:val="auto"/>
          <w:szCs w:val="21"/>
        </w:rPr>
        <w:t>1000</w:t>
      </w:r>
      <w:r>
        <w:rPr>
          <w:rFonts w:hint="eastAsia"/>
          <w:color w:val="auto"/>
          <w:szCs w:val="21"/>
        </w:rPr>
        <w:t>万元以下的为微型企业。</w:t>
      </w:r>
    </w:p>
    <w:p w14:paraId="0F6F3C06">
      <w:pPr>
        <w:pStyle w:val="13"/>
        <w:rPr>
          <w:color w:val="auto"/>
          <w:szCs w:val="21"/>
        </w:rPr>
      </w:pPr>
      <w:r>
        <w:rPr>
          <w:rFonts w:hint="eastAsia"/>
          <w:color w:val="auto"/>
          <w:szCs w:val="21"/>
        </w:rPr>
        <w:t>　　（五）零售业。从业人员</w:t>
      </w:r>
      <w:r>
        <w:rPr>
          <w:color w:val="auto"/>
          <w:szCs w:val="21"/>
        </w:rPr>
        <w:t>300</w:t>
      </w:r>
      <w:r>
        <w:rPr>
          <w:rFonts w:hint="eastAsia"/>
          <w:color w:val="auto"/>
          <w:szCs w:val="21"/>
        </w:rPr>
        <w:t>人以下或营业收入</w:t>
      </w:r>
      <w:r>
        <w:rPr>
          <w:color w:val="auto"/>
          <w:szCs w:val="21"/>
        </w:rPr>
        <w:t>20000</w:t>
      </w:r>
      <w:r>
        <w:rPr>
          <w:rFonts w:hint="eastAsia"/>
          <w:color w:val="auto"/>
          <w:szCs w:val="21"/>
        </w:rPr>
        <w:t>万元以下的为中小微型企业。其中，从业人员</w:t>
      </w:r>
      <w:r>
        <w:rPr>
          <w:color w:val="auto"/>
          <w:szCs w:val="21"/>
        </w:rPr>
        <w:t>50</w:t>
      </w:r>
      <w:r>
        <w:rPr>
          <w:rFonts w:hint="eastAsia"/>
          <w:color w:val="auto"/>
          <w:szCs w:val="21"/>
        </w:rPr>
        <w:t>人及以上，且营业收入</w:t>
      </w:r>
      <w:r>
        <w:rPr>
          <w:color w:val="auto"/>
          <w:szCs w:val="21"/>
        </w:rPr>
        <w:t>500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395E6AAD">
      <w:pPr>
        <w:pStyle w:val="13"/>
        <w:rPr>
          <w:color w:val="auto"/>
          <w:szCs w:val="21"/>
        </w:rPr>
      </w:pPr>
      <w:r>
        <w:rPr>
          <w:rFonts w:hint="eastAsia"/>
          <w:color w:val="auto"/>
          <w:szCs w:val="21"/>
        </w:rPr>
        <w:t>　　（六）交通运输业。从业人员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3000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200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200</w:t>
      </w:r>
      <w:r>
        <w:rPr>
          <w:rFonts w:hint="eastAsia"/>
          <w:color w:val="auto"/>
          <w:szCs w:val="21"/>
        </w:rPr>
        <w:t>万元以下的为微型企业。</w:t>
      </w:r>
    </w:p>
    <w:p w14:paraId="762F4709">
      <w:pPr>
        <w:pStyle w:val="13"/>
        <w:rPr>
          <w:color w:val="auto"/>
          <w:szCs w:val="21"/>
        </w:rPr>
      </w:pPr>
      <w:r>
        <w:rPr>
          <w:rFonts w:hint="eastAsia"/>
          <w:color w:val="auto"/>
          <w:szCs w:val="21"/>
        </w:rPr>
        <w:t>　　（七）仓储业。从业人员</w:t>
      </w:r>
      <w:r>
        <w:rPr>
          <w:color w:val="auto"/>
          <w:szCs w:val="21"/>
        </w:rPr>
        <w:t>200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0EC51C75">
      <w:pPr>
        <w:pStyle w:val="13"/>
        <w:rPr>
          <w:color w:val="auto"/>
          <w:szCs w:val="21"/>
        </w:rPr>
      </w:pPr>
      <w:r>
        <w:rPr>
          <w:rFonts w:hint="eastAsia"/>
          <w:color w:val="auto"/>
          <w:szCs w:val="21"/>
        </w:rPr>
        <w:t>　　（八）邮政业。从业人员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3AE17578">
      <w:pPr>
        <w:pStyle w:val="13"/>
        <w:rPr>
          <w:color w:val="auto"/>
          <w:szCs w:val="21"/>
        </w:rPr>
      </w:pPr>
      <w:r>
        <w:rPr>
          <w:rFonts w:hint="eastAsia"/>
          <w:color w:val="auto"/>
          <w:szCs w:val="21"/>
        </w:rPr>
        <w:t>　　（九）住宿业。从业人员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76644293">
      <w:pPr>
        <w:pStyle w:val="13"/>
        <w:rPr>
          <w:color w:val="auto"/>
          <w:szCs w:val="21"/>
        </w:rPr>
      </w:pPr>
      <w:r>
        <w:rPr>
          <w:rFonts w:hint="eastAsia"/>
          <w:color w:val="auto"/>
          <w:szCs w:val="21"/>
        </w:rPr>
        <w:t>　　（十）餐饮业。从业人员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7F5AF444">
      <w:pPr>
        <w:pStyle w:val="13"/>
        <w:rPr>
          <w:color w:val="auto"/>
          <w:szCs w:val="21"/>
        </w:rPr>
      </w:pPr>
      <w:r>
        <w:rPr>
          <w:rFonts w:hint="eastAsia"/>
          <w:color w:val="auto"/>
          <w:szCs w:val="21"/>
        </w:rPr>
        <w:t>　　（十一）信息传输业。从业人员</w:t>
      </w:r>
      <w:r>
        <w:rPr>
          <w:color w:val="auto"/>
          <w:szCs w:val="21"/>
        </w:rPr>
        <w:t>2000</w:t>
      </w:r>
      <w:r>
        <w:rPr>
          <w:rFonts w:hint="eastAsia"/>
          <w:color w:val="auto"/>
          <w:szCs w:val="21"/>
        </w:rPr>
        <w:t>人以下或营业收入</w:t>
      </w:r>
      <w:r>
        <w:rPr>
          <w:color w:val="auto"/>
          <w:szCs w:val="21"/>
        </w:rPr>
        <w:t>100000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5F59C013">
      <w:pPr>
        <w:pStyle w:val="13"/>
        <w:rPr>
          <w:color w:val="auto"/>
          <w:szCs w:val="21"/>
        </w:rPr>
      </w:pPr>
      <w:r>
        <w:rPr>
          <w:rFonts w:hint="eastAsia"/>
          <w:color w:val="auto"/>
          <w:szCs w:val="21"/>
        </w:rPr>
        <w:t>　　（十二）软件和信息技术服务业。从业人员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50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50</w:t>
      </w:r>
      <w:r>
        <w:rPr>
          <w:rFonts w:hint="eastAsia"/>
          <w:color w:val="auto"/>
          <w:szCs w:val="21"/>
        </w:rPr>
        <w:t>万元以下的为微型企业。</w:t>
      </w:r>
    </w:p>
    <w:p w14:paraId="112A7DFC">
      <w:pPr>
        <w:pStyle w:val="13"/>
        <w:rPr>
          <w:color w:val="auto"/>
          <w:szCs w:val="21"/>
        </w:rPr>
      </w:pPr>
      <w:r>
        <w:rPr>
          <w:rFonts w:hint="eastAsia"/>
          <w:color w:val="auto"/>
          <w:szCs w:val="21"/>
        </w:rPr>
        <w:t>　　（十三）房地产开发经营。营业收入</w:t>
      </w:r>
      <w:r>
        <w:rPr>
          <w:color w:val="auto"/>
          <w:szCs w:val="21"/>
        </w:rPr>
        <w:t>200000</w:t>
      </w:r>
      <w:r>
        <w:rPr>
          <w:rFonts w:hint="eastAsia"/>
          <w:color w:val="auto"/>
          <w:szCs w:val="21"/>
        </w:rPr>
        <w:t>万元以下或资产总额</w:t>
      </w:r>
      <w:r>
        <w:rPr>
          <w:color w:val="auto"/>
          <w:szCs w:val="21"/>
        </w:rPr>
        <w:t>10000</w:t>
      </w:r>
      <w:r>
        <w:rPr>
          <w:rFonts w:hint="eastAsia"/>
          <w:color w:val="auto"/>
          <w:szCs w:val="21"/>
        </w:rPr>
        <w:t>万元以下的为中小微型企业。其中，营业收入</w:t>
      </w:r>
      <w:r>
        <w:rPr>
          <w:color w:val="auto"/>
          <w:szCs w:val="21"/>
        </w:rPr>
        <w:t>1000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100</w:t>
      </w:r>
      <w:r>
        <w:rPr>
          <w:rFonts w:hint="eastAsia"/>
          <w:color w:val="auto"/>
          <w:szCs w:val="21"/>
        </w:rPr>
        <w:t>万元及以上，且资产总额</w:t>
      </w:r>
      <w:r>
        <w:rPr>
          <w:color w:val="auto"/>
          <w:szCs w:val="21"/>
        </w:rPr>
        <w:t>2000</w:t>
      </w:r>
      <w:r>
        <w:rPr>
          <w:rFonts w:hint="eastAsia"/>
          <w:color w:val="auto"/>
          <w:szCs w:val="21"/>
        </w:rPr>
        <w:t>万元及以上的为小型企业；营业收入</w:t>
      </w:r>
      <w:r>
        <w:rPr>
          <w:color w:val="auto"/>
          <w:szCs w:val="21"/>
        </w:rPr>
        <w:t>100</w:t>
      </w:r>
      <w:r>
        <w:rPr>
          <w:rFonts w:hint="eastAsia"/>
          <w:color w:val="auto"/>
          <w:szCs w:val="21"/>
        </w:rPr>
        <w:t>万元以下或资产总额</w:t>
      </w:r>
      <w:r>
        <w:rPr>
          <w:color w:val="auto"/>
          <w:szCs w:val="21"/>
        </w:rPr>
        <w:t>2000</w:t>
      </w:r>
      <w:r>
        <w:rPr>
          <w:rFonts w:hint="eastAsia"/>
          <w:color w:val="auto"/>
          <w:szCs w:val="21"/>
        </w:rPr>
        <w:t>万元以下的为微型企业。</w:t>
      </w:r>
    </w:p>
    <w:p w14:paraId="262FE14C">
      <w:pPr>
        <w:pStyle w:val="13"/>
        <w:rPr>
          <w:color w:val="auto"/>
          <w:szCs w:val="21"/>
        </w:rPr>
      </w:pPr>
      <w:r>
        <w:rPr>
          <w:rFonts w:hint="eastAsia"/>
          <w:color w:val="auto"/>
          <w:szCs w:val="21"/>
        </w:rPr>
        <w:t>　　（十四）物业管理。从业人员</w:t>
      </w:r>
      <w:r>
        <w:rPr>
          <w:color w:val="auto"/>
          <w:szCs w:val="21"/>
        </w:rPr>
        <w:t>1000</w:t>
      </w:r>
      <w:r>
        <w:rPr>
          <w:rFonts w:hint="eastAsia"/>
          <w:color w:val="auto"/>
          <w:szCs w:val="21"/>
        </w:rPr>
        <w:t>人以下或营业收入</w:t>
      </w:r>
      <w:r>
        <w:rPr>
          <w:color w:val="auto"/>
          <w:szCs w:val="21"/>
        </w:rPr>
        <w:t>5000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100</w:t>
      </w:r>
      <w:r>
        <w:rPr>
          <w:rFonts w:hint="eastAsia"/>
          <w:color w:val="auto"/>
          <w:szCs w:val="21"/>
        </w:rPr>
        <w:t>人及以上，且营业收入</w:t>
      </w:r>
      <w:r>
        <w:rPr>
          <w:color w:val="auto"/>
          <w:szCs w:val="21"/>
        </w:rPr>
        <w:t>500</w:t>
      </w:r>
      <w:r>
        <w:rPr>
          <w:rFonts w:hint="eastAsia"/>
          <w:color w:val="auto"/>
          <w:szCs w:val="21"/>
        </w:rPr>
        <w:t>万元及以上的为小型企业；从业人员</w:t>
      </w:r>
      <w:r>
        <w:rPr>
          <w:color w:val="auto"/>
          <w:szCs w:val="21"/>
        </w:rPr>
        <w:t>100</w:t>
      </w:r>
      <w:r>
        <w:rPr>
          <w:rFonts w:hint="eastAsia"/>
          <w:color w:val="auto"/>
          <w:szCs w:val="21"/>
        </w:rPr>
        <w:t>人以下或营业收入</w:t>
      </w:r>
      <w:r>
        <w:rPr>
          <w:color w:val="auto"/>
          <w:szCs w:val="21"/>
        </w:rPr>
        <w:t>500</w:t>
      </w:r>
      <w:r>
        <w:rPr>
          <w:rFonts w:hint="eastAsia"/>
          <w:color w:val="auto"/>
          <w:szCs w:val="21"/>
        </w:rPr>
        <w:t>万元以下的为微型企业。</w:t>
      </w:r>
    </w:p>
    <w:p w14:paraId="15E2F5A8">
      <w:pPr>
        <w:pStyle w:val="13"/>
        <w:rPr>
          <w:color w:val="auto"/>
          <w:szCs w:val="21"/>
        </w:rPr>
      </w:pPr>
      <w:r>
        <w:rPr>
          <w:rFonts w:hint="eastAsia"/>
          <w:color w:val="auto"/>
          <w:szCs w:val="21"/>
        </w:rPr>
        <w:t>　　（十五）租赁和商务服务业。从业人员</w:t>
      </w:r>
      <w:r>
        <w:rPr>
          <w:color w:val="auto"/>
          <w:szCs w:val="21"/>
        </w:rPr>
        <w:t>300</w:t>
      </w:r>
      <w:r>
        <w:rPr>
          <w:rFonts w:hint="eastAsia"/>
          <w:color w:val="auto"/>
          <w:szCs w:val="21"/>
        </w:rPr>
        <w:t>人以下或资产总额</w:t>
      </w:r>
      <w:r>
        <w:rPr>
          <w:color w:val="auto"/>
          <w:szCs w:val="21"/>
        </w:rPr>
        <w:t>120000</w:t>
      </w:r>
      <w:r>
        <w:rPr>
          <w:rFonts w:hint="eastAsia"/>
          <w:color w:val="auto"/>
          <w:szCs w:val="21"/>
        </w:rPr>
        <w:t>万元以下的为中小微型企业。其中，从业人员</w:t>
      </w:r>
      <w:r>
        <w:rPr>
          <w:color w:val="auto"/>
          <w:szCs w:val="21"/>
        </w:rPr>
        <w:t>100</w:t>
      </w:r>
      <w:r>
        <w:rPr>
          <w:rFonts w:hint="eastAsia"/>
          <w:color w:val="auto"/>
          <w:szCs w:val="21"/>
        </w:rPr>
        <w:t>人及以上，且资产总额</w:t>
      </w:r>
      <w:r>
        <w:rPr>
          <w:color w:val="auto"/>
          <w:szCs w:val="21"/>
        </w:rPr>
        <w:t>8000</w:t>
      </w:r>
      <w:r>
        <w:rPr>
          <w:rFonts w:hint="eastAsia"/>
          <w:color w:val="auto"/>
          <w:szCs w:val="21"/>
        </w:rPr>
        <w:t>万元及以上的为中型企业；从业人员</w:t>
      </w:r>
      <w:r>
        <w:rPr>
          <w:color w:val="auto"/>
          <w:szCs w:val="21"/>
        </w:rPr>
        <w:t>10</w:t>
      </w:r>
      <w:r>
        <w:rPr>
          <w:rFonts w:hint="eastAsia"/>
          <w:color w:val="auto"/>
          <w:szCs w:val="21"/>
        </w:rPr>
        <w:t>人及以上，且资产总额</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人以下或资产总额</w:t>
      </w:r>
      <w:r>
        <w:rPr>
          <w:color w:val="auto"/>
          <w:szCs w:val="21"/>
        </w:rPr>
        <w:t>100</w:t>
      </w:r>
      <w:r>
        <w:rPr>
          <w:rFonts w:hint="eastAsia"/>
          <w:color w:val="auto"/>
          <w:szCs w:val="21"/>
        </w:rPr>
        <w:t>万元以下的为微型企业。</w:t>
      </w:r>
    </w:p>
    <w:p w14:paraId="3EF6E7BA">
      <w:pPr>
        <w:pStyle w:val="13"/>
        <w:rPr>
          <w:color w:val="auto"/>
          <w:szCs w:val="21"/>
        </w:rPr>
      </w:pPr>
      <w:r>
        <w:rPr>
          <w:rFonts w:hint="eastAsia"/>
          <w:color w:val="auto"/>
          <w:szCs w:val="21"/>
        </w:rPr>
        <w:t>　　（十六）其他未列明行业。从业人员</w:t>
      </w:r>
      <w:r>
        <w:rPr>
          <w:color w:val="auto"/>
          <w:szCs w:val="21"/>
        </w:rPr>
        <w:t>300</w:t>
      </w:r>
      <w:r>
        <w:rPr>
          <w:rFonts w:hint="eastAsia"/>
          <w:color w:val="auto"/>
          <w:szCs w:val="21"/>
        </w:rPr>
        <w:t>人以下的为中小微型企业。其中，从业人员</w:t>
      </w:r>
      <w:r>
        <w:rPr>
          <w:color w:val="auto"/>
          <w:szCs w:val="21"/>
        </w:rPr>
        <w:t>100</w:t>
      </w:r>
      <w:r>
        <w:rPr>
          <w:rFonts w:hint="eastAsia"/>
          <w:color w:val="auto"/>
          <w:szCs w:val="21"/>
        </w:rPr>
        <w:t>人及以上的为中型企业；从业人员</w:t>
      </w:r>
      <w:r>
        <w:rPr>
          <w:color w:val="auto"/>
          <w:szCs w:val="21"/>
        </w:rPr>
        <w:t>10</w:t>
      </w:r>
      <w:r>
        <w:rPr>
          <w:rFonts w:hint="eastAsia"/>
          <w:color w:val="auto"/>
          <w:szCs w:val="21"/>
        </w:rPr>
        <w:t>人及以上的为小型企业；从业人员</w:t>
      </w:r>
      <w:r>
        <w:rPr>
          <w:color w:val="auto"/>
          <w:szCs w:val="21"/>
        </w:rPr>
        <w:t>10</w:t>
      </w:r>
      <w:r>
        <w:rPr>
          <w:rFonts w:hint="eastAsia"/>
          <w:color w:val="auto"/>
          <w:szCs w:val="21"/>
        </w:rPr>
        <w:t>人以下的为微型企业。</w:t>
      </w:r>
    </w:p>
    <w:p w14:paraId="21249F2B">
      <w:pPr>
        <w:pStyle w:val="13"/>
        <w:rPr>
          <w:color w:val="auto"/>
          <w:szCs w:val="21"/>
        </w:rPr>
      </w:pPr>
      <w:r>
        <w:rPr>
          <w:rFonts w:hint="eastAsia"/>
          <w:color w:val="auto"/>
          <w:szCs w:val="21"/>
        </w:rPr>
        <w:t>　　五、企业类型的划分以统计部门的统计数据为依据。</w:t>
      </w:r>
    </w:p>
    <w:p w14:paraId="14FAEADF">
      <w:pPr>
        <w:pStyle w:val="13"/>
        <w:rPr>
          <w:color w:val="auto"/>
          <w:szCs w:val="21"/>
        </w:rPr>
      </w:pPr>
      <w:r>
        <w:rPr>
          <w:rFonts w:hint="eastAsia"/>
          <w:color w:val="auto"/>
          <w:szCs w:val="21"/>
        </w:rPr>
        <w:t>　　六、本规定适用于在中华人民共和国境内依法设立的各类所有制和各种组织形式的企业。个体工商户和本规定以外的行业，参照本规定进行划型。</w:t>
      </w:r>
    </w:p>
    <w:p w14:paraId="791133F7">
      <w:pPr>
        <w:pStyle w:val="13"/>
        <w:rPr>
          <w:color w:val="auto"/>
          <w:szCs w:val="21"/>
        </w:rPr>
      </w:pPr>
      <w:r>
        <w:rPr>
          <w:rFonts w:hint="eastAsia"/>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4038B76">
      <w:pPr>
        <w:pStyle w:val="13"/>
        <w:rPr>
          <w:color w:val="auto"/>
          <w:szCs w:val="21"/>
        </w:rPr>
      </w:pPr>
      <w:r>
        <w:rPr>
          <w:rFonts w:hint="eastAsia"/>
          <w:color w:val="auto"/>
          <w:szCs w:val="21"/>
        </w:rPr>
        <w:t>　　八、本规定由工业和信息化部、国家统计局会同有关部门根据《国民经济行业分类》修订情况和企业发展变化情况适时修订。</w:t>
      </w:r>
    </w:p>
    <w:p w14:paraId="3709E3BE">
      <w:pPr>
        <w:pStyle w:val="13"/>
        <w:rPr>
          <w:color w:val="auto"/>
          <w:szCs w:val="21"/>
        </w:rPr>
      </w:pPr>
      <w:r>
        <w:rPr>
          <w:rFonts w:hint="eastAsia"/>
          <w:color w:val="auto"/>
          <w:szCs w:val="21"/>
        </w:rPr>
        <w:t>　　九、本规定由工业和信息化部、国家统计局会同有关部门负责解释。</w:t>
      </w:r>
    </w:p>
    <w:p w14:paraId="1172BA81">
      <w:pPr>
        <w:pStyle w:val="13"/>
        <w:ind w:firstLine="420"/>
        <w:rPr>
          <w:color w:val="auto"/>
          <w:szCs w:val="21"/>
        </w:rPr>
      </w:pPr>
      <w:r>
        <w:rPr>
          <w:rFonts w:hint="eastAsia"/>
          <w:color w:val="auto"/>
          <w:szCs w:val="21"/>
        </w:rPr>
        <w:t>十、本规定自发布之日起执行，原国家经贸委、原国家计委、财政部和国家统计局</w:t>
      </w:r>
      <w:r>
        <w:rPr>
          <w:color w:val="auto"/>
          <w:szCs w:val="21"/>
        </w:rPr>
        <w:t>2003</w:t>
      </w:r>
      <w:r>
        <w:rPr>
          <w:rFonts w:hint="eastAsia"/>
          <w:color w:val="auto"/>
          <w:szCs w:val="21"/>
        </w:rPr>
        <w:t>年颁布的《中小企业标准暂行规定》同时废止。</w:t>
      </w:r>
    </w:p>
    <w:p w14:paraId="7969AF77">
      <w:pPr>
        <w:tabs>
          <w:tab w:val="left" w:pos="180"/>
          <w:tab w:val="left" w:pos="1620"/>
        </w:tabs>
        <w:spacing w:line="360" w:lineRule="auto"/>
        <w:ind w:firstLine="422" w:firstLineChars="200"/>
        <w:rPr>
          <w:rFonts w:hint="eastAsia" w:ascii="宋体" w:hAnsi="宋体" w:cs="宋体"/>
          <w:b/>
          <w:bCs/>
          <w:color w:val="auto"/>
          <w:szCs w:val="21"/>
        </w:rPr>
      </w:pPr>
    </w:p>
    <w:p w14:paraId="667D68CE">
      <w:pPr>
        <w:rPr>
          <w:color w:val="auto"/>
        </w:rPr>
      </w:pPr>
      <w:bookmarkStart w:id="70" w:name="_Toc74323459"/>
      <w:r>
        <w:rPr>
          <w:rFonts w:hint="eastAsia"/>
          <w:color w:val="auto"/>
        </w:rPr>
        <w:br w:type="page"/>
      </w:r>
    </w:p>
    <w:p w14:paraId="742A9B59">
      <w:pPr>
        <w:pStyle w:val="2"/>
        <w:jc w:val="center"/>
        <w:rPr>
          <w:color w:val="auto"/>
        </w:rPr>
      </w:pPr>
    </w:p>
    <w:p w14:paraId="2196907B">
      <w:pPr>
        <w:pStyle w:val="2"/>
        <w:jc w:val="center"/>
        <w:rPr>
          <w:color w:val="auto"/>
        </w:rPr>
      </w:pPr>
      <w:r>
        <w:rPr>
          <w:rFonts w:hint="eastAsia"/>
          <w:color w:val="auto"/>
        </w:rPr>
        <w:t>第四章  评审程序、评审方法和评审标准</w:t>
      </w:r>
      <w:bookmarkEnd w:id="70"/>
    </w:p>
    <w:p w14:paraId="28318EEF">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一、评审程序和评审方法</w:t>
      </w:r>
    </w:p>
    <w:p w14:paraId="10452EE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49254A14">
      <w:pPr>
        <w:snapToGrid w:val="0"/>
        <w:spacing w:line="360" w:lineRule="auto"/>
        <w:ind w:firstLine="420" w:firstLineChars="200"/>
        <w:rPr>
          <w:rFonts w:hint="eastAsia"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3697CC44">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78840EDD">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（1）查询渠道： “信用中国”网站(www.creditchina.gov.cn)、中国政府采购网(www.ccgp.gov.cn)。</w:t>
      </w:r>
    </w:p>
    <w:p w14:paraId="7D3B1D0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5FD5B9B6">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2542540F">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7C9F8E39">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10202B8D">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3D338A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D4305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（2）未按磋商文件规定的方式获取本磋商文件的供应商；</w:t>
      </w:r>
    </w:p>
    <w:p w14:paraId="0F29CED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14:paraId="51F0B2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1A005CA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w:t>
      </w:r>
      <w:r>
        <w:rPr>
          <w:rFonts w:hint="eastAsia"/>
          <w:color w:val="auto"/>
        </w:rPr>
        <w:t>不</w:t>
      </w:r>
      <w:r>
        <w:rPr>
          <w:rFonts w:hint="eastAsia" w:ascii="宋体" w:hAnsi="宋体" w:cs="宋体"/>
          <w:color w:val="auto"/>
          <w:szCs w:val="21"/>
        </w:rPr>
        <w:t>再参加该采购项目的其他采购活动的。</w:t>
      </w:r>
    </w:p>
    <w:p w14:paraId="1AEFD1BB">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7D4DC2F4">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2B3D0A8B">
      <w:pPr>
        <w:spacing w:line="360" w:lineRule="auto"/>
        <w:ind w:firstLine="420" w:firstLineChars="200"/>
        <w:rPr>
          <w:rFonts w:hint="eastAsia" w:ascii="宋体" w:hAnsi="宋体" w:cs="宋体"/>
          <w:color w:val="auto"/>
          <w:szCs w:val="21"/>
        </w:rPr>
      </w:pPr>
      <w:bookmarkStart w:id="71"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71"/>
    <w:p w14:paraId="5FCA52BB">
      <w:pPr>
        <w:spacing w:line="360" w:lineRule="auto"/>
        <w:ind w:firstLine="420" w:firstLineChars="200"/>
        <w:rPr>
          <w:rFonts w:hint="eastAsia"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4C0C6">
      <w:pPr>
        <w:spacing w:line="360" w:lineRule="auto"/>
        <w:ind w:firstLine="420" w:firstLineChars="200"/>
        <w:rPr>
          <w:rFonts w:hint="eastAsia"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4FF45AE6">
      <w:pPr>
        <w:spacing w:line="360" w:lineRule="auto"/>
        <w:ind w:firstLine="420" w:firstLineChars="200"/>
        <w:rPr>
          <w:rFonts w:hint="eastAsia"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C5003D7">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54B04A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0A2A43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126D15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7DE9C3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0BF8D6F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645AEE09">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0F6AAD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0A8481B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（1）商务技术评审</w:t>
      </w:r>
    </w:p>
    <w:p w14:paraId="1871BF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5ED9A4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5E80E7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124B73C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3A594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5）商务、技术要求允许负偏离的条款数超过“供应商须知前附表”规定项数的；</w:t>
      </w:r>
    </w:p>
    <w:p w14:paraId="323DD7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09801DF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130B55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34D6C48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2E3F21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46E3C2AB">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1）虚假竞标，或者出现其他情形而导致被磋商小组认定无效；</w:t>
      </w:r>
    </w:p>
    <w:p w14:paraId="2AAFF6E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bookmarkStart w:id="72"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72"/>
    </w:p>
    <w:p w14:paraId="3B9F10FF">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3）响应文件标注的项目名称或者项目编号与磋商文件标注的项目名称或者项目编号不一致的；</w:t>
      </w:r>
    </w:p>
    <w:p w14:paraId="605BD8C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w:t>
      </w:r>
      <w:r>
        <w:rPr>
          <w:rFonts w:hint="eastAsia" w:ascii="宋体" w:hAnsi="宋体"/>
          <w:color w:val="auto"/>
          <w:szCs w:val="21"/>
        </w:rPr>
        <w:t>竞争性磋商文件明确不允许分包，响应文件拟分包的；</w:t>
      </w:r>
    </w:p>
    <w:p w14:paraId="3E976750">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5）未响应磋商文件实质性要求；</w:t>
      </w:r>
    </w:p>
    <w:p w14:paraId="516343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16）法律、法规和磋商文件规定的其他无效情形。</w:t>
      </w:r>
    </w:p>
    <w:p w14:paraId="6831A9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5431014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1）响应文件未提供“供应商须知前附表” 报价文件中规定的“竞标报价表”；</w:t>
      </w:r>
    </w:p>
    <w:p w14:paraId="770B72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0D37C44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F70AA7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73" w:name="_Hlk42596405"/>
      <w:r>
        <w:rPr>
          <w:rFonts w:hint="eastAsia" w:ascii="宋体" w:hAnsi="宋体" w:cs="宋体"/>
          <w:color w:val="auto"/>
          <w:szCs w:val="21"/>
        </w:rPr>
        <w:t>分项竞标报价（包含首次报价、最后报价）</w:t>
      </w:r>
      <w:bookmarkEnd w:id="73"/>
      <w:bookmarkStart w:id="74" w:name="_Hlk42596276"/>
      <w:r>
        <w:rPr>
          <w:rFonts w:hint="eastAsia" w:ascii="宋体" w:hAnsi="宋体" w:cs="宋体"/>
          <w:color w:val="auto"/>
          <w:szCs w:val="21"/>
        </w:rPr>
        <w:t>超过磋商文件分项采购预算金额或者最高限价的</w:t>
      </w:r>
      <w:bookmarkEnd w:id="74"/>
      <w:r>
        <w:rPr>
          <w:rFonts w:hint="eastAsia" w:ascii="宋体" w:hAnsi="宋体" w:cs="宋体"/>
          <w:color w:val="auto"/>
          <w:szCs w:val="21"/>
        </w:rPr>
        <w:t>（如本项目公布了最高限价）；</w:t>
      </w:r>
    </w:p>
    <w:p w14:paraId="10492B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621EEF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14:paraId="57C5FBA6">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153EA0B">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6B46808F">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0ABEE29E">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w:t>
      </w:r>
      <w:r>
        <w:rPr>
          <w:color w:val="auto"/>
        </w:rPr>
        <w:t>在规定时间内在广西政府采购云平台上参加</w:t>
      </w:r>
      <w:r>
        <w:rPr>
          <w:rFonts w:hint="eastAsia"/>
          <w:color w:val="auto"/>
        </w:rPr>
        <w:t>磋商</w:t>
      </w:r>
      <w:r>
        <w:rPr>
          <w:rFonts w:hint="eastAsia" w:ascii="宋体" w:hAnsi="宋体" w:cs="宋体"/>
          <w:color w:val="auto"/>
          <w:szCs w:val="21"/>
        </w:rPr>
        <w:t>，未在规定时间内参加磋商的视同放弃参加磋商权利，其响应文件按无效响应处理。</w:t>
      </w:r>
    </w:p>
    <w:p w14:paraId="580873D4">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7508134">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14:paraId="46798507">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EF12EEA">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45A1AAE3">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采购代理机构对磋商过程和重要磋商内容进行记录。</w:t>
      </w:r>
    </w:p>
    <w:p w14:paraId="6625A52C">
      <w:pPr>
        <w:tabs>
          <w:tab w:val="left" w:pos="2835"/>
        </w:tabs>
        <w:spacing w:line="360" w:lineRule="auto"/>
        <w:ind w:firstLine="420" w:firstLineChars="200"/>
        <w:rPr>
          <w:color w:val="auto"/>
        </w:rPr>
      </w:pPr>
      <w:r>
        <w:rPr>
          <w:rFonts w:hint="eastAsia" w:ascii="宋体" w:hAnsi="宋体" w:cs="宋体"/>
          <w:color w:val="auto"/>
          <w:szCs w:val="21"/>
        </w:rPr>
        <w:t>3</w:t>
      </w:r>
      <w:r>
        <w:rPr>
          <w:rFonts w:ascii="宋体" w:hAnsi="宋体" w:cs="宋体"/>
          <w:color w:val="auto"/>
          <w:szCs w:val="21"/>
        </w:rPr>
        <w:t>.7</w:t>
      </w:r>
      <w:r>
        <w:rPr>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D3E799A">
      <w:pPr>
        <w:tabs>
          <w:tab w:val="left" w:pos="2835"/>
        </w:tabs>
        <w:spacing w:line="360" w:lineRule="auto"/>
        <w:ind w:firstLine="420" w:firstLineChars="200"/>
        <w:rPr>
          <w:rFonts w:hint="eastAsia" w:ascii="宋体" w:hAnsi="宋体" w:cs="宋体"/>
          <w:color w:val="auto"/>
          <w:szCs w:val="21"/>
        </w:rPr>
      </w:pPr>
      <w:r>
        <w:rPr>
          <w:color w:val="auto"/>
        </w:rPr>
        <w:t>3.8除本章第3.7条情形</w:t>
      </w:r>
      <w:r>
        <w:rPr>
          <w:rFonts w:hint="eastAsia"/>
          <w:color w:val="auto"/>
        </w:rPr>
        <w:t>外，</w:t>
      </w:r>
      <w:r>
        <w:rPr>
          <w:rFonts w:hint="eastAsia" w:ascii="宋体" w:hAnsi="宋体"/>
          <w:color w:val="auto"/>
          <w:szCs w:val="21"/>
        </w:rPr>
        <w:t>对磋商过程提交的响应文件进行有效性、完整性和响应程度审查，通过审查的合格供应商不足3家的，采购人或者采购代理机构应当重新开展采购活动。</w:t>
      </w:r>
    </w:p>
    <w:p w14:paraId="70CBE302">
      <w:pPr>
        <w:spacing w:line="360" w:lineRule="auto"/>
        <w:ind w:firstLine="482" w:firstLineChars="200"/>
        <w:rPr>
          <w:rFonts w:hint="eastAsia"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58D0AA4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14:paraId="58223F7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4E88202">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rPr>
        <w:t>本</w:t>
      </w:r>
      <w:r>
        <w:rPr>
          <w:rFonts w:ascii="宋体" w:hAnsi="宋体" w:cs="宋体"/>
          <w:color w:val="auto"/>
          <w:szCs w:val="21"/>
        </w:rPr>
        <w:t>章第3.7条情</w:t>
      </w:r>
      <w:r>
        <w:rPr>
          <w:color w:val="auto"/>
        </w:rPr>
        <w:t>形的，</w:t>
      </w:r>
      <w:r>
        <w:rPr>
          <w:rFonts w:hint="eastAsia" w:ascii="宋体" w:hAnsi="宋体" w:cs="宋体"/>
          <w:color w:val="auto"/>
          <w:szCs w:val="21"/>
        </w:rPr>
        <w:t>提交最后报价的供应商可以为2家。</w:t>
      </w:r>
    </w:p>
    <w:p w14:paraId="56D043CB">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0EC59E03">
      <w:pPr>
        <w:spacing w:line="360" w:lineRule="auto"/>
        <w:ind w:firstLine="420" w:firstLineChars="200"/>
        <w:rPr>
          <w:rFonts w:hint="eastAsia"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14:paraId="4E4B95B5">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14:paraId="44BB1892">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58AA6E62">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1D597B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（1）供应商不确认的（全流程电子化评审采取在线确认）；</w:t>
      </w:r>
    </w:p>
    <w:p w14:paraId="0CD70B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30D175D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6EA2253F">
      <w:pPr>
        <w:spacing w:line="360" w:lineRule="auto"/>
        <w:ind w:firstLine="420" w:firstLineChars="200"/>
        <w:rPr>
          <w:rFonts w:hint="eastAsia"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5D7BDC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73D707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14:paraId="1B38413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582AD3FD">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7E137828">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4BF5A246">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295F28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429345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26DEB664">
      <w:pPr>
        <w:spacing w:line="360" w:lineRule="auto"/>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4907E136">
      <w:pPr>
        <w:spacing w:line="360" w:lineRule="auto"/>
        <w:ind w:firstLine="420" w:firstLineChars="200"/>
        <w:rPr>
          <w:rFonts w:hint="eastAsia"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4E57A803">
      <w:pPr>
        <w:spacing w:line="360" w:lineRule="auto"/>
        <w:ind w:firstLine="420" w:firstLineChars="200"/>
        <w:rPr>
          <w:rFonts w:hint="eastAsia"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D55B4D">
      <w:pPr>
        <w:spacing w:line="360" w:lineRule="auto"/>
        <w:jc w:val="center"/>
        <w:rPr>
          <w:rFonts w:hint="eastAsia" w:ascii="宋体" w:hAnsi="宋体"/>
          <w:b/>
          <w:color w:val="auto"/>
          <w:sz w:val="32"/>
          <w:szCs w:val="32"/>
        </w:rPr>
      </w:pPr>
      <w:r>
        <w:rPr>
          <w:rFonts w:hint="eastAsia" w:ascii="宋体" w:hAnsi="宋体"/>
          <w:b/>
          <w:color w:val="auto"/>
          <w:sz w:val="32"/>
          <w:szCs w:val="32"/>
        </w:rPr>
        <w:t>二、评审标准</w:t>
      </w:r>
    </w:p>
    <w:p w14:paraId="7B1C5523">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评审依据：磋商小组将以磋商响应文件为评审依据，对供应商的报价、技术、商务等方面内容按百分制打分。（计分方法按四舍五入取至百分位）</w:t>
      </w:r>
    </w:p>
    <w:tbl>
      <w:tblPr>
        <w:tblStyle w:val="2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1CCC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08FB1A73">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418" w:type="dxa"/>
            <w:vAlign w:val="center"/>
          </w:tcPr>
          <w:p w14:paraId="243275A3">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c>
          <w:tcPr>
            <w:tcW w:w="6288" w:type="dxa"/>
            <w:vAlign w:val="center"/>
          </w:tcPr>
          <w:p w14:paraId="3ED7A91C">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评审因素具体内容</w:t>
            </w:r>
          </w:p>
        </w:tc>
        <w:tc>
          <w:tcPr>
            <w:tcW w:w="851" w:type="dxa"/>
            <w:vAlign w:val="center"/>
          </w:tcPr>
          <w:p w14:paraId="727F682B">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分值</w:t>
            </w:r>
          </w:p>
        </w:tc>
      </w:tr>
      <w:tr w14:paraId="0283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5E1BB021">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1</w:t>
            </w:r>
          </w:p>
        </w:tc>
        <w:tc>
          <w:tcPr>
            <w:tcW w:w="1418" w:type="dxa"/>
            <w:vAlign w:val="center"/>
          </w:tcPr>
          <w:p w14:paraId="6740D0BB">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价格分</w:t>
            </w:r>
          </w:p>
        </w:tc>
        <w:tc>
          <w:tcPr>
            <w:tcW w:w="6288" w:type="dxa"/>
            <w:vAlign w:val="center"/>
          </w:tcPr>
          <w:p w14:paraId="3C94819B">
            <w:pPr>
              <w:wordWrap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（1）因本项目属于专门面向中小企业采购的项目，不享受价格扣除优惠政策。评审价为供应商的最后报价（如有修正，以确认修正后的最后报价为准）。</w:t>
            </w:r>
          </w:p>
          <w:p w14:paraId="283CF1D3">
            <w:pPr>
              <w:wordWrap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（2）以进入比较与评价环节的报价最低的供应商的价格为磋商基准价，基准价得分为10分。</w:t>
            </w:r>
          </w:p>
          <w:p w14:paraId="4515EF50">
            <w:pPr>
              <w:wordWrap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（3）价格分计算公式：</w:t>
            </w:r>
          </w:p>
          <w:p w14:paraId="758AAAB9">
            <w:pPr>
              <w:wordWrap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报价得分=（基准价/最后报价）×10分</w:t>
            </w:r>
          </w:p>
        </w:tc>
        <w:tc>
          <w:tcPr>
            <w:tcW w:w="851" w:type="dxa"/>
            <w:vAlign w:val="center"/>
          </w:tcPr>
          <w:p w14:paraId="63C4732A">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10分</w:t>
            </w:r>
          </w:p>
        </w:tc>
      </w:tr>
      <w:tr w14:paraId="7D63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784E5736">
            <w:pPr>
              <w:widowControl/>
              <w:spacing w:line="360" w:lineRule="auto"/>
              <w:jc w:val="center"/>
              <w:rPr>
                <w:rFonts w:hint="eastAsia" w:ascii="宋体" w:hAnsi="宋体" w:cs="宋体"/>
                <w:color w:val="auto"/>
                <w:kern w:val="0"/>
                <w:szCs w:val="21"/>
              </w:rPr>
            </w:pPr>
            <w:r>
              <w:rPr>
                <w:rFonts w:hint="eastAsia" w:ascii="宋体" w:hAnsi="宋体" w:cs="宋体"/>
                <w:bCs/>
                <w:color w:val="auto"/>
                <w:kern w:val="0"/>
                <w:szCs w:val="21"/>
              </w:rPr>
              <w:t>2</w:t>
            </w:r>
          </w:p>
        </w:tc>
        <w:tc>
          <w:tcPr>
            <w:tcW w:w="1418" w:type="dxa"/>
            <w:vAlign w:val="center"/>
          </w:tcPr>
          <w:p w14:paraId="7074A03D">
            <w:pPr>
              <w:widowControl/>
              <w:spacing w:line="360" w:lineRule="auto"/>
              <w:jc w:val="center"/>
              <w:rPr>
                <w:rFonts w:hint="eastAsia" w:ascii="宋体" w:hAnsi="宋体" w:cs="宋体"/>
                <w:color w:val="auto"/>
                <w:kern w:val="0"/>
                <w:szCs w:val="21"/>
              </w:rPr>
            </w:pPr>
            <w:r>
              <w:rPr>
                <w:rFonts w:hint="eastAsia" w:ascii="宋体" w:hAnsi="宋体" w:cs="宋体"/>
                <w:bCs/>
                <w:color w:val="auto"/>
                <w:kern w:val="0"/>
                <w:szCs w:val="21"/>
              </w:rPr>
              <w:t>技术分</w:t>
            </w:r>
          </w:p>
        </w:tc>
        <w:tc>
          <w:tcPr>
            <w:tcW w:w="7139" w:type="dxa"/>
            <w:gridSpan w:val="2"/>
          </w:tcPr>
          <w:p w14:paraId="45342B09">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评审因素</w:t>
            </w:r>
          </w:p>
        </w:tc>
      </w:tr>
      <w:tr w14:paraId="748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7BC4F3B7">
            <w:pPr>
              <w:adjustRightInd w:val="0"/>
              <w:spacing w:line="360" w:lineRule="auto"/>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2.1</w:t>
            </w:r>
          </w:p>
        </w:tc>
        <w:tc>
          <w:tcPr>
            <w:tcW w:w="1418" w:type="dxa"/>
            <w:vAlign w:val="center"/>
          </w:tcPr>
          <w:p w14:paraId="4DC6BEC6">
            <w:pPr>
              <w:adjustRightInd w:val="0"/>
              <w:spacing w:line="360" w:lineRule="auto"/>
              <w:jc w:val="center"/>
              <w:textAlignment w:val="baseline"/>
              <w:rPr>
                <w:rFonts w:hint="eastAsia" w:ascii="宋体" w:hAnsi="宋体" w:cs="宋体"/>
                <w:bCs/>
                <w:color w:val="auto"/>
                <w:kern w:val="0"/>
                <w:szCs w:val="21"/>
              </w:rPr>
            </w:pPr>
            <w:r>
              <w:rPr>
                <w:rFonts w:ascii="宋体" w:hAnsi="宋体" w:cs="宋体"/>
                <w:bCs/>
                <w:color w:val="auto"/>
                <w:kern w:val="0"/>
                <w:szCs w:val="21"/>
              </w:rPr>
              <w:t>项目技术方案</w:t>
            </w:r>
          </w:p>
        </w:tc>
        <w:tc>
          <w:tcPr>
            <w:tcW w:w="6288" w:type="dxa"/>
            <w:vAlign w:val="center"/>
          </w:tcPr>
          <w:p w14:paraId="5C917F2E">
            <w:pPr>
              <w:spacing w:line="360" w:lineRule="auto"/>
              <w:ind w:firstLine="480"/>
              <w:rPr>
                <w:rFonts w:hint="eastAsia" w:ascii="宋体" w:hAnsi="宋体" w:cs="宋体"/>
                <w:bCs/>
                <w:color w:val="auto"/>
                <w:szCs w:val="21"/>
              </w:rPr>
            </w:pPr>
            <w:r>
              <w:rPr>
                <w:rFonts w:hint="eastAsia" w:ascii="宋体" w:hAnsi="宋体" w:cs="宋体"/>
                <w:bCs/>
                <w:color w:val="auto"/>
                <w:szCs w:val="21"/>
              </w:rPr>
              <w:t>一档（6分）：供应商提供的项目技术方案中，对改造单位的基础信息（包括建筑面积、用能人数、用能设备清单与功率、能耗水耗账单数据等）及三大改造内容[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的描述，与项目实际情况仅有部分相符，存在明显缺失或偏差。具有技术方案框架但缺乏细节深度；节能量与节能率计算过程不明确，依据不足，无法有效支撑其结论。</w:t>
            </w:r>
          </w:p>
          <w:p w14:paraId="54C8EBF7">
            <w:pPr>
              <w:spacing w:line="360" w:lineRule="auto"/>
              <w:ind w:firstLine="480"/>
              <w:rPr>
                <w:rFonts w:hint="eastAsia" w:ascii="宋体" w:hAnsi="宋体" w:cs="宋体"/>
                <w:bCs/>
                <w:color w:val="auto"/>
                <w:szCs w:val="21"/>
              </w:rPr>
            </w:pPr>
            <w:r>
              <w:rPr>
                <w:rFonts w:hint="eastAsia" w:ascii="宋体" w:hAnsi="宋体" w:cs="宋体"/>
                <w:bCs/>
                <w:color w:val="auto"/>
                <w:szCs w:val="21"/>
              </w:rPr>
              <w:t>二档（12分）：供应商提供的项目技术方案中，对改造单位的基础信息及三大改造内容[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的描述，与项目实际情况基本相符，关键信息无重大遗漏。技术方案结构完整，但缺乏深度，对部分技术要点的阐述不够深入；节能量与节能率计算过程清晰，方法基本正确，计算结果能够满足“综合节能率不低于10%”。</w:t>
            </w:r>
          </w:p>
          <w:p w14:paraId="3B113DEB">
            <w:pPr>
              <w:spacing w:line="360" w:lineRule="auto"/>
              <w:ind w:firstLine="480"/>
              <w:rPr>
                <w:rFonts w:hint="eastAsia" w:ascii="宋体" w:hAnsi="宋体" w:cs="宋体"/>
                <w:bCs/>
                <w:color w:val="auto"/>
                <w:szCs w:val="21"/>
              </w:rPr>
            </w:pPr>
            <w:r>
              <w:rPr>
                <w:rFonts w:hint="eastAsia" w:ascii="宋体" w:hAnsi="宋体" w:cs="宋体"/>
                <w:bCs/>
                <w:color w:val="auto"/>
                <w:szCs w:val="21"/>
              </w:rPr>
              <w:t>三档（18分）：供应商提供的项目技术方案中，对改造单位的基础信息及三大改造内容[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的描述，与项目实际情况高度相符，数据详实、准确。技术方案内容详细、完善，逻辑清晰，对改造原理、施工工艺、调试方法等有具体阐述，体现了技术理解与应用能力。节能量与节能率计算详细，引用的计算参数合理，计算过程透明，结果可信度高，综合节能率高于10%。所提出的硬件和软件配置方案针对性强，能够基本满足本项目各项技术服务内容的实现与稳定运行需求。</w:t>
            </w:r>
          </w:p>
          <w:p w14:paraId="1F813C63">
            <w:pPr>
              <w:spacing w:line="360" w:lineRule="auto"/>
              <w:ind w:firstLine="480"/>
              <w:rPr>
                <w:rFonts w:hint="eastAsia" w:ascii="宋体" w:hAnsi="宋体" w:cs="宋体"/>
                <w:bCs/>
                <w:color w:val="auto"/>
                <w:szCs w:val="21"/>
              </w:rPr>
            </w:pPr>
            <w:r>
              <w:rPr>
                <w:rFonts w:hint="eastAsia" w:ascii="宋体" w:hAnsi="宋体" w:cs="宋体"/>
                <w:bCs/>
                <w:color w:val="auto"/>
                <w:szCs w:val="21"/>
              </w:rPr>
              <w:t>四档（24分）：供应商提供的项目技术方案中，对改造单位的基础信息及三大改造内容[照明系统节能改造技术服务（含原有灯具拆除、高光效节能灯具安装及调试服务）]、[空调系统能效优化技术服务（含冷媒置换及系统调试服务、空调智能控制系统集成服务）]、[建筑围护结构节能改造技术服务（含既有窗体拆除服务、断桥铝合金节能窗系统安装及气密性调试服务）]的描述，与项目实际情况完全吻合。技术方案极为详尽与完善，不仅覆盖所有技术要求，更融入了前瞻性的优化措施和风险管理策略，展现出技术实力与项目把控能力。节能量与节能率计算极为严谨，采用的计算方法或模拟软件具有先进性，参数选取有充分依据，计算结果精确，综合节能率高于10%，并承诺可验证。所提出的硬件和软件配置方案完备，完全满足且优于本项目当前及未来的服务需求，为项目的长期运行提供保障。</w:t>
            </w:r>
          </w:p>
        </w:tc>
        <w:tc>
          <w:tcPr>
            <w:tcW w:w="851" w:type="dxa"/>
            <w:vAlign w:val="center"/>
          </w:tcPr>
          <w:p w14:paraId="3BF6578A">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24分</w:t>
            </w:r>
          </w:p>
        </w:tc>
      </w:tr>
      <w:tr w14:paraId="5E8C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4B54A489">
            <w:pPr>
              <w:adjustRightInd w:val="0"/>
              <w:spacing w:line="360" w:lineRule="auto"/>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2.2</w:t>
            </w:r>
          </w:p>
        </w:tc>
        <w:tc>
          <w:tcPr>
            <w:tcW w:w="1418" w:type="dxa"/>
            <w:vAlign w:val="center"/>
          </w:tcPr>
          <w:p w14:paraId="0938F490">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项目设计方案图</w:t>
            </w:r>
          </w:p>
          <w:p w14:paraId="690AF527">
            <w:pPr>
              <w:adjustRightInd w:val="0"/>
              <w:spacing w:line="360" w:lineRule="auto"/>
              <w:jc w:val="center"/>
              <w:textAlignment w:val="baseline"/>
              <w:rPr>
                <w:rFonts w:hint="eastAsia" w:ascii="宋体" w:hAnsi="宋体" w:cs="宋体"/>
                <w:color w:val="auto"/>
                <w:szCs w:val="21"/>
              </w:rPr>
            </w:pPr>
          </w:p>
        </w:tc>
        <w:tc>
          <w:tcPr>
            <w:tcW w:w="6288" w:type="dxa"/>
            <w:vAlign w:val="center"/>
          </w:tcPr>
          <w:p w14:paraId="646BC5E3">
            <w:pPr>
              <w:spacing w:line="360" w:lineRule="auto"/>
              <w:ind w:firstLine="420"/>
              <w:rPr>
                <w:rFonts w:hint="eastAsia" w:ascii="宋体" w:hAnsi="宋体" w:cs="宋体"/>
                <w:color w:val="auto"/>
                <w:szCs w:val="21"/>
              </w:rPr>
            </w:pPr>
            <w:r>
              <w:rPr>
                <w:rFonts w:hint="eastAsia" w:ascii="宋体" w:hAnsi="宋体" w:cs="宋体"/>
                <w:color w:val="auto"/>
                <w:szCs w:val="21"/>
              </w:rPr>
              <w:t>一档（6分）：供应商提供的方案图与项目实际情况仅有部分相符，存在明显偏差或缺失。图纸仅包含最基本的改造位置示意图，缺乏系统图、平面布置图或材料清单等关键组成部分；设计说明不明确，无法有效指导施工，方案整体不具备可行性。</w:t>
            </w:r>
          </w:p>
          <w:p w14:paraId="159384D0">
            <w:pPr>
              <w:spacing w:line="360" w:lineRule="auto"/>
              <w:ind w:firstLine="420"/>
              <w:rPr>
                <w:rFonts w:hint="eastAsia" w:ascii="宋体" w:hAnsi="宋体" w:cs="宋体"/>
                <w:color w:val="auto"/>
                <w:szCs w:val="21"/>
              </w:rPr>
            </w:pPr>
            <w:r>
              <w:rPr>
                <w:rFonts w:hint="eastAsia" w:ascii="宋体" w:hAnsi="宋体" w:cs="宋体"/>
                <w:color w:val="auto"/>
                <w:szCs w:val="21"/>
              </w:rPr>
              <w:t>二档（12分）：供应商提供的方案图与项目实际情况基本相符，无重大错误。图纸包含了分体空调智控控制系统与建筑围护结构的改造位置、基本的系统图与平面布置图，以及初步的材料清单。设计说明能够反映核心改造思路，但深度不足，细节缺失，可能在实际施工中引发不确定性问题。</w:t>
            </w:r>
          </w:p>
          <w:p w14:paraId="575ACFE4">
            <w:pPr>
              <w:spacing w:line="360" w:lineRule="auto"/>
              <w:ind w:firstLine="420"/>
              <w:rPr>
                <w:rFonts w:hint="eastAsia" w:ascii="宋体" w:hAnsi="宋体" w:cs="宋体"/>
                <w:color w:val="auto"/>
                <w:szCs w:val="21"/>
              </w:rPr>
            </w:pPr>
            <w:r>
              <w:rPr>
                <w:rFonts w:hint="eastAsia" w:ascii="宋体" w:hAnsi="宋体" w:cs="宋体"/>
                <w:color w:val="auto"/>
                <w:szCs w:val="21"/>
              </w:rPr>
              <w:t>三档（18分）：供应商提供的方案图与项目实际情况高度相符，数据准确，分析到位。图纸体系完整、清晰，详细展示了智控系统的网络拓扑、设备安装节点、管线敷设路径，以及节能窗的型材结构、安装节点、密封工艺等。设计说明详尽，阐述了设计依据、技术参数和施工要点。材料清单规格明确、数量准确，方案具备可实施性，能有效指导施工并保障改造效果。</w:t>
            </w:r>
          </w:p>
          <w:p w14:paraId="51E63DBC">
            <w:pPr>
              <w:spacing w:line="360" w:lineRule="auto"/>
              <w:ind w:firstLine="420"/>
              <w:rPr>
                <w:rFonts w:hint="eastAsia" w:ascii="宋体" w:hAnsi="宋体" w:cs="宋体"/>
                <w:color w:val="auto"/>
                <w:szCs w:val="21"/>
              </w:rPr>
            </w:pPr>
            <w:r>
              <w:rPr>
                <w:rFonts w:hint="eastAsia" w:ascii="宋体" w:hAnsi="宋体" w:cs="宋体"/>
                <w:color w:val="auto"/>
                <w:szCs w:val="21"/>
              </w:rPr>
              <w:t>四档（24分）：供应商提供的方案图与项目实际情况完全吻合，体现了全面现场勘查与准确的设计还原。图纸体系不仅完整，更达到了深化设计深度，包含详细的大样图、接线图、气密性/水密性构造图等，对每一处细节都进行了表达。设计说明逻辑严谨，引用了相关技术标准，并对特殊工况（如异形结构安装、系统抗干扰等）提供了专项解决方案。材料清单详尽且注明品牌、型号及关键性能指标，展现出技术整合与设计优化能力，保障系统长期稳定运行。</w:t>
            </w:r>
          </w:p>
        </w:tc>
        <w:tc>
          <w:tcPr>
            <w:tcW w:w="851" w:type="dxa"/>
            <w:vAlign w:val="center"/>
          </w:tcPr>
          <w:p w14:paraId="08DB4252">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24</w:t>
            </w:r>
            <w:r>
              <w:rPr>
                <w:rFonts w:ascii="宋体" w:hAnsi="宋体" w:cs="宋体"/>
                <w:color w:val="auto"/>
                <w:kern w:val="0"/>
                <w:szCs w:val="21"/>
              </w:rPr>
              <w:t>分</w:t>
            </w:r>
          </w:p>
        </w:tc>
      </w:tr>
      <w:tr w14:paraId="2CAE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3C404A5D">
            <w:pPr>
              <w:adjustRightInd w:val="0"/>
              <w:spacing w:line="360" w:lineRule="auto"/>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2.3</w:t>
            </w:r>
          </w:p>
        </w:tc>
        <w:tc>
          <w:tcPr>
            <w:tcW w:w="1418" w:type="dxa"/>
            <w:vAlign w:val="center"/>
          </w:tcPr>
          <w:p w14:paraId="0971B332">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项目实施方案</w:t>
            </w:r>
          </w:p>
        </w:tc>
        <w:tc>
          <w:tcPr>
            <w:tcW w:w="6288" w:type="dxa"/>
            <w:vAlign w:val="center"/>
          </w:tcPr>
          <w:p w14:paraId="69F43DBC">
            <w:pPr>
              <w:spacing w:line="360" w:lineRule="auto"/>
              <w:ind w:firstLine="420"/>
              <w:rPr>
                <w:rFonts w:hint="eastAsia" w:ascii="宋体" w:hAnsi="宋体" w:cs="宋体"/>
                <w:color w:val="auto"/>
                <w:szCs w:val="21"/>
              </w:rPr>
            </w:pPr>
            <w:r>
              <w:rPr>
                <w:rFonts w:hint="eastAsia" w:ascii="宋体" w:hAnsi="宋体" w:cs="宋体"/>
                <w:color w:val="auto"/>
                <w:szCs w:val="21"/>
              </w:rPr>
              <w:t>一档（2分）：供应商对项目理解不清晰，实施方案仅对改造内容作出罗列或笼统描述，缺乏实质性计划和具体安排，无法体现项目执行的基本思路和可行性。</w:t>
            </w:r>
          </w:p>
          <w:p w14:paraId="59F13474">
            <w:pPr>
              <w:spacing w:line="360" w:lineRule="auto"/>
              <w:ind w:firstLine="420"/>
              <w:rPr>
                <w:rFonts w:hint="eastAsia" w:ascii="宋体" w:hAnsi="宋体" w:cs="宋体"/>
                <w:color w:val="auto"/>
                <w:szCs w:val="21"/>
              </w:rPr>
            </w:pPr>
            <w:r>
              <w:rPr>
                <w:rFonts w:hint="eastAsia" w:ascii="宋体" w:hAnsi="宋体" w:cs="宋体"/>
                <w:color w:val="auto"/>
                <w:szCs w:val="21"/>
              </w:rPr>
              <w:t>二档（7分）：供应商提供了项目整体实施计划及进度安排，内容基本完整，时间节点设置合理，整体方案虽不深入但能基本响应采购需求，具备初步的可操作性。</w:t>
            </w:r>
          </w:p>
          <w:p w14:paraId="15763A35">
            <w:pPr>
              <w:spacing w:line="360" w:lineRule="auto"/>
              <w:ind w:firstLine="420"/>
              <w:rPr>
                <w:rFonts w:hint="eastAsia" w:ascii="宋体" w:hAnsi="宋体" w:cs="宋体"/>
                <w:color w:val="auto"/>
                <w:szCs w:val="21"/>
              </w:rPr>
            </w:pPr>
            <w:r>
              <w:rPr>
                <w:rFonts w:hint="eastAsia" w:ascii="宋体" w:hAnsi="宋体" w:cs="宋体"/>
                <w:color w:val="auto"/>
                <w:szCs w:val="21"/>
              </w:rPr>
              <w:t>三档（14分）：供应商提供的实施方案结构完整、逻辑清晰，包含合理的实施计划与进度安排，并对项目实施的关键措施、质量与安全监督管理机制、系统调试及验收方法等有较详实的阐述，方案整体具备可执行性，能够有效满足采购需求。</w:t>
            </w:r>
          </w:p>
          <w:p w14:paraId="73A3C497">
            <w:pPr>
              <w:spacing w:line="360" w:lineRule="auto"/>
              <w:ind w:firstLine="420"/>
              <w:rPr>
                <w:rFonts w:hint="eastAsia" w:ascii="宋体" w:hAnsi="宋体" w:cs="宋体"/>
                <w:color w:val="auto"/>
                <w:szCs w:val="21"/>
              </w:rPr>
            </w:pPr>
            <w:r>
              <w:rPr>
                <w:rFonts w:hint="eastAsia" w:ascii="宋体" w:hAnsi="宋体" w:cs="宋体"/>
                <w:color w:val="auto"/>
                <w:szCs w:val="21"/>
              </w:rPr>
              <w:t>四档（21分）：供应商提供的实施方案全面、系统、深入，实施计划周密且进度安排科学合理，关键路径清晰。在实施内容、预期目标、技术措施、管理方法、监督机制、调试流程、验收标准等方面均针对项目特点进行了详细且有针对性的阐述，各项内容逻辑严谨、衔接顺畅，展现出项目把控能力和执行保障水平，</w:t>
            </w:r>
            <w:r>
              <w:rPr>
                <w:rFonts w:hint="eastAsia"/>
                <w:color w:val="auto"/>
              </w:rPr>
              <w:t>优于采购需求</w:t>
            </w:r>
            <w:r>
              <w:rPr>
                <w:rFonts w:hint="eastAsia" w:ascii="宋体" w:hAnsi="宋体" w:cs="宋体"/>
                <w:color w:val="auto"/>
                <w:szCs w:val="21"/>
              </w:rPr>
              <w:t>。</w:t>
            </w:r>
          </w:p>
        </w:tc>
        <w:tc>
          <w:tcPr>
            <w:tcW w:w="851" w:type="dxa"/>
            <w:vAlign w:val="center"/>
          </w:tcPr>
          <w:p w14:paraId="6CB9BDAE">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21分</w:t>
            </w:r>
          </w:p>
        </w:tc>
      </w:tr>
      <w:tr w14:paraId="6A5A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416BBAB6">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3</w:t>
            </w:r>
          </w:p>
        </w:tc>
        <w:tc>
          <w:tcPr>
            <w:tcW w:w="1418" w:type="dxa"/>
            <w:vAlign w:val="center"/>
          </w:tcPr>
          <w:p w14:paraId="5CE6A764">
            <w:pPr>
              <w:widowControl/>
              <w:spacing w:line="360" w:lineRule="auto"/>
              <w:jc w:val="center"/>
              <w:rPr>
                <w:rFonts w:hint="eastAsia" w:ascii="宋体" w:hAnsi="宋体" w:cs="宋体"/>
                <w:bCs/>
                <w:color w:val="auto"/>
                <w:szCs w:val="21"/>
              </w:rPr>
            </w:pPr>
            <w:r>
              <w:rPr>
                <w:rFonts w:hint="eastAsia" w:ascii="宋体" w:hAnsi="宋体" w:cs="宋体"/>
                <w:bCs/>
                <w:color w:val="auto"/>
                <w:szCs w:val="21"/>
              </w:rPr>
              <w:t>商务分</w:t>
            </w:r>
          </w:p>
        </w:tc>
        <w:tc>
          <w:tcPr>
            <w:tcW w:w="7139" w:type="dxa"/>
            <w:gridSpan w:val="2"/>
            <w:vAlign w:val="center"/>
          </w:tcPr>
          <w:p w14:paraId="17B087EA">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评审因素</w:t>
            </w:r>
          </w:p>
        </w:tc>
      </w:tr>
      <w:tr w14:paraId="5539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3" w:type="dxa"/>
            <w:vAlign w:val="center"/>
          </w:tcPr>
          <w:p w14:paraId="399CF0CC">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3.1</w:t>
            </w:r>
          </w:p>
        </w:tc>
        <w:tc>
          <w:tcPr>
            <w:tcW w:w="1418" w:type="dxa"/>
            <w:vAlign w:val="center"/>
          </w:tcPr>
          <w:p w14:paraId="54CE8BB0">
            <w:pPr>
              <w:wordWrap w:val="0"/>
              <w:adjustRightInd w:val="0"/>
              <w:spacing w:line="360" w:lineRule="auto"/>
              <w:jc w:val="center"/>
              <w:textAlignment w:val="baseline"/>
              <w:rPr>
                <w:rFonts w:hint="eastAsia" w:ascii="宋体" w:hAnsi="宋体" w:cs="宋体"/>
                <w:bCs/>
                <w:color w:val="auto"/>
                <w:kern w:val="0"/>
                <w:szCs w:val="21"/>
              </w:rPr>
            </w:pPr>
            <w:r>
              <w:rPr>
                <w:rFonts w:hint="eastAsia" w:ascii="宋体" w:hAnsi="宋体" w:cs="宋体"/>
                <w:color w:val="auto"/>
                <w:szCs w:val="21"/>
              </w:rPr>
              <w:t>售后服务方案</w:t>
            </w:r>
          </w:p>
        </w:tc>
        <w:tc>
          <w:tcPr>
            <w:tcW w:w="6288" w:type="dxa"/>
            <w:vAlign w:val="center"/>
          </w:tcPr>
          <w:p w14:paraId="12D1C704">
            <w:pPr>
              <w:snapToGrid w:val="0"/>
              <w:spacing w:line="560" w:lineRule="exact"/>
              <w:ind w:firstLine="420" w:firstLineChars="200"/>
              <w:jc w:val="left"/>
              <w:rPr>
                <w:rFonts w:hint="eastAsia" w:ascii="宋体" w:hAnsi="宋体" w:cs="宋体"/>
                <w:color w:val="auto"/>
                <w:szCs w:val="21"/>
              </w:rPr>
            </w:pPr>
            <w:r>
              <w:rPr>
                <w:rFonts w:hint="eastAsia" w:ascii="宋体" w:hAnsi="宋体" w:cs="宋体"/>
                <w:color w:val="auto"/>
                <w:szCs w:val="21"/>
              </w:rPr>
              <w:t>主要对供应商承诺的质保期、接到通知到达时现场处理故障时间、一般故障承诺解决时间、故障无法排除时的解决方案、技术培训、回访措施、维护措施、耗材及备品备件优惠措施、维保人员配置等服务承诺、服务体系及措施方面。</w:t>
            </w:r>
          </w:p>
          <w:p w14:paraId="14CCA365">
            <w:pPr>
              <w:snapToGrid w:val="0"/>
              <w:spacing w:line="560" w:lineRule="exact"/>
              <w:ind w:firstLine="420" w:firstLineChars="200"/>
              <w:jc w:val="left"/>
              <w:rPr>
                <w:rFonts w:hint="eastAsia" w:ascii="宋体" w:hAnsi="宋体" w:cs="宋体"/>
                <w:color w:val="auto"/>
                <w:szCs w:val="21"/>
              </w:rPr>
            </w:pPr>
            <w:r>
              <w:rPr>
                <w:rFonts w:hint="eastAsia" w:ascii="宋体" w:hAnsi="宋体" w:cs="宋体"/>
                <w:color w:val="auto"/>
                <w:szCs w:val="21"/>
              </w:rPr>
              <w:t>一档（3分）：供应商提供的售后服务方案内容空洞、形式化，仅复述采购文件中的基础要求，未结合项目具体需求进行展开，缺乏可量化的服务承诺与可执行的具体措施。</w:t>
            </w:r>
          </w:p>
          <w:p w14:paraId="09A52359">
            <w:pPr>
              <w:snapToGrid w:val="0"/>
              <w:spacing w:line="560" w:lineRule="exact"/>
              <w:ind w:firstLine="420" w:firstLineChars="200"/>
              <w:jc w:val="left"/>
              <w:rPr>
                <w:rFonts w:hint="eastAsia" w:ascii="宋体" w:hAnsi="宋体" w:cs="宋体"/>
                <w:color w:val="auto"/>
                <w:szCs w:val="21"/>
              </w:rPr>
            </w:pPr>
            <w:r>
              <w:rPr>
                <w:rFonts w:hint="eastAsia" w:ascii="宋体" w:hAnsi="宋体" w:cs="宋体"/>
                <w:color w:val="auto"/>
                <w:szCs w:val="21"/>
              </w:rPr>
              <w:t>二档（6分）：供应商提供的售后服务方案框架基本完整，但阐述较为笼统。方案中明确了基本的售后服务团队构成，配备基本合理；对质保期、故障响应与处理、技术培训等服务承诺有初步描述，但未对关键指标（如具体响应时间、故障分级解决机制）作出明确量化承诺，服务体系仅能满足项目基本保障需求。</w:t>
            </w:r>
          </w:p>
          <w:p w14:paraId="1F49D604">
            <w:pPr>
              <w:snapToGrid w:val="0"/>
              <w:spacing w:line="560" w:lineRule="exact"/>
              <w:ind w:firstLine="420" w:firstLineChars="200"/>
              <w:jc w:val="left"/>
              <w:rPr>
                <w:rFonts w:hint="eastAsia" w:ascii="宋体" w:hAnsi="宋体" w:cs="宋体"/>
                <w:color w:val="auto"/>
                <w:szCs w:val="21"/>
              </w:rPr>
            </w:pPr>
            <w:r>
              <w:rPr>
                <w:rFonts w:hint="eastAsia" w:ascii="宋体" w:hAnsi="宋体" w:cs="宋体"/>
                <w:color w:val="auto"/>
                <w:szCs w:val="21"/>
              </w:rPr>
              <w:t>三档（9分）：供应商提供的售后服务方案内容详细、结构清晰。售后服务团队配备合理，岗位职责明确；对服务承诺有清晰阐述，明确了具体的质保期、现场响应时间、一般故障解决时间及故障无法排除时的应急解决方案。在技术培训、定期回访、预防性维护、备品备件供应等方面有全面考虑和安排，方案具备可操作性，能为本项目提供服务支持。</w:t>
            </w:r>
          </w:p>
          <w:p w14:paraId="6EA41245">
            <w:pPr>
              <w:snapToGrid w:val="0"/>
              <w:spacing w:line="560" w:lineRule="exact"/>
              <w:ind w:firstLine="420" w:firstLineChars="200"/>
              <w:jc w:val="left"/>
              <w:rPr>
                <w:color w:val="auto"/>
                <w:kern w:val="0"/>
                <w:sz w:val="18"/>
                <w:szCs w:val="18"/>
              </w:rPr>
            </w:pPr>
            <w:r>
              <w:rPr>
                <w:rFonts w:hint="eastAsia" w:ascii="宋体" w:hAnsi="宋体" w:cs="宋体"/>
                <w:color w:val="auto"/>
                <w:szCs w:val="21"/>
              </w:rPr>
              <w:t>四档（16分）：供应商提供的售后服务方案极具针对性、周密且切合实际。方案完全围绕项目全生命周期运维需求进行定制化设计，承诺了优于基本的质保期。提供了明确量化的服务响应机制响应时间优于采购需求，并制定了完备的故障升级与解决方案。对技术培训、定期回访制度、预防性维护计划、耗材及备品备件优惠措施等均有周密、详实的安排，并承诺储备充沛的备件库存以确保系统持续稳定运行。售后服务团队人员配比合理、方案整体展现出服务保障能力和风险管控意识优于采购需求。</w:t>
            </w:r>
          </w:p>
        </w:tc>
        <w:tc>
          <w:tcPr>
            <w:tcW w:w="851" w:type="dxa"/>
            <w:vAlign w:val="center"/>
          </w:tcPr>
          <w:p w14:paraId="275DD176">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16分</w:t>
            </w:r>
          </w:p>
        </w:tc>
      </w:tr>
      <w:tr w14:paraId="5DC4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3" w:type="dxa"/>
            <w:vAlign w:val="center"/>
          </w:tcPr>
          <w:p w14:paraId="154C161F">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3.2</w:t>
            </w:r>
          </w:p>
        </w:tc>
        <w:tc>
          <w:tcPr>
            <w:tcW w:w="1418" w:type="dxa"/>
            <w:vAlign w:val="center"/>
          </w:tcPr>
          <w:p w14:paraId="22F96F2B">
            <w:pPr>
              <w:wordWrap w:val="0"/>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业绩分</w:t>
            </w:r>
          </w:p>
        </w:tc>
        <w:tc>
          <w:tcPr>
            <w:tcW w:w="6288" w:type="dxa"/>
            <w:vAlign w:val="center"/>
          </w:tcPr>
          <w:p w14:paraId="562A782C">
            <w:pPr>
              <w:snapToGrid w:val="0"/>
              <w:spacing w:line="560" w:lineRule="exact"/>
              <w:ind w:firstLine="420" w:firstLineChars="200"/>
              <w:jc w:val="left"/>
              <w:rPr>
                <w:rFonts w:hint="eastAsia" w:ascii="宋体" w:hAnsi="宋体" w:cs="宋体"/>
                <w:color w:val="auto"/>
                <w:szCs w:val="21"/>
              </w:rPr>
            </w:pPr>
            <w:r>
              <w:rPr>
                <w:rFonts w:hint="eastAsia" w:ascii="宋体" w:hAnsi="宋体" w:cs="宋体"/>
                <w:color w:val="auto"/>
                <w:szCs w:val="21"/>
              </w:rPr>
              <w:t>供应商2022年1月1日以来承担过节能改造项目业绩的，每提供一个业绩得2分，满分4分。</w:t>
            </w:r>
            <w:r>
              <w:rPr>
                <w:rFonts w:hint="eastAsia" w:ascii="宋体" w:hAnsi="宋体" w:cs="宋体"/>
                <w:b/>
                <w:bCs/>
                <w:color w:val="auto"/>
                <w:szCs w:val="21"/>
              </w:rPr>
              <w:t>【响应文件中提供合同协议书关键页或中标（成交）通知书的复印件或扫描件并加盖供应商公章，不提供不得分】</w:t>
            </w:r>
          </w:p>
        </w:tc>
        <w:tc>
          <w:tcPr>
            <w:tcW w:w="851" w:type="dxa"/>
            <w:vAlign w:val="center"/>
          </w:tcPr>
          <w:p w14:paraId="365108A0">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4分</w:t>
            </w:r>
          </w:p>
        </w:tc>
      </w:tr>
      <w:tr w14:paraId="5FBA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3" w:type="dxa"/>
            <w:vAlign w:val="center"/>
          </w:tcPr>
          <w:p w14:paraId="5EBC6C4A">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3.3</w:t>
            </w:r>
          </w:p>
        </w:tc>
        <w:tc>
          <w:tcPr>
            <w:tcW w:w="1418" w:type="dxa"/>
            <w:vAlign w:val="center"/>
          </w:tcPr>
          <w:p w14:paraId="7D934179">
            <w:pPr>
              <w:wordWrap w:val="0"/>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政策分</w:t>
            </w:r>
          </w:p>
        </w:tc>
        <w:tc>
          <w:tcPr>
            <w:tcW w:w="6288" w:type="dxa"/>
            <w:vAlign w:val="center"/>
          </w:tcPr>
          <w:p w14:paraId="1543C30F">
            <w:pPr>
              <w:wordWrap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属于财政部《节能产品政府采购品目清单》内优先采购（清单内未标注“★”的品目）的产品[响应文件中提供有效的认证证书复印件及品目清单（标注出竞标产品在品目清单中所属的品目），并加盖供应商公章]，根据其所占项目（或者分标）竞标报价比例得0至0.5分，满分0.5分。</w:t>
            </w:r>
          </w:p>
          <w:p w14:paraId="639ED2EA">
            <w:pPr>
              <w:wordWrap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属于财政部《环境标志产品政府采购品目清单》内的产品[响应文件中提供有效的认证证书复印件及品目清单（标注出竞标产品在品目清单中所属的品目），并加盖供应商公章]，根据其所占项目（或者分标）竞标报价比例得0至0.5分，满分0.5分；</w:t>
            </w:r>
          </w:p>
          <w:p w14:paraId="5F0E4B40">
            <w:pPr>
              <w:wordWrap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备注：以上（1）（2）分值计算公式列举说明，如某供应商属于优先采购环境标志产品总值占本竞标报价的比例为35.6%，那该项得分为0.5×0.356=0.178分；</w:t>
            </w:r>
          </w:p>
          <w:p w14:paraId="4269B3D6">
            <w:pPr>
              <w:wordWrap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（3）非节能、环境标志产品的不得分。</w:t>
            </w:r>
          </w:p>
        </w:tc>
        <w:tc>
          <w:tcPr>
            <w:tcW w:w="851" w:type="dxa"/>
            <w:vAlign w:val="center"/>
          </w:tcPr>
          <w:p w14:paraId="6C24ED8F">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1分</w:t>
            </w:r>
          </w:p>
        </w:tc>
      </w:tr>
      <w:tr w14:paraId="0F66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Pr>
          <w:p w14:paraId="0FAC4E4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总得分为以上各项评审因素得分合计</w:t>
            </w:r>
          </w:p>
        </w:tc>
        <w:tc>
          <w:tcPr>
            <w:tcW w:w="851" w:type="dxa"/>
            <w:vAlign w:val="center"/>
          </w:tcPr>
          <w:p w14:paraId="604342CB">
            <w:pPr>
              <w:widowControl/>
              <w:spacing w:line="360" w:lineRule="auto"/>
              <w:jc w:val="center"/>
              <w:rPr>
                <w:rFonts w:hint="eastAsia" w:ascii="宋体" w:hAnsi="宋体" w:cs="宋体"/>
                <w:color w:val="auto"/>
                <w:kern w:val="0"/>
                <w:szCs w:val="21"/>
              </w:rPr>
            </w:pPr>
          </w:p>
        </w:tc>
      </w:tr>
    </w:tbl>
    <w:p w14:paraId="6484C26A">
      <w:pPr>
        <w:pStyle w:val="19"/>
        <w:rPr>
          <w:rFonts w:hint="eastAsia" w:ascii="宋体" w:hAnsi="宋体"/>
          <w:bCs/>
          <w:color w:val="auto"/>
          <w:szCs w:val="21"/>
        </w:rPr>
      </w:pPr>
    </w:p>
    <w:p w14:paraId="542355D1">
      <w:pPr>
        <w:spacing w:line="360" w:lineRule="auto"/>
        <w:ind w:firstLine="420" w:firstLineChars="200"/>
        <w:rPr>
          <w:rFonts w:hint="eastAsia" w:ascii="宋体" w:hAnsi="宋体"/>
          <w:color w:val="auto"/>
          <w:szCs w:val="21"/>
        </w:rPr>
      </w:pPr>
      <w:r>
        <w:rPr>
          <w:rFonts w:ascii="宋体" w:hAnsi="宋体"/>
          <w:bCs/>
          <w:color w:val="auto"/>
          <w:szCs w:val="21"/>
        </w:rPr>
        <w:t>7.</w:t>
      </w:r>
      <w:r>
        <w:rPr>
          <w:rFonts w:hint="eastAsia" w:ascii="宋体" w:hAnsi="宋体"/>
          <w:bCs/>
          <w:color w:val="auto"/>
          <w:szCs w:val="21"/>
        </w:rPr>
        <w:t>由磋商小组根据综合评分情况，按照评审得分由高到低顺序推荐3名</w:t>
      </w:r>
      <w:r>
        <w:rPr>
          <w:rFonts w:hint="eastAsia"/>
          <w:color w:val="auto"/>
        </w:rPr>
        <w:t>及</w:t>
      </w:r>
      <w:r>
        <w:rPr>
          <w:rFonts w:hint="eastAsia" w:ascii="宋体" w:hAnsi="宋体"/>
          <w:bCs/>
          <w:color w:val="auto"/>
          <w:szCs w:val="21"/>
        </w:rPr>
        <w:t>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6AA00FAF">
      <w:pPr>
        <w:spacing w:line="400" w:lineRule="exact"/>
        <w:ind w:firstLine="420" w:firstLineChars="200"/>
        <w:rPr>
          <w:rFonts w:hint="eastAsia" w:ascii="宋体" w:hAnsi="宋体" w:cs="宋体"/>
          <w:color w:val="auto"/>
        </w:rPr>
      </w:pPr>
    </w:p>
    <w:p w14:paraId="1986A7D5">
      <w:pPr>
        <w:spacing w:line="400" w:lineRule="exact"/>
        <w:ind w:firstLine="420" w:firstLineChars="200"/>
        <w:rPr>
          <w:rFonts w:hint="eastAsia" w:ascii="宋体" w:hAnsi="宋体" w:cs="宋体"/>
          <w:color w:val="auto"/>
        </w:rPr>
      </w:pPr>
    </w:p>
    <w:p w14:paraId="5DE16880">
      <w:pPr>
        <w:pStyle w:val="2"/>
        <w:jc w:val="center"/>
        <w:rPr>
          <w:color w:val="auto"/>
        </w:rPr>
      </w:pPr>
      <w:r>
        <w:rPr>
          <w:color w:val="auto"/>
        </w:rPr>
        <w:br w:type="page"/>
      </w:r>
    </w:p>
    <w:p w14:paraId="2B72D356">
      <w:pPr>
        <w:rPr>
          <w:color w:val="auto"/>
        </w:rPr>
      </w:pPr>
    </w:p>
    <w:p w14:paraId="6F22661A">
      <w:pPr>
        <w:pStyle w:val="2"/>
        <w:jc w:val="center"/>
        <w:rPr>
          <w:color w:val="auto"/>
        </w:rPr>
      </w:pPr>
      <w:bookmarkStart w:id="75" w:name="_Toc74323460"/>
      <w:r>
        <w:rPr>
          <w:rFonts w:hint="eastAsia"/>
          <w:color w:val="auto"/>
        </w:rPr>
        <w:t>第五章 响应文件格式</w:t>
      </w:r>
      <w:bookmarkEnd w:id="75"/>
    </w:p>
    <w:p w14:paraId="15B3E7D0">
      <w:pPr>
        <w:spacing w:line="240" w:lineRule="atLeast"/>
        <w:rPr>
          <w:rFonts w:hint="eastAsia" w:ascii="宋体" w:hAnsi="宋体"/>
          <w:b/>
          <w:color w:val="auto"/>
          <w:sz w:val="32"/>
          <w:szCs w:val="32"/>
        </w:rPr>
      </w:pPr>
    </w:p>
    <w:p w14:paraId="31D0CD7C">
      <w:pPr>
        <w:spacing w:line="240" w:lineRule="atLeast"/>
        <w:rPr>
          <w:rFonts w:hint="eastAsia" w:ascii="宋体" w:hAnsi="宋体"/>
          <w:b/>
          <w:color w:val="auto"/>
          <w:sz w:val="32"/>
          <w:szCs w:val="32"/>
        </w:rPr>
      </w:pPr>
    </w:p>
    <w:p w14:paraId="3267ED5B">
      <w:pPr>
        <w:spacing w:line="240" w:lineRule="atLeast"/>
        <w:rPr>
          <w:rFonts w:hint="eastAsia" w:ascii="宋体" w:hAnsi="宋体"/>
          <w:b/>
          <w:color w:val="auto"/>
          <w:sz w:val="32"/>
          <w:szCs w:val="32"/>
        </w:rPr>
      </w:pPr>
    </w:p>
    <w:p w14:paraId="580997B2">
      <w:pPr>
        <w:spacing w:line="240" w:lineRule="atLeast"/>
        <w:rPr>
          <w:rFonts w:hint="eastAsia" w:ascii="宋体" w:hAnsi="宋体"/>
          <w:b/>
          <w:color w:val="auto"/>
          <w:sz w:val="32"/>
          <w:szCs w:val="32"/>
        </w:rPr>
      </w:pPr>
    </w:p>
    <w:p w14:paraId="030D6720">
      <w:pPr>
        <w:spacing w:line="240" w:lineRule="atLeast"/>
        <w:rPr>
          <w:rFonts w:hint="eastAsia" w:ascii="宋体" w:hAnsi="宋体"/>
          <w:b/>
          <w:color w:val="auto"/>
          <w:sz w:val="32"/>
          <w:szCs w:val="32"/>
        </w:rPr>
      </w:pPr>
    </w:p>
    <w:p w14:paraId="3439F9D6">
      <w:pPr>
        <w:spacing w:line="240" w:lineRule="atLeast"/>
        <w:rPr>
          <w:rFonts w:hint="eastAsia" w:ascii="宋体" w:hAnsi="宋体"/>
          <w:b/>
          <w:color w:val="auto"/>
          <w:sz w:val="32"/>
          <w:szCs w:val="32"/>
        </w:rPr>
      </w:pPr>
    </w:p>
    <w:p w14:paraId="2F325DF6">
      <w:pPr>
        <w:spacing w:line="240" w:lineRule="atLeast"/>
        <w:rPr>
          <w:rFonts w:hint="eastAsia" w:ascii="宋体" w:hAnsi="宋体"/>
          <w:b/>
          <w:color w:val="auto"/>
          <w:sz w:val="32"/>
          <w:szCs w:val="32"/>
        </w:rPr>
      </w:pPr>
    </w:p>
    <w:p w14:paraId="3A4B8155">
      <w:pPr>
        <w:spacing w:line="240" w:lineRule="atLeast"/>
        <w:rPr>
          <w:rFonts w:hint="eastAsia" w:ascii="宋体" w:hAnsi="宋体"/>
          <w:b/>
          <w:color w:val="auto"/>
          <w:sz w:val="32"/>
          <w:szCs w:val="32"/>
        </w:rPr>
      </w:pPr>
    </w:p>
    <w:p w14:paraId="7DAD60FB">
      <w:pPr>
        <w:spacing w:line="240" w:lineRule="atLeast"/>
        <w:rPr>
          <w:rFonts w:hint="eastAsia" w:ascii="宋体" w:hAnsi="宋体"/>
          <w:b/>
          <w:color w:val="auto"/>
          <w:sz w:val="32"/>
          <w:szCs w:val="32"/>
        </w:rPr>
      </w:pPr>
    </w:p>
    <w:p w14:paraId="7F6E8BD8">
      <w:pPr>
        <w:spacing w:line="240" w:lineRule="atLeast"/>
        <w:rPr>
          <w:rFonts w:hint="eastAsia" w:ascii="宋体" w:hAnsi="宋体"/>
          <w:b/>
          <w:color w:val="auto"/>
          <w:sz w:val="32"/>
          <w:szCs w:val="32"/>
        </w:rPr>
      </w:pPr>
    </w:p>
    <w:p w14:paraId="4EF7D7AD">
      <w:pPr>
        <w:spacing w:line="240" w:lineRule="atLeast"/>
        <w:rPr>
          <w:rFonts w:hint="eastAsia" w:ascii="宋体" w:hAnsi="宋体"/>
          <w:b/>
          <w:color w:val="auto"/>
          <w:sz w:val="32"/>
          <w:szCs w:val="32"/>
        </w:rPr>
      </w:pPr>
    </w:p>
    <w:p w14:paraId="1519EB95">
      <w:pPr>
        <w:snapToGrid w:val="0"/>
        <w:spacing w:before="50" w:after="50"/>
        <w:outlineLvl w:val="1"/>
        <w:rPr>
          <w:rFonts w:hint="eastAsia" w:ascii="宋体" w:hAnsi="宋体"/>
          <w:b/>
          <w:bCs/>
          <w:color w:val="auto"/>
          <w:sz w:val="24"/>
        </w:rPr>
      </w:pPr>
    </w:p>
    <w:p w14:paraId="1E6F5D8A">
      <w:pPr>
        <w:snapToGrid w:val="0"/>
        <w:spacing w:before="156" w:beforeLines="50" w:after="50"/>
        <w:jc w:val="center"/>
        <w:rPr>
          <w:rFonts w:hint="eastAsia" w:ascii="仿宋_GB2312" w:hAnsi="仿宋_GB2312" w:eastAsia="仿宋_GB2312" w:cs="仿宋_GB2312"/>
          <w:bCs/>
          <w:color w:val="auto"/>
          <w:sz w:val="32"/>
          <w:szCs w:val="32"/>
        </w:rPr>
      </w:pPr>
    </w:p>
    <w:p w14:paraId="316449A1">
      <w:pPr>
        <w:rPr>
          <w:b/>
          <w:color w:val="auto"/>
          <w:sz w:val="32"/>
          <w:szCs w:val="32"/>
        </w:rPr>
      </w:pPr>
      <w:bookmarkStart w:id="76" w:name="_Toc31728084"/>
      <w:bookmarkStart w:id="77" w:name="_Toc35611438"/>
      <w:bookmarkStart w:id="78" w:name="_Toc71366186"/>
      <w:bookmarkStart w:id="79" w:name="_Toc35611516"/>
      <w:bookmarkStart w:id="80" w:name="_Toc31723070"/>
      <w:bookmarkStart w:id="81" w:name="_Toc44229899"/>
      <w:r>
        <w:rPr>
          <w:b/>
          <w:color w:val="auto"/>
          <w:sz w:val="32"/>
          <w:szCs w:val="32"/>
        </w:rPr>
        <w:br w:type="page"/>
      </w:r>
      <w:r>
        <w:rPr>
          <w:rFonts w:hint="eastAsia"/>
          <w:b/>
          <w:color w:val="auto"/>
          <w:sz w:val="32"/>
          <w:szCs w:val="32"/>
        </w:rPr>
        <w:t>一、资格证明文件格式</w:t>
      </w:r>
      <w:bookmarkEnd w:id="76"/>
      <w:bookmarkEnd w:id="77"/>
      <w:bookmarkEnd w:id="78"/>
      <w:bookmarkEnd w:id="79"/>
      <w:bookmarkEnd w:id="80"/>
      <w:bookmarkEnd w:id="81"/>
    </w:p>
    <w:p w14:paraId="6F697ECD">
      <w:pPr>
        <w:snapToGrid w:val="0"/>
        <w:spacing w:before="156" w:beforeLines="50" w:after="50" w:line="360" w:lineRule="auto"/>
        <w:jc w:val="left"/>
        <w:rPr>
          <w:rFonts w:hint="eastAsia" w:ascii="宋体" w:hAnsi="宋体"/>
          <w:b/>
          <w:color w:val="auto"/>
          <w:sz w:val="24"/>
        </w:rPr>
      </w:pPr>
      <w:r>
        <w:rPr>
          <w:rFonts w:hint="eastAsia" w:ascii="宋体" w:hAnsi="宋体"/>
          <w:b/>
          <w:color w:val="auto"/>
          <w:sz w:val="32"/>
          <w:szCs w:val="32"/>
        </w:rPr>
        <w:t>1.资格证明文件封面格式：</w:t>
      </w:r>
    </w:p>
    <w:p w14:paraId="3D326C18">
      <w:pPr>
        <w:snapToGrid w:val="0"/>
        <w:spacing w:before="156" w:beforeLines="50" w:after="50"/>
        <w:jc w:val="center"/>
        <w:rPr>
          <w:rFonts w:hint="eastAsia" w:ascii="宋体" w:hAnsi="宋体"/>
          <w:color w:val="auto"/>
          <w:sz w:val="44"/>
          <w:szCs w:val="44"/>
        </w:rPr>
      </w:pPr>
    </w:p>
    <w:p w14:paraId="5269A4AB">
      <w:pPr>
        <w:snapToGrid w:val="0"/>
        <w:spacing w:before="156" w:beforeLines="50" w:after="50"/>
        <w:jc w:val="center"/>
        <w:rPr>
          <w:rFonts w:hint="eastAsia" w:ascii="宋体" w:hAnsi="宋体"/>
          <w:color w:val="auto"/>
          <w:sz w:val="44"/>
          <w:szCs w:val="44"/>
        </w:rPr>
      </w:pPr>
      <w:r>
        <w:rPr>
          <w:rFonts w:hint="eastAsia" w:ascii="宋体" w:hAnsi="宋体"/>
          <w:color w:val="auto"/>
          <w:sz w:val="44"/>
          <w:szCs w:val="44"/>
        </w:rPr>
        <w:t>电 子 响 应 文 件</w:t>
      </w:r>
    </w:p>
    <w:p w14:paraId="39DF06B1">
      <w:pPr>
        <w:snapToGrid w:val="0"/>
        <w:spacing w:before="156" w:beforeLines="50" w:after="50"/>
        <w:rPr>
          <w:rFonts w:hint="eastAsia" w:ascii="宋体" w:hAnsi="宋体"/>
          <w:color w:val="auto"/>
          <w:sz w:val="24"/>
          <w:szCs w:val="20"/>
        </w:rPr>
      </w:pPr>
    </w:p>
    <w:p w14:paraId="3C109496">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632101A0">
      <w:pPr>
        <w:snapToGrid w:val="0"/>
        <w:spacing w:before="156" w:beforeLines="50" w:after="50"/>
        <w:rPr>
          <w:rFonts w:hint="eastAsia" w:ascii="宋体" w:hAnsi="宋体"/>
          <w:bCs/>
          <w:color w:val="auto"/>
          <w:sz w:val="24"/>
          <w:szCs w:val="20"/>
        </w:rPr>
      </w:pPr>
    </w:p>
    <w:p w14:paraId="04484DBE">
      <w:pPr>
        <w:snapToGrid w:val="0"/>
        <w:spacing w:before="156" w:beforeLines="50" w:after="50"/>
        <w:rPr>
          <w:rFonts w:hint="eastAsia" w:ascii="宋体" w:hAnsi="宋体"/>
          <w:bCs/>
          <w:color w:val="auto"/>
          <w:sz w:val="24"/>
          <w:szCs w:val="20"/>
        </w:rPr>
      </w:pPr>
    </w:p>
    <w:p w14:paraId="64DB13BD">
      <w:pPr>
        <w:snapToGrid w:val="0"/>
        <w:spacing w:before="156" w:beforeLines="50" w:after="50"/>
        <w:rPr>
          <w:rFonts w:hint="eastAsia" w:ascii="宋体" w:hAnsi="宋体"/>
          <w:bCs/>
          <w:color w:val="auto"/>
          <w:sz w:val="24"/>
          <w:szCs w:val="20"/>
        </w:rPr>
      </w:pPr>
    </w:p>
    <w:p w14:paraId="43912FD2">
      <w:pPr>
        <w:snapToGrid w:val="0"/>
        <w:spacing w:before="156" w:beforeLines="50" w:after="50"/>
        <w:rPr>
          <w:rFonts w:hint="eastAsia" w:ascii="宋体" w:hAnsi="宋体"/>
          <w:bCs/>
          <w:color w:val="auto"/>
          <w:sz w:val="24"/>
          <w:szCs w:val="20"/>
        </w:rPr>
      </w:pPr>
    </w:p>
    <w:p w14:paraId="33E4764A">
      <w:pPr>
        <w:snapToGrid w:val="0"/>
        <w:spacing w:before="156" w:beforeLines="50" w:after="50"/>
        <w:rPr>
          <w:rFonts w:hint="eastAsia" w:ascii="宋体" w:hAnsi="宋体"/>
          <w:bCs/>
          <w:color w:val="auto"/>
          <w:sz w:val="24"/>
          <w:szCs w:val="20"/>
        </w:rPr>
      </w:pPr>
    </w:p>
    <w:p w14:paraId="5E9AB70B">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706D09BE">
      <w:pPr>
        <w:snapToGrid w:val="0"/>
        <w:spacing w:before="156" w:beforeLines="50" w:after="50"/>
        <w:ind w:firstLine="720" w:firstLineChars="225"/>
        <w:rPr>
          <w:rFonts w:hint="eastAsia" w:ascii="宋体" w:hAnsi="宋体" w:cs="仿宋_GB2312"/>
          <w:bCs/>
          <w:color w:val="auto"/>
          <w:sz w:val="32"/>
          <w:szCs w:val="32"/>
        </w:rPr>
      </w:pPr>
    </w:p>
    <w:p w14:paraId="221BBBAE">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1CFBCD37">
      <w:pPr>
        <w:snapToGrid w:val="0"/>
        <w:spacing w:before="156" w:beforeLines="50" w:after="50"/>
        <w:ind w:firstLine="720" w:firstLineChars="225"/>
        <w:rPr>
          <w:rFonts w:hint="eastAsia" w:ascii="宋体" w:hAnsi="宋体" w:cs="仿宋_GB2312"/>
          <w:bCs/>
          <w:color w:val="auto"/>
          <w:sz w:val="32"/>
          <w:szCs w:val="32"/>
        </w:rPr>
      </w:pPr>
    </w:p>
    <w:p w14:paraId="02FC8A01">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2D4705BB">
      <w:pPr>
        <w:snapToGrid w:val="0"/>
        <w:spacing w:before="156" w:beforeLines="50" w:after="50"/>
        <w:ind w:firstLine="720" w:firstLineChars="225"/>
        <w:rPr>
          <w:rFonts w:hint="eastAsia" w:ascii="宋体" w:hAnsi="宋体" w:cs="仿宋_GB2312"/>
          <w:bCs/>
          <w:color w:val="auto"/>
          <w:sz w:val="32"/>
          <w:szCs w:val="32"/>
        </w:rPr>
      </w:pPr>
    </w:p>
    <w:p w14:paraId="18B3A7B6">
      <w:pPr>
        <w:pStyle w:val="6"/>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3F35B441">
      <w:pPr>
        <w:snapToGrid w:val="0"/>
        <w:spacing w:before="156" w:beforeLines="50" w:after="50"/>
        <w:ind w:firstLine="640" w:firstLineChars="200"/>
        <w:rPr>
          <w:rFonts w:hint="eastAsia" w:ascii="宋体" w:hAnsi="宋体" w:cs="仿宋_GB2312"/>
          <w:bCs/>
          <w:color w:val="auto"/>
          <w:sz w:val="32"/>
          <w:szCs w:val="32"/>
        </w:rPr>
      </w:pPr>
    </w:p>
    <w:p w14:paraId="0A50F1DD">
      <w:pPr>
        <w:pStyle w:val="6"/>
        <w:snapToGrid w:val="0"/>
        <w:spacing w:before="50" w:after="50"/>
        <w:ind w:firstLine="720" w:firstLineChars="225"/>
        <w:rPr>
          <w:rFonts w:hint="eastAsia" w:ascii="宋体" w:hAnsi="宋体" w:cs="仿宋_GB2312"/>
          <w:bCs/>
          <w:color w:val="auto"/>
          <w:sz w:val="32"/>
          <w:szCs w:val="32"/>
        </w:rPr>
      </w:pPr>
    </w:p>
    <w:p w14:paraId="5E5B735D">
      <w:pPr>
        <w:pStyle w:val="6"/>
        <w:snapToGrid w:val="0"/>
        <w:spacing w:before="50" w:after="50"/>
        <w:ind w:firstLine="720" w:firstLineChars="225"/>
        <w:rPr>
          <w:rFonts w:hint="eastAsia" w:ascii="宋体" w:hAnsi="宋体" w:cs="仿宋_GB2312"/>
          <w:bCs/>
          <w:color w:val="auto"/>
          <w:sz w:val="32"/>
          <w:szCs w:val="32"/>
        </w:rPr>
      </w:pPr>
    </w:p>
    <w:p w14:paraId="7565ACF2">
      <w:pPr>
        <w:pStyle w:val="6"/>
        <w:snapToGrid w:val="0"/>
        <w:spacing w:before="50" w:after="50"/>
        <w:ind w:firstLine="1280" w:firstLineChars="400"/>
        <w:rPr>
          <w:rFonts w:hint="eastAsia" w:ascii="宋体" w:hAnsi="宋体" w:cs="仿宋_GB2312"/>
          <w:bCs/>
          <w:color w:val="auto"/>
          <w:sz w:val="32"/>
          <w:szCs w:val="32"/>
        </w:rPr>
      </w:pPr>
    </w:p>
    <w:p w14:paraId="58A8AAE9">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59B1952B">
      <w:pPr>
        <w:snapToGrid w:val="0"/>
        <w:spacing w:before="156" w:beforeLines="50" w:after="50" w:line="360" w:lineRule="auto"/>
        <w:ind w:left="142"/>
        <w:jc w:val="left"/>
        <w:rPr>
          <w:rFonts w:hint="eastAsia"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0CB47B60">
      <w:pPr>
        <w:snapToGrid w:val="0"/>
        <w:spacing w:before="156" w:beforeLines="50" w:after="50" w:line="360" w:lineRule="auto"/>
        <w:ind w:firstLine="645"/>
        <w:rPr>
          <w:rFonts w:hint="eastAsia"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02EDC2CF">
      <w:pPr>
        <w:snapToGrid w:val="0"/>
        <w:spacing w:before="156" w:beforeLines="50" w:after="50"/>
        <w:rPr>
          <w:rFonts w:hint="eastAsia" w:ascii="宋体" w:hAnsi="宋体"/>
          <w:color w:val="auto"/>
          <w:sz w:val="24"/>
          <w:szCs w:val="20"/>
        </w:rPr>
      </w:pPr>
    </w:p>
    <w:p w14:paraId="765723C3">
      <w:pPr>
        <w:spacing w:line="300" w:lineRule="auto"/>
        <w:rPr>
          <w:rFonts w:hint="eastAsia" w:ascii="宋体" w:hAnsi="宋体"/>
          <w:color w:val="auto"/>
          <w:szCs w:val="21"/>
        </w:rPr>
      </w:pPr>
    </w:p>
    <w:p w14:paraId="0803E243">
      <w:pPr>
        <w:spacing w:line="300" w:lineRule="auto"/>
        <w:rPr>
          <w:rFonts w:hint="eastAsia" w:ascii="宋体" w:hAnsi="宋体"/>
          <w:color w:val="auto"/>
          <w:szCs w:val="21"/>
        </w:rPr>
      </w:pPr>
    </w:p>
    <w:p w14:paraId="180BD678">
      <w:pPr>
        <w:spacing w:line="300" w:lineRule="auto"/>
        <w:rPr>
          <w:rFonts w:hint="eastAsia" w:ascii="宋体" w:hAnsi="宋体"/>
          <w:color w:val="auto"/>
          <w:szCs w:val="21"/>
        </w:rPr>
      </w:pPr>
    </w:p>
    <w:p w14:paraId="192F80EE">
      <w:pPr>
        <w:spacing w:line="300" w:lineRule="auto"/>
        <w:rPr>
          <w:rFonts w:hint="eastAsia" w:ascii="宋体" w:hAnsi="宋体"/>
          <w:color w:val="auto"/>
          <w:szCs w:val="21"/>
        </w:rPr>
      </w:pPr>
    </w:p>
    <w:p w14:paraId="4E71DAF0">
      <w:pPr>
        <w:spacing w:line="300" w:lineRule="auto"/>
        <w:rPr>
          <w:rFonts w:hint="eastAsia" w:ascii="宋体" w:hAnsi="宋体"/>
          <w:color w:val="auto"/>
          <w:szCs w:val="21"/>
        </w:rPr>
      </w:pPr>
    </w:p>
    <w:p w14:paraId="00E91709">
      <w:pPr>
        <w:spacing w:line="300" w:lineRule="auto"/>
        <w:rPr>
          <w:rFonts w:hint="eastAsia" w:ascii="宋体" w:hAnsi="宋体"/>
          <w:color w:val="auto"/>
          <w:szCs w:val="21"/>
        </w:rPr>
      </w:pPr>
    </w:p>
    <w:p w14:paraId="092572B0">
      <w:pPr>
        <w:spacing w:line="300" w:lineRule="auto"/>
        <w:rPr>
          <w:rFonts w:hint="eastAsia" w:ascii="宋体" w:hAnsi="宋体"/>
          <w:color w:val="auto"/>
          <w:szCs w:val="21"/>
        </w:rPr>
      </w:pPr>
    </w:p>
    <w:p w14:paraId="7CAD892D">
      <w:pPr>
        <w:spacing w:line="300" w:lineRule="auto"/>
        <w:rPr>
          <w:rFonts w:hint="eastAsia" w:ascii="宋体" w:hAnsi="宋体"/>
          <w:color w:val="auto"/>
          <w:szCs w:val="21"/>
        </w:rPr>
      </w:pPr>
    </w:p>
    <w:p w14:paraId="28747461">
      <w:pPr>
        <w:spacing w:line="300" w:lineRule="auto"/>
        <w:rPr>
          <w:rFonts w:hint="eastAsia" w:ascii="宋体" w:hAnsi="宋体"/>
          <w:color w:val="auto"/>
          <w:szCs w:val="21"/>
        </w:rPr>
      </w:pPr>
    </w:p>
    <w:p w14:paraId="16A17433">
      <w:pPr>
        <w:spacing w:line="300" w:lineRule="auto"/>
        <w:rPr>
          <w:rFonts w:hint="eastAsia" w:ascii="宋体" w:hAnsi="宋体"/>
          <w:color w:val="auto"/>
          <w:szCs w:val="21"/>
        </w:rPr>
      </w:pPr>
    </w:p>
    <w:p w14:paraId="4AF37C87">
      <w:pPr>
        <w:spacing w:line="300" w:lineRule="auto"/>
        <w:rPr>
          <w:rFonts w:hint="eastAsia" w:ascii="宋体" w:hAnsi="宋体"/>
          <w:color w:val="auto"/>
          <w:szCs w:val="21"/>
        </w:rPr>
      </w:pPr>
    </w:p>
    <w:p w14:paraId="79FD2320">
      <w:pPr>
        <w:spacing w:line="300" w:lineRule="auto"/>
        <w:rPr>
          <w:rFonts w:hint="eastAsia" w:ascii="宋体" w:hAnsi="宋体"/>
          <w:color w:val="auto"/>
          <w:szCs w:val="21"/>
        </w:rPr>
      </w:pPr>
    </w:p>
    <w:p w14:paraId="7F398BE4">
      <w:pPr>
        <w:spacing w:line="300" w:lineRule="auto"/>
        <w:rPr>
          <w:rFonts w:hint="eastAsia" w:ascii="宋体" w:hAnsi="宋体"/>
          <w:color w:val="auto"/>
          <w:szCs w:val="21"/>
        </w:rPr>
      </w:pPr>
    </w:p>
    <w:p w14:paraId="5DB8A10A">
      <w:pPr>
        <w:spacing w:line="300" w:lineRule="auto"/>
        <w:rPr>
          <w:rFonts w:hint="eastAsia" w:ascii="宋体" w:hAnsi="宋体"/>
          <w:color w:val="auto"/>
          <w:szCs w:val="21"/>
        </w:rPr>
      </w:pPr>
    </w:p>
    <w:p w14:paraId="0F06D62D">
      <w:pPr>
        <w:spacing w:line="300" w:lineRule="auto"/>
        <w:rPr>
          <w:rFonts w:hint="eastAsia" w:ascii="宋体" w:hAnsi="宋体"/>
          <w:color w:val="auto"/>
          <w:szCs w:val="21"/>
        </w:rPr>
      </w:pPr>
    </w:p>
    <w:p w14:paraId="14533226">
      <w:pPr>
        <w:spacing w:line="320" w:lineRule="exact"/>
        <w:jc w:val="left"/>
        <w:rPr>
          <w:rFonts w:hint="eastAsia" w:ascii="宋体" w:hAnsi="宋体"/>
          <w:b/>
          <w:color w:val="auto"/>
          <w:sz w:val="24"/>
        </w:rPr>
      </w:pPr>
      <w:r>
        <w:rPr>
          <w:rFonts w:ascii="宋体" w:hAnsi="宋体"/>
          <w:color w:val="auto"/>
          <w:szCs w:val="21"/>
        </w:rPr>
        <w:br w:type="page"/>
      </w:r>
      <w:r>
        <w:rPr>
          <w:rFonts w:hint="eastAsia" w:ascii="宋体" w:hAnsi="宋体"/>
          <w:b/>
          <w:color w:val="auto"/>
          <w:sz w:val="24"/>
        </w:rPr>
        <w:t>3.</w:t>
      </w:r>
      <w:r>
        <w:rPr>
          <w:rFonts w:hint="eastAsia" w:ascii="宋体" w:hAnsi="宋体"/>
          <w:b/>
          <w:color w:val="auto"/>
          <w:sz w:val="28"/>
          <w:szCs w:val="28"/>
        </w:rPr>
        <w:t>供应商直接控股股东信息表</w:t>
      </w:r>
    </w:p>
    <w:p w14:paraId="56B79F50">
      <w:pPr>
        <w:snapToGrid w:val="0"/>
        <w:spacing w:before="50" w:after="156" w:afterLines="50"/>
        <w:jc w:val="center"/>
        <w:rPr>
          <w:rFonts w:hint="eastAsia" w:ascii="宋体" w:hAnsi="宋体"/>
          <w:b/>
          <w:color w:val="auto"/>
          <w:sz w:val="28"/>
          <w:szCs w:val="28"/>
        </w:rPr>
      </w:pPr>
    </w:p>
    <w:p w14:paraId="5D67B327">
      <w:pPr>
        <w:snapToGrid w:val="0"/>
        <w:spacing w:before="50" w:after="156" w:afterLines="50" w:line="360" w:lineRule="auto"/>
        <w:jc w:val="center"/>
        <w:rPr>
          <w:rFonts w:hint="eastAsia" w:ascii="宋体" w:hAnsi="宋体"/>
          <w:b/>
          <w:color w:val="auto"/>
          <w:sz w:val="32"/>
          <w:szCs w:val="32"/>
        </w:rPr>
      </w:pPr>
      <w:r>
        <w:rPr>
          <w:rFonts w:hint="eastAsia" w:ascii="宋体" w:hAnsi="宋体"/>
          <w:b/>
          <w:color w:val="auto"/>
          <w:sz w:val="32"/>
          <w:szCs w:val="32"/>
        </w:rPr>
        <w:t>供应商直接控股股东信息表</w:t>
      </w:r>
    </w:p>
    <w:tbl>
      <w:tblPr>
        <w:tblStyle w:val="25"/>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DE9544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E50B901">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9D65366">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E4A4999">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2F62862">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877FB1C">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1A6C2F9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B52682E">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3737E62">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0C44EFD">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173480">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345DE41">
            <w:pPr>
              <w:spacing w:line="360" w:lineRule="auto"/>
              <w:jc w:val="center"/>
              <w:rPr>
                <w:rFonts w:hint="eastAsia" w:ascii="宋体" w:hAnsi="宋体" w:cs="宋体"/>
                <w:color w:val="auto"/>
                <w:kern w:val="0"/>
                <w:sz w:val="24"/>
              </w:rPr>
            </w:pPr>
          </w:p>
        </w:tc>
      </w:tr>
      <w:tr w14:paraId="0BDED5E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6A94BD">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D8EB2D">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EC3195B">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DB08336">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7A68F93">
            <w:pPr>
              <w:spacing w:line="360" w:lineRule="auto"/>
              <w:jc w:val="center"/>
              <w:rPr>
                <w:rFonts w:hint="eastAsia" w:ascii="宋体" w:hAnsi="宋体" w:cs="宋体"/>
                <w:color w:val="auto"/>
                <w:kern w:val="0"/>
                <w:sz w:val="24"/>
              </w:rPr>
            </w:pPr>
          </w:p>
        </w:tc>
      </w:tr>
      <w:tr w14:paraId="2452F5E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EC05D59">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CA1126">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00B559">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39E94F">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B8243D">
            <w:pPr>
              <w:spacing w:line="360" w:lineRule="auto"/>
              <w:jc w:val="center"/>
              <w:rPr>
                <w:rFonts w:hint="eastAsia" w:ascii="宋体" w:hAnsi="宋体" w:cs="宋体"/>
                <w:color w:val="auto"/>
                <w:kern w:val="0"/>
                <w:sz w:val="24"/>
              </w:rPr>
            </w:pPr>
          </w:p>
        </w:tc>
      </w:tr>
      <w:tr w14:paraId="2E7B6E9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B077AC">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5EBCE07">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4B97C8">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0A9C72">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20C03B">
            <w:pPr>
              <w:spacing w:line="360" w:lineRule="auto"/>
              <w:jc w:val="center"/>
              <w:rPr>
                <w:rFonts w:hint="eastAsia" w:ascii="宋体" w:hAnsi="宋体" w:cs="宋体"/>
                <w:color w:val="auto"/>
                <w:kern w:val="0"/>
                <w:sz w:val="24"/>
              </w:rPr>
            </w:pPr>
          </w:p>
        </w:tc>
      </w:tr>
    </w:tbl>
    <w:p w14:paraId="504DE0C2">
      <w:pPr>
        <w:snapToGrid w:val="0"/>
        <w:spacing w:line="360" w:lineRule="auto"/>
        <w:jc w:val="left"/>
        <w:rPr>
          <w:rFonts w:hint="eastAsia" w:ascii="宋体" w:hAnsi="宋体"/>
          <w:color w:val="auto"/>
          <w:sz w:val="24"/>
        </w:rPr>
      </w:pPr>
      <w:r>
        <w:rPr>
          <w:rFonts w:hint="eastAsia" w:ascii="宋体" w:hAnsi="宋体"/>
          <w:color w:val="auto"/>
          <w:sz w:val="24"/>
        </w:rPr>
        <w:t>注：</w:t>
      </w:r>
    </w:p>
    <w:p w14:paraId="56B446C5">
      <w:pPr>
        <w:snapToGrid w:val="0"/>
        <w:spacing w:line="360" w:lineRule="auto"/>
        <w:jc w:val="left"/>
        <w:rPr>
          <w:rFonts w:hint="eastAsia"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D0BDAAB">
      <w:pPr>
        <w:snapToGrid w:val="0"/>
        <w:spacing w:line="360" w:lineRule="auto"/>
        <w:jc w:val="left"/>
        <w:rPr>
          <w:rFonts w:hint="eastAsia"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2AD0A990">
      <w:pPr>
        <w:snapToGrid w:val="0"/>
        <w:spacing w:line="360" w:lineRule="auto"/>
        <w:jc w:val="left"/>
        <w:rPr>
          <w:rFonts w:hint="eastAsia"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2205D22E">
      <w:pPr>
        <w:snapToGrid w:val="0"/>
        <w:spacing w:line="360" w:lineRule="auto"/>
        <w:jc w:val="left"/>
        <w:rPr>
          <w:rFonts w:hint="eastAsia" w:ascii="宋体" w:hAnsi="宋体"/>
          <w:color w:val="auto"/>
          <w:sz w:val="24"/>
        </w:rPr>
      </w:pPr>
    </w:p>
    <w:p w14:paraId="545CF285">
      <w:pPr>
        <w:snapToGrid w:val="0"/>
        <w:spacing w:line="360" w:lineRule="auto"/>
        <w:jc w:val="left"/>
        <w:rPr>
          <w:rFonts w:hint="eastAsia" w:ascii="宋体" w:hAnsi="宋体"/>
          <w:color w:val="auto"/>
          <w:sz w:val="24"/>
        </w:rPr>
      </w:pPr>
    </w:p>
    <w:p w14:paraId="0CD0C0EB">
      <w:pPr>
        <w:snapToGrid w:val="0"/>
        <w:spacing w:line="360" w:lineRule="auto"/>
        <w:jc w:val="left"/>
        <w:rPr>
          <w:rFonts w:hint="eastAsia" w:ascii="宋体" w:hAnsi="宋体"/>
          <w:color w:val="auto"/>
          <w:sz w:val="24"/>
        </w:rPr>
      </w:pPr>
    </w:p>
    <w:p w14:paraId="3F85C0BA">
      <w:pPr>
        <w:snapToGrid w:val="0"/>
        <w:spacing w:line="360" w:lineRule="auto"/>
        <w:ind w:left="-2" w:leftChars="-1" w:right="-817" w:rightChars="-389"/>
        <w:rPr>
          <w:rFonts w:hint="eastAsia" w:ascii="宋体" w:hAnsi="宋体"/>
          <w:color w:val="auto"/>
          <w:sz w:val="24"/>
        </w:rPr>
      </w:pPr>
      <w:r>
        <w:rPr>
          <w:rFonts w:hint="eastAsia" w:ascii="宋体" w:hAnsi="宋体"/>
          <w:color w:val="auto"/>
          <w:sz w:val="24"/>
        </w:rPr>
        <w:t xml:space="preserve">             法定代表人或者委托代理人（签字或者电子签名）：</w:t>
      </w:r>
    </w:p>
    <w:p w14:paraId="093F72BF">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供应商名称（电子签章）：</w:t>
      </w:r>
    </w:p>
    <w:p w14:paraId="6221AE53">
      <w:pPr>
        <w:snapToGrid w:val="0"/>
        <w:spacing w:line="360" w:lineRule="auto"/>
        <w:jc w:val="left"/>
        <w:rPr>
          <w:rFonts w:hint="eastAsia" w:ascii="宋体" w:hAnsi="宋体"/>
          <w:color w:val="auto"/>
          <w:szCs w:val="21"/>
        </w:rPr>
      </w:pPr>
      <w:r>
        <w:rPr>
          <w:rFonts w:hint="eastAsia" w:ascii="宋体" w:hAnsi="宋体"/>
          <w:color w:val="auto"/>
          <w:sz w:val="24"/>
        </w:rPr>
        <w:t xml:space="preserve">                                    日期：    年   月   日</w:t>
      </w:r>
    </w:p>
    <w:p w14:paraId="4129950C">
      <w:pPr>
        <w:snapToGrid w:val="0"/>
        <w:jc w:val="center"/>
        <w:rPr>
          <w:rFonts w:hint="eastAsia" w:ascii="宋体" w:hAnsi="宋体"/>
          <w:b/>
          <w:color w:val="auto"/>
          <w:sz w:val="28"/>
          <w:szCs w:val="28"/>
        </w:rPr>
      </w:pPr>
    </w:p>
    <w:p w14:paraId="7347C09A">
      <w:pPr>
        <w:snapToGrid w:val="0"/>
        <w:spacing w:line="360" w:lineRule="auto"/>
        <w:jc w:val="left"/>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24"/>
        </w:rPr>
        <w:t>4.</w:t>
      </w:r>
      <w:r>
        <w:rPr>
          <w:rFonts w:hint="eastAsia" w:ascii="宋体" w:hAnsi="宋体"/>
          <w:b/>
          <w:color w:val="auto"/>
          <w:sz w:val="28"/>
          <w:szCs w:val="28"/>
        </w:rPr>
        <w:t>供应商直接管理关系信息表</w:t>
      </w:r>
    </w:p>
    <w:p w14:paraId="22B4CC95">
      <w:pPr>
        <w:snapToGrid w:val="0"/>
        <w:spacing w:line="360" w:lineRule="auto"/>
        <w:jc w:val="center"/>
        <w:rPr>
          <w:rFonts w:hint="eastAsia" w:ascii="宋体" w:hAnsi="宋体"/>
          <w:color w:val="auto"/>
          <w:sz w:val="32"/>
          <w:szCs w:val="32"/>
        </w:rPr>
      </w:pPr>
      <w:r>
        <w:rPr>
          <w:rFonts w:hint="eastAsia" w:ascii="宋体" w:hAnsi="宋体"/>
          <w:b/>
          <w:color w:val="auto"/>
          <w:sz w:val="32"/>
          <w:szCs w:val="32"/>
        </w:rPr>
        <w:t>供应商直接管理关系信息表</w:t>
      </w:r>
    </w:p>
    <w:tbl>
      <w:tblPr>
        <w:tblStyle w:val="25"/>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F4D8D6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D1934B1">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B07257F">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C363FA4">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83473DC">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1D7A5CA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35562A">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237959A">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72F0AA">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877AAF">
            <w:pPr>
              <w:spacing w:line="360" w:lineRule="auto"/>
              <w:jc w:val="center"/>
              <w:rPr>
                <w:rFonts w:hint="eastAsia" w:ascii="宋体" w:hAnsi="宋体" w:cs="宋体"/>
                <w:color w:val="auto"/>
                <w:kern w:val="0"/>
                <w:sz w:val="24"/>
              </w:rPr>
            </w:pPr>
          </w:p>
        </w:tc>
      </w:tr>
      <w:tr w14:paraId="4B751C1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A41144F">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B509E5">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5495EF3">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CC5211">
            <w:pPr>
              <w:spacing w:line="360" w:lineRule="auto"/>
              <w:jc w:val="center"/>
              <w:rPr>
                <w:rFonts w:hint="eastAsia" w:ascii="宋体" w:hAnsi="宋体" w:cs="宋体"/>
                <w:color w:val="auto"/>
                <w:kern w:val="0"/>
                <w:sz w:val="24"/>
              </w:rPr>
            </w:pPr>
          </w:p>
        </w:tc>
      </w:tr>
      <w:tr w14:paraId="3498935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C33D86">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B1C2D19">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2FAF5BE">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B255F5">
            <w:pPr>
              <w:spacing w:line="360" w:lineRule="auto"/>
              <w:jc w:val="center"/>
              <w:rPr>
                <w:rFonts w:hint="eastAsia" w:ascii="宋体" w:hAnsi="宋体" w:cs="宋体"/>
                <w:color w:val="auto"/>
                <w:kern w:val="0"/>
                <w:sz w:val="24"/>
              </w:rPr>
            </w:pPr>
          </w:p>
        </w:tc>
      </w:tr>
      <w:tr w14:paraId="2576CD2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592355">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2AD4C98">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603F75">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6F35FB">
            <w:pPr>
              <w:spacing w:line="360" w:lineRule="auto"/>
              <w:jc w:val="center"/>
              <w:rPr>
                <w:rFonts w:hint="eastAsia" w:ascii="宋体" w:hAnsi="宋体" w:cs="宋体"/>
                <w:color w:val="auto"/>
                <w:kern w:val="0"/>
                <w:sz w:val="24"/>
              </w:rPr>
            </w:pPr>
          </w:p>
        </w:tc>
      </w:tr>
    </w:tbl>
    <w:p w14:paraId="59A92B61">
      <w:pPr>
        <w:snapToGrid w:val="0"/>
        <w:spacing w:line="360" w:lineRule="auto"/>
        <w:jc w:val="left"/>
        <w:rPr>
          <w:rFonts w:hint="eastAsia" w:ascii="宋体" w:hAnsi="宋体"/>
          <w:color w:val="auto"/>
          <w:sz w:val="24"/>
        </w:rPr>
      </w:pPr>
      <w:r>
        <w:rPr>
          <w:rFonts w:hint="eastAsia" w:ascii="宋体" w:hAnsi="宋体"/>
          <w:color w:val="auto"/>
          <w:sz w:val="24"/>
        </w:rPr>
        <w:t>注：</w:t>
      </w:r>
    </w:p>
    <w:p w14:paraId="49F21CC0">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6845DCE5">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5B3833A7">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16226E2E">
      <w:pPr>
        <w:snapToGrid w:val="0"/>
        <w:spacing w:line="360" w:lineRule="auto"/>
        <w:jc w:val="left"/>
        <w:rPr>
          <w:rFonts w:hint="eastAsia" w:ascii="宋体" w:hAnsi="宋体"/>
          <w:color w:val="auto"/>
          <w:sz w:val="24"/>
        </w:rPr>
      </w:pPr>
    </w:p>
    <w:p w14:paraId="41E98C63">
      <w:pPr>
        <w:snapToGrid w:val="0"/>
        <w:spacing w:line="360" w:lineRule="auto"/>
        <w:jc w:val="left"/>
        <w:rPr>
          <w:rFonts w:hint="eastAsia" w:ascii="宋体" w:hAnsi="宋体"/>
          <w:color w:val="auto"/>
          <w:sz w:val="24"/>
        </w:rPr>
      </w:pPr>
    </w:p>
    <w:p w14:paraId="37BB9C37">
      <w:pPr>
        <w:snapToGrid w:val="0"/>
        <w:spacing w:line="360" w:lineRule="auto"/>
        <w:jc w:val="left"/>
        <w:rPr>
          <w:rFonts w:hint="eastAsia" w:ascii="宋体" w:hAnsi="宋体"/>
          <w:color w:val="auto"/>
          <w:sz w:val="24"/>
        </w:rPr>
      </w:pPr>
    </w:p>
    <w:p w14:paraId="3364B330">
      <w:pPr>
        <w:snapToGrid w:val="0"/>
        <w:spacing w:line="360" w:lineRule="auto"/>
        <w:jc w:val="left"/>
        <w:rPr>
          <w:color w:val="auto"/>
          <w:sz w:val="24"/>
        </w:rPr>
      </w:pPr>
    </w:p>
    <w:p w14:paraId="393AFDAC">
      <w:pPr>
        <w:snapToGrid w:val="0"/>
        <w:spacing w:line="360" w:lineRule="auto"/>
        <w:ind w:left="-2" w:leftChars="-1" w:right="-817" w:rightChars="-389"/>
        <w:rPr>
          <w:rFonts w:hint="eastAsia" w:ascii="宋体" w:hAnsi="宋体"/>
          <w:color w:val="auto"/>
          <w:sz w:val="24"/>
        </w:rPr>
      </w:pPr>
      <w:r>
        <w:rPr>
          <w:rFonts w:hint="eastAsia" w:ascii="宋体" w:hAnsi="宋体"/>
          <w:color w:val="auto"/>
          <w:sz w:val="24"/>
        </w:rPr>
        <w:t xml:space="preserve">            法定代表人或者委托代理人（签字或者电子签名）：</w:t>
      </w:r>
    </w:p>
    <w:p w14:paraId="27228308">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供应商名称（电子签章）：</w:t>
      </w:r>
    </w:p>
    <w:p w14:paraId="720991AF">
      <w:pPr>
        <w:snapToGrid w:val="0"/>
        <w:spacing w:line="360" w:lineRule="auto"/>
        <w:ind w:right="480" w:firstLine="240" w:firstLineChars="100"/>
        <w:jc w:val="left"/>
        <w:rPr>
          <w:rFonts w:hint="eastAsia" w:ascii="宋体" w:hAnsi="宋体"/>
          <w:color w:val="auto"/>
          <w:szCs w:val="21"/>
        </w:rPr>
      </w:pPr>
      <w:r>
        <w:rPr>
          <w:rFonts w:hint="eastAsia" w:ascii="宋体" w:hAnsi="宋体"/>
          <w:color w:val="auto"/>
          <w:sz w:val="24"/>
        </w:rPr>
        <w:t xml:space="preserve">                                日期：    年   月   日</w:t>
      </w:r>
    </w:p>
    <w:p w14:paraId="7426E739">
      <w:pPr>
        <w:snapToGrid w:val="0"/>
        <w:spacing w:before="156" w:beforeLines="50" w:after="50"/>
        <w:jc w:val="left"/>
        <w:rPr>
          <w:rFonts w:hint="eastAsia" w:ascii="宋体" w:hAnsi="宋体"/>
          <w:color w:val="auto"/>
          <w:sz w:val="24"/>
        </w:rPr>
      </w:pPr>
    </w:p>
    <w:p w14:paraId="13817144">
      <w:pPr>
        <w:snapToGrid w:val="0"/>
        <w:spacing w:before="50" w:after="156" w:afterLines="50"/>
        <w:jc w:val="left"/>
        <w:rPr>
          <w:rFonts w:hint="eastAsia" w:ascii="宋体" w:hAnsi="宋体"/>
          <w:color w:val="auto"/>
          <w:szCs w:val="21"/>
        </w:rPr>
      </w:pPr>
    </w:p>
    <w:p w14:paraId="67E30568">
      <w:pPr>
        <w:snapToGrid w:val="0"/>
        <w:spacing w:before="156" w:beforeLines="50" w:after="50"/>
        <w:jc w:val="left"/>
        <w:rPr>
          <w:rFonts w:hint="eastAsia" w:ascii="宋体" w:hAnsi="宋体"/>
          <w:b/>
          <w:color w:val="auto"/>
          <w:sz w:val="24"/>
          <w:szCs w:val="20"/>
        </w:rPr>
      </w:pPr>
    </w:p>
    <w:p w14:paraId="0B536078">
      <w:pPr>
        <w:snapToGrid w:val="0"/>
        <w:spacing w:before="156" w:beforeLines="50" w:after="50"/>
        <w:ind w:left="142"/>
        <w:jc w:val="left"/>
        <w:rPr>
          <w:rFonts w:hint="eastAsia" w:ascii="宋体" w:hAnsi="宋体"/>
          <w:b/>
          <w:color w:val="auto"/>
          <w:sz w:val="24"/>
        </w:rPr>
      </w:pPr>
    </w:p>
    <w:p w14:paraId="18A88E79">
      <w:pPr>
        <w:snapToGrid w:val="0"/>
        <w:spacing w:before="156" w:beforeLines="50" w:after="50"/>
        <w:ind w:left="142"/>
        <w:jc w:val="left"/>
        <w:rPr>
          <w:rFonts w:hint="eastAsia" w:ascii="宋体" w:hAnsi="宋体"/>
          <w:b/>
          <w:color w:val="auto"/>
          <w:sz w:val="24"/>
        </w:rPr>
      </w:pPr>
    </w:p>
    <w:p w14:paraId="156E7840">
      <w:pPr>
        <w:snapToGrid w:val="0"/>
        <w:spacing w:before="156" w:beforeLines="50" w:after="50"/>
        <w:ind w:left="142"/>
        <w:jc w:val="left"/>
        <w:rPr>
          <w:rFonts w:hint="eastAsia" w:ascii="宋体" w:hAnsi="宋体"/>
          <w:b/>
          <w:color w:val="auto"/>
          <w:sz w:val="24"/>
        </w:rPr>
      </w:pPr>
    </w:p>
    <w:p w14:paraId="4A07DCE2">
      <w:pPr>
        <w:snapToGrid w:val="0"/>
        <w:spacing w:before="156" w:beforeLines="50" w:after="50"/>
        <w:ind w:left="142"/>
        <w:jc w:val="left"/>
        <w:rPr>
          <w:rFonts w:hint="eastAsia" w:ascii="宋体" w:hAnsi="宋体"/>
          <w:b/>
          <w:color w:val="auto"/>
          <w:sz w:val="24"/>
        </w:rPr>
      </w:pPr>
    </w:p>
    <w:p w14:paraId="2AB19555">
      <w:pPr>
        <w:snapToGrid w:val="0"/>
        <w:spacing w:before="156" w:beforeLines="50" w:after="50"/>
        <w:ind w:left="142"/>
        <w:jc w:val="left"/>
        <w:rPr>
          <w:rFonts w:hint="eastAsia" w:ascii="宋体" w:hAnsi="宋体"/>
          <w:b/>
          <w:color w:val="auto"/>
          <w:sz w:val="24"/>
        </w:rPr>
      </w:pPr>
    </w:p>
    <w:p w14:paraId="79BA9F70">
      <w:pPr>
        <w:rPr>
          <w:rFonts w:hint="eastAsia" w:ascii="宋体" w:hAnsi="宋体"/>
          <w:b/>
          <w:color w:val="auto"/>
          <w:sz w:val="24"/>
        </w:rPr>
      </w:pPr>
      <w:r>
        <w:rPr>
          <w:rFonts w:hint="eastAsia" w:ascii="宋体" w:hAnsi="宋体"/>
          <w:b/>
          <w:color w:val="auto"/>
          <w:sz w:val="24"/>
        </w:rPr>
        <w:br w:type="page"/>
      </w:r>
    </w:p>
    <w:p w14:paraId="0783896C">
      <w:pPr>
        <w:snapToGrid w:val="0"/>
        <w:spacing w:before="156" w:beforeLines="50" w:after="50"/>
        <w:ind w:left="142"/>
        <w:jc w:val="left"/>
        <w:rPr>
          <w:rFonts w:hint="eastAsia" w:ascii="宋体" w:hAnsi="宋体"/>
          <w:b/>
          <w:color w:val="auto"/>
          <w:sz w:val="24"/>
          <w:szCs w:val="20"/>
        </w:rPr>
      </w:pPr>
      <w:r>
        <w:rPr>
          <w:rFonts w:hint="eastAsia" w:ascii="宋体" w:hAnsi="宋体"/>
          <w:b/>
          <w:color w:val="auto"/>
          <w:sz w:val="24"/>
        </w:rPr>
        <w:t>5.竞标声明</w:t>
      </w:r>
    </w:p>
    <w:p w14:paraId="5C3B9FEB">
      <w:pPr>
        <w:spacing w:line="320" w:lineRule="exact"/>
        <w:jc w:val="center"/>
        <w:rPr>
          <w:rFonts w:hint="eastAsia" w:ascii="宋体" w:hAnsi="宋体"/>
          <w:color w:val="auto"/>
          <w:sz w:val="28"/>
          <w:szCs w:val="28"/>
        </w:rPr>
      </w:pPr>
    </w:p>
    <w:p w14:paraId="7672D03C">
      <w:pPr>
        <w:spacing w:line="320" w:lineRule="exact"/>
        <w:jc w:val="center"/>
        <w:rPr>
          <w:rFonts w:hint="eastAsia" w:ascii="宋体" w:hAnsi="宋体"/>
          <w:b/>
          <w:color w:val="auto"/>
          <w:sz w:val="32"/>
          <w:szCs w:val="32"/>
        </w:rPr>
      </w:pPr>
      <w:r>
        <w:rPr>
          <w:rFonts w:hint="eastAsia" w:ascii="宋体" w:hAnsi="宋体"/>
          <w:b/>
          <w:color w:val="auto"/>
          <w:sz w:val="32"/>
          <w:szCs w:val="32"/>
        </w:rPr>
        <w:t>竞标声明</w:t>
      </w:r>
    </w:p>
    <w:p w14:paraId="2DAB9425">
      <w:pPr>
        <w:spacing w:line="320" w:lineRule="exact"/>
        <w:jc w:val="center"/>
        <w:rPr>
          <w:rFonts w:hint="eastAsia" w:ascii="宋体" w:hAnsi="宋体"/>
          <w:color w:val="auto"/>
          <w:sz w:val="24"/>
          <w:szCs w:val="20"/>
        </w:rPr>
      </w:pPr>
    </w:p>
    <w:p w14:paraId="2A5F1D25">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1DEDD5C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482F1C1E">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5256892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5CD8B0B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7FFFB5D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0FEEF74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（1）将按磋商文件的约定履行合同责任和义务；</w:t>
      </w:r>
    </w:p>
    <w:p w14:paraId="5D905AD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（2）已详细审查全部磋商文件，包括澄清或者更正公告（如有）；</w:t>
      </w:r>
    </w:p>
    <w:p w14:paraId="05F9EF5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（3）同意提供按照贵方可能要求的与磋商有关的一切数据或者资料；</w:t>
      </w:r>
    </w:p>
    <w:p w14:paraId="605F41B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（4）响应磋商文件规定的竞标有效期。</w:t>
      </w:r>
    </w:p>
    <w:p w14:paraId="41688E9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633284B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241ABFE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314166E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3514644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6A5908B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74B0EC8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4270291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3E5ADB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D4685E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158B8D6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sz w:val="24"/>
          <w:u w:val="single"/>
        </w:rPr>
        <w:t xml:space="preserve">                </w:t>
      </w:r>
      <w:r>
        <w:rPr>
          <w:rFonts w:hint="eastAsia" w:ascii="宋体" w:hAnsi="宋体" w:cs="宋体"/>
          <w:color w:val="auto"/>
          <w:kern w:val="0"/>
          <w:sz w:val="24"/>
        </w:rPr>
        <w:t>；</w:t>
      </w:r>
    </w:p>
    <w:p w14:paraId="25BCF2A7">
      <w:pPr>
        <w:pStyle w:val="1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7.与本磋商有关的一切正式往来信函请寄：邮政编号：</w:t>
      </w:r>
    </w:p>
    <w:p w14:paraId="5CB5ADA8">
      <w:pPr>
        <w:pStyle w:val="16"/>
        <w:spacing w:line="360" w:lineRule="auto"/>
        <w:ind w:firstLine="480" w:firstLineChars="200"/>
        <w:contextualSpacing/>
        <w:rPr>
          <w:rFonts w:hint="eastAsia" w:hAnsi="宋体" w:cs="宋体"/>
          <w:color w:val="auto"/>
          <w:sz w:val="24"/>
          <w:u w:val="single"/>
        </w:rPr>
      </w:pPr>
      <w:r>
        <w:rPr>
          <w:rFonts w:hint="eastAsia" w:hAnsi="宋体" w:cs="宋体"/>
          <w:color w:val="auto"/>
          <w:sz w:val="24"/>
          <w:szCs w:val="24"/>
        </w:rPr>
        <w:t>电话/传真：</w:t>
      </w:r>
      <w:r>
        <w:rPr>
          <w:rFonts w:hint="eastAsia" w:hAnsi="宋体" w:cs="宋体"/>
          <w:color w:val="auto"/>
          <w:sz w:val="24"/>
          <w:u w:val="single"/>
        </w:rPr>
        <w:t xml:space="preserve">                </w:t>
      </w:r>
      <w:r>
        <w:rPr>
          <w:rFonts w:hint="eastAsia" w:hAnsi="宋体" w:cs="宋体"/>
          <w:color w:val="auto"/>
          <w:sz w:val="24"/>
          <w:szCs w:val="24"/>
        </w:rPr>
        <w:t xml:space="preserve">   电子邮箱：</w:t>
      </w:r>
      <w:r>
        <w:rPr>
          <w:rFonts w:hint="eastAsia" w:hAnsi="宋体" w:cs="宋体"/>
          <w:color w:val="auto"/>
          <w:sz w:val="24"/>
          <w:u w:val="single"/>
        </w:rPr>
        <w:t xml:space="preserve">                </w:t>
      </w:r>
    </w:p>
    <w:p w14:paraId="40D400B0">
      <w:pPr>
        <w:pStyle w:val="16"/>
        <w:spacing w:line="360" w:lineRule="auto"/>
        <w:ind w:firstLine="480" w:firstLineChars="200"/>
        <w:contextualSpacing/>
        <w:rPr>
          <w:rFonts w:hint="eastAsia" w:hAnsi="宋体" w:cs="宋体"/>
          <w:color w:val="auto"/>
          <w:sz w:val="24"/>
        </w:rPr>
      </w:pPr>
      <w:r>
        <w:rPr>
          <w:rFonts w:hint="eastAsia" w:hAnsi="宋体" w:cs="宋体"/>
          <w:color w:val="auto"/>
          <w:sz w:val="24"/>
        </w:rPr>
        <w:t>开户银行：</w:t>
      </w:r>
      <w:r>
        <w:rPr>
          <w:rFonts w:hint="eastAsia" w:hAnsi="宋体" w:cs="宋体"/>
          <w:color w:val="auto"/>
          <w:sz w:val="24"/>
          <w:u w:val="single"/>
        </w:rPr>
        <w:t xml:space="preserve">                </w:t>
      </w:r>
      <w:r>
        <w:rPr>
          <w:rFonts w:hint="eastAsia" w:hAnsi="宋体" w:cs="宋体"/>
          <w:color w:val="auto"/>
          <w:sz w:val="24"/>
        </w:rPr>
        <w:t xml:space="preserve">  账号：</w:t>
      </w:r>
      <w:r>
        <w:rPr>
          <w:rFonts w:hint="eastAsia" w:hAnsi="宋体" w:cs="宋体"/>
          <w:color w:val="auto"/>
          <w:sz w:val="24"/>
          <w:u w:val="single"/>
        </w:rPr>
        <w:t xml:space="preserve">                </w:t>
      </w:r>
    </w:p>
    <w:p w14:paraId="202B470B">
      <w:pPr>
        <w:pStyle w:val="15"/>
        <w:tabs>
          <w:tab w:val="left" w:pos="939"/>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37512213">
      <w:pPr>
        <w:pStyle w:val="1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特此承诺。</w:t>
      </w:r>
    </w:p>
    <w:p w14:paraId="3E950BC5">
      <w:pPr>
        <w:spacing w:line="360" w:lineRule="auto"/>
        <w:contextualSpacing/>
        <w:jc w:val="left"/>
        <w:rPr>
          <w:rFonts w:hint="eastAsia" w:ascii="宋体" w:hAnsi="宋体" w:cs="宋体"/>
          <w:color w:val="auto"/>
          <w:szCs w:val="21"/>
        </w:rPr>
      </w:pPr>
    </w:p>
    <w:p w14:paraId="76F14860">
      <w:pPr>
        <w:spacing w:line="360" w:lineRule="auto"/>
        <w:ind w:firstLine="1575" w:firstLineChars="750"/>
        <w:contextualSpacing/>
        <w:rPr>
          <w:color w:val="auto"/>
        </w:rPr>
      </w:pPr>
      <w:r>
        <w:rPr>
          <w:rFonts w:hint="eastAsia"/>
          <w:color w:val="auto"/>
        </w:rPr>
        <w:t>法定代表人或者委托代理人（签字或者电子签名）：</w:t>
      </w:r>
    </w:p>
    <w:p w14:paraId="2172737A">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供应商名称（电子签章）：</w:t>
      </w:r>
    </w:p>
    <w:p w14:paraId="3EC4D8AD">
      <w:pPr>
        <w:pStyle w:val="15"/>
        <w:tabs>
          <w:tab w:val="left" w:pos="939"/>
        </w:tabs>
        <w:spacing w:line="360" w:lineRule="auto"/>
        <w:ind w:left="0" w:leftChars="0" w:firstLine="420" w:firstLineChars="200"/>
        <w:jc w:val="right"/>
        <w:rPr>
          <w:color w:val="auto"/>
          <w:sz w:val="24"/>
        </w:rPr>
      </w:pPr>
      <w:r>
        <w:rPr>
          <w:rFonts w:hint="eastAsia"/>
          <w:color w:val="auto"/>
        </w:rPr>
        <w:t xml:space="preserve"> 年    月    日</w:t>
      </w:r>
    </w:p>
    <w:p w14:paraId="20B93805">
      <w:pPr>
        <w:spacing w:line="360" w:lineRule="auto"/>
        <w:ind w:right="480" w:firstLine="240" w:firstLineChars="100"/>
        <w:contextualSpacing/>
        <w:jc w:val="center"/>
        <w:rPr>
          <w:rFonts w:hint="eastAsia" w:ascii="宋体" w:hAnsi="宋体"/>
          <w:b/>
          <w:color w:val="auto"/>
          <w:sz w:val="32"/>
          <w:szCs w:val="32"/>
        </w:rPr>
      </w:pPr>
      <w:r>
        <w:rPr>
          <w:rFonts w:hint="eastAsia"/>
          <w:color w:val="auto"/>
          <w:sz w:val="24"/>
        </w:rPr>
        <w:br w:type="page"/>
      </w:r>
      <w:r>
        <w:rPr>
          <w:rFonts w:hint="eastAsia" w:ascii="宋体" w:hAnsi="宋体"/>
          <w:b/>
          <w:bCs/>
          <w:color w:val="auto"/>
          <w:sz w:val="32"/>
          <w:szCs w:val="32"/>
        </w:rPr>
        <w:t>二、</w:t>
      </w:r>
      <w:r>
        <w:rPr>
          <w:rFonts w:hint="eastAsia" w:ascii="宋体" w:hAnsi="宋体"/>
          <w:b/>
          <w:color w:val="auto"/>
          <w:sz w:val="32"/>
          <w:szCs w:val="32"/>
        </w:rPr>
        <w:t xml:space="preserve">报价文件格式 </w:t>
      </w:r>
    </w:p>
    <w:p w14:paraId="7CA6E31E">
      <w:pPr>
        <w:snapToGrid w:val="0"/>
        <w:spacing w:before="156" w:beforeLines="50" w:after="50" w:line="360" w:lineRule="auto"/>
        <w:jc w:val="left"/>
        <w:rPr>
          <w:rFonts w:hint="eastAsia" w:ascii="宋体" w:hAnsi="宋体"/>
          <w:b/>
          <w:color w:val="auto"/>
          <w:sz w:val="32"/>
          <w:szCs w:val="32"/>
        </w:rPr>
      </w:pPr>
      <w:r>
        <w:rPr>
          <w:rFonts w:hint="eastAsia" w:ascii="宋体" w:hAnsi="宋体"/>
          <w:b/>
          <w:color w:val="auto"/>
          <w:sz w:val="32"/>
          <w:szCs w:val="32"/>
        </w:rPr>
        <w:t>1.报价文件封面格式</w:t>
      </w:r>
    </w:p>
    <w:p w14:paraId="2963E4CB">
      <w:pPr>
        <w:snapToGrid w:val="0"/>
        <w:spacing w:before="156" w:beforeLines="50" w:after="50"/>
        <w:rPr>
          <w:rFonts w:hint="eastAsia" w:ascii="宋体" w:hAnsi="宋体"/>
          <w:bCs/>
          <w:color w:val="auto"/>
          <w:sz w:val="32"/>
          <w:szCs w:val="20"/>
        </w:rPr>
      </w:pPr>
    </w:p>
    <w:p w14:paraId="784D12FD">
      <w:pPr>
        <w:snapToGrid w:val="0"/>
        <w:spacing w:before="156" w:beforeLines="50" w:after="50"/>
        <w:jc w:val="center"/>
        <w:rPr>
          <w:rFonts w:hint="eastAsia" w:ascii="宋体" w:hAnsi="宋体"/>
          <w:color w:val="auto"/>
          <w:sz w:val="24"/>
          <w:szCs w:val="20"/>
        </w:rPr>
      </w:pPr>
      <w:r>
        <w:rPr>
          <w:rFonts w:hint="eastAsia" w:ascii="宋体" w:hAnsi="宋体"/>
          <w:color w:val="auto"/>
          <w:sz w:val="44"/>
          <w:szCs w:val="44"/>
        </w:rPr>
        <w:t>电 子 响 应 文 件</w:t>
      </w:r>
    </w:p>
    <w:p w14:paraId="3FDE6C8C">
      <w:pPr>
        <w:snapToGrid w:val="0"/>
        <w:spacing w:before="156" w:beforeLines="50" w:after="50"/>
        <w:rPr>
          <w:rFonts w:hint="eastAsia" w:ascii="宋体" w:hAnsi="宋体"/>
          <w:color w:val="auto"/>
          <w:sz w:val="24"/>
          <w:szCs w:val="20"/>
        </w:rPr>
      </w:pPr>
    </w:p>
    <w:p w14:paraId="52F6FB6B">
      <w:pPr>
        <w:snapToGrid w:val="0"/>
        <w:spacing w:before="156" w:beforeLines="50" w:after="50"/>
        <w:rPr>
          <w:rFonts w:hint="eastAsia" w:ascii="宋体" w:hAnsi="宋体"/>
          <w:color w:val="auto"/>
          <w:sz w:val="24"/>
          <w:szCs w:val="20"/>
        </w:rPr>
      </w:pPr>
    </w:p>
    <w:p w14:paraId="6818196D">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文  件</w:t>
      </w:r>
    </w:p>
    <w:p w14:paraId="7F945777">
      <w:pPr>
        <w:snapToGrid w:val="0"/>
        <w:spacing w:before="156" w:beforeLines="50" w:after="50"/>
        <w:rPr>
          <w:rFonts w:hint="eastAsia" w:ascii="宋体" w:hAnsi="宋体"/>
          <w:bCs/>
          <w:color w:val="auto"/>
          <w:sz w:val="24"/>
          <w:szCs w:val="20"/>
        </w:rPr>
      </w:pPr>
    </w:p>
    <w:p w14:paraId="78EC6D82">
      <w:pPr>
        <w:snapToGrid w:val="0"/>
        <w:spacing w:before="156" w:beforeLines="50" w:after="50"/>
        <w:rPr>
          <w:rFonts w:hint="eastAsia" w:ascii="宋体" w:hAnsi="宋体"/>
          <w:bCs/>
          <w:color w:val="auto"/>
          <w:sz w:val="24"/>
          <w:szCs w:val="20"/>
        </w:rPr>
      </w:pPr>
    </w:p>
    <w:p w14:paraId="2132090B">
      <w:pPr>
        <w:snapToGrid w:val="0"/>
        <w:spacing w:before="156" w:beforeLines="50" w:after="50"/>
        <w:rPr>
          <w:rFonts w:hint="eastAsia" w:ascii="宋体" w:hAnsi="宋体"/>
          <w:bCs/>
          <w:color w:val="auto"/>
          <w:sz w:val="24"/>
          <w:szCs w:val="20"/>
        </w:rPr>
      </w:pPr>
    </w:p>
    <w:p w14:paraId="1791A55E">
      <w:pPr>
        <w:snapToGrid w:val="0"/>
        <w:spacing w:before="156" w:beforeLines="50" w:after="50"/>
        <w:rPr>
          <w:rFonts w:hint="eastAsia" w:ascii="宋体" w:hAnsi="宋体"/>
          <w:bCs/>
          <w:color w:val="auto"/>
          <w:sz w:val="24"/>
          <w:szCs w:val="20"/>
        </w:rPr>
      </w:pPr>
    </w:p>
    <w:p w14:paraId="4981CDBB">
      <w:pPr>
        <w:snapToGrid w:val="0"/>
        <w:spacing w:before="156" w:beforeLines="50" w:after="50"/>
        <w:rPr>
          <w:rFonts w:hint="eastAsia" w:ascii="宋体" w:hAnsi="宋体"/>
          <w:bCs/>
          <w:color w:val="auto"/>
          <w:sz w:val="24"/>
          <w:szCs w:val="20"/>
        </w:rPr>
      </w:pPr>
    </w:p>
    <w:p w14:paraId="13BE5CD2">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08FBAE9F">
      <w:pPr>
        <w:snapToGrid w:val="0"/>
        <w:spacing w:before="156" w:beforeLines="50" w:after="50"/>
        <w:ind w:firstLine="720" w:firstLineChars="225"/>
        <w:rPr>
          <w:rFonts w:hint="eastAsia" w:ascii="宋体" w:hAnsi="宋体" w:cs="仿宋_GB2312"/>
          <w:bCs/>
          <w:color w:val="auto"/>
          <w:sz w:val="32"/>
          <w:szCs w:val="32"/>
        </w:rPr>
      </w:pPr>
    </w:p>
    <w:p w14:paraId="3A66C46E">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138A926B">
      <w:pPr>
        <w:snapToGrid w:val="0"/>
        <w:spacing w:before="156" w:beforeLines="50" w:after="50"/>
        <w:ind w:firstLine="720" w:firstLineChars="225"/>
        <w:rPr>
          <w:rFonts w:hint="eastAsia" w:ascii="宋体" w:hAnsi="宋体" w:cs="仿宋_GB2312"/>
          <w:bCs/>
          <w:color w:val="auto"/>
          <w:sz w:val="32"/>
          <w:szCs w:val="32"/>
        </w:rPr>
      </w:pPr>
    </w:p>
    <w:p w14:paraId="461FE046">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FEBA942">
      <w:pPr>
        <w:snapToGrid w:val="0"/>
        <w:spacing w:before="156" w:beforeLines="50" w:after="50"/>
        <w:ind w:firstLine="720" w:firstLineChars="225"/>
        <w:rPr>
          <w:rFonts w:hint="eastAsia" w:ascii="宋体" w:hAnsi="宋体" w:cs="仿宋_GB2312"/>
          <w:bCs/>
          <w:color w:val="auto"/>
          <w:sz w:val="32"/>
          <w:szCs w:val="32"/>
        </w:rPr>
      </w:pPr>
    </w:p>
    <w:p w14:paraId="1EC91BED">
      <w:pPr>
        <w:pStyle w:val="6"/>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2441097F">
      <w:pPr>
        <w:pStyle w:val="6"/>
        <w:snapToGrid w:val="0"/>
        <w:spacing w:before="50" w:after="50"/>
        <w:ind w:firstLine="640" w:firstLineChars="200"/>
        <w:rPr>
          <w:rFonts w:hint="eastAsia" w:ascii="宋体" w:hAnsi="宋体" w:cs="仿宋_GB2312"/>
          <w:bCs/>
          <w:color w:val="auto"/>
          <w:sz w:val="32"/>
          <w:szCs w:val="32"/>
        </w:rPr>
      </w:pPr>
    </w:p>
    <w:p w14:paraId="6E162207">
      <w:pPr>
        <w:pStyle w:val="6"/>
        <w:snapToGrid w:val="0"/>
        <w:spacing w:before="50" w:after="50"/>
        <w:ind w:firstLine="720" w:firstLineChars="225"/>
        <w:rPr>
          <w:rFonts w:hint="eastAsia" w:ascii="宋体" w:hAnsi="宋体" w:cs="仿宋_GB2312"/>
          <w:bCs/>
          <w:color w:val="auto"/>
          <w:sz w:val="32"/>
          <w:szCs w:val="32"/>
        </w:rPr>
      </w:pPr>
    </w:p>
    <w:p w14:paraId="62245F07">
      <w:pPr>
        <w:pStyle w:val="6"/>
        <w:snapToGrid w:val="0"/>
        <w:spacing w:before="50" w:after="50"/>
        <w:ind w:firstLine="0"/>
        <w:rPr>
          <w:rFonts w:hint="eastAsia" w:ascii="宋体" w:hAnsi="宋体" w:cs="仿宋_GB2312"/>
          <w:bCs/>
          <w:color w:val="auto"/>
          <w:sz w:val="32"/>
          <w:szCs w:val="32"/>
        </w:rPr>
      </w:pPr>
    </w:p>
    <w:p w14:paraId="285E6C62">
      <w:pPr>
        <w:pStyle w:val="6"/>
        <w:snapToGrid w:val="0"/>
        <w:spacing w:before="50" w:after="50"/>
        <w:ind w:firstLine="1280" w:firstLineChars="400"/>
        <w:rPr>
          <w:rFonts w:hint="eastAsia" w:ascii="宋体" w:hAnsi="宋体" w:cs="仿宋_GB2312"/>
          <w:bCs/>
          <w:color w:val="auto"/>
          <w:sz w:val="32"/>
          <w:szCs w:val="32"/>
        </w:rPr>
      </w:pPr>
    </w:p>
    <w:p w14:paraId="4970A11A">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00E13073">
      <w:pPr>
        <w:snapToGrid w:val="0"/>
        <w:spacing w:before="156" w:beforeLines="50" w:after="50" w:line="360" w:lineRule="auto"/>
        <w:ind w:left="142"/>
        <w:jc w:val="left"/>
        <w:rPr>
          <w:rFonts w:hint="eastAsia" w:ascii="宋体" w:hAnsi="宋体"/>
          <w:b/>
          <w:bCs/>
          <w:color w:val="auto"/>
          <w:sz w:val="24"/>
        </w:rPr>
      </w:pPr>
      <w:r>
        <w:rPr>
          <w:rFonts w:hint="eastAsia" w:ascii="宋体" w:hAnsi="宋体"/>
          <w:color w:val="auto"/>
          <w:szCs w:val="21"/>
        </w:rPr>
        <w:br w:type="page"/>
      </w:r>
      <w:r>
        <w:rPr>
          <w:rFonts w:hint="eastAsia" w:ascii="宋体" w:hAnsi="宋体"/>
          <w:b/>
          <w:bCs/>
          <w:color w:val="auto"/>
          <w:sz w:val="32"/>
          <w:szCs w:val="32"/>
        </w:rPr>
        <w:t>2.报价文件目录</w:t>
      </w:r>
    </w:p>
    <w:p w14:paraId="5A0C62A0">
      <w:pPr>
        <w:spacing w:line="520" w:lineRule="exact"/>
        <w:jc w:val="center"/>
        <w:rPr>
          <w:rFonts w:hint="eastAsia" w:ascii="方正小标宋简体" w:hAnsi="方正小标宋简体" w:eastAsia="方正小标宋简体" w:cs="方正小标宋简体"/>
          <w:bCs/>
          <w:color w:val="auto"/>
          <w:sz w:val="32"/>
          <w:szCs w:val="32"/>
        </w:rPr>
      </w:pPr>
      <w:r>
        <w:rPr>
          <w:rFonts w:hint="eastAsia" w:ascii="宋体" w:hAnsi="宋体"/>
          <w:color w:val="auto"/>
          <w:sz w:val="32"/>
          <w:szCs w:val="32"/>
        </w:rPr>
        <w:t>根据磋商文件规定及供应商提供的材料自行编写目录（部分格式后附）。</w:t>
      </w:r>
      <w:r>
        <w:rPr>
          <w:rFonts w:ascii="宋体" w:hAnsi="宋体"/>
          <w:b/>
          <w:bCs/>
          <w:color w:val="auto"/>
          <w:sz w:val="32"/>
          <w:szCs w:val="32"/>
        </w:rPr>
        <w:br w:type="page"/>
      </w:r>
      <w:r>
        <w:rPr>
          <w:rFonts w:hint="eastAsia" w:ascii="方正小标宋简体" w:hAnsi="方正小标宋简体" w:eastAsia="方正小标宋简体" w:cs="方正小标宋简体"/>
          <w:bCs/>
          <w:color w:val="auto"/>
          <w:sz w:val="44"/>
          <w:szCs w:val="44"/>
        </w:rPr>
        <w:t>竞  标  报  价  表</w:t>
      </w:r>
    </w:p>
    <w:p w14:paraId="28306C78">
      <w:pPr>
        <w:spacing w:line="440" w:lineRule="exact"/>
        <w:jc w:val="center"/>
        <w:rPr>
          <w:rFonts w:hint="eastAsia" w:ascii="方正小标宋简体" w:hAnsi="方正小标宋简体" w:eastAsia="方正小标宋简体" w:cs="方正小标宋简体"/>
          <w:bCs/>
          <w:color w:val="auto"/>
          <w:sz w:val="32"/>
          <w:szCs w:val="32"/>
        </w:rPr>
      </w:pPr>
    </w:p>
    <w:p w14:paraId="64BDFC73">
      <w:pPr>
        <w:spacing w:line="360" w:lineRule="auto"/>
        <w:contextualSpacing/>
        <w:rPr>
          <w:rFonts w:hint="eastAsia"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678AC535">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分标（如有）：</w:t>
      </w:r>
      <w:r>
        <w:rPr>
          <w:rFonts w:hint="eastAsia" w:ascii="宋体" w:hAnsi="宋体" w:cs="仿宋_GB2312"/>
          <w:color w:val="auto"/>
          <w:sz w:val="24"/>
          <w:u w:val="single"/>
        </w:rPr>
        <w:t xml:space="preserve">                                         </w:t>
      </w:r>
    </w:p>
    <w:p w14:paraId="51BC5EA4">
      <w:pPr>
        <w:spacing w:line="360" w:lineRule="auto"/>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428791FE">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单位：元                                               </w:t>
      </w:r>
    </w:p>
    <w:tbl>
      <w:tblPr>
        <w:tblStyle w:val="2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446"/>
        <w:gridCol w:w="1095"/>
        <w:gridCol w:w="945"/>
        <w:gridCol w:w="2160"/>
        <w:gridCol w:w="862"/>
      </w:tblGrid>
      <w:tr w14:paraId="6BE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65F8A400">
            <w:pPr>
              <w:spacing w:line="360" w:lineRule="auto"/>
              <w:contextualSpacing/>
              <w:jc w:val="center"/>
              <w:rPr>
                <w:rFonts w:hint="eastAsia" w:ascii="宋体" w:hAnsi="宋体" w:cs="仿宋_GB2312"/>
                <w:color w:val="auto"/>
                <w:sz w:val="24"/>
              </w:rPr>
            </w:pPr>
            <w:r>
              <w:rPr>
                <w:rFonts w:ascii="宋体" w:hAnsi="宋体" w:cs="仿宋_GB2312"/>
                <w:color w:val="auto"/>
                <w:sz w:val="24"/>
              </w:rPr>
              <w:t>序号</w:t>
            </w:r>
          </w:p>
        </w:tc>
        <w:tc>
          <w:tcPr>
            <w:tcW w:w="3446" w:type="dxa"/>
            <w:tcBorders>
              <w:top w:val="single" w:color="auto" w:sz="4" w:space="0"/>
              <w:left w:val="single" w:color="auto" w:sz="4" w:space="0"/>
              <w:bottom w:val="single" w:color="auto" w:sz="4" w:space="0"/>
              <w:right w:val="single" w:color="auto" w:sz="4" w:space="0"/>
            </w:tcBorders>
            <w:noWrap/>
            <w:vAlign w:val="center"/>
          </w:tcPr>
          <w:p w14:paraId="0EB86EF7">
            <w:pPr>
              <w:spacing w:line="360" w:lineRule="auto"/>
              <w:contextualSpacing/>
              <w:jc w:val="center"/>
              <w:rPr>
                <w:rFonts w:hint="eastAsia" w:ascii="宋体" w:hAnsi="宋体" w:cs="仿宋_GB2312"/>
                <w:color w:val="auto"/>
                <w:sz w:val="24"/>
              </w:rPr>
            </w:pPr>
            <w:r>
              <w:rPr>
                <w:rFonts w:ascii="宋体" w:hAnsi="宋体" w:cs="仿宋_GB2312"/>
                <w:color w:val="auto"/>
                <w:sz w:val="24"/>
              </w:rPr>
              <w:t>服务名称</w:t>
            </w:r>
          </w:p>
        </w:tc>
        <w:tc>
          <w:tcPr>
            <w:tcW w:w="1095" w:type="dxa"/>
            <w:tcBorders>
              <w:top w:val="single" w:color="auto" w:sz="4" w:space="0"/>
              <w:left w:val="single" w:color="auto" w:sz="4" w:space="0"/>
              <w:bottom w:val="single" w:color="auto" w:sz="4" w:space="0"/>
              <w:right w:val="single" w:color="auto" w:sz="4" w:space="0"/>
            </w:tcBorders>
            <w:noWrap/>
            <w:vAlign w:val="center"/>
          </w:tcPr>
          <w:p w14:paraId="5485C0D6">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数量</w:t>
            </w:r>
          </w:p>
        </w:tc>
        <w:tc>
          <w:tcPr>
            <w:tcW w:w="945" w:type="dxa"/>
            <w:tcBorders>
              <w:top w:val="single" w:color="auto" w:sz="4" w:space="0"/>
              <w:left w:val="single" w:color="auto" w:sz="4" w:space="0"/>
              <w:bottom w:val="single" w:color="auto" w:sz="4" w:space="0"/>
              <w:right w:val="single" w:color="auto" w:sz="4" w:space="0"/>
            </w:tcBorders>
            <w:noWrap/>
            <w:vAlign w:val="center"/>
          </w:tcPr>
          <w:p w14:paraId="2A43BA0B">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单位</w:t>
            </w:r>
          </w:p>
        </w:tc>
        <w:tc>
          <w:tcPr>
            <w:tcW w:w="2160" w:type="dxa"/>
            <w:tcBorders>
              <w:top w:val="single" w:color="auto" w:sz="4" w:space="0"/>
              <w:left w:val="single" w:color="auto" w:sz="4" w:space="0"/>
              <w:bottom w:val="single" w:color="auto" w:sz="4" w:space="0"/>
              <w:right w:val="single" w:color="auto" w:sz="4" w:space="0"/>
            </w:tcBorders>
            <w:noWrap/>
            <w:vAlign w:val="center"/>
          </w:tcPr>
          <w:p w14:paraId="03450BD8">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总价</w:t>
            </w:r>
          </w:p>
        </w:tc>
        <w:tc>
          <w:tcPr>
            <w:tcW w:w="862" w:type="dxa"/>
            <w:tcBorders>
              <w:top w:val="single" w:color="auto" w:sz="4" w:space="0"/>
              <w:left w:val="single" w:color="auto" w:sz="4" w:space="0"/>
              <w:bottom w:val="single" w:color="auto" w:sz="4" w:space="0"/>
              <w:right w:val="single" w:color="auto" w:sz="4" w:space="0"/>
            </w:tcBorders>
            <w:noWrap/>
            <w:vAlign w:val="center"/>
          </w:tcPr>
          <w:p w14:paraId="0AE41AC3">
            <w:pPr>
              <w:spacing w:line="360" w:lineRule="auto"/>
              <w:contextualSpacing/>
              <w:jc w:val="center"/>
              <w:rPr>
                <w:rFonts w:hint="eastAsia" w:ascii="宋体" w:hAnsi="宋体" w:cs="仿宋_GB2312"/>
                <w:color w:val="auto"/>
                <w:sz w:val="24"/>
              </w:rPr>
            </w:pPr>
            <w:r>
              <w:rPr>
                <w:rFonts w:ascii="宋体" w:hAnsi="宋体" w:cs="仿宋_GB2312"/>
                <w:color w:val="auto"/>
                <w:sz w:val="24"/>
              </w:rPr>
              <w:t>备注</w:t>
            </w:r>
          </w:p>
        </w:tc>
      </w:tr>
      <w:tr w14:paraId="7730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0FFECB8E">
            <w:pPr>
              <w:spacing w:line="360" w:lineRule="auto"/>
              <w:contextualSpacing/>
              <w:jc w:val="center"/>
              <w:rPr>
                <w:rFonts w:hint="eastAsia" w:ascii="宋体" w:hAnsi="宋体" w:cs="仿宋_GB2312"/>
                <w:color w:val="auto"/>
                <w:sz w:val="24"/>
              </w:rPr>
            </w:pPr>
            <w:r>
              <w:rPr>
                <w:rFonts w:ascii="宋体" w:hAnsi="宋体" w:cs="仿宋_GB2312"/>
                <w:color w:val="auto"/>
                <w:sz w:val="24"/>
              </w:rPr>
              <w:t>1</w:t>
            </w:r>
          </w:p>
        </w:tc>
        <w:tc>
          <w:tcPr>
            <w:tcW w:w="3446" w:type="dxa"/>
            <w:tcBorders>
              <w:top w:val="single" w:color="auto" w:sz="4" w:space="0"/>
              <w:left w:val="single" w:color="auto" w:sz="4" w:space="0"/>
              <w:bottom w:val="single" w:color="auto" w:sz="4" w:space="0"/>
              <w:right w:val="single" w:color="auto" w:sz="4" w:space="0"/>
            </w:tcBorders>
            <w:noWrap/>
            <w:vAlign w:val="center"/>
          </w:tcPr>
          <w:p w14:paraId="3CD3C740">
            <w:pPr>
              <w:snapToGrid w:val="0"/>
              <w:spacing w:line="360" w:lineRule="auto"/>
              <w:jc w:val="center"/>
              <w:rPr>
                <w:rFonts w:hint="eastAsia" w:ascii="宋体" w:hAnsi="宋体" w:cs="仿宋_GB2312"/>
                <w:color w:val="auto"/>
                <w:sz w:val="24"/>
              </w:rPr>
            </w:pPr>
            <w:r>
              <w:rPr>
                <w:rFonts w:hint="eastAsia" w:ascii="宋体" w:hAnsi="宋体" w:cs="宋体"/>
                <w:color w:val="auto"/>
                <w:szCs w:val="21"/>
              </w:rPr>
              <w:t>照明系统节能改造技术服务</w:t>
            </w:r>
          </w:p>
        </w:tc>
        <w:tc>
          <w:tcPr>
            <w:tcW w:w="1095" w:type="dxa"/>
            <w:tcBorders>
              <w:top w:val="single" w:color="auto" w:sz="4" w:space="0"/>
              <w:left w:val="single" w:color="auto" w:sz="4" w:space="0"/>
              <w:bottom w:val="single" w:color="auto" w:sz="4" w:space="0"/>
              <w:right w:val="single" w:color="auto" w:sz="4" w:space="0"/>
            </w:tcBorders>
            <w:noWrap/>
            <w:vAlign w:val="center"/>
          </w:tcPr>
          <w:p w14:paraId="238FB2BA">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1</w:t>
            </w:r>
          </w:p>
        </w:tc>
        <w:tc>
          <w:tcPr>
            <w:tcW w:w="945" w:type="dxa"/>
            <w:tcBorders>
              <w:top w:val="single" w:color="auto" w:sz="4" w:space="0"/>
              <w:left w:val="single" w:color="auto" w:sz="4" w:space="0"/>
              <w:bottom w:val="single" w:color="auto" w:sz="4" w:space="0"/>
              <w:right w:val="single" w:color="auto" w:sz="4" w:space="0"/>
            </w:tcBorders>
            <w:noWrap/>
            <w:vAlign w:val="center"/>
          </w:tcPr>
          <w:p w14:paraId="5AC84031">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项</w:t>
            </w:r>
          </w:p>
        </w:tc>
        <w:tc>
          <w:tcPr>
            <w:tcW w:w="2160" w:type="dxa"/>
            <w:tcBorders>
              <w:top w:val="single" w:color="auto" w:sz="4" w:space="0"/>
              <w:left w:val="single" w:color="auto" w:sz="4" w:space="0"/>
              <w:bottom w:val="single" w:color="auto" w:sz="4" w:space="0"/>
              <w:right w:val="single" w:color="auto" w:sz="4" w:space="0"/>
            </w:tcBorders>
            <w:noWrap/>
            <w:vAlign w:val="center"/>
          </w:tcPr>
          <w:p w14:paraId="4F538199">
            <w:pPr>
              <w:spacing w:line="360" w:lineRule="auto"/>
              <w:contextualSpacing/>
              <w:jc w:val="center"/>
              <w:rPr>
                <w:rFonts w:hint="eastAsia" w:ascii="宋体" w:hAnsi="宋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519FB6B4">
            <w:pPr>
              <w:spacing w:line="360" w:lineRule="auto"/>
              <w:contextualSpacing/>
              <w:jc w:val="center"/>
              <w:rPr>
                <w:rFonts w:hint="eastAsia" w:ascii="宋体" w:hAnsi="宋体" w:cs="仿宋_GB2312"/>
                <w:color w:val="auto"/>
                <w:sz w:val="24"/>
              </w:rPr>
            </w:pPr>
          </w:p>
        </w:tc>
      </w:tr>
      <w:tr w14:paraId="34A9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2C414EFE">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2</w:t>
            </w:r>
          </w:p>
        </w:tc>
        <w:tc>
          <w:tcPr>
            <w:tcW w:w="3446" w:type="dxa"/>
            <w:tcBorders>
              <w:top w:val="single" w:color="auto" w:sz="4" w:space="0"/>
              <w:left w:val="single" w:color="auto" w:sz="4" w:space="0"/>
              <w:bottom w:val="single" w:color="auto" w:sz="4" w:space="0"/>
              <w:right w:val="single" w:color="auto" w:sz="4" w:space="0"/>
            </w:tcBorders>
            <w:noWrap/>
            <w:vAlign w:val="center"/>
          </w:tcPr>
          <w:p w14:paraId="60804342">
            <w:pPr>
              <w:snapToGrid w:val="0"/>
              <w:spacing w:line="360" w:lineRule="auto"/>
              <w:jc w:val="center"/>
              <w:rPr>
                <w:rFonts w:hint="eastAsia" w:ascii="宋体" w:hAnsi="宋体" w:cs="仿宋_GB2312"/>
                <w:color w:val="auto"/>
                <w:sz w:val="24"/>
              </w:rPr>
            </w:pPr>
            <w:r>
              <w:rPr>
                <w:rFonts w:hint="eastAsia" w:ascii="宋体" w:hAnsi="宋体" w:cs="宋体"/>
                <w:color w:val="auto"/>
                <w:szCs w:val="21"/>
              </w:rPr>
              <w:t>空调系统能效优化技术服务</w:t>
            </w:r>
          </w:p>
        </w:tc>
        <w:tc>
          <w:tcPr>
            <w:tcW w:w="1095" w:type="dxa"/>
            <w:tcBorders>
              <w:top w:val="single" w:color="auto" w:sz="4" w:space="0"/>
              <w:left w:val="single" w:color="auto" w:sz="4" w:space="0"/>
              <w:bottom w:val="single" w:color="auto" w:sz="4" w:space="0"/>
              <w:right w:val="single" w:color="auto" w:sz="4" w:space="0"/>
            </w:tcBorders>
            <w:noWrap/>
            <w:vAlign w:val="center"/>
          </w:tcPr>
          <w:p w14:paraId="33A124C7">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1</w:t>
            </w:r>
          </w:p>
        </w:tc>
        <w:tc>
          <w:tcPr>
            <w:tcW w:w="945" w:type="dxa"/>
            <w:tcBorders>
              <w:top w:val="single" w:color="auto" w:sz="4" w:space="0"/>
              <w:left w:val="single" w:color="auto" w:sz="4" w:space="0"/>
              <w:bottom w:val="single" w:color="auto" w:sz="4" w:space="0"/>
              <w:right w:val="single" w:color="auto" w:sz="4" w:space="0"/>
            </w:tcBorders>
            <w:noWrap/>
            <w:vAlign w:val="center"/>
          </w:tcPr>
          <w:p w14:paraId="480CAC0D">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项</w:t>
            </w:r>
          </w:p>
        </w:tc>
        <w:tc>
          <w:tcPr>
            <w:tcW w:w="2160" w:type="dxa"/>
            <w:tcBorders>
              <w:top w:val="single" w:color="auto" w:sz="4" w:space="0"/>
              <w:left w:val="single" w:color="auto" w:sz="4" w:space="0"/>
              <w:bottom w:val="single" w:color="auto" w:sz="4" w:space="0"/>
              <w:right w:val="single" w:color="auto" w:sz="4" w:space="0"/>
            </w:tcBorders>
            <w:noWrap/>
            <w:vAlign w:val="center"/>
          </w:tcPr>
          <w:p w14:paraId="29314CAF">
            <w:pPr>
              <w:spacing w:line="360" w:lineRule="auto"/>
              <w:contextualSpacing/>
              <w:jc w:val="center"/>
              <w:rPr>
                <w:rFonts w:hint="eastAsia" w:ascii="宋体" w:hAnsi="宋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6357A6DF">
            <w:pPr>
              <w:spacing w:line="360" w:lineRule="auto"/>
              <w:contextualSpacing/>
              <w:jc w:val="center"/>
              <w:rPr>
                <w:rFonts w:hint="eastAsia" w:ascii="宋体" w:hAnsi="宋体" w:cs="仿宋_GB2312"/>
                <w:color w:val="auto"/>
                <w:sz w:val="24"/>
              </w:rPr>
            </w:pPr>
          </w:p>
        </w:tc>
      </w:tr>
      <w:tr w14:paraId="5CAD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68E96190">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3</w:t>
            </w:r>
          </w:p>
        </w:tc>
        <w:tc>
          <w:tcPr>
            <w:tcW w:w="3446" w:type="dxa"/>
            <w:tcBorders>
              <w:top w:val="single" w:color="auto" w:sz="4" w:space="0"/>
              <w:left w:val="single" w:color="auto" w:sz="4" w:space="0"/>
              <w:bottom w:val="single" w:color="auto" w:sz="4" w:space="0"/>
              <w:right w:val="single" w:color="auto" w:sz="4" w:space="0"/>
            </w:tcBorders>
            <w:noWrap/>
            <w:vAlign w:val="center"/>
          </w:tcPr>
          <w:p w14:paraId="5C50C18E">
            <w:pPr>
              <w:snapToGrid w:val="0"/>
              <w:spacing w:line="360" w:lineRule="auto"/>
              <w:jc w:val="center"/>
              <w:rPr>
                <w:rFonts w:hint="eastAsia" w:ascii="宋体" w:hAnsi="宋体" w:cs="仿宋_GB2312"/>
                <w:color w:val="auto"/>
                <w:sz w:val="24"/>
              </w:rPr>
            </w:pPr>
            <w:r>
              <w:rPr>
                <w:rFonts w:hint="eastAsia" w:ascii="宋体" w:hAnsi="宋体" w:cs="宋体"/>
                <w:color w:val="auto"/>
                <w:szCs w:val="21"/>
              </w:rPr>
              <w:t>建筑围护结构节能改造技术服务</w:t>
            </w:r>
          </w:p>
        </w:tc>
        <w:tc>
          <w:tcPr>
            <w:tcW w:w="1095" w:type="dxa"/>
            <w:tcBorders>
              <w:top w:val="single" w:color="auto" w:sz="4" w:space="0"/>
              <w:left w:val="single" w:color="auto" w:sz="4" w:space="0"/>
              <w:bottom w:val="single" w:color="auto" w:sz="4" w:space="0"/>
              <w:right w:val="single" w:color="auto" w:sz="4" w:space="0"/>
            </w:tcBorders>
            <w:noWrap/>
            <w:vAlign w:val="center"/>
          </w:tcPr>
          <w:p w14:paraId="211E422C">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1</w:t>
            </w:r>
          </w:p>
        </w:tc>
        <w:tc>
          <w:tcPr>
            <w:tcW w:w="945" w:type="dxa"/>
            <w:tcBorders>
              <w:top w:val="single" w:color="auto" w:sz="4" w:space="0"/>
              <w:left w:val="single" w:color="auto" w:sz="4" w:space="0"/>
              <w:bottom w:val="single" w:color="auto" w:sz="4" w:space="0"/>
              <w:right w:val="single" w:color="auto" w:sz="4" w:space="0"/>
            </w:tcBorders>
            <w:noWrap/>
            <w:vAlign w:val="center"/>
          </w:tcPr>
          <w:p w14:paraId="20DD66CE">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项</w:t>
            </w:r>
          </w:p>
        </w:tc>
        <w:tc>
          <w:tcPr>
            <w:tcW w:w="2160" w:type="dxa"/>
            <w:tcBorders>
              <w:top w:val="single" w:color="auto" w:sz="4" w:space="0"/>
              <w:left w:val="single" w:color="auto" w:sz="4" w:space="0"/>
              <w:bottom w:val="single" w:color="auto" w:sz="4" w:space="0"/>
              <w:right w:val="single" w:color="auto" w:sz="4" w:space="0"/>
            </w:tcBorders>
            <w:noWrap/>
            <w:vAlign w:val="center"/>
          </w:tcPr>
          <w:p w14:paraId="68BDB7FD">
            <w:pPr>
              <w:spacing w:line="360" w:lineRule="auto"/>
              <w:contextualSpacing/>
              <w:jc w:val="center"/>
              <w:rPr>
                <w:rFonts w:hint="eastAsia" w:ascii="宋体" w:hAnsi="宋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514845DE">
            <w:pPr>
              <w:spacing w:line="360" w:lineRule="auto"/>
              <w:contextualSpacing/>
              <w:jc w:val="center"/>
              <w:rPr>
                <w:rFonts w:hint="eastAsia" w:ascii="宋体" w:hAnsi="宋体" w:cs="仿宋_GB2312"/>
                <w:color w:val="auto"/>
                <w:sz w:val="24"/>
              </w:rPr>
            </w:pPr>
          </w:p>
        </w:tc>
      </w:tr>
      <w:tr w14:paraId="4F2E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right"/>
        </w:trPr>
        <w:tc>
          <w:tcPr>
            <w:tcW w:w="9095" w:type="dxa"/>
            <w:gridSpan w:val="6"/>
            <w:tcBorders>
              <w:top w:val="single" w:color="auto" w:sz="4" w:space="0"/>
              <w:left w:val="single" w:color="auto" w:sz="4" w:space="0"/>
              <w:bottom w:val="single" w:color="auto" w:sz="4" w:space="0"/>
              <w:right w:val="single" w:color="auto" w:sz="4" w:space="0"/>
            </w:tcBorders>
            <w:noWrap/>
            <w:vAlign w:val="center"/>
          </w:tcPr>
          <w:p w14:paraId="7B42DD3C">
            <w:pPr>
              <w:spacing w:line="360" w:lineRule="auto"/>
              <w:contextualSpacing/>
              <w:rPr>
                <w:rFonts w:hint="eastAsia"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3B3EB594">
      <w:pPr>
        <w:spacing w:line="360" w:lineRule="auto"/>
        <w:contextualSpacing/>
        <w:jc w:val="left"/>
        <w:rPr>
          <w:rFonts w:hint="eastAsia" w:ascii="宋体" w:hAnsi="宋体" w:cs="仿宋_GB2312"/>
          <w:color w:val="auto"/>
          <w:sz w:val="24"/>
        </w:rPr>
      </w:pPr>
    </w:p>
    <w:p w14:paraId="6FC8C0BC">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 xml:space="preserve">注： </w:t>
      </w:r>
    </w:p>
    <w:p w14:paraId="0396E190">
      <w:pPr>
        <w:spacing w:line="360" w:lineRule="auto"/>
        <w:ind w:firstLine="480" w:firstLineChars="200"/>
        <w:contextualSpacing/>
        <w:jc w:val="left"/>
        <w:rPr>
          <w:rFonts w:hint="eastAsia" w:ascii="宋体" w:hAnsi="宋体" w:cs="仿宋_GB2312"/>
          <w:color w:val="auto"/>
          <w:sz w:val="24"/>
        </w:rPr>
      </w:pPr>
      <w:r>
        <w:rPr>
          <w:rFonts w:hint="eastAsia" w:ascii="宋体" w:hAnsi="宋体" w:cs="仿宋_GB2312"/>
          <w:color w:val="auto"/>
          <w:sz w:val="24"/>
        </w:rPr>
        <w:t>1. 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4E580F21">
      <w:pPr>
        <w:spacing w:line="360" w:lineRule="auto"/>
        <w:ind w:firstLine="480" w:firstLineChars="200"/>
        <w:contextualSpacing/>
        <w:jc w:val="left"/>
        <w:rPr>
          <w:rFonts w:hint="eastAsia"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 xml:space="preserve"> 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23493936">
      <w:pPr>
        <w:spacing w:line="360" w:lineRule="auto"/>
        <w:ind w:right="-817" w:rightChars="-389"/>
        <w:contextualSpacing/>
        <w:rPr>
          <w:rFonts w:hint="eastAsia" w:ascii="宋体" w:hAnsi="宋体" w:cs="仿宋_GB2312"/>
          <w:color w:val="auto"/>
          <w:sz w:val="24"/>
        </w:rPr>
      </w:pPr>
    </w:p>
    <w:p w14:paraId="4B248663">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53445F87">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供应商名称（电子签章）：      </w:t>
      </w:r>
    </w:p>
    <w:p w14:paraId="0111968A">
      <w:pPr>
        <w:spacing w:line="360" w:lineRule="auto"/>
        <w:ind w:right="-817" w:rightChars="-389" w:firstLine="4080" w:firstLineChars="1700"/>
        <w:contextualSpacing/>
        <w:rPr>
          <w:rFonts w:hint="eastAsia" w:ascii="宋体" w:hAnsi="宋体" w:cs="仿宋_GB2312"/>
          <w:b/>
          <w:color w:val="auto"/>
          <w:sz w:val="24"/>
        </w:rPr>
      </w:pPr>
      <w:r>
        <w:rPr>
          <w:rFonts w:hint="eastAsia" w:ascii="宋体" w:hAnsi="宋体" w:cs="仿宋_GB2312"/>
          <w:color w:val="auto"/>
          <w:sz w:val="24"/>
        </w:rPr>
        <w:t>日期：   年   月   日</w:t>
      </w:r>
    </w:p>
    <w:p w14:paraId="1AC8CD1B">
      <w:pPr>
        <w:spacing w:line="360" w:lineRule="auto"/>
        <w:ind w:right="-817" w:rightChars="-389" w:firstLine="5461" w:firstLineChars="1700"/>
        <w:contextualSpacing/>
        <w:rPr>
          <w:rFonts w:hint="eastAsia" w:ascii="宋体" w:hAnsi="宋体" w:cs="仿宋_GB2312"/>
          <w:b/>
          <w:color w:val="auto"/>
          <w:sz w:val="24"/>
        </w:rPr>
      </w:pPr>
      <w:r>
        <w:rPr>
          <w:rFonts w:ascii="宋体" w:hAnsi="宋体"/>
          <w:b/>
          <w:bCs/>
          <w:color w:val="auto"/>
          <w:sz w:val="32"/>
          <w:szCs w:val="32"/>
        </w:rPr>
        <w:br w:type="page"/>
      </w:r>
    </w:p>
    <w:p w14:paraId="2471354A">
      <w:pPr>
        <w:spacing w:line="360" w:lineRule="auto"/>
        <w:ind w:firstLine="643" w:firstLineChars="200"/>
        <w:contextualSpacing/>
        <w:jc w:val="left"/>
        <w:rPr>
          <w:rFonts w:hint="eastAsia" w:ascii="宋体" w:hAns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商务技术文件格式</w:t>
      </w:r>
    </w:p>
    <w:p w14:paraId="26162ADE">
      <w:pPr>
        <w:snapToGrid w:val="0"/>
        <w:spacing w:before="156" w:beforeLines="50" w:after="50" w:line="360" w:lineRule="auto"/>
        <w:jc w:val="left"/>
        <w:rPr>
          <w:rFonts w:hint="eastAsia" w:ascii="宋体" w:hAnsi="宋体"/>
          <w:b/>
          <w:color w:val="auto"/>
          <w:sz w:val="32"/>
          <w:szCs w:val="32"/>
        </w:rPr>
      </w:pPr>
      <w:r>
        <w:rPr>
          <w:rFonts w:hint="eastAsia" w:ascii="宋体" w:hAnsi="宋体"/>
          <w:b/>
          <w:color w:val="auto"/>
          <w:sz w:val="32"/>
          <w:szCs w:val="32"/>
        </w:rPr>
        <w:t>1.商务技术文件封面格式</w:t>
      </w:r>
    </w:p>
    <w:p w14:paraId="3B7753B6">
      <w:pPr>
        <w:snapToGrid w:val="0"/>
        <w:spacing w:before="156" w:beforeLines="50" w:after="50"/>
        <w:rPr>
          <w:rFonts w:hint="eastAsia" w:ascii="宋体" w:hAnsi="宋体"/>
          <w:bCs/>
          <w:color w:val="auto"/>
          <w:sz w:val="32"/>
          <w:szCs w:val="20"/>
        </w:rPr>
      </w:pPr>
    </w:p>
    <w:p w14:paraId="6BD35321">
      <w:pPr>
        <w:snapToGrid w:val="0"/>
        <w:spacing w:before="156" w:beforeLines="50" w:after="50"/>
        <w:jc w:val="center"/>
        <w:rPr>
          <w:rFonts w:hint="eastAsia" w:ascii="宋体" w:hAnsi="宋体"/>
          <w:color w:val="auto"/>
          <w:sz w:val="24"/>
          <w:szCs w:val="20"/>
        </w:rPr>
      </w:pPr>
      <w:r>
        <w:rPr>
          <w:rFonts w:hint="eastAsia" w:ascii="宋体" w:hAnsi="宋体"/>
          <w:color w:val="auto"/>
          <w:sz w:val="44"/>
          <w:szCs w:val="44"/>
        </w:rPr>
        <w:t>电 子 响 应 文 件</w:t>
      </w:r>
    </w:p>
    <w:p w14:paraId="252911A0">
      <w:pPr>
        <w:snapToGrid w:val="0"/>
        <w:spacing w:before="156" w:beforeLines="50" w:after="50"/>
        <w:rPr>
          <w:rFonts w:hint="eastAsia" w:ascii="宋体" w:hAnsi="宋体"/>
          <w:color w:val="auto"/>
          <w:sz w:val="24"/>
          <w:szCs w:val="20"/>
        </w:rPr>
      </w:pPr>
    </w:p>
    <w:p w14:paraId="3395EBAF">
      <w:pPr>
        <w:snapToGrid w:val="0"/>
        <w:spacing w:before="156" w:beforeLines="50" w:after="50"/>
        <w:rPr>
          <w:rFonts w:hint="eastAsia" w:ascii="宋体" w:hAnsi="宋体"/>
          <w:color w:val="auto"/>
          <w:sz w:val="24"/>
          <w:szCs w:val="20"/>
        </w:rPr>
      </w:pPr>
    </w:p>
    <w:p w14:paraId="197F7A22">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14:paraId="4A7D30DC">
      <w:pPr>
        <w:snapToGrid w:val="0"/>
        <w:spacing w:before="156" w:beforeLines="50" w:after="50"/>
        <w:rPr>
          <w:rFonts w:hint="eastAsia" w:ascii="宋体" w:hAnsi="宋体"/>
          <w:bCs/>
          <w:color w:val="auto"/>
          <w:sz w:val="24"/>
          <w:szCs w:val="20"/>
        </w:rPr>
      </w:pPr>
    </w:p>
    <w:p w14:paraId="3FC83ED7">
      <w:pPr>
        <w:snapToGrid w:val="0"/>
        <w:spacing w:before="156" w:beforeLines="50" w:after="50"/>
        <w:rPr>
          <w:rFonts w:hint="eastAsia" w:ascii="宋体" w:hAnsi="宋体"/>
          <w:bCs/>
          <w:color w:val="auto"/>
          <w:sz w:val="24"/>
          <w:szCs w:val="20"/>
        </w:rPr>
      </w:pPr>
    </w:p>
    <w:p w14:paraId="001F8C8F">
      <w:pPr>
        <w:snapToGrid w:val="0"/>
        <w:spacing w:before="156" w:beforeLines="50" w:after="50"/>
        <w:rPr>
          <w:rFonts w:hint="eastAsia" w:ascii="宋体" w:hAnsi="宋体"/>
          <w:bCs/>
          <w:color w:val="auto"/>
          <w:sz w:val="24"/>
          <w:szCs w:val="20"/>
        </w:rPr>
      </w:pPr>
    </w:p>
    <w:p w14:paraId="5560043E">
      <w:pPr>
        <w:snapToGrid w:val="0"/>
        <w:spacing w:before="156" w:beforeLines="50" w:after="50"/>
        <w:rPr>
          <w:rFonts w:hint="eastAsia" w:ascii="宋体" w:hAnsi="宋体"/>
          <w:bCs/>
          <w:color w:val="auto"/>
          <w:sz w:val="24"/>
          <w:szCs w:val="20"/>
        </w:rPr>
      </w:pPr>
    </w:p>
    <w:p w14:paraId="5F8FA480">
      <w:pPr>
        <w:snapToGrid w:val="0"/>
        <w:spacing w:before="156" w:beforeLines="50" w:after="50"/>
        <w:rPr>
          <w:rFonts w:hint="eastAsia" w:ascii="宋体" w:hAnsi="宋体"/>
          <w:bCs/>
          <w:color w:val="auto"/>
          <w:sz w:val="24"/>
          <w:szCs w:val="20"/>
        </w:rPr>
      </w:pPr>
    </w:p>
    <w:p w14:paraId="24A6B2E5">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2A29C05A">
      <w:pPr>
        <w:snapToGrid w:val="0"/>
        <w:spacing w:before="156" w:beforeLines="50" w:after="50"/>
        <w:ind w:firstLine="720" w:firstLineChars="225"/>
        <w:rPr>
          <w:rFonts w:hint="eastAsia" w:ascii="宋体" w:hAnsi="宋体" w:cs="仿宋_GB2312"/>
          <w:bCs/>
          <w:color w:val="auto"/>
          <w:sz w:val="32"/>
          <w:szCs w:val="32"/>
        </w:rPr>
      </w:pPr>
    </w:p>
    <w:p w14:paraId="1EC50946">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08018E56">
      <w:pPr>
        <w:snapToGrid w:val="0"/>
        <w:spacing w:before="156" w:beforeLines="50" w:after="50"/>
        <w:ind w:firstLine="720" w:firstLineChars="225"/>
        <w:rPr>
          <w:rFonts w:hint="eastAsia" w:ascii="宋体" w:hAnsi="宋体" w:cs="仿宋_GB2312"/>
          <w:bCs/>
          <w:color w:val="auto"/>
          <w:sz w:val="32"/>
          <w:szCs w:val="32"/>
        </w:rPr>
      </w:pPr>
    </w:p>
    <w:p w14:paraId="3EBE2CCB">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20C94063">
      <w:pPr>
        <w:snapToGrid w:val="0"/>
        <w:spacing w:before="156" w:beforeLines="50" w:after="50"/>
        <w:ind w:firstLine="720" w:firstLineChars="225"/>
        <w:rPr>
          <w:rFonts w:hint="eastAsia" w:ascii="宋体" w:hAnsi="宋体" w:cs="仿宋_GB2312"/>
          <w:bCs/>
          <w:color w:val="auto"/>
          <w:sz w:val="32"/>
          <w:szCs w:val="32"/>
        </w:rPr>
      </w:pPr>
    </w:p>
    <w:p w14:paraId="63B7EB3B">
      <w:pPr>
        <w:pStyle w:val="6"/>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21C82B66">
      <w:pPr>
        <w:pStyle w:val="6"/>
        <w:snapToGrid w:val="0"/>
        <w:spacing w:before="50" w:after="50"/>
        <w:ind w:firstLine="640" w:firstLineChars="200"/>
        <w:rPr>
          <w:rFonts w:hint="eastAsia" w:ascii="宋体" w:hAnsi="宋体" w:cs="仿宋_GB2312"/>
          <w:bCs/>
          <w:color w:val="auto"/>
          <w:sz w:val="32"/>
          <w:szCs w:val="32"/>
        </w:rPr>
      </w:pPr>
    </w:p>
    <w:p w14:paraId="1735B04A">
      <w:pPr>
        <w:pStyle w:val="6"/>
        <w:snapToGrid w:val="0"/>
        <w:spacing w:before="50" w:after="50"/>
        <w:ind w:firstLine="720" w:firstLineChars="225"/>
        <w:rPr>
          <w:rFonts w:hint="eastAsia" w:ascii="宋体" w:hAnsi="宋体" w:cs="仿宋_GB2312"/>
          <w:bCs/>
          <w:color w:val="auto"/>
          <w:sz w:val="32"/>
          <w:szCs w:val="32"/>
        </w:rPr>
      </w:pPr>
    </w:p>
    <w:p w14:paraId="01B8BE42">
      <w:pPr>
        <w:pStyle w:val="6"/>
        <w:snapToGrid w:val="0"/>
        <w:spacing w:before="50" w:after="50"/>
        <w:ind w:firstLine="0"/>
        <w:rPr>
          <w:rFonts w:hint="eastAsia" w:ascii="宋体" w:hAnsi="宋体" w:cs="仿宋_GB2312"/>
          <w:bCs/>
          <w:color w:val="auto"/>
          <w:sz w:val="32"/>
          <w:szCs w:val="32"/>
        </w:rPr>
      </w:pPr>
    </w:p>
    <w:p w14:paraId="2767A65F">
      <w:pPr>
        <w:pStyle w:val="6"/>
        <w:snapToGrid w:val="0"/>
        <w:spacing w:before="50" w:after="50"/>
        <w:ind w:firstLine="1280" w:firstLineChars="400"/>
        <w:rPr>
          <w:rFonts w:hint="eastAsia" w:ascii="宋体" w:hAnsi="宋体" w:cs="仿宋_GB2312"/>
          <w:bCs/>
          <w:color w:val="auto"/>
          <w:sz w:val="32"/>
          <w:szCs w:val="32"/>
        </w:rPr>
      </w:pPr>
    </w:p>
    <w:p w14:paraId="4E664D6D">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45B520F2">
      <w:pPr>
        <w:snapToGrid w:val="0"/>
        <w:spacing w:before="156" w:beforeLines="50" w:after="50" w:line="360" w:lineRule="auto"/>
        <w:ind w:right="480" w:firstLine="240" w:firstLineChars="100"/>
        <w:jc w:val="left"/>
        <w:rPr>
          <w:rFonts w:hint="eastAsia"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14:paraId="50BDAF4B">
      <w:pPr>
        <w:snapToGrid w:val="0"/>
        <w:spacing w:before="156" w:beforeLines="50" w:after="50" w:line="360" w:lineRule="auto"/>
        <w:ind w:firstLine="640" w:firstLineChars="200"/>
        <w:rPr>
          <w:rFonts w:hint="eastAsia"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17FA9FBF">
      <w:pPr>
        <w:spacing w:line="400" w:lineRule="exact"/>
        <w:rPr>
          <w:rFonts w:hint="eastAsia" w:ascii="仿宋_GB2312" w:hAnsi="仿宋_GB2312" w:eastAsia="仿宋_GB2312" w:cs="仿宋_GB2312"/>
          <w:color w:val="auto"/>
          <w:sz w:val="32"/>
          <w:szCs w:val="32"/>
        </w:rPr>
      </w:pPr>
    </w:p>
    <w:p w14:paraId="04CF3184">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14:paraId="1BAB413D">
      <w:pPr>
        <w:spacing w:line="360" w:lineRule="auto"/>
        <w:ind w:firstLine="640" w:firstLineChars="200"/>
        <w:contextualSpacing/>
        <w:rPr>
          <w:rFonts w:hint="eastAsia" w:ascii="仿宋_GB2312" w:hAnsi="仿宋_GB2312" w:eastAsia="仿宋_GB2312" w:cs="仿宋_GB2312"/>
          <w:color w:val="auto"/>
          <w:sz w:val="32"/>
          <w:szCs w:val="32"/>
        </w:rPr>
      </w:pPr>
    </w:p>
    <w:p w14:paraId="13F2820D">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一、我方承诺无下列相互串通竞标的情形：</w:t>
      </w:r>
    </w:p>
    <w:p w14:paraId="5973EBBC">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1.不同供应商的响应文件由同一单位或者个人编制，或不同供应商报名的IP地址一致的；或不同供应商竞标设备信息（包括但不限于：IP地址、MAC地址、硬盘号、CPU号、主板号）一致的；</w:t>
      </w:r>
    </w:p>
    <w:p w14:paraId="4F27824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2.不同供应商委托同一单位或者个人办理竞标事宜；</w:t>
      </w:r>
    </w:p>
    <w:p w14:paraId="39BDEF1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3.不同供应商的响应文件载明的项目管理员为同一个人；</w:t>
      </w:r>
    </w:p>
    <w:p w14:paraId="4689B3D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2BC46C2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297637D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3747F503">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5E8F54BF">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3BB3095D">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5E7B16C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332633B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5B9A3E9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475FAAD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3C29528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18507BEF">
      <w:pPr>
        <w:spacing w:line="360" w:lineRule="auto"/>
        <w:ind w:firstLine="480" w:firstLineChars="200"/>
        <w:contextualSpacing/>
        <w:rPr>
          <w:rFonts w:hint="eastAsia" w:ascii="宋体" w:hAnsi="宋体" w:cs="仿宋_GB2312"/>
          <w:color w:val="auto"/>
          <w:sz w:val="24"/>
        </w:rPr>
      </w:pPr>
    </w:p>
    <w:p w14:paraId="62AF46B4">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79386125">
      <w:pPr>
        <w:spacing w:line="360" w:lineRule="auto"/>
        <w:contextualSpacing/>
        <w:rPr>
          <w:rFonts w:hint="eastAsia" w:ascii="宋体" w:hAnsi="宋体" w:cs="仿宋_GB2312"/>
          <w:color w:val="auto"/>
          <w:sz w:val="24"/>
        </w:rPr>
      </w:pPr>
    </w:p>
    <w:p w14:paraId="02F3CF04">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供应商名称（电子签章）：</w:t>
      </w:r>
    </w:p>
    <w:p w14:paraId="5E59889E">
      <w:pPr>
        <w:spacing w:line="360" w:lineRule="auto"/>
        <w:ind w:firstLine="480" w:firstLineChars="200"/>
        <w:contextualSpacing/>
        <w:jc w:val="center"/>
        <w:rPr>
          <w:rFonts w:hint="eastAsia"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14:paraId="2BDB1023">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法定代表人证明书</w:t>
      </w:r>
    </w:p>
    <w:p w14:paraId="0E06C710">
      <w:pPr>
        <w:spacing w:line="360" w:lineRule="auto"/>
        <w:ind w:left="540"/>
        <w:contextualSpacing/>
        <w:rPr>
          <w:rFonts w:hint="eastAsia" w:ascii="仿宋_GB2312" w:hAnsi="仿宋_GB2312" w:eastAsia="仿宋_GB2312" w:cs="仿宋_GB2312"/>
          <w:color w:val="auto"/>
          <w:sz w:val="32"/>
          <w:szCs w:val="32"/>
        </w:rPr>
      </w:pPr>
    </w:p>
    <w:p w14:paraId="350F7B11">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2DF1153E">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14C8ABBD">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71713EAF">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207EB54A">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37FD9925">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16E9024D">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0409FFFF">
      <w:pPr>
        <w:spacing w:line="360" w:lineRule="auto"/>
        <w:ind w:left="540"/>
        <w:contextualSpacing/>
        <w:rPr>
          <w:rFonts w:hint="eastAsia" w:ascii="宋体" w:hAnsi="宋体" w:cs="仿宋_GB2312"/>
          <w:color w:val="auto"/>
          <w:sz w:val="24"/>
        </w:rPr>
      </w:pPr>
    </w:p>
    <w:p w14:paraId="0EAE79B6">
      <w:pPr>
        <w:spacing w:line="360" w:lineRule="auto"/>
        <w:ind w:left="540"/>
        <w:contextualSpacing/>
        <w:rPr>
          <w:rFonts w:hint="eastAsia" w:ascii="宋体" w:hAnsi="宋体" w:cs="仿宋_GB2312"/>
          <w:color w:val="auto"/>
          <w:sz w:val="24"/>
        </w:rPr>
      </w:pPr>
    </w:p>
    <w:p w14:paraId="567FE4B4">
      <w:pPr>
        <w:spacing w:line="360" w:lineRule="auto"/>
        <w:ind w:left="540"/>
        <w:contextualSpacing/>
        <w:rPr>
          <w:rFonts w:hint="eastAsia" w:ascii="宋体" w:hAnsi="宋体" w:cs="仿宋_GB2312"/>
          <w:color w:val="auto"/>
          <w:sz w:val="24"/>
        </w:rPr>
      </w:pPr>
    </w:p>
    <w:p w14:paraId="03759FF7">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附件：法定代表人有效身份证正反面复印件</w:t>
      </w:r>
    </w:p>
    <w:p w14:paraId="528680A6">
      <w:pPr>
        <w:spacing w:line="360" w:lineRule="auto"/>
        <w:ind w:left="540"/>
        <w:contextualSpacing/>
        <w:rPr>
          <w:rFonts w:hint="eastAsia" w:ascii="宋体" w:hAnsi="宋体" w:cs="仿宋_GB2312"/>
          <w:color w:val="auto"/>
          <w:sz w:val="24"/>
        </w:rPr>
      </w:pPr>
    </w:p>
    <w:p w14:paraId="0D0249CF">
      <w:pPr>
        <w:spacing w:line="360" w:lineRule="auto"/>
        <w:ind w:left="540" w:leftChars="257" w:right="480" w:firstLine="2280" w:firstLineChars="950"/>
        <w:contextualSpacing/>
        <w:rPr>
          <w:rFonts w:hint="eastAsia" w:ascii="宋体" w:hAnsi="宋体" w:cs="仿宋_GB2312"/>
          <w:color w:val="auto"/>
          <w:sz w:val="24"/>
        </w:rPr>
      </w:pPr>
      <w:r>
        <w:rPr>
          <w:rFonts w:hint="eastAsia" w:ascii="宋体" w:hAnsi="宋体" w:cs="仿宋_GB2312"/>
          <w:color w:val="auto"/>
          <w:sz w:val="24"/>
        </w:rPr>
        <w:t>供应商名称（电子签章）：</w:t>
      </w:r>
      <w:r>
        <w:rPr>
          <w:rFonts w:hint="eastAsia" w:ascii="宋体" w:hAnsi="宋体" w:cs="仿宋_GB2312"/>
          <w:color w:val="auto"/>
          <w:sz w:val="24"/>
          <w:u w:val="single"/>
        </w:rPr>
        <w:t xml:space="preserve">               </w:t>
      </w:r>
    </w:p>
    <w:p w14:paraId="2BD63416">
      <w:pPr>
        <w:spacing w:line="360" w:lineRule="auto"/>
        <w:ind w:firstLine="5040" w:firstLineChars="2100"/>
        <w:contextualSpacing/>
        <w:rPr>
          <w:rFonts w:hint="eastAsia"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5398F813">
      <w:pPr>
        <w:spacing w:line="360" w:lineRule="auto"/>
        <w:contextualSpacing/>
        <w:jc w:val="center"/>
        <w:rPr>
          <w:rFonts w:hint="eastAsia" w:ascii="宋体" w:hAnsi="宋体" w:cs="仿宋_GB2312"/>
          <w:b/>
          <w:color w:val="auto"/>
          <w:sz w:val="24"/>
        </w:rPr>
      </w:pPr>
    </w:p>
    <w:p w14:paraId="2E71C0B4">
      <w:pPr>
        <w:spacing w:line="360" w:lineRule="auto"/>
        <w:contextualSpacing/>
        <w:jc w:val="left"/>
        <w:rPr>
          <w:rFonts w:hint="eastAsia" w:ascii="宋体" w:hAnsi="宋体" w:cs="仿宋_GB2312"/>
          <w:color w:val="auto"/>
          <w:sz w:val="24"/>
        </w:rPr>
      </w:pPr>
    </w:p>
    <w:p w14:paraId="5CFA7E06">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10C194B5">
      <w:pPr>
        <w:adjustRightInd w:val="0"/>
        <w:snapToGrid w:val="0"/>
        <w:spacing w:line="300" w:lineRule="auto"/>
        <w:jc w:val="left"/>
        <w:rPr>
          <w:rFonts w:hint="eastAsia" w:ascii="宋体" w:hAnsi="宋体"/>
          <w:b/>
          <w:color w:val="auto"/>
          <w:szCs w:val="21"/>
        </w:rPr>
      </w:pPr>
    </w:p>
    <w:p w14:paraId="6D72A623">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bookmarkStart w:id="82" w:name="_Hlk65853643"/>
      <w:r>
        <w:rPr>
          <w:rFonts w:hint="eastAsia" w:ascii="方正小标宋简体" w:hAnsi="方正小标宋简体" w:eastAsia="方正小标宋简体" w:cs="方正小标宋简体"/>
          <w:color w:val="auto"/>
          <w:sz w:val="44"/>
          <w:szCs w:val="44"/>
        </w:rPr>
        <w:t>授权委托书</w:t>
      </w:r>
    </w:p>
    <w:p w14:paraId="625C8A5E">
      <w:pPr>
        <w:spacing w:line="52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（非联合体竞标格式）</w:t>
      </w:r>
    </w:p>
    <w:p w14:paraId="13352985">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79867FF8">
      <w:pPr>
        <w:spacing w:line="520" w:lineRule="exact"/>
        <w:rPr>
          <w:rFonts w:hint="eastAsia" w:ascii="仿宋_GB2312" w:hAnsi="仿宋_GB2312" w:eastAsia="仿宋_GB2312" w:cs="仿宋_GB2312"/>
          <w:color w:val="auto"/>
          <w:sz w:val="32"/>
          <w:szCs w:val="32"/>
        </w:rPr>
      </w:pPr>
    </w:p>
    <w:p w14:paraId="37E85730">
      <w:pPr>
        <w:spacing w:line="360" w:lineRule="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67659D48">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以我方的名义参加项目的竞标活动，并代表我方全权办理针对上述项目的所有采购程序和环节的具体事务和签署相关文件。</w:t>
      </w:r>
    </w:p>
    <w:p w14:paraId="404FD2FC">
      <w:pPr>
        <w:spacing w:line="360" w:lineRule="auto"/>
        <w:rPr>
          <w:rFonts w:hint="eastAsia"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14:paraId="515DE2BD">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19D05AA8">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委托代理人无转委托权，特此委托。</w:t>
      </w:r>
    </w:p>
    <w:p w14:paraId="6932AB62">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57E5ABF6">
      <w:pPr>
        <w:spacing w:line="360" w:lineRule="auto"/>
        <w:rPr>
          <w:rFonts w:hint="eastAsia" w:ascii="宋体" w:hAnsi="宋体" w:cs="仿宋_GB2312"/>
          <w:color w:val="auto"/>
          <w:sz w:val="24"/>
        </w:rPr>
      </w:pPr>
    </w:p>
    <w:p w14:paraId="2102E2A6">
      <w:pPr>
        <w:spacing w:line="360" w:lineRule="auto"/>
        <w:contextualSpacing/>
        <w:rPr>
          <w:rFonts w:hint="eastAsia"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法定代表人（签字或者盖章或者电子签名）：                    </w:t>
      </w:r>
    </w:p>
    <w:p w14:paraId="06BDAB76">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委托代理人身份证号码：                              </w:t>
      </w:r>
    </w:p>
    <w:p w14:paraId="35678757">
      <w:pPr>
        <w:spacing w:line="360" w:lineRule="auto"/>
        <w:contextualSpacing/>
        <w:rPr>
          <w:rFonts w:hint="eastAsia" w:ascii="宋体" w:hAnsi="宋体" w:cs="仿宋_GB2312"/>
          <w:color w:val="auto"/>
          <w:sz w:val="24"/>
        </w:rPr>
      </w:pPr>
    </w:p>
    <w:p w14:paraId="5FBFD44B">
      <w:pPr>
        <w:spacing w:line="360" w:lineRule="auto"/>
        <w:rPr>
          <w:rFonts w:hint="eastAsia" w:ascii="宋体" w:hAnsi="宋体" w:cs="仿宋_GB2312"/>
          <w:color w:val="auto"/>
          <w:sz w:val="24"/>
        </w:rPr>
      </w:pPr>
      <w:r>
        <w:rPr>
          <w:rFonts w:hint="eastAsia" w:ascii="宋体" w:hAnsi="宋体" w:cs="仿宋_GB2312"/>
          <w:color w:val="auto"/>
          <w:sz w:val="24"/>
        </w:rPr>
        <w:t xml:space="preserve">                          供应商名称（电子签章）：                      </w:t>
      </w:r>
    </w:p>
    <w:p w14:paraId="5D402A38">
      <w:pPr>
        <w:spacing w:line="360" w:lineRule="auto"/>
        <w:rPr>
          <w:rFonts w:hint="eastAsia" w:ascii="宋体" w:hAnsi="宋体" w:cs="仿宋_GB2312"/>
          <w:color w:val="auto"/>
          <w:sz w:val="24"/>
        </w:rPr>
      </w:pPr>
      <w:r>
        <w:rPr>
          <w:rFonts w:hint="eastAsia" w:ascii="宋体" w:hAnsi="宋体" w:cs="仿宋_GB2312"/>
          <w:color w:val="auto"/>
          <w:sz w:val="24"/>
        </w:rPr>
        <w:t xml:space="preserve">                                         年    月    日</w:t>
      </w:r>
    </w:p>
    <w:p w14:paraId="01A0928B">
      <w:pPr>
        <w:spacing w:line="360" w:lineRule="auto"/>
        <w:rPr>
          <w:rFonts w:hint="eastAsia" w:ascii="宋体" w:hAnsi="宋体" w:cs="仿宋_GB2312"/>
          <w:color w:val="auto"/>
          <w:sz w:val="24"/>
        </w:rPr>
      </w:pPr>
    </w:p>
    <w:p w14:paraId="08229D11">
      <w:pPr>
        <w:spacing w:line="360" w:lineRule="auto"/>
        <w:rPr>
          <w:rFonts w:hint="eastAsia"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32F03BFE">
      <w:pPr>
        <w:spacing w:line="360" w:lineRule="auto"/>
        <w:ind w:firstLine="480" w:firstLineChars="200"/>
        <w:jc w:val="left"/>
        <w:rPr>
          <w:rFonts w:hint="eastAsia" w:ascii="宋体" w:hAnsi="宋体" w:cs="仿宋_GB2312"/>
          <w:color w:val="auto"/>
          <w:sz w:val="24"/>
        </w:rPr>
      </w:pPr>
      <w:r>
        <w:rPr>
          <w:rFonts w:ascii="宋体" w:hAnsi="宋体" w:cs="仿宋_GB2312"/>
          <w:color w:val="auto"/>
          <w:sz w:val="24"/>
        </w:rPr>
        <w:t>2.</w:t>
      </w:r>
      <w:bookmarkStart w:id="83" w:name="_Hlk65853109"/>
      <w:bookmarkStart w:id="84" w:name="_Hlk65853542"/>
      <w:r>
        <w:rPr>
          <w:rFonts w:hint="eastAsia" w:ascii="宋体" w:hAnsi="宋体" w:cs="仿宋_GB2312"/>
          <w:color w:val="auto"/>
          <w:sz w:val="24"/>
        </w:rPr>
        <w:t>法人、其他组织竞标时“我方”是指“我单位”，自然人竞标时“我方”是指“本人”。</w:t>
      </w:r>
      <w:bookmarkEnd w:id="83"/>
    </w:p>
    <w:bookmarkEnd w:id="84"/>
    <w:p w14:paraId="453A41B3">
      <w:pPr>
        <w:spacing w:line="360" w:lineRule="auto"/>
        <w:ind w:firstLine="420" w:firstLineChars="200"/>
        <w:jc w:val="left"/>
        <w:rPr>
          <w:rFonts w:hint="eastAsia" w:ascii="仿宋_GB2312" w:hAnsi="仿宋_GB2312" w:eastAsia="仿宋_GB2312" w:cs="仿宋_GB2312"/>
          <w:color w:val="auto"/>
          <w:szCs w:val="21"/>
        </w:rPr>
      </w:pPr>
    </w:p>
    <w:p w14:paraId="66F7379F">
      <w:pPr>
        <w:spacing w:line="360" w:lineRule="auto"/>
        <w:ind w:firstLine="420" w:firstLineChars="200"/>
        <w:jc w:val="center"/>
        <w:rPr>
          <w:rFonts w:hint="eastAsia" w:ascii="方正小标宋简体" w:hAnsi="方正小标宋简体" w:eastAsia="方正小标宋简体" w:cs="方正小标宋简体"/>
          <w:bCs/>
          <w:color w:val="auto"/>
          <w:sz w:val="44"/>
          <w:szCs w:val="44"/>
        </w:rPr>
      </w:pPr>
      <w:r>
        <w:rPr>
          <w:rFonts w:ascii="仿宋_GB2312" w:hAnsi="仿宋_GB2312" w:eastAsia="仿宋_GB2312" w:cs="仿宋_GB2312"/>
          <w:color w:val="auto"/>
          <w:szCs w:val="21"/>
        </w:rPr>
        <w:br w:type="page"/>
      </w:r>
      <w:bookmarkEnd w:id="82"/>
      <w:r>
        <w:rPr>
          <w:rFonts w:hint="eastAsia" w:ascii="方正小标宋简体" w:hAnsi="方正小标宋简体" w:eastAsia="方正小标宋简体" w:cs="方正小标宋简体"/>
          <w:bCs/>
          <w:color w:val="auto"/>
          <w:sz w:val="44"/>
          <w:szCs w:val="44"/>
        </w:rPr>
        <w:t>商务要求偏离表格式</w:t>
      </w:r>
    </w:p>
    <w:p w14:paraId="351DAAC6">
      <w:pPr>
        <w:spacing w:line="500" w:lineRule="exact"/>
        <w:jc w:val="center"/>
        <w:rPr>
          <w:rFonts w:hint="eastAsia" w:ascii="宋体" w:hAnsi="宋体"/>
          <w:b/>
          <w:i/>
          <w:color w:val="auto"/>
          <w:sz w:val="32"/>
          <w:szCs w:val="32"/>
        </w:rPr>
      </w:pPr>
    </w:p>
    <w:p w14:paraId="4E2D49DE">
      <w:pPr>
        <w:spacing w:line="360" w:lineRule="auto"/>
        <w:contextualSpacing/>
        <w:jc w:val="left"/>
        <w:rPr>
          <w:rFonts w:hint="eastAsia" w:ascii="宋体" w:hAnsi="宋体"/>
          <w:color w:val="auto"/>
          <w:sz w:val="24"/>
        </w:rPr>
      </w:pPr>
    </w:p>
    <w:p w14:paraId="3A779E9E">
      <w:pPr>
        <w:pStyle w:val="16"/>
        <w:spacing w:line="360" w:lineRule="auto"/>
        <w:contextualSpacing/>
        <w:rPr>
          <w:rFonts w:hint="eastAsia" w:hAnsi="宋体" w:cs="仿宋_GB2312"/>
          <w:color w:val="auto"/>
          <w:sz w:val="24"/>
          <w:szCs w:val="24"/>
        </w:rPr>
      </w:pPr>
      <w:r>
        <w:rPr>
          <w:rFonts w:hint="eastAsia" w:hAnsi="宋体" w:cs="仿宋_GB2312"/>
          <w:color w:val="auto"/>
          <w:sz w:val="24"/>
          <w:szCs w:val="24"/>
        </w:rPr>
        <w:t>所竞分标：</w:t>
      </w:r>
    </w:p>
    <w:p w14:paraId="1A0CEC7E">
      <w:pPr>
        <w:spacing w:line="360" w:lineRule="auto"/>
        <w:contextualSpacing/>
        <w:jc w:val="left"/>
        <w:rPr>
          <w:rFonts w:hint="eastAsia" w:ascii="宋体" w:hAnsi="宋体" w:cs="仿宋_GB2312"/>
          <w:color w:val="auto"/>
          <w:sz w:val="24"/>
          <w:u w:val="single"/>
        </w:rPr>
      </w:pPr>
    </w:p>
    <w:tbl>
      <w:tblPr>
        <w:tblStyle w:val="25"/>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04A2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CD9501F">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37E3B7DD">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361163D7">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noWrap/>
            <w:vAlign w:val="center"/>
          </w:tcPr>
          <w:p w14:paraId="542FFEAE">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偏离说明</w:t>
            </w:r>
          </w:p>
        </w:tc>
      </w:tr>
      <w:tr w14:paraId="0B6D7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90591DC">
            <w:pPr>
              <w:jc w:val="center"/>
              <w:rPr>
                <w:rFonts w:hint="eastAsia" w:ascii="宋体" w:hAnsi="宋体"/>
                <w:color w:val="auto"/>
                <w:sz w:val="24"/>
              </w:rPr>
            </w:pPr>
            <w:r>
              <w:rPr>
                <w:rFonts w:hint="eastAsia" w:ascii="宋体" w:hAnsi="宋体"/>
                <w:color w:val="auto"/>
                <w:sz w:val="24"/>
              </w:rPr>
              <w:t>服务期限（合同履行期限）及地点</w:t>
            </w:r>
          </w:p>
        </w:tc>
        <w:tc>
          <w:tcPr>
            <w:tcW w:w="2668" w:type="dxa"/>
            <w:tcBorders>
              <w:top w:val="single" w:color="auto" w:sz="4" w:space="0"/>
              <w:left w:val="single" w:color="auto" w:sz="4" w:space="0"/>
              <w:bottom w:val="single" w:color="auto" w:sz="4" w:space="0"/>
              <w:right w:val="single" w:color="auto" w:sz="4" w:space="0"/>
            </w:tcBorders>
            <w:noWrap/>
            <w:vAlign w:val="center"/>
          </w:tcPr>
          <w:p w14:paraId="75B98C8B">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A51B8B7">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C282703">
            <w:pPr>
              <w:spacing w:line="360" w:lineRule="auto"/>
              <w:contextualSpacing/>
              <w:jc w:val="center"/>
              <w:rPr>
                <w:rFonts w:hint="eastAsia" w:ascii="宋体" w:hAnsi="宋体" w:cs="仿宋_GB2312"/>
                <w:color w:val="auto"/>
                <w:sz w:val="24"/>
              </w:rPr>
            </w:pPr>
          </w:p>
        </w:tc>
      </w:tr>
      <w:tr w14:paraId="24197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0CCE094">
            <w:pPr>
              <w:jc w:val="center"/>
              <w:rPr>
                <w:rFonts w:hint="eastAsia" w:ascii="宋体" w:hAnsi="宋体"/>
                <w:color w:val="auto"/>
                <w:sz w:val="24"/>
              </w:rPr>
            </w:pPr>
            <w:r>
              <w:rPr>
                <w:rFonts w:hint="eastAsia" w:ascii="宋体" w:hAnsi="宋体"/>
                <w:color w:val="auto"/>
                <w:sz w:val="24"/>
              </w:rPr>
              <w:t>合同签订时间</w:t>
            </w:r>
          </w:p>
        </w:tc>
        <w:tc>
          <w:tcPr>
            <w:tcW w:w="2668" w:type="dxa"/>
            <w:tcBorders>
              <w:top w:val="single" w:color="auto" w:sz="4" w:space="0"/>
              <w:left w:val="single" w:color="auto" w:sz="4" w:space="0"/>
              <w:bottom w:val="single" w:color="auto" w:sz="4" w:space="0"/>
              <w:right w:val="single" w:color="auto" w:sz="4" w:space="0"/>
            </w:tcBorders>
            <w:noWrap/>
            <w:vAlign w:val="center"/>
          </w:tcPr>
          <w:p w14:paraId="4ED03AB9">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569A473">
            <w:pPr>
              <w:spacing w:line="360" w:lineRule="auto"/>
              <w:ind w:left="43"/>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0D69B87">
            <w:pPr>
              <w:spacing w:line="360" w:lineRule="auto"/>
              <w:ind w:left="43"/>
              <w:contextualSpacing/>
              <w:jc w:val="center"/>
              <w:rPr>
                <w:rFonts w:hint="eastAsia" w:ascii="宋体" w:hAnsi="宋体" w:cs="仿宋_GB2312"/>
                <w:color w:val="auto"/>
                <w:sz w:val="24"/>
              </w:rPr>
            </w:pPr>
          </w:p>
        </w:tc>
      </w:tr>
      <w:tr w14:paraId="302AA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ign w:val="center"/>
          </w:tcPr>
          <w:p w14:paraId="00C59C7D">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noWrap/>
            <w:vAlign w:val="center"/>
          </w:tcPr>
          <w:p w14:paraId="38111591">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02753153">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4F1ED54">
            <w:pPr>
              <w:spacing w:line="360" w:lineRule="auto"/>
              <w:contextualSpacing/>
              <w:jc w:val="center"/>
              <w:rPr>
                <w:rFonts w:hint="eastAsia" w:ascii="宋体" w:hAnsi="宋体" w:cs="仿宋_GB2312"/>
                <w:color w:val="auto"/>
                <w:sz w:val="24"/>
              </w:rPr>
            </w:pPr>
          </w:p>
        </w:tc>
      </w:tr>
    </w:tbl>
    <w:p w14:paraId="6F763C18">
      <w:pPr>
        <w:pStyle w:val="12"/>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注：</w:t>
      </w:r>
    </w:p>
    <w:p w14:paraId="25EC661F">
      <w:pPr>
        <w:pStyle w:val="12"/>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1. 说明：应对照磋商文件“第三章 采购需求”中的商务要求逐条作出明确响应，并作出偏离说明。</w:t>
      </w:r>
    </w:p>
    <w:p w14:paraId="79168169">
      <w:pPr>
        <w:spacing w:line="360" w:lineRule="auto"/>
        <w:contextualSpacing/>
        <w:jc w:val="left"/>
        <w:rPr>
          <w:rFonts w:hint="eastAsia" w:ascii="宋体" w:hAnsi="宋体" w:cs="仿宋_GB2312"/>
          <w:color w:val="auto"/>
          <w:sz w:val="24"/>
          <w:u w:val="single"/>
        </w:rPr>
      </w:pPr>
      <w:r>
        <w:rPr>
          <w:rFonts w:hint="eastAsia" w:ascii="宋体" w:hAnsi="宋体"/>
          <w:color w:val="auto"/>
          <w:kern w:val="0"/>
          <w:sz w:val="24"/>
        </w:rPr>
        <w:t>2.供应商应根据自身的承诺，对照磋商文件要求在“偏离说明”中注明“正偏离”“负偏离”或者“无偏离”。既不属于“正偏离”也不属于“负偏离”即为“无偏离”。</w:t>
      </w:r>
    </w:p>
    <w:p w14:paraId="6F6F844A">
      <w:pPr>
        <w:spacing w:line="360" w:lineRule="auto"/>
        <w:ind w:right="-817" w:rightChars="-389"/>
        <w:contextualSpacing/>
        <w:rPr>
          <w:rFonts w:hint="eastAsia" w:ascii="宋体" w:hAnsi="宋体" w:cs="仿宋_GB2312"/>
          <w:color w:val="auto"/>
          <w:sz w:val="24"/>
        </w:rPr>
      </w:pPr>
    </w:p>
    <w:p w14:paraId="2433017F">
      <w:pPr>
        <w:snapToGrid w:val="0"/>
        <w:spacing w:line="360" w:lineRule="auto"/>
        <w:ind w:left="-2" w:leftChars="-1" w:right="-817" w:rightChars="-389" w:firstLine="3600" w:firstLineChars="1500"/>
        <w:rPr>
          <w:rFonts w:hint="eastAsia" w:ascii="宋体" w:hAnsi="宋体"/>
          <w:color w:val="auto"/>
          <w:sz w:val="24"/>
          <w:u w:val="single"/>
        </w:rPr>
      </w:pPr>
      <w:r>
        <w:rPr>
          <w:rFonts w:hint="eastAsia" w:ascii="宋体" w:hAnsi="宋体"/>
          <w:color w:val="auto"/>
          <w:sz w:val="24"/>
        </w:rPr>
        <w:t>法定代表人或者委托代理人签字：</w:t>
      </w:r>
      <w:r>
        <w:rPr>
          <w:rFonts w:hint="eastAsia" w:ascii="宋体" w:hAnsi="宋体"/>
          <w:color w:val="auto"/>
          <w:sz w:val="24"/>
          <w:u w:val="single"/>
        </w:rPr>
        <w:t xml:space="preserve">                </w:t>
      </w:r>
    </w:p>
    <w:p w14:paraId="53CD2D4B">
      <w:pPr>
        <w:snapToGrid w:val="0"/>
        <w:spacing w:line="360" w:lineRule="auto"/>
        <w:ind w:left="-3" w:leftChars="-15" w:right="-817" w:rightChars="-389" w:hanging="28" w:hangingChars="12"/>
        <w:rPr>
          <w:rFonts w:hint="eastAsia" w:ascii="宋体" w:hAnsi="宋体"/>
          <w:color w:val="auto"/>
          <w:sz w:val="24"/>
          <w:u w:val="single"/>
        </w:rPr>
      </w:pPr>
      <w:r>
        <w:rPr>
          <w:rFonts w:hint="eastAsia" w:ascii="宋体" w:hAnsi="宋体"/>
          <w:color w:val="auto"/>
          <w:sz w:val="24"/>
        </w:rPr>
        <w:t xml:space="preserve">                                     供应商名称（电子签章）：</w:t>
      </w:r>
      <w:r>
        <w:rPr>
          <w:rFonts w:hint="eastAsia" w:ascii="宋体" w:hAnsi="宋体"/>
          <w:color w:val="auto"/>
          <w:sz w:val="24"/>
          <w:u w:val="single"/>
        </w:rPr>
        <w:t xml:space="preserve">            </w:t>
      </w:r>
    </w:p>
    <w:p w14:paraId="014F6D04">
      <w:pPr>
        <w:snapToGrid w:val="0"/>
        <w:spacing w:line="360" w:lineRule="auto"/>
        <w:ind w:right="480" w:firstLine="240" w:firstLineChars="100"/>
        <w:jc w:val="left"/>
        <w:rPr>
          <w:rFonts w:hint="eastAsia" w:ascii="宋体" w:hAnsi="宋体"/>
          <w:color w:val="auto"/>
          <w:sz w:val="24"/>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p>
    <w:p w14:paraId="5F15F2F7">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6816D6A1">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4F34CF2E">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37FCF8BE">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7EDF737A">
      <w:pPr>
        <w:adjustRightInd w:val="0"/>
        <w:snapToGrid w:val="0"/>
        <w:spacing w:line="520" w:lineRule="exact"/>
        <w:rPr>
          <w:rFonts w:hint="eastAsia" w:ascii="宋体" w:hAnsi="宋体"/>
          <w:color w:val="auto"/>
          <w:szCs w:val="21"/>
          <w:u w:val="single"/>
        </w:rPr>
      </w:pPr>
    </w:p>
    <w:p w14:paraId="5D5E0315">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技术要求偏离表</w:t>
      </w:r>
    </w:p>
    <w:p w14:paraId="7AA92EE4">
      <w:pPr>
        <w:spacing w:line="520" w:lineRule="exact"/>
        <w:rPr>
          <w:rFonts w:hint="eastAsia" w:ascii="仿宋_GB2312" w:hAnsi="仿宋_GB2312" w:eastAsia="仿宋_GB2312" w:cs="仿宋_GB2312"/>
          <w:color w:val="auto"/>
          <w:sz w:val="32"/>
          <w:szCs w:val="32"/>
        </w:rPr>
      </w:pPr>
    </w:p>
    <w:p w14:paraId="4778E11B">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采购项目编号：</w:t>
      </w:r>
    </w:p>
    <w:p w14:paraId="0360A174">
      <w:pPr>
        <w:spacing w:line="360" w:lineRule="auto"/>
        <w:contextualSpacing/>
        <w:rPr>
          <w:rFonts w:hint="eastAsia" w:ascii="宋体" w:hAnsi="宋体" w:cs="仿宋_GB2312"/>
          <w:color w:val="auto"/>
          <w:sz w:val="24"/>
        </w:rPr>
      </w:pPr>
      <w:r>
        <w:rPr>
          <w:rFonts w:hint="eastAsia" w:ascii="宋体" w:hAnsi="宋体" w:cs="仿宋_GB2312"/>
          <w:color w:val="auto"/>
          <w:sz w:val="24"/>
        </w:rPr>
        <w:t>采购项目名称：</w:t>
      </w:r>
    </w:p>
    <w:p w14:paraId="2D1E8E0C">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分标号：</w:t>
      </w:r>
    </w:p>
    <w:tbl>
      <w:tblPr>
        <w:tblStyle w:val="25"/>
        <w:tblW w:w="96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8"/>
        <w:gridCol w:w="968"/>
        <w:gridCol w:w="3212"/>
        <w:gridCol w:w="2891"/>
        <w:gridCol w:w="1577"/>
      </w:tblGrid>
      <w:tr w14:paraId="2B13F0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083C30F6">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85" w:name="_Toc295404981"/>
            <w:bookmarkStart w:id="86" w:name="_Toc254970588"/>
            <w:bookmarkStart w:id="87" w:name="_Toc173211900"/>
            <w:bookmarkStart w:id="88" w:name="_Toc297193185"/>
            <w:bookmarkStart w:id="89" w:name="_Toc254970729"/>
            <w:bookmarkStart w:id="90" w:name="_Toc173066401"/>
            <w:bookmarkStart w:id="91" w:name="_Toc373333689"/>
            <w:bookmarkStart w:id="92" w:name="_Toc301781611"/>
            <w:bookmarkStart w:id="93" w:name="_Toc383699906"/>
            <w:r>
              <w:rPr>
                <w:rFonts w:hint="eastAsia" w:ascii="宋体" w:hAnsi="宋体" w:eastAsia="宋体" w:cs="仿宋_GB2312"/>
                <w:color w:val="auto"/>
                <w:kern w:val="2"/>
                <w:sz w:val="24"/>
                <w:szCs w:val="24"/>
              </w:rPr>
              <w:t>序号</w:t>
            </w:r>
            <w:bookmarkEnd w:id="85"/>
            <w:bookmarkEnd w:id="86"/>
            <w:bookmarkEnd w:id="87"/>
            <w:bookmarkEnd w:id="88"/>
            <w:bookmarkEnd w:id="89"/>
            <w:bookmarkEnd w:id="90"/>
            <w:bookmarkEnd w:id="91"/>
            <w:bookmarkEnd w:id="92"/>
            <w:bookmarkEnd w:id="93"/>
          </w:p>
        </w:tc>
        <w:tc>
          <w:tcPr>
            <w:tcW w:w="968" w:type="dxa"/>
            <w:tcBorders>
              <w:right w:val="single" w:color="auto" w:sz="4" w:space="0"/>
            </w:tcBorders>
            <w:noWrap/>
            <w:vAlign w:val="center"/>
          </w:tcPr>
          <w:p w14:paraId="082F159A">
            <w:pPr>
              <w:pStyle w:val="14"/>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3212" w:type="dxa"/>
            <w:tcBorders>
              <w:left w:val="single" w:color="auto" w:sz="4" w:space="0"/>
            </w:tcBorders>
            <w:noWrap/>
            <w:vAlign w:val="center"/>
          </w:tcPr>
          <w:p w14:paraId="115C6C52">
            <w:pPr>
              <w:pStyle w:val="14"/>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磋商文件技术要求</w:t>
            </w:r>
          </w:p>
        </w:tc>
        <w:tc>
          <w:tcPr>
            <w:tcW w:w="2891" w:type="dxa"/>
            <w:noWrap/>
            <w:vAlign w:val="center"/>
          </w:tcPr>
          <w:p w14:paraId="21B4422F">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94" w:name="_Toc254970731"/>
            <w:bookmarkStart w:id="95" w:name="_Toc295404983"/>
            <w:bookmarkStart w:id="96" w:name="_Toc297193187"/>
            <w:bookmarkStart w:id="97" w:name="_Toc383699908"/>
            <w:bookmarkStart w:id="98" w:name="_Toc373333691"/>
            <w:bookmarkStart w:id="99" w:name="_Toc173211902"/>
            <w:bookmarkStart w:id="100" w:name="_Toc254970590"/>
            <w:bookmarkStart w:id="101" w:name="_Toc173066403"/>
            <w:bookmarkStart w:id="102" w:name="_Toc301781613"/>
            <w:r>
              <w:rPr>
                <w:rFonts w:hint="eastAsia" w:ascii="宋体" w:hAnsi="宋体" w:eastAsia="宋体" w:cs="仿宋_GB2312"/>
                <w:color w:val="auto"/>
                <w:kern w:val="2"/>
                <w:sz w:val="24"/>
                <w:szCs w:val="24"/>
              </w:rPr>
              <w:t>竞标响应</w:t>
            </w:r>
            <w:bookmarkEnd w:id="94"/>
            <w:bookmarkEnd w:id="95"/>
            <w:bookmarkEnd w:id="96"/>
            <w:bookmarkEnd w:id="97"/>
            <w:bookmarkEnd w:id="98"/>
            <w:bookmarkEnd w:id="99"/>
            <w:bookmarkEnd w:id="100"/>
            <w:bookmarkEnd w:id="101"/>
            <w:bookmarkEnd w:id="102"/>
          </w:p>
        </w:tc>
        <w:tc>
          <w:tcPr>
            <w:tcW w:w="1577" w:type="dxa"/>
            <w:noWrap/>
            <w:vAlign w:val="center"/>
          </w:tcPr>
          <w:p w14:paraId="1B5BC7FD">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103" w:name="_Toc254970591"/>
            <w:bookmarkStart w:id="104" w:name="_Toc173066404"/>
            <w:bookmarkStart w:id="105" w:name="_Toc295404984"/>
            <w:bookmarkStart w:id="106" w:name="_Toc254970732"/>
            <w:bookmarkStart w:id="107" w:name="_Toc173211903"/>
            <w:bookmarkStart w:id="108" w:name="_Toc297193188"/>
            <w:bookmarkStart w:id="109" w:name="_Toc373333692"/>
            <w:bookmarkStart w:id="110" w:name="_Toc383699909"/>
            <w:bookmarkStart w:id="111" w:name="_Toc301781614"/>
            <w:r>
              <w:rPr>
                <w:rFonts w:hint="eastAsia" w:ascii="宋体" w:hAnsi="宋体" w:eastAsia="宋体" w:cs="仿宋_GB2312"/>
                <w:color w:val="auto"/>
                <w:kern w:val="2"/>
                <w:sz w:val="24"/>
                <w:szCs w:val="24"/>
              </w:rPr>
              <w:t>偏离</w:t>
            </w:r>
            <w:bookmarkEnd w:id="103"/>
            <w:bookmarkEnd w:id="104"/>
            <w:bookmarkEnd w:id="105"/>
            <w:bookmarkEnd w:id="106"/>
            <w:bookmarkEnd w:id="107"/>
            <w:bookmarkEnd w:id="108"/>
            <w:bookmarkEnd w:id="109"/>
            <w:bookmarkEnd w:id="110"/>
            <w:bookmarkEnd w:id="111"/>
            <w:bookmarkStart w:id="112" w:name="_Toc173066405"/>
            <w:bookmarkStart w:id="113" w:name="_Toc301781615"/>
            <w:bookmarkStart w:id="114" w:name="_Toc373333693"/>
            <w:bookmarkStart w:id="115" w:name="_Toc297193189"/>
            <w:bookmarkStart w:id="116" w:name="_Toc254970592"/>
            <w:bookmarkStart w:id="117" w:name="_Toc254970733"/>
            <w:bookmarkStart w:id="118" w:name="_Toc383699910"/>
            <w:bookmarkStart w:id="119" w:name="_Toc173211904"/>
            <w:bookmarkStart w:id="120" w:name="_Toc295404985"/>
            <w:r>
              <w:rPr>
                <w:rFonts w:hint="eastAsia" w:ascii="宋体" w:hAnsi="宋体" w:eastAsia="宋体" w:cs="仿宋_GB2312"/>
                <w:color w:val="auto"/>
                <w:kern w:val="2"/>
                <w:sz w:val="24"/>
                <w:szCs w:val="24"/>
              </w:rPr>
              <w:t>说明</w:t>
            </w:r>
            <w:bookmarkEnd w:id="112"/>
            <w:bookmarkEnd w:id="113"/>
            <w:bookmarkEnd w:id="114"/>
            <w:bookmarkEnd w:id="115"/>
            <w:bookmarkEnd w:id="116"/>
            <w:bookmarkEnd w:id="117"/>
            <w:bookmarkEnd w:id="118"/>
            <w:bookmarkEnd w:id="119"/>
            <w:bookmarkEnd w:id="120"/>
          </w:p>
        </w:tc>
      </w:tr>
      <w:tr w14:paraId="2886FA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36F4C20F">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121" w:name="_Toc254970734"/>
            <w:bookmarkStart w:id="122" w:name="_Toc373333694"/>
            <w:bookmarkStart w:id="123" w:name="_Toc383699911"/>
            <w:bookmarkStart w:id="124" w:name="_Toc301781616"/>
            <w:bookmarkStart w:id="125" w:name="_Toc173211905"/>
            <w:bookmarkStart w:id="126" w:name="_Toc254970593"/>
            <w:bookmarkStart w:id="127" w:name="_Toc297193190"/>
            <w:bookmarkStart w:id="128" w:name="_Toc173066406"/>
            <w:bookmarkStart w:id="129" w:name="_Toc295404986"/>
            <w:r>
              <w:rPr>
                <w:rFonts w:hint="eastAsia" w:ascii="宋体" w:hAnsi="宋体" w:eastAsia="宋体" w:cs="仿宋_GB2312"/>
                <w:color w:val="auto"/>
                <w:kern w:val="2"/>
                <w:sz w:val="24"/>
                <w:szCs w:val="24"/>
              </w:rPr>
              <w:t>1</w:t>
            </w:r>
            <w:bookmarkEnd w:id="121"/>
            <w:bookmarkEnd w:id="122"/>
            <w:bookmarkEnd w:id="123"/>
            <w:bookmarkEnd w:id="124"/>
            <w:bookmarkEnd w:id="125"/>
            <w:bookmarkEnd w:id="126"/>
            <w:bookmarkEnd w:id="127"/>
            <w:bookmarkEnd w:id="128"/>
            <w:bookmarkEnd w:id="129"/>
          </w:p>
        </w:tc>
        <w:tc>
          <w:tcPr>
            <w:tcW w:w="968" w:type="dxa"/>
            <w:tcBorders>
              <w:right w:val="single" w:color="auto" w:sz="4" w:space="0"/>
            </w:tcBorders>
            <w:noWrap/>
            <w:vAlign w:val="center"/>
          </w:tcPr>
          <w:p w14:paraId="66C5881F">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3212" w:type="dxa"/>
            <w:tcBorders>
              <w:left w:val="single" w:color="auto" w:sz="4" w:space="0"/>
            </w:tcBorders>
            <w:noWrap/>
            <w:vAlign w:val="center"/>
          </w:tcPr>
          <w:p w14:paraId="430402D3">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2891" w:type="dxa"/>
            <w:noWrap/>
            <w:vAlign w:val="center"/>
          </w:tcPr>
          <w:p w14:paraId="0BED3245">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1577" w:type="dxa"/>
            <w:noWrap/>
            <w:vAlign w:val="center"/>
          </w:tcPr>
          <w:p w14:paraId="25AE3DD6">
            <w:pPr>
              <w:pStyle w:val="14"/>
              <w:spacing w:line="360" w:lineRule="auto"/>
              <w:ind w:firstLine="0" w:firstLineChars="0"/>
              <w:contextualSpacing/>
              <w:jc w:val="center"/>
              <w:rPr>
                <w:rFonts w:hint="eastAsia" w:ascii="宋体" w:hAnsi="宋体" w:eastAsia="宋体" w:cs="仿宋_GB2312"/>
                <w:color w:val="auto"/>
                <w:kern w:val="2"/>
                <w:sz w:val="24"/>
                <w:szCs w:val="24"/>
              </w:rPr>
            </w:pPr>
          </w:p>
        </w:tc>
      </w:tr>
      <w:tr w14:paraId="178924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5D36B774">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130" w:name="_Toc254970735"/>
            <w:bookmarkStart w:id="131" w:name="_Toc173211906"/>
            <w:bookmarkStart w:id="132" w:name="_Toc295404987"/>
            <w:bookmarkStart w:id="133" w:name="_Toc173066407"/>
            <w:bookmarkStart w:id="134" w:name="_Toc383699912"/>
            <w:bookmarkStart w:id="135" w:name="_Toc373333695"/>
            <w:bookmarkStart w:id="136" w:name="_Toc297193191"/>
            <w:bookmarkStart w:id="137" w:name="_Toc254970594"/>
            <w:bookmarkStart w:id="138" w:name="_Toc301781617"/>
            <w:r>
              <w:rPr>
                <w:rFonts w:hint="eastAsia" w:ascii="宋体" w:hAnsi="宋体" w:eastAsia="宋体" w:cs="仿宋_GB2312"/>
                <w:color w:val="auto"/>
                <w:kern w:val="2"/>
                <w:sz w:val="24"/>
                <w:szCs w:val="24"/>
              </w:rPr>
              <w:t>2</w:t>
            </w:r>
            <w:bookmarkEnd w:id="130"/>
            <w:bookmarkEnd w:id="131"/>
            <w:bookmarkEnd w:id="132"/>
            <w:bookmarkEnd w:id="133"/>
            <w:bookmarkEnd w:id="134"/>
            <w:bookmarkEnd w:id="135"/>
            <w:bookmarkEnd w:id="136"/>
            <w:bookmarkEnd w:id="137"/>
            <w:bookmarkEnd w:id="138"/>
          </w:p>
        </w:tc>
        <w:tc>
          <w:tcPr>
            <w:tcW w:w="968" w:type="dxa"/>
            <w:tcBorders>
              <w:right w:val="single" w:color="auto" w:sz="4" w:space="0"/>
            </w:tcBorders>
            <w:noWrap/>
            <w:vAlign w:val="center"/>
          </w:tcPr>
          <w:p w14:paraId="1728B376">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3212" w:type="dxa"/>
            <w:tcBorders>
              <w:left w:val="single" w:color="auto" w:sz="4" w:space="0"/>
            </w:tcBorders>
            <w:noWrap/>
            <w:vAlign w:val="center"/>
          </w:tcPr>
          <w:p w14:paraId="0F7972F0">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2891" w:type="dxa"/>
            <w:noWrap/>
            <w:vAlign w:val="center"/>
          </w:tcPr>
          <w:p w14:paraId="413B1616">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1577" w:type="dxa"/>
            <w:noWrap/>
            <w:vAlign w:val="center"/>
          </w:tcPr>
          <w:p w14:paraId="12CB2CFA">
            <w:pPr>
              <w:pStyle w:val="14"/>
              <w:spacing w:line="360" w:lineRule="auto"/>
              <w:ind w:firstLine="0" w:firstLineChars="0"/>
              <w:contextualSpacing/>
              <w:jc w:val="center"/>
              <w:rPr>
                <w:rFonts w:hint="eastAsia" w:ascii="宋体" w:hAnsi="宋体" w:eastAsia="宋体" w:cs="仿宋_GB2312"/>
                <w:color w:val="auto"/>
                <w:kern w:val="2"/>
                <w:sz w:val="24"/>
                <w:szCs w:val="24"/>
              </w:rPr>
            </w:pPr>
          </w:p>
        </w:tc>
      </w:tr>
      <w:tr w14:paraId="20123D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034166C7">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139" w:name="_Toc373333696"/>
            <w:bookmarkStart w:id="140" w:name="_Toc295404988"/>
            <w:bookmarkStart w:id="141" w:name="_Toc297193192"/>
            <w:bookmarkStart w:id="142" w:name="_Toc173066408"/>
            <w:bookmarkStart w:id="143" w:name="_Toc254970736"/>
            <w:bookmarkStart w:id="144" w:name="_Toc301781618"/>
            <w:bookmarkStart w:id="145" w:name="_Toc383699913"/>
            <w:bookmarkStart w:id="146" w:name="_Toc173211907"/>
            <w:bookmarkStart w:id="147" w:name="_Toc254970595"/>
            <w:r>
              <w:rPr>
                <w:rFonts w:hint="eastAsia" w:ascii="宋体" w:hAnsi="宋体" w:eastAsia="宋体" w:cs="仿宋_GB2312"/>
                <w:color w:val="auto"/>
                <w:kern w:val="2"/>
                <w:sz w:val="24"/>
                <w:szCs w:val="24"/>
              </w:rPr>
              <w:t>3</w:t>
            </w:r>
            <w:bookmarkEnd w:id="139"/>
            <w:bookmarkEnd w:id="140"/>
            <w:bookmarkEnd w:id="141"/>
            <w:bookmarkEnd w:id="142"/>
            <w:bookmarkEnd w:id="143"/>
            <w:bookmarkEnd w:id="144"/>
            <w:bookmarkEnd w:id="145"/>
            <w:bookmarkEnd w:id="146"/>
            <w:bookmarkEnd w:id="147"/>
          </w:p>
        </w:tc>
        <w:tc>
          <w:tcPr>
            <w:tcW w:w="968" w:type="dxa"/>
            <w:tcBorders>
              <w:right w:val="single" w:color="auto" w:sz="4" w:space="0"/>
            </w:tcBorders>
            <w:noWrap/>
            <w:vAlign w:val="center"/>
          </w:tcPr>
          <w:p w14:paraId="7F108F7F">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3212" w:type="dxa"/>
            <w:tcBorders>
              <w:left w:val="single" w:color="auto" w:sz="4" w:space="0"/>
            </w:tcBorders>
            <w:noWrap/>
            <w:vAlign w:val="center"/>
          </w:tcPr>
          <w:p w14:paraId="395DE59D">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2891" w:type="dxa"/>
            <w:noWrap/>
            <w:vAlign w:val="center"/>
          </w:tcPr>
          <w:p w14:paraId="623E86C8">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1577" w:type="dxa"/>
            <w:noWrap/>
            <w:vAlign w:val="center"/>
          </w:tcPr>
          <w:p w14:paraId="13C5A331">
            <w:pPr>
              <w:pStyle w:val="14"/>
              <w:spacing w:line="360" w:lineRule="auto"/>
              <w:ind w:firstLine="0" w:firstLineChars="0"/>
              <w:contextualSpacing/>
              <w:jc w:val="center"/>
              <w:rPr>
                <w:rFonts w:hint="eastAsia" w:ascii="宋体" w:hAnsi="宋体" w:eastAsia="宋体" w:cs="仿宋_GB2312"/>
                <w:color w:val="auto"/>
                <w:kern w:val="2"/>
                <w:sz w:val="24"/>
                <w:szCs w:val="24"/>
              </w:rPr>
            </w:pPr>
          </w:p>
        </w:tc>
      </w:tr>
      <w:tr w14:paraId="46F6B8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76DEB6F6">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148" w:name="_Toc373333697"/>
            <w:bookmarkStart w:id="149" w:name="_Toc254970596"/>
            <w:bookmarkStart w:id="150" w:name="_Toc173211908"/>
            <w:bookmarkStart w:id="151" w:name="_Toc295404989"/>
            <w:bookmarkStart w:id="152" w:name="_Toc297193193"/>
            <w:bookmarkStart w:id="153" w:name="_Toc383699914"/>
            <w:bookmarkStart w:id="154" w:name="_Toc173066409"/>
            <w:bookmarkStart w:id="155" w:name="_Toc301781619"/>
            <w:bookmarkStart w:id="156" w:name="_Toc254970737"/>
            <w:r>
              <w:rPr>
                <w:rFonts w:hint="eastAsia" w:ascii="宋体" w:hAnsi="宋体" w:eastAsia="宋体" w:cs="仿宋_GB2312"/>
                <w:color w:val="auto"/>
                <w:kern w:val="2"/>
                <w:sz w:val="24"/>
                <w:szCs w:val="24"/>
              </w:rPr>
              <w:t>4</w:t>
            </w:r>
            <w:bookmarkEnd w:id="148"/>
            <w:bookmarkEnd w:id="149"/>
            <w:bookmarkEnd w:id="150"/>
            <w:bookmarkEnd w:id="151"/>
            <w:bookmarkEnd w:id="152"/>
            <w:bookmarkEnd w:id="153"/>
            <w:bookmarkEnd w:id="154"/>
            <w:bookmarkEnd w:id="155"/>
            <w:bookmarkEnd w:id="156"/>
          </w:p>
        </w:tc>
        <w:tc>
          <w:tcPr>
            <w:tcW w:w="968" w:type="dxa"/>
            <w:tcBorders>
              <w:right w:val="single" w:color="auto" w:sz="4" w:space="0"/>
            </w:tcBorders>
            <w:noWrap/>
            <w:vAlign w:val="center"/>
          </w:tcPr>
          <w:p w14:paraId="591E03F6">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3212" w:type="dxa"/>
            <w:tcBorders>
              <w:left w:val="single" w:color="auto" w:sz="4" w:space="0"/>
            </w:tcBorders>
            <w:noWrap/>
            <w:vAlign w:val="center"/>
          </w:tcPr>
          <w:p w14:paraId="6F8AD34C">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2891" w:type="dxa"/>
            <w:noWrap/>
            <w:vAlign w:val="center"/>
          </w:tcPr>
          <w:p w14:paraId="3BD91022">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1577" w:type="dxa"/>
            <w:noWrap/>
            <w:vAlign w:val="center"/>
          </w:tcPr>
          <w:p w14:paraId="114CB635">
            <w:pPr>
              <w:pStyle w:val="14"/>
              <w:spacing w:line="360" w:lineRule="auto"/>
              <w:ind w:firstLine="0" w:firstLineChars="0"/>
              <w:contextualSpacing/>
              <w:jc w:val="center"/>
              <w:rPr>
                <w:rFonts w:hint="eastAsia" w:ascii="宋体" w:hAnsi="宋体" w:eastAsia="宋体" w:cs="仿宋_GB2312"/>
                <w:color w:val="auto"/>
                <w:kern w:val="2"/>
                <w:sz w:val="24"/>
                <w:szCs w:val="24"/>
              </w:rPr>
            </w:pPr>
          </w:p>
        </w:tc>
      </w:tr>
      <w:tr w14:paraId="3B5103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020403D8">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157" w:name="_Toc383699915"/>
            <w:bookmarkStart w:id="158" w:name="_Toc295404990"/>
            <w:bookmarkStart w:id="159" w:name="_Toc254970597"/>
            <w:bookmarkStart w:id="160" w:name="_Toc297193194"/>
            <w:bookmarkStart w:id="161" w:name="_Toc301781620"/>
            <w:bookmarkStart w:id="162" w:name="_Toc173066410"/>
            <w:bookmarkStart w:id="163" w:name="_Toc254970738"/>
            <w:bookmarkStart w:id="164" w:name="_Toc373333698"/>
            <w:bookmarkStart w:id="165" w:name="_Toc173211909"/>
            <w:r>
              <w:rPr>
                <w:rFonts w:hint="eastAsia" w:ascii="宋体" w:hAnsi="宋体" w:eastAsia="宋体" w:cs="仿宋_GB2312"/>
                <w:color w:val="auto"/>
                <w:kern w:val="2"/>
                <w:sz w:val="24"/>
                <w:szCs w:val="24"/>
              </w:rPr>
              <w:t>5</w:t>
            </w:r>
            <w:bookmarkEnd w:id="157"/>
            <w:bookmarkEnd w:id="158"/>
            <w:bookmarkEnd w:id="159"/>
            <w:bookmarkEnd w:id="160"/>
            <w:bookmarkEnd w:id="161"/>
            <w:bookmarkEnd w:id="162"/>
            <w:bookmarkEnd w:id="163"/>
            <w:bookmarkEnd w:id="164"/>
            <w:bookmarkEnd w:id="165"/>
          </w:p>
        </w:tc>
        <w:tc>
          <w:tcPr>
            <w:tcW w:w="968" w:type="dxa"/>
            <w:tcBorders>
              <w:right w:val="single" w:color="auto" w:sz="4" w:space="0"/>
            </w:tcBorders>
            <w:noWrap/>
            <w:vAlign w:val="center"/>
          </w:tcPr>
          <w:p w14:paraId="6F142E1D">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3212" w:type="dxa"/>
            <w:tcBorders>
              <w:left w:val="single" w:color="auto" w:sz="4" w:space="0"/>
            </w:tcBorders>
            <w:noWrap/>
            <w:vAlign w:val="center"/>
          </w:tcPr>
          <w:p w14:paraId="7439F4A9">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2891" w:type="dxa"/>
            <w:noWrap/>
            <w:vAlign w:val="center"/>
          </w:tcPr>
          <w:p w14:paraId="6E6BFE56">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1577" w:type="dxa"/>
            <w:noWrap/>
            <w:vAlign w:val="center"/>
          </w:tcPr>
          <w:p w14:paraId="40092EB1">
            <w:pPr>
              <w:pStyle w:val="14"/>
              <w:spacing w:line="360" w:lineRule="auto"/>
              <w:ind w:firstLine="0" w:firstLineChars="0"/>
              <w:contextualSpacing/>
              <w:jc w:val="center"/>
              <w:rPr>
                <w:rFonts w:hint="eastAsia" w:ascii="宋体" w:hAnsi="宋体" w:eastAsia="宋体" w:cs="仿宋_GB2312"/>
                <w:color w:val="auto"/>
                <w:kern w:val="2"/>
                <w:sz w:val="24"/>
                <w:szCs w:val="24"/>
              </w:rPr>
            </w:pPr>
          </w:p>
        </w:tc>
      </w:tr>
      <w:tr w14:paraId="6AD8E1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68" w:type="dxa"/>
            <w:noWrap/>
            <w:vAlign w:val="center"/>
          </w:tcPr>
          <w:p w14:paraId="2DF1159A">
            <w:pPr>
              <w:pStyle w:val="14"/>
              <w:spacing w:line="360" w:lineRule="auto"/>
              <w:ind w:firstLine="0" w:firstLineChars="0"/>
              <w:contextualSpacing/>
              <w:jc w:val="center"/>
              <w:rPr>
                <w:rFonts w:hint="eastAsia" w:ascii="宋体" w:hAnsi="宋体" w:eastAsia="宋体" w:cs="仿宋_GB2312"/>
                <w:color w:val="auto"/>
                <w:kern w:val="2"/>
                <w:sz w:val="24"/>
                <w:szCs w:val="24"/>
              </w:rPr>
            </w:pPr>
            <w:bookmarkStart w:id="166" w:name="_Toc373333699"/>
            <w:bookmarkStart w:id="167" w:name="_Toc254970743"/>
            <w:bookmarkStart w:id="168" w:name="_Toc295404991"/>
            <w:bookmarkStart w:id="169" w:name="_Toc301781621"/>
            <w:bookmarkStart w:id="170" w:name="_Toc254970602"/>
            <w:bookmarkStart w:id="171" w:name="_Toc297193195"/>
            <w:bookmarkStart w:id="172" w:name="_Toc173066415"/>
            <w:bookmarkStart w:id="173" w:name="_Toc383699916"/>
            <w:bookmarkStart w:id="174" w:name="_Toc173211914"/>
            <w:r>
              <w:rPr>
                <w:rFonts w:hint="eastAsia" w:ascii="宋体" w:hAnsi="宋体" w:eastAsia="宋体" w:cs="仿宋_GB2312"/>
                <w:color w:val="auto"/>
                <w:kern w:val="2"/>
                <w:sz w:val="24"/>
                <w:szCs w:val="24"/>
              </w:rPr>
              <w:t>…</w:t>
            </w:r>
            <w:bookmarkEnd w:id="166"/>
            <w:bookmarkEnd w:id="167"/>
            <w:bookmarkEnd w:id="168"/>
            <w:bookmarkEnd w:id="169"/>
            <w:bookmarkEnd w:id="170"/>
            <w:bookmarkEnd w:id="171"/>
            <w:bookmarkEnd w:id="172"/>
            <w:bookmarkEnd w:id="173"/>
            <w:bookmarkEnd w:id="174"/>
          </w:p>
        </w:tc>
        <w:tc>
          <w:tcPr>
            <w:tcW w:w="968" w:type="dxa"/>
            <w:tcBorders>
              <w:right w:val="single" w:color="auto" w:sz="4" w:space="0"/>
            </w:tcBorders>
            <w:noWrap/>
            <w:vAlign w:val="center"/>
          </w:tcPr>
          <w:p w14:paraId="14D672EA">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3212" w:type="dxa"/>
            <w:tcBorders>
              <w:left w:val="single" w:color="auto" w:sz="4" w:space="0"/>
            </w:tcBorders>
            <w:noWrap/>
            <w:vAlign w:val="center"/>
          </w:tcPr>
          <w:p w14:paraId="020336CE">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2891" w:type="dxa"/>
            <w:noWrap/>
            <w:vAlign w:val="center"/>
          </w:tcPr>
          <w:p w14:paraId="505A2E5D">
            <w:pPr>
              <w:pStyle w:val="14"/>
              <w:spacing w:line="360" w:lineRule="auto"/>
              <w:ind w:firstLine="0" w:firstLineChars="0"/>
              <w:contextualSpacing/>
              <w:jc w:val="center"/>
              <w:rPr>
                <w:rFonts w:hint="eastAsia" w:ascii="宋体" w:hAnsi="宋体" w:eastAsia="宋体" w:cs="仿宋_GB2312"/>
                <w:color w:val="auto"/>
                <w:kern w:val="2"/>
                <w:sz w:val="24"/>
                <w:szCs w:val="24"/>
              </w:rPr>
            </w:pPr>
          </w:p>
        </w:tc>
        <w:tc>
          <w:tcPr>
            <w:tcW w:w="1577" w:type="dxa"/>
            <w:tcBorders>
              <w:right w:val="single" w:color="auto" w:sz="4" w:space="0"/>
            </w:tcBorders>
            <w:noWrap/>
            <w:vAlign w:val="center"/>
          </w:tcPr>
          <w:p w14:paraId="2EB1821A">
            <w:pPr>
              <w:pStyle w:val="14"/>
              <w:spacing w:line="360" w:lineRule="auto"/>
              <w:ind w:firstLine="0" w:firstLineChars="0"/>
              <w:contextualSpacing/>
              <w:jc w:val="center"/>
              <w:rPr>
                <w:rFonts w:hint="eastAsia" w:ascii="宋体" w:hAnsi="宋体" w:eastAsia="宋体" w:cs="仿宋_GB2312"/>
                <w:color w:val="auto"/>
                <w:kern w:val="2"/>
                <w:sz w:val="24"/>
                <w:szCs w:val="24"/>
              </w:rPr>
            </w:pPr>
          </w:p>
        </w:tc>
      </w:tr>
    </w:tbl>
    <w:p w14:paraId="1D510031">
      <w:pPr>
        <w:adjustRightInd w:val="0"/>
        <w:spacing w:line="360" w:lineRule="auto"/>
        <w:contextualSpacing/>
        <w:rPr>
          <w:rFonts w:hint="eastAsia" w:ascii="宋体" w:hAnsi="宋体" w:cs="仿宋_GB2312"/>
          <w:color w:val="auto"/>
          <w:sz w:val="24"/>
        </w:rPr>
      </w:pPr>
    </w:p>
    <w:p w14:paraId="47810CED">
      <w:pPr>
        <w:pStyle w:val="14"/>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注：</w:t>
      </w:r>
    </w:p>
    <w:p w14:paraId="3CD9B19F">
      <w:pPr>
        <w:pStyle w:val="14"/>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1. 说明：应对照磋商文件“第三章 采购需求”中的技术要求逐条作出明确响应，并作出偏离说明。</w:t>
      </w:r>
    </w:p>
    <w:p w14:paraId="067FEC38">
      <w:pPr>
        <w:pStyle w:val="14"/>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p>
    <w:p w14:paraId="7495D072">
      <w:pPr>
        <w:spacing w:line="360" w:lineRule="auto"/>
        <w:ind w:right="-817" w:rightChars="-389"/>
        <w:contextualSpacing/>
        <w:rPr>
          <w:rFonts w:hint="eastAsia" w:ascii="宋体" w:hAnsi="宋体" w:cs="仿宋_GB2312"/>
          <w:color w:val="auto"/>
          <w:sz w:val="24"/>
        </w:rPr>
      </w:pPr>
    </w:p>
    <w:p w14:paraId="326A96C8">
      <w:pPr>
        <w:snapToGrid w:val="0"/>
        <w:spacing w:line="360" w:lineRule="auto"/>
        <w:ind w:left="-2" w:leftChars="-1" w:right="-817" w:rightChars="-389" w:firstLine="3600" w:firstLineChars="1500"/>
        <w:rPr>
          <w:rFonts w:hint="eastAsia" w:ascii="宋体" w:hAnsi="宋体"/>
          <w:color w:val="auto"/>
          <w:sz w:val="24"/>
          <w:u w:val="single"/>
        </w:rPr>
      </w:pPr>
      <w:r>
        <w:rPr>
          <w:rFonts w:hint="eastAsia" w:ascii="宋体" w:hAnsi="宋体"/>
          <w:color w:val="auto"/>
          <w:sz w:val="24"/>
        </w:rPr>
        <w:t>法定代表人或者委托代理人签字：</w:t>
      </w:r>
      <w:r>
        <w:rPr>
          <w:rFonts w:hint="eastAsia" w:ascii="宋体" w:hAnsi="宋体"/>
          <w:color w:val="auto"/>
          <w:sz w:val="24"/>
          <w:u w:val="single"/>
        </w:rPr>
        <w:t xml:space="preserve">                </w:t>
      </w:r>
    </w:p>
    <w:p w14:paraId="3E2749C1">
      <w:pPr>
        <w:snapToGrid w:val="0"/>
        <w:spacing w:line="360" w:lineRule="auto"/>
        <w:ind w:left="-3" w:leftChars="-15" w:right="-817" w:rightChars="-389" w:hanging="28" w:hangingChars="12"/>
        <w:rPr>
          <w:rFonts w:hint="eastAsia" w:ascii="宋体" w:hAnsi="宋体"/>
          <w:color w:val="auto"/>
          <w:sz w:val="24"/>
          <w:u w:val="single"/>
        </w:rPr>
      </w:pPr>
      <w:r>
        <w:rPr>
          <w:rFonts w:hint="eastAsia" w:ascii="宋体" w:hAnsi="宋体"/>
          <w:color w:val="auto"/>
          <w:sz w:val="24"/>
        </w:rPr>
        <w:t xml:space="preserve">                                     供应商名称（电子签章）：</w:t>
      </w:r>
      <w:r>
        <w:rPr>
          <w:rFonts w:hint="eastAsia" w:ascii="宋体" w:hAnsi="宋体"/>
          <w:color w:val="auto"/>
          <w:sz w:val="24"/>
          <w:u w:val="single"/>
        </w:rPr>
        <w:t xml:space="preserve">            </w:t>
      </w:r>
    </w:p>
    <w:p w14:paraId="04453574">
      <w:pPr>
        <w:snapToGrid w:val="0"/>
        <w:spacing w:line="360" w:lineRule="auto"/>
        <w:ind w:right="480" w:firstLine="240" w:firstLineChars="100"/>
        <w:jc w:val="left"/>
        <w:rPr>
          <w:rFonts w:hint="eastAsia" w:ascii="宋体" w:hAnsi="宋体"/>
          <w:color w:val="auto"/>
          <w:sz w:val="24"/>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p>
    <w:p w14:paraId="6E20496D">
      <w:pPr>
        <w:snapToGrid w:val="0"/>
        <w:spacing w:line="360" w:lineRule="auto"/>
        <w:ind w:right="480" w:firstLine="240" w:firstLineChars="100"/>
        <w:jc w:val="left"/>
        <w:rPr>
          <w:rFonts w:hint="eastAsia" w:ascii="宋体" w:hAnsi="宋体"/>
          <w:color w:val="auto"/>
          <w:sz w:val="24"/>
        </w:rPr>
      </w:pPr>
      <w:r>
        <w:rPr>
          <w:rFonts w:ascii="宋体" w:hAnsi="宋体" w:cs="仿宋_GB2312"/>
          <w:color w:val="auto"/>
          <w:sz w:val="24"/>
        </w:rPr>
        <w:br w:type="page"/>
      </w:r>
    </w:p>
    <w:p w14:paraId="67ADD3D4">
      <w:pPr>
        <w:snapToGrid w:val="0"/>
        <w:spacing w:before="156" w:beforeLines="50" w:after="50"/>
        <w:jc w:val="left"/>
        <w:rPr>
          <w:rFonts w:hint="eastAsia" w:ascii="方正小标宋简体" w:hAnsi="方正小标宋简体" w:eastAsia="方正小标宋简体" w:cs="方正小标宋简体"/>
          <w:bCs/>
          <w:color w:val="auto"/>
          <w:szCs w:val="21"/>
        </w:rPr>
      </w:pPr>
    </w:p>
    <w:p w14:paraId="12A46853">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代理服务费承诺书</w:t>
      </w:r>
    </w:p>
    <w:p w14:paraId="4842F8BE">
      <w:pPr>
        <w:snapToGrid w:val="0"/>
        <w:spacing w:before="156" w:beforeLines="50" w:after="50"/>
        <w:jc w:val="center"/>
        <w:rPr>
          <w:rFonts w:hint="eastAsia" w:ascii="宋体" w:hAnsi="宋体"/>
          <w:b/>
          <w:color w:val="auto"/>
          <w:sz w:val="24"/>
        </w:rPr>
      </w:pPr>
    </w:p>
    <w:p w14:paraId="4C4D5A87">
      <w:pPr>
        <w:spacing w:line="360" w:lineRule="auto"/>
        <w:rPr>
          <w:rFonts w:hint="eastAsia"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采购代理机构名称</w:t>
      </w:r>
      <w:r>
        <w:rPr>
          <w:rFonts w:hint="eastAsia" w:ascii="宋体" w:hAnsi="宋体"/>
          <w:color w:val="auto"/>
          <w:sz w:val="24"/>
        </w:rPr>
        <w:t>：</w:t>
      </w:r>
    </w:p>
    <w:p w14:paraId="4E96CE26">
      <w:pPr>
        <w:spacing w:line="360" w:lineRule="auto"/>
        <w:ind w:firstLine="480" w:firstLineChars="200"/>
        <w:rPr>
          <w:rFonts w:hint="eastAsia"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0A6F713B">
      <w:pPr>
        <w:spacing w:line="440" w:lineRule="exact"/>
        <w:ind w:firstLine="360" w:firstLineChars="150"/>
        <w:rPr>
          <w:rFonts w:hint="eastAsia" w:ascii="宋体" w:hAnsi="宋体"/>
          <w:color w:val="auto"/>
          <w:sz w:val="24"/>
        </w:rPr>
      </w:pPr>
      <w:r>
        <w:rPr>
          <w:rFonts w:hint="eastAsia" w:ascii="宋体" w:hAnsi="宋体"/>
          <w:color w:val="auto"/>
          <w:sz w:val="24"/>
        </w:rPr>
        <w:t>1.我方承诺，若本单位成交，保证在发出成交通知书之后，按本项目竞争性磋商文件的规定标准向贵单位一次性足额支付代理服务费。</w:t>
      </w:r>
    </w:p>
    <w:p w14:paraId="7057ADB6">
      <w:pPr>
        <w:spacing w:line="440" w:lineRule="exact"/>
        <w:ind w:firstLine="360" w:firstLineChars="150"/>
        <w:rPr>
          <w:rFonts w:hint="eastAsia"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6EB011AE">
      <w:pPr>
        <w:spacing w:line="440" w:lineRule="exact"/>
        <w:ind w:firstLine="360" w:firstLineChars="150"/>
        <w:rPr>
          <w:rFonts w:hint="eastAsia" w:ascii="宋体" w:hAnsi="宋体"/>
          <w:color w:val="auto"/>
          <w:sz w:val="24"/>
        </w:rPr>
      </w:pPr>
      <w:r>
        <w:rPr>
          <w:rFonts w:hint="eastAsia" w:ascii="宋体" w:hAnsi="宋体"/>
          <w:color w:val="auto"/>
          <w:sz w:val="24"/>
        </w:rPr>
        <w:t>第一种方式：开具增值税普通发票。开票信息如下：</w:t>
      </w:r>
    </w:p>
    <w:p w14:paraId="73A33612">
      <w:pPr>
        <w:spacing w:line="440" w:lineRule="exact"/>
        <w:ind w:firstLine="360" w:firstLineChars="15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575E461A">
      <w:pPr>
        <w:spacing w:line="440" w:lineRule="exact"/>
        <w:ind w:firstLine="360" w:firstLineChars="15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56B42D22">
      <w:pPr>
        <w:spacing w:line="440" w:lineRule="exact"/>
        <w:ind w:firstLine="360" w:firstLineChars="150"/>
        <w:rPr>
          <w:rFonts w:hint="eastAsia" w:ascii="宋体" w:hAnsi="宋体"/>
          <w:color w:val="auto"/>
          <w:sz w:val="24"/>
        </w:rPr>
      </w:pPr>
      <w:r>
        <w:rPr>
          <w:rFonts w:hint="eastAsia" w:ascii="宋体" w:hAnsi="宋体"/>
          <w:color w:val="auto"/>
          <w:sz w:val="24"/>
        </w:rPr>
        <w:t>第二种方式：开具增值税专用发票，开票信息如下：</w:t>
      </w:r>
    </w:p>
    <w:p w14:paraId="59345B73">
      <w:pPr>
        <w:spacing w:line="440" w:lineRule="exact"/>
        <w:ind w:firstLine="360" w:firstLineChars="15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48A52C69">
      <w:pPr>
        <w:spacing w:line="440" w:lineRule="exact"/>
        <w:ind w:firstLine="360" w:firstLineChars="15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03A585A0">
      <w:pPr>
        <w:spacing w:line="440" w:lineRule="exact"/>
        <w:ind w:firstLine="360" w:firstLineChars="150"/>
        <w:rPr>
          <w:rFonts w:hint="eastAsia" w:ascii="宋体" w:hAnsi="宋体"/>
          <w:color w:val="auto"/>
          <w:sz w:val="24"/>
        </w:rPr>
      </w:pPr>
      <w:r>
        <w:rPr>
          <w:rFonts w:hint="eastAsia" w:ascii="宋体" w:hAnsi="宋体"/>
          <w:color w:val="auto"/>
          <w:sz w:val="24"/>
        </w:rPr>
        <w:t>（3）在税务局登记的地址</w:t>
      </w:r>
      <w:r>
        <w:rPr>
          <w:rFonts w:hint="eastAsia" w:ascii="宋体" w:hAnsi="宋体"/>
          <w:color w:val="auto"/>
          <w:sz w:val="24"/>
          <w:u w:val="single"/>
        </w:rPr>
        <w:t xml:space="preserve">_                   </w:t>
      </w:r>
      <w:r>
        <w:rPr>
          <w:rFonts w:hint="eastAsia" w:ascii="宋体" w:hAnsi="宋体"/>
          <w:color w:val="auto"/>
          <w:sz w:val="24"/>
        </w:rPr>
        <w:t>；</w:t>
      </w:r>
    </w:p>
    <w:p w14:paraId="0003F790">
      <w:pPr>
        <w:spacing w:line="440" w:lineRule="exact"/>
        <w:ind w:firstLine="360" w:firstLineChars="150"/>
        <w:rPr>
          <w:rFonts w:hint="eastAsia" w:ascii="宋体" w:hAnsi="宋体"/>
          <w:color w:val="auto"/>
          <w:sz w:val="24"/>
        </w:rPr>
      </w:pPr>
      <w:r>
        <w:rPr>
          <w:rFonts w:hint="eastAsia" w:ascii="宋体" w:hAnsi="宋体"/>
          <w:color w:val="auto"/>
          <w:sz w:val="24"/>
        </w:rPr>
        <w:t>（4）在税务局登记的电话</w:t>
      </w:r>
      <w:r>
        <w:rPr>
          <w:rFonts w:hint="eastAsia" w:ascii="宋体" w:hAnsi="宋体"/>
          <w:color w:val="auto"/>
          <w:sz w:val="24"/>
          <w:u w:val="single"/>
        </w:rPr>
        <w:t xml:space="preserve">_                   </w:t>
      </w:r>
      <w:r>
        <w:rPr>
          <w:rFonts w:hint="eastAsia" w:ascii="宋体" w:hAnsi="宋体"/>
          <w:color w:val="auto"/>
          <w:sz w:val="24"/>
        </w:rPr>
        <w:t>；</w:t>
      </w:r>
    </w:p>
    <w:p w14:paraId="333CF7C6">
      <w:pPr>
        <w:spacing w:line="440" w:lineRule="exact"/>
        <w:ind w:firstLine="360" w:firstLineChars="150"/>
        <w:rPr>
          <w:rFonts w:hint="eastAsia"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_                           </w:t>
      </w:r>
      <w:r>
        <w:rPr>
          <w:rFonts w:hint="eastAsia" w:ascii="宋体" w:hAnsi="宋体"/>
          <w:color w:val="auto"/>
          <w:sz w:val="24"/>
        </w:rPr>
        <w:t>；</w:t>
      </w:r>
    </w:p>
    <w:p w14:paraId="44FA4411">
      <w:pPr>
        <w:spacing w:line="440" w:lineRule="exact"/>
        <w:ind w:firstLine="360" w:firstLineChars="150"/>
        <w:rPr>
          <w:rFonts w:hint="eastAsia"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_                           </w:t>
      </w:r>
      <w:r>
        <w:rPr>
          <w:rFonts w:hint="eastAsia" w:ascii="宋体" w:hAnsi="宋体"/>
          <w:color w:val="auto"/>
          <w:sz w:val="24"/>
        </w:rPr>
        <w:t>。</w:t>
      </w:r>
    </w:p>
    <w:p w14:paraId="50121F5F">
      <w:pPr>
        <w:spacing w:line="440" w:lineRule="exact"/>
        <w:rPr>
          <w:rFonts w:hint="eastAsia" w:ascii="宋体" w:hAnsi="宋体"/>
          <w:color w:val="auto"/>
          <w:sz w:val="24"/>
        </w:rPr>
      </w:pPr>
    </w:p>
    <w:p w14:paraId="624A63EA">
      <w:pPr>
        <w:spacing w:line="440" w:lineRule="exact"/>
        <w:rPr>
          <w:rFonts w:hint="eastAsia" w:ascii="宋体" w:hAnsi="宋体"/>
          <w:color w:val="auto"/>
          <w:sz w:val="24"/>
        </w:rPr>
      </w:pPr>
    </w:p>
    <w:p w14:paraId="5AE7F122">
      <w:pPr>
        <w:spacing w:line="440" w:lineRule="exact"/>
        <w:rPr>
          <w:rFonts w:hint="eastAsia" w:ascii="宋体" w:hAnsi="宋体"/>
          <w:color w:val="auto"/>
          <w:sz w:val="24"/>
        </w:rPr>
      </w:pPr>
    </w:p>
    <w:p w14:paraId="0F1A7920">
      <w:pPr>
        <w:snapToGrid w:val="0"/>
        <w:spacing w:line="360" w:lineRule="auto"/>
        <w:ind w:left="-2" w:leftChars="-1" w:right="-817" w:rightChars="-389" w:firstLine="3600" w:firstLineChars="1500"/>
        <w:rPr>
          <w:rFonts w:hint="eastAsia" w:ascii="宋体" w:hAnsi="宋体"/>
          <w:color w:val="auto"/>
          <w:sz w:val="24"/>
          <w:u w:val="single"/>
        </w:rPr>
      </w:pPr>
      <w:r>
        <w:rPr>
          <w:rFonts w:hint="eastAsia" w:ascii="宋体" w:hAnsi="宋体"/>
          <w:color w:val="auto"/>
          <w:sz w:val="24"/>
        </w:rPr>
        <w:t>法定代表人或者委托代理人签字：</w:t>
      </w:r>
      <w:r>
        <w:rPr>
          <w:rFonts w:hint="eastAsia" w:ascii="宋体" w:hAnsi="宋体"/>
          <w:color w:val="auto"/>
          <w:sz w:val="24"/>
          <w:u w:val="single"/>
        </w:rPr>
        <w:t xml:space="preserve">                </w:t>
      </w:r>
    </w:p>
    <w:p w14:paraId="05A576F4">
      <w:pPr>
        <w:snapToGrid w:val="0"/>
        <w:spacing w:line="360" w:lineRule="auto"/>
        <w:ind w:left="-3" w:leftChars="-15" w:right="-817" w:rightChars="-389" w:hanging="28" w:hangingChars="12"/>
        <w:rPr>
          <w:rFonts w:hint="eastAsia" w:ascii="宋体" w:hAnsi="宋体"/>
          <w:color w:val="auto"/>
          <w:sz w:val="24"/>
          <w:u w:val="single"/>
        </w:rPr>
      </w:pPr>
      <w:r>
        <w:rPr>
          <w:rFonts w:hint="eastAsia" w:ascii="宋体" w:hAnsi="宋体"/>
          <w:color w:val="auto"/>
          <w:sz w:val="24"/>
        </w:rPr>
        <w:t xml:space="preserve">                                     供应商名称（电子签章）：</w:t>
      </w:r>
      <w:r>
        <w:rPr>
          <w:rFonts w:hint="eastAsia" w:ascii="宋体" w:hAnsi="宋体"/>
          <w:color w:val="auto"/>
          <w:sz w:val="24"/>
          <w:u w:val="single"/>
        </w:rPr>
        <w:t xml:space="preserve">            </w:t>
      </w:r>
    </w:p>
    <w:p w14:paraId="37D11634">
      <w:pPr>
        <w:snapToGrid w:val="0"/>
        <w:spacing w:line="360" w:lineRule="auto"/>
        <w:ind w:right="480" w:firstLine="240" w:firstLineChars="100"/>
        <w:jc w:val="left"/>
        <w:rPr>
          <w:rFonts w:hint="eastAsia" w:ascii="宋体" w:hAnsi="宋体"/>
          <w:color w:val="auto"/>
          <w:sz w:val="24"/>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p>
    <w:p w14:paraId="6B4D9F21">
      <w:pPr>
        <w:rPr>
          <w:rFonts w:hint="eastAsia" w:ascii="宋体" w:hAnsi="宋体"/>
          <w:b/>
          <w:bCs/>
          <w:color w:val="auto"/>
          <w:sz w:val="24"/>
        </w:rPr>
      </w:pPr>
      <w:r>
        <w:rPr>
          <w:rFonts w:hint="eastAsia" w:ascii="宋体" w:hAnsi="宋体"/>
          <w:b/>
          <w:bCs/>
          <w:color w:val="auto"/>
          <w:sz w:val="24"/>
        </w:rPr>
        <w:br w:type="page"/>
      </w:r>
    </w:p>
    <w:p w14:paraId="1BDEB7D1">
      <w:pPr>
        <w:spacing w:line="300" w:lineRule="auto"/>
        <w:rPr>
          <w:rFonts w:hint="eastAsia" w:ascii="宋体" w:hAnsi="宋体"/>
          <w:color w:val="auto"/>
          <w:szCs w:val="21"/>
        </w:rPr>
      </w:pPr>
      <w:r>
        <w:rPr>
          <w:rFonts w:hint="eastAsia" w:ascii="宋体" w:hAnsi="宋体"/>
          <w:b/>
          <w:bCs/>
          <w:color w:val="auto"/>
          <w:sz w:val="24"/>
        </w:rPr>
        <w:t>其他文书、文件格式</w:t>
      </w:r>
    </w:p>
    <w:p w14:paraId="4A3E8619">
      <w:pPr>
        <w:jc w:val="center"/>
        <w:rPr>
          <w:rFonts w:hint="eastAsia" w:ascii="方正小标宋简体" w:hAnsi="方正小标宋简体" w:eastAsia="方正小标宋简体" w:cs="方正小标宋简体"/>
          <w:color w:val="auto"/>
          <w:sz w:val="44"/>
          <w:szCs w:val="44"/>
        </w:rPr>
      </w:pPr>
      <w:bookmarkStart w:id="175" w:name="_Toc71365926"/>
      <w:r>
        <w:rPr>
          <w:rFonts w:hint="eastAsia" w:ascii="方正小标宋简体" w:hAnsi="方正小标宋简体" w:eastAsia="方正小标宋简体" w:cs="方正小标宋简体"/>
          <w:color w:val="auto"/>
          <w:sz w:val="44"/>
          <w:szCs w:val="44"/>
        </w:rPr>
        <w:t>中小企业声明函（服务）</w:t>
      </w:r>
      <w:bookmarkEnd w:id="175"/>
    </w:p>
    <w:p w14:paraId="5BAB3742">
      <w:pPr>
        <w:spacing w:before="2" w:line="500" w:lineRule="exact"/>
        <w:ind w:firstLine="708" w:firstLineChars="294"/>
        <w:rPr>
          <w:rFonts w:hint="eastAsia" w:ascii="宋体" w:hAnsi="宋体" w:cs="宋体"/>
          <w:b/>
          <w:bCs/>
          <w:color w:val="auto"/>
          <w:sz w:val="24"/>
        </w:rPr>
      </w:pPr>
    </w:p>
    <w:p w14:paraId="5273D86F">
      <w:pPr>
        <w:pStyle w:val="13"/>
        <w:spacing w:line="500" w:lineRule="exact"/>
        <w:ind w:right="142" w:firstLine="705" w:firstLineChars="294"/>
        <w:rPr>
          <w:rFonts w:hint="eastAsia"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服务全部由符合政策要求的中小企业承接。相关企业（含联合体中的中小企业、签订分包意向协议的中小企业）的具体情况如下：</w:t>
      </w:r>
    </w:p>
    <w:p w14:paraId="41430506">
      <w:pPr>
        <w:pStyle w:val="13"/>
        <w:spacing w:before="34" w:line="500" w:lineRule="exact"/>
        <w:ind w:right="142" w:firstLine="480" w:firstLineChars="200"/>
        <w:rPr>
          <w:rFonts w:hint="eastAsia" w:ascii="宋体" w:hAnsi="宋体"/>
          <w:color w:val="auto"/>
          <w:sz w:val="24"/>
        </w:rPr>
      </w:pPr>
      <w:r>
        <w:rPr>
          <w:rFonts w:hint="eastAsia" w:ascii="宋体" w:hAnsi="宋体"/>
          <w:color w:val="auto"/>
          <w:sz w:val="24"/>
          <w:u w:val="single"/>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432483D5">
      <w:pPr>
        <w:pStyle w:val="13"/>
        <w:spacing w:before="34" w:line="500" w:lineRule="exact"/>
        <w:ind w:right="142" w:firstLine="480" w:firstLineChars="200"/>
        <w:rPr>
          <w:rFonts w:hint="eastAsia" w:ascii="宋体" w:hAnsi="宋体"/>
          <w:color w:val="auto"/>
          <w:sz w:val="24"/>
        </w:rPr>
      </w:pPr>
      <w:r>
        <w:rPr>
          <w:rFonts w:hint="eastAsia" w:ascii="宋体" w:hAnsi="宋体"/>
          <w:color w:val="auto"/>
          <w:sz w:val="24"/>
          <w:u w:val="single"/>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6AE2553F">
      <w:pPr>
        <w:pStyle w:val="13"/>
        <w:spacing w:before="34" w:line="500" w:lineRule="exact"/>
        <w:ind w:right="142" w:firstLine="480" w:firstLineChars="200"/>
        <w:rPr>
          <w:rFonts w:hint="eastAsia" w:ascii="宋体" w:hAnsi="宋体"/>
          <w:color w:val="auto"/>
          <w:sz w:val="24"/>
        </w:rPr>
      </w:pPr>
      <w:r>
        <w:rPr>
          <w:rFonts w:ascii="宋体" w:hAnsi="宋体"/>
          <w:color w:val="auto"/>
          <w:sz w:val="24"/>
        </w:rPr>
        <w:t xml:space="preserve">…… </w:t>
      </w:r>
    </w:p>
    <w:p w14:paraId="07ED4E0C">
      <w:pPr>
        <w:pStyle w:val="13"/>
        <w:spacing w:before="34" w:line="500" w:lineRule="exact"/>
        <w:ind w:right="142" w:firstLine="705" w:firstLineChars="294"/>
        <w:rPr>
          <w:rFonts w:hint="eastAsia"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35D7D516">
      <w:pPr>
        <w:pStyle w:val="13"/>
        <w:spacing w:before="25" w:line="500" w:lineRule="exact"/>
        <w:ind w:right="142" w:firstLine="705" w:firstLineChars="294"/>
        <w:rPr>
          <w:rFonts w:hint="eastAsia" w:ascii="宋体" w:hAnsi="宋体"/>
          <w:color w:val="auto"/>
          <w:sz w:val="24"/>
        </w:rPr>
      </w:pPr>
      <w:r>
        <w:rPr>
          <w:rFonts w:ascii="宋体" w:hAnsi="宋体"/>
          <w:color w:val="auto"/>
          <w:sz w:val="24"/>
        </w:rPr>
        <w:t>本企业对上述声明内容的真实性负责。如有虚假，将依法承担相应责任。</w:t>
      </w:r>
    </w:p>
    <w:p w14:paraId="341685B5">
      <w:pPr>
        <w:pStyle w:val="13"/>
        <w:spacing w:before="56" w:line="500" w:lineRule="exact"/>
        <w:ind w:right="1808" w:firstLine="705" w:firstLineChars="294"/>
        <w:rPr>
          <w:rFonts w:hint="eastAsia" w:ascii="宋体" w:hAnsi="宋体"/>
          <w:color w:val="auto"/>
          <w:sz w:val="24"/>
        </w:rPr>
      </w:pPr>
    </w:p>
    <w:p w14:paraId="5F144CFD">
      <w:pPr>
        <w:pStyle w:val="13"/>
        <w:spacing w:before="56" w:line="500" w:lineRule="exact"/>
        <w:ind w:right="650" w:firstLine="5625" w:firstLineChars="2344"/>
        <w:rPr>
          <w:rFonts w:hint="eastAsia" w:ascii="宋体" w:hAnsi="宋体"/>
          <w:color w:val="auto"/>
          <w:sz w:val="24"/>
        </w:rPr>
      </w:pPr>
      <w:r>
        <w:rPr>
          <w:rFonts w:hint="eastAsia" w:ascii="宋体" w:hAnsi="宋体"/>
          <w:color w:val="auto"/>
          <w:sz w:val="24"/>
        </w:rPr>
        <w:t>企业名称（电子签章）</w:t>
      </w:r>
      <w:r>
        <w:rPr>
          <w:rFonts w:ascii="宋体" w:hAnsi="宋体"/>
          <w:color w:val="auto"/>
          <w:sz w:val="24"/>
        </w:rPr>
        <w:t xml:space="preserve">： </w:t>
      </w:r>
    </w:p>
    <w:p w14:paraId="28DA76C1">
      <w:pPr>
        <w:pStyle w:val="13"/>
        <w:spacing w:before="56" w:line="500" w:lineRule="exact"/>
        <w:ind w:right="1808" w:firstLine="5625" w:firstLineChars="2344"/>
        <w:rPr>
          <w:rFonts w:hint="eastAsia" w:ascii="宋体" w:hAnsi="宋体"/>
          <w:color w:val="auto"/>
          <w:sz w:val="24"/>
        </w:rPr>
      </w:pPr>
      <w:r>
        <w:rPr>
          <w:rFonts w:ascii="宋体" w:hAnsi="宋体"/>
          <w:color w:val="auto"/>
          <w:sz w:val="24"/>
        </w:rPr>
        <w:t>日 期：</w:t>
      </w:r>
    </w:p>
    <w:p w14:paraId="600A92B8">
      <w:pPr>
        <w:spacing w:line="520" w:lineRule="exact"/>
        <w:jc w:val="left"/>
        <w:rPr>
          <w:rFonts w:hint="eastAsia"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0AB7710">
      <w:pPr>
        <w:spacing w:line="520" w:lineRule="exact"/>
        <w:jc w:val="center"/>
        <w:rPr>
          <w:rFonts w:hint="eastAsia"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1D03489A">
      <w:pPr>
        <w:spacing w:line="360" w:lineRule="auto"/>
        <w:contextualSpacing/>
        <w:rPr>
          <w:rFonts w:hint="eastAsia" w:ascii="仿宋_GB2312" w:hAnsi="仿宋_GB2312" w:eastAsia="仿宋_GB2312" w:cs="仿宋_GB2312"/>
          <w:color w:val="auto"/>
          <w:sz w:val="32"/>
          <w:szCs w:val="32"/>
        </w:rPr>
      </w:pPr>
    </w:p>
    <w:p w14:paraId="220500B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34F9D60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6F94D169">
      <w:pPr>
        <w:spacing w:line="360" w:lineRule="auto"/>
        <w:contextualSpacing/>
        <w:rPr>
          <w:rFonts w:hint="eastAsia" w:ascii="宋体" w:hAnsi="宋体" w:cs="仿宋_GB2312"/>
          <w:color w:val="auto"/>
          <w:sz w:val="24"/>
        </w:rPr>
      </w:pPr>
    </w:p>
    <w:p w14:paraId="3B32A78D">
      <w:pPr>
        <w:spacing w:line="360" w:lineRule="auto"/>
        <w:contextualSpacing/>
        <w:rPr>
          <w:rFonts w:hint="eastAsia" w:ascii="宋体" w:hAnsi="宋体" w:cs="仿宋_GB2312"/>
          <w:color w:val="auto"/>
          <w:sz w:val="24"/>
        </w:rPr>
      </w:pPr>
    </w:p>
    <w:p w14:paraId="2152902F">
      <w:pPr>
        <w:spacing w:line="360" w:lineRule="auto"/>
        <w:contextualSpacing/>
        <w:rPr>
          <w:rFonts w:hint="eastAsia" w:ascii="宋体" w:hAnsi="宋体" w:cs="仿宋_GB2312"/>
          <w:color w:val="auto"/>
          <w:sz w:val="24"/>
        </w:rPr>
      </w:pPr>
    </w:p>
    <w:p w14:paraId="77722B3F">
      <w:pPr>
        <w:spacing w:line="360" w:lineRule="auto"/>
        <w:ind w:firstLine="2400" w:firstLineChars="1000"/>
        <w:contextualSpacing/>
        <w:rPr>
          <w:rFonts w:hint="eastAsia" w:ascii="宋体" w:hAnsi="宋体" w:cs="仿宋_GB2312"/>
          <w:color w:val="auto"/>
          <w:sz w:val="24"/>
        </w:rPr>
      </w:pPr>
      <w:r>
        <w:rPr>
          <w:rFonts w:hint="eastAsia" w:ascii="宋体" w:hAnsi="宋体" w:cs="仿宋_GB2312"/>
          <w:color w:val="auto"/>
          <w:sz w:val="24"/>
        </w:rPr>
        <w:t>单位名称（盖章）：</w:t>
      </w:r>
    </w:p>
    <w:p w14:paraId="71F1F75C">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日  期：</w:t>
      </w:r>
    </w:p>
    <w:p w14:paraId="6AAB7EC7">
      <w:pPr>
        <w:spacing w:line="360" w:lineRule="auto"/>
        <w:contextualSpacing/>
        <w:rPr>
          <w:rFonts w:hint="eastAsia" w:ascii="宋体" w:hAnsi="宋体" w:cs="仿宋_GB2312"/>
          <w:color w:val="auto"/>
          <w:sz w:val="24"/>
        </w:rPr>
      </w:pPr>
    </w:p>
    <w:p w14:paraId="502B89F5">
      <w:pPr>
        <w:spacing w:line="360" w:lineRule="auto"/>
        <w:contextualSpacing/>
        <w:rPr>
          <w:rFonts w:hint="eastAsia" w:ascii="宋体" w:hAnsi="宋体" w:cs="仿宋_GB2312"/>
          <w:color w:val="auto"/>
          <w:sz w:val="24"/>
        </w:rPr>
      </w:pPr>
    </w:p>
    <w:p w14:paraId="31586AE6">
      <w:pPr>
        <w:spacing w:line="360" w:lineRule="auto"/>
        <w:contextualSpacing/>
        <w:rPr>
          <w:rFonts w:hint="eastAsia" w:ascii="宋体" w:hAnsi="宋体" w:cs="仿宋_GB2312"/>
          <w:color w:val="auto"/>
          <w:sz w:val="24"/>
        </w:rPr>
      </w:pPr>
    </w:p>
    <w:p w14:paraId="2809CCCD">
      <w:pPr>
        <w:spacing w:line="360" w:lineRule="auto"/>
        <w:contextualSpacing/>
        <w:rPr>
          <w:rFonts w:hint="eastAsia"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1B02A6BF">
      <w:pPr>
        <w:spacing w:line="360" w:lineRule="auto"/>
        <w:contextualSpacing/>
        <w:rPr>
          <w:rFonts w:hint="eastAsia" w:ascii="宋体" w:hAnsi="宋体" w:cs="仿宋_GB2312"/>
          <w:color w:val="auto"/>
          <w:sz w:val="24"/>
        </w:rPr>
      </w:pPr>
    </w:p>
    <w:p w14:paraId="4FC3B1CC">
      <w:pPr>
        <w:spacing w:line="360" w:lineRule="auto"/>
        <w:jc w:val="center"/>
        <w:rPr>
          <w:rFonts w:hint="eastAsia" w:ascii="宋体" w:hAnsi="宋体" w:cs="仿宋_GB2312"/>
          <w:color w:val="auto"/>
          <w:sz w:val="24"/>
        </w:rPr>
      </w:pPr>
      <w:r>
        <w:rPr>
          <w:rFonts w:ascii="宋体" w:hAnsi="宋体" w:cs="仿宋_GB2312"/>
          <w:color w:val="auto"/>
          <w:sz w:val="24"/>
        </w:rPr>
        <w:br w:type="page"/>
      </w:r>
    </w:p>
    <w:p w14:paraId="2188B2BB">
      <w:pPr>
        <w:spacing w:line="360" w:lineRule="auto"/>
        <w:jc w:val="center"/>
        <w:rPr>
          <w:rFonts w:hint="eastAsia" w:ascii="宋体" w:hAnsi="宋体"/>
          <w:b/>
          <w:bCs/>
          <w:color w:val="auto"/>
          <w:sz w:val="32"/>
          <w:szCs w:val="32"/>
        </w:rPr>
      </w:pPr>
      <w:r>
        <w:rPr>
          <w:rFonts w:hint="eastAsia" w:ascii="方正小标宋简体" w:hAnsi="方正小标宋简体" w:eastAsia="方正小标宋简体" w:cs="方正小标宋简体"/>
          <w:color w:val="auto"/>
          <w:sz w:val="44"/>
          <w:szCs w:val="44"/>
        </w:rPr>
        <w:t>质疑函（格式）</w:t>
      </w:r>
    </w:p>
    <w:p w14:paraId="143D7EB0">
      <w:pPr>
        <w:pStyle w:val="16"/>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一、质疑供应商基本信息：</w:t>
      </w:r>
    </w:p>
    <w:p w14:paraId="1631D5BF">
      <w:pPr>
        <w:pStyle w:val="16"/>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10E1AF85">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D173E75">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FC3F0BC">
      <w:pPr>
        <w:pStyle w:val="16"/>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5AF73B28">
      <w:pPr>
        <w:pStyle w:val="16"/>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9A545B8">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4709C08">
      <w:pPr>
        <w:pStyle w:val="16"/>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5F1E9FDE">
      <w:pPr>
        <w:pStyle w:val="16"/>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34E7F3FF">
      <w:pPr>
        <w:pStyle w:val="16"/>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41884A24">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24910C04">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6B86AD1F">
      <w:pPr>
        <w:pStyle w:val="16"/>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28AC7CE4">
      <w:pPr>
        <w:pStyle w:val="16"/>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7C400FC4">
      <w:pPr>
        <w:pStyle w:val="16"/>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40A9C358">
      <w:pPr>
        <w:pStyle w:val="16"/>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4BB7EB99">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69D6243F">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573972A8">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51F074D7">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10BF45D5">
      <w:pPr>
        <w:pStyle w:val="16"/>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14E6BB2C">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72A742B3">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15B6C451">
      <w:pPr>
        <w:pStyle w:val="16"/>
        <w:spacing w:line="360" w:lineRule="auto"/>
        <w:ind w:left="25" w:leftChars="12" w:firstLine="352" w:firstLineChars="147"/>
        <w:contextualSpacing/>
        <w:rPr>
          <w:rFonts w:hint="eastAsia" w:hAnsi="宋体"/>
          <w:color w:val="auto"/>
          <w:sz w:val="24"/>
          <w:szCs w:val="24"/>
        </w:rPr>
      </w:pPr>
    </w:p>
    <w:p w14:paraId="1F96117F">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5B2A0635">
      <w:pPr>
        <w:pStyle w:val="16"/>
        <w:spacing w:line="360" w:lineRule="auto"/>
        <w:ind w:firstLine="480" w:firstLineChars="200"/>
        <w:contextualSpacing/>
        <w:rPr>
          <w:rFonts w:hint="eastAsia" w:hAnsi="宋体"/>
          <w:b/>
          <w:color w:val="auto"/>
          <w:sz w:val="24"/>
          <w:szCs w:val="24"/>
        </w:rPr>
      </w:pPr>
      <w:r>
        <w:rPr>
          <w:rFonts w:hint="eastAsia" w:hAnsi="宋体"/>
          <w:color w:val="auto"/>
          <w:sz w:val="24"/>
          <w:szCs w:val="24"/>
        </w:rPr>
        <w:t>日期：</w:t>
      </w:r>
    </w:p>
    <w:p w14:paraId="763D0D9F">
      <w:pPr>
        <w:rPr>
          <w:rFonts w:hint="eastAsia" w:hAnsi="宋体"/>
          <w:b/>
          <w:color w:val="auto"/>
          <w:sz w:val="24"/>
        </w:rPr>
      </w:pPr>
      <w:r>
        <w:rPr>
          <w:rFonts w:hint="eastAsia" w:hAnsi="宋体"/>
          <w:b/>
          <w:color w:val="auto"/>
          <w:sz w:val="24"/>
        </w:rPr>
        <w:br w:type="page"/>
      </w:r>
    </w:p>
    <w:p w14:paraId="1F407BF5">
      <w:pPr>
        <w:pStyle w:val="16"/>
        <w:spacing w:line="360" w:lineRule="auto"/>
        <w:contextualSpacing/>
        <w:rPr>
          <w:rFonts w:hint="eastAsia" w:hAnsi="宋体"/>
          <w:b/>
          <w:color w:val="auto"/>
          <w:sz w:val="24"/>
          <w:szCs w:val="24"/>
        </w:rPr>
      </w:pPr>
      <w:r>
        <w:rPr>
          <w:rFonts w:hint="eastAsia" w:hAnsi="宋体"/>
          <w:b/>
          <w:color w:val="auto"/>
          <w:sz w:val="24"/>
          <w:szCs w:val="24"/>
        </w:rPr>
        <w:t>说明：</w:t>
      </w:r>
    </w:p>
    <w:p w14:paraId="07E02EC3">
      <w:pPr>
        <w:pStyle w:val="16"/>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3E6EB0A1">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7AD666">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7E7FCC96">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07D885EA">
      <w:pPr>
        <w:pStyle w:val="16"/>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18961962">
      <w:pPr>
        <w:rPr>
          <w:rFonts w:hint="eastAsia" w:hAnsi="宋体"/>
          <w:b/>
          <w:color w:val="auto"/>
          <w:sz w:val="24"/>
        </w:rPr>
      </w:pPr>
      <w:r>
        <w:rPr>
          <w:rFonts w:hint="eastAsia" w:hAnsi="宋体"/>
          <w:b/>
          <w:color w:val="auto"/>
          <w:sz w:val="24"/>
        </w:rPr>
        <w:br w:type="page"/>
      </w:r>
    </w:p>
    <w:p w14:paraId="515880FE">
      <w:pPr>
        <w:spacing w:line="360" w:lineRule="auto"/>
        <w:jc w:val="center"/>
        <w:rPr>
          <w:rFonts w:hint="eastAsia" w:ascii="方正小标宋简体" w:hAnsi="方正小标宋简体" w:eastAsia="方正小标宋简体" w:cs="方正小标宋简体"/>
          <w:color w:val="auto"/>
          <w:sz w:val="44"/>
          <w:szCs w:val="44"/>
        </w:rPr>
      </w:pPr>
      <w:bookmarkStart w:id="176" w:name="_Toc74323461"/>
      <w:r>
        <w:rPr>
          <w:rFonts w:hint="eastAsia" w:ascii="方正小标宋简体" w:hAnsi="方正小标宋简体" w:eastAsia="方正小标宋简体" w:cs="方正小标宋简体"/>
          <w:color w:val="auto"/>
          <w:sz w:val="44"/>
          <w:szCs w:val="44"/>
        </w:rPr>
        <w:t>投诉书（格式）</w:t>
      </w:r>
    </w:p>
    <w:p w14:paraId="4B59798C">
      <w:pPr>
        <w:pStyle w:val="1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一、投诉相关主体基本情况：</w:t>
      </w:r>
    </w:p>
    <w:p w14:paraId="4298D191">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7BAC7C1E">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3227FF0">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7D92E988">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08161453">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21668D3">
      <w:pPr>
        <w:pStyle w:val="16"/>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0C05B17">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E736589">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1C0B0CFE">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6EFE260A">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7064F8F">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826F997">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4A41EB20">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5DE5F939">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5A96EE4D">
      <w:pPr>
        <w:pStyle w:val="16"/>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6B40DDB5">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32864B83">
      <w:pPr>
        <w:pStyle w:val="1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650BA3A6">
      <w:pPr>
        <w:pStyle w:val="16"/>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0A9206F4">
      <w:pPr>
        <w:pStyle w:val="16"/>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1F21647B">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5F18921B">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4CAA0454">
      <w:pPr>
        <w:pStyle w:val="16"/>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3174E149">
      <w:pPr>
        <w:pStyle w:val="16"/>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6BF36E08">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74D111CE">
      <w:pPr>
        <w:pStyle w:val="16"/>
        <w:spacing w:line="360" w:lineRule="auto"/>
        <w:ind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13A4F111">
      <w:pPr>
        <w:pStyle w:val="16"/>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39C0DBF0">
      <w:pPr>
        <w:pStyle w:val="16"/>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36C259F5">
      <w:pPr>
        <w:pStyle w:val="16"/>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5901E8B0">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39489C3A">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319E3350">
      <w:pPr>
        <w:pStyle w:val="16"/>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1D236087">
      <w:pPr>
        <w:pStyle w:val="16"/>
        <w:spacing w:line="360" w:lineRule="auto"/>
        <w:ind w:left="25" w:leftChars="12" w:firstLine="472" w:firstLineChars="197"/>
        <w:rPr>
          <w:rFonts w:hint="eastAsia" w:hAnsi="宋体"/>
          <w:color w:val="auto"/>
          <w:sz w:val="24"/>
          <w:szCs w:val="24"/>
        </w:rPr>
      </w:pPr>
      <w:r>
        <w:rPr>
          <w:rFonts w:hint="eastAsia" w:hAnsi="宋体"/>
          <w:bCs/>
          <w:color w:val="auto"/>
          <w:sz w:val="24"/>
          <w:szCs w:val="24"/>
          <w:u w:val="single"/>
        </w:rPr>
        <w:t xml:space="preserve">                                                                                        </w:t>
      </w:r>
    </w:p>
    <w:p w14:paraId="713AD410">
      <w:pPr>
        <w:pStyle w:val="16"/>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78E64C6A">
      <w:pPr>
        <w:pStyle w:val="16"/>
        <w:spacing w:line="360" w:lineRule="auto"/>
        <w:ind w:left="25" w:leftChars="12" w:firstLine="352" w:firstLineChars="147"/>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360E8036">
      <w:pPr>
        <w:pStyle w:val="16"/>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65595B47">
      <w:pPr>
        <w:pStyle w:val="16"/>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300F8D75">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5FB29319">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60C21EDD">
      <w:pPr>
        <w:pStyle w:val="16"/>
        <w:spacing w:line="360" w:lineRule="auto"/>
        <w:ind w:left="25" w:leftChars="12" w:firstLine="352" w:firstLineChars="147"/>
        <w:rPr>
          <w:rFonts w:hint="eastAsia" w:hAnsi="宋体"/>
          <w:color w:val="auto"/>
          <w:sz w:val="24"/>
          <w:szCs w:val="24"/>
        </w:rPr>
      </w:pPr>
    </w:p>
    <w:p w14:paraId="1226FCFF">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7CC48E03">
      <w:pPr>
        <w:pStyle w:val="16"/>
        <w:spacing w:line="360" w:lineRule="auto"/>
        <w:ind w:left="25" w:leftChars="12" w:firstLine="352" w:firstLineChars="147"/>
        <w:rPr>
          <w:rFonts w:hint="eastAsia" w:hAnsi="宋体"/>
          <w:color w:val="auto"/>
          <w:sz w:val="24"/>
          <w:szCs w:val="24"/>
        </w:rPr>
      </w:pPr>
    </w:p>
    <w:p w14:paraId="1B88FEF4">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71A9A5D6">
      <w:pPr>
        <w:pStyle w:val="16"/>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 xml:space="preserve">                                                                                 </w:t>
      </w:r>
    </w:p>
    <w:p w14:paraId="144C02B9">
      <w:pPr>
        <w:pStyle w:val="16"/>
        <w:snapToGrid w:val="0"/>
        <w:spacing w:line="360" w:lineRule="auto"/>
        <w:rPr>
          <w:rFonts w:hint="eastAsia" w:hAnsi="宋体"/>
          <w:b/>
          <w:color w:val="auto"/>
          <w:sz w:val="24"/>
          <w:szCs w:val="24"/>
        </w:rPr>
      </w:pPr>
      <w:r>
        <w:rPr>
          <w:rFonts w:hint="eastAsia" w:hAnsi="宋体"/>
          <w:b/>
          <w:color w:val="auto"/>
          <w:sz w:val="24"/>
          <w:szCs w:val="24"/>
        </w:rPr>
        <w:t>说明：</w:t>
      </w:r>
    </w:p>
    <w:p w14:paraId="43112FF9">
      <w:pPr>
        <w:pStyle w:val="16"/>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056A4937">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98769B8">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3AEF8E29">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132D9E54">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581FB16A">
      <w:pPr>
        <w:pStyle w:val="16"/>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52E6127D">
      <w:pPr>
        <w:pStyle w:val="2"/>
        <w:jc w:val="center"/>
        <w:rPr>
          <w:color w:val="auto"/>
        </w:rPr>
      </w:pPr>
    </w:p>
    <w:p w14:paraId="5F601D39">
      <w:pPr>
        <w:pStyle w:val="2"/>
        <w:jc w:val="center"/>
        <w:rPr>
          <w:color w:val="auto"/>
        </w:rPr>
      </w:pPr>
      <w:r>
        <w:rPr>
          <w:rFonts w:hint="eastAsia"/>
          <w:color w:val="auto"/>
        </w:rPr>
        <w:t>第六章 合同文本</w:t>
      </w:r>
      <w:bookmarkEnd w:id="176"/>
    </w:p>
    <w:p w14:paraId="054E0F6B">
      <w:pPr>
        <w:rPr>
          <w:color w:val="auto"/>
        </w:rPr>
      </w:pPr>
      <w:r>
        <w:rPr>
          <w:rFonts w:hint="eastAsia"/>
          <w:color w:val="auto"/>
        </w:rPr>
        <w:br w:type="page"/>
      </w:r>
    </w:p>
    <w:p w14:paraId="1EB22B14">
      <w:pPr>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政府采购合同</w:t>
      </w:r>
    </w:p>
    <w:p w14:paraId="342B6260">
      <w:pPr>
        <w:snapToGrid w:val="0"/>
        <w:spacing w:line="360" w:lineRule="auto"/>
        <w:ind w:left="420" w:hanging="420" w:hangingChars="200"/>
        <w:rPr>
          <w:rFonts w:hint="eastAsia" w:ascii="宋体" w:hAnsi="宋体" w:cs="宋体"/>
          <w:bCs/>
          <w:color w:val="auto"/>
          <w:szCs w:val="21"/>
          <w:u w:val="single"/>
        </w:rPr>
      </w:pPr>
      <w:r>
        <w:rPr>
          <w:rFonts w:hint="eastAsia" w:ascii="宋体" w:hAnsi="宋体" w:cs="宋体"/>
          <w:bCs/>
          <w:color w:val="auto"/>
          <w:szCs w:val="21"/>
          <w:lang w:bidi="ar"/>
        </w:rPr>
        <w:t>合同编号：</w:t>
      </w:r>
    </w:p>
    <w:p w14:paraId="7F69DAFB">
      <w:pPr>
        <w:snapToGrid w:val="0"/>
        <w:spacing w:line="360" w:lineRule="auto"/>
        <w:ind w:left="420" w:hanging="420" w:hangingChars="200"/>
        <w:rPr>
          <w:rFonts w:hint="eastAsia" w:ascii="宋体" w:hAnsi="宋体" w:cs="宋体"/>
          <w:bCs/>
          <w:color w:val="auto"/>
          <w:szCs w:val="21"/>
          <w:lang w:bidi="ar"/>
        </w:rPr>
      </w:pPr>
      <w:r>
        <w:rPr>
          <w:rFonts w:hint="eastAsia" w:ascii="宋体" w:hAnsi="宋体" w:cs="宋体"/>
          <w:bCs/>
          <w:color w:val="auto"/>
          <w:szCs w:val="21"/>
          <w:lang w:bidi="ar"/>
        </w:rPr>
        <w:t>采购单位（甲方）：</w:t>
      </w:r>
      <w:r>
        <w:rPr>
          <w:rFonts w:hint="eastAsia" w:ascii="宋体" w:hAnsi="宋体" w:cs="宋体"/>
          <w:bCs/>
          <w:color w:val="auto"/>
          <w:szCs w:val="21"/>
          <w:u w:val="single"/>
          <w:lang w:bidi="ar"/>
        </w:rPr>
        <w:t xml:space="preserve">                          </w:t>
      </w:r>
      <w:r>
        <w:rPr>
          <w:rFonts w:hint="eastAsia" w:ascii="宋体" w:hAnsi="宋体" w:cs="宋体"/>
          <w:bCs/>
          <w:color w:val="auto"/>
          <w:szCs w:val="21"/>
          <w:lang w:bidi="ar"/>
        </w:rPr>
        <w:t xml:space="preserve">     </w:t>
      </w:r>
    </w:p>
    <w:p w14:paraId="1B02D4C9">
      <w:pPr>
        <w:snapToGrid w:val="0"/>
        <w:spacing w:line="360" w:lineRule="auto"/>
        <w:ind w:left="420" w:hanging="420" w:hangingChars="200"/>
        <w:rPr>
          <w:rFonts w:hint="eastAsia" w:ascii="宋体" w:hAnsi="宋体" w:cs="宋体"/>
          <w:bCs/>
          <w:color w:val="auto"/>
          <w:szCs w:val="21"/>
          <w:u w:val="single"/>
        </w:rPr>
      </w:pPr>
      <w:r>
        <w:rPr>
          <w:rFonts w:hint="eastAsia" w:ascii="宋体" w:hAnsi="宋体" w:cs="宋体"/>
          <w:bCs/>
          <w:color w:val="auto"/>
          <w:szCs w:val="21"/>
          <w:lang w:bidi="ar"/>
        </w:rPr>
        <w:t>成交供应商（乙方）：</w:t>
      </w:r>
      <w:r>
        <w:rPr>
          <w:rFonts w:hint="eastAsia" w:ascii="宋体" w:hAnsi="宋体" w:cs="宋体"/>
          <w:bCs/>
          <w:color w:val="auto"/>
          <w:szCs w:val="21"/>
          <w:u w:val="single"/>
          <w:lang w:bidi="ar"/>
        </w:rPr>
        <w:t xml:space="preserve">                          </w:t>
      </w:r>
      <w:r>
        <w:rPr>
          <w:rFonts w:hint="eastAsia" w:ascii="宋体" w:hAnsi="宋体" w:cs="宋体"/>
          <w:bCs/>
          <w:color w:val="auto"/>
          <w:szCs w:val="21"/>
          <w:lang w:bidi="ar"/>
        </w:rPr>
        <w:t xml:space="preserve">      项目名称和编号：</w:t>
      </w:r>
      <w:r>
        <w:rPr>
          <w:rFonts w:hint="eastAsia" w:ascii="宋体" w:hAnsi="宋体" w:cs="宋体"/>
          <w:bCs/>
          <w:color w:val="auto"/>
          <w:szCs w:val="21"/>
          <w:u w:val="single"/>
          <w:lang w:bidi="ar"/>
        </w:rPr>
        <w:t xml:space="preserve">         </w:t>
      </w:r>
    </w:p>
    <w:p w14:paraId="56A9D166">
      <w:pPr>
        <w:snapToGrid w:val="0"/>
        <w:spacing w:line="360" w:lineRule="auto"/>
        <w:ind w:left="420" w:hanging="420" w:hangingChars="200"/>
        <w:rPr>
          <w:rFonts w:hint="eastAsia" w:ascii="宋体" w:hAnsi="宋体" w:cs="宋体"/>
          <w:bCs/>
          <w:color w:val="auto"/>
          <w:szCs w:val="21"/>
          <w:u w:val="single"/>
        </w:rPr>
      </w:pPr>
      <w:r>
        <w:rPr>
          <w:rFonts w:hint="eastAsia" w:ascii="宋体" w:hAnsi="宋体" w:cs="宋体"/>
          <w:bCs/>
          <w:color w:val="auto"/>
          <w:szCs w:val="21"/>
          <w:lang w:bidi="ar"/>
        </w:rPr>
        <w:t>签  订  地  点：</w:t>
      </w:r>
      <w:r>
        <w:rPr>
          <w:rFonts w:hint="eastAsia" w:ascii="宋体" w:hAnsi="宋体" w:cs="宋体"/>
          <w:bCs/>
          <w:color w:val="auto"/>
          <w:szCs w:val="21"/>
          <w:u w:val="single"/>
          <w:lang w:bidi="ar"/>
        </w:rPr>
        <w:t xml:space="preserve">                            </w:t>
      </w:r>
      <w:r>
        <w:rPr>
          <w:rFonts w:hint="eastAsia" w:ascii="宋体" w:hAnsi="宋体" w:cs="宋体"/>
          <w:bCs/>
          <w:color w:val="auto"/>
          <w:szCs w:val="21"/>
          <w:lang w:bidi="ar"/>
        </w:rPr>
        <w:t xml:space="preserve">      签订时间：</w:t>
      </w:r>
      <w:r>
        <w:rPr>
          <w:rFonts w:hint="eastAsia" w:ascii="宋体" w:hAnsi="宋体" w:cs="宋体"/>
          <w:bCs/>
          <w:color w:val="auto"/>
          <w:szCs w:val="21"/>
          <w:u w:val="single"/>
          <w:lang w:bidi="ar"/>
        </w:rPr>
        <w:t xml:space="preserve">                </w:t>
      </w:r>
    </w:p>
    <w:p w14:paraId="4BD3209A">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本合同是否为中小企业预留合同：</w:t>
      </w:r>
      <w:r>
        <w:rPr>
          <w:rFonts w:hint="eastAsia" w:ascii="宋体" w:hAnsi="宋体" w:cs="宋体"/>
          <w:color w:val="auto"/>
          <w:szCs w:val="21"/>
          <w:u w:val="single"/>
        </w:rPr>
        <w:t>是</w:t>
      </w:r>
    </w:p>
    <w:p w14:paraId="7D96990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根据《中华人民共和国政府采购法》《中华人民共和国民法典》等法律、法规规定，按照</w:t>
      </w:r>
      <w:r>
        <w:rPr>
          <w:rFonts w:hint="eastAsia" w:ascii="宋体" w:hAnsi="宋体"/>
          <w:color w:val="auto"/>
          <w:szCs w:val="21"/>
        </w:rPr>
        <w:t>磋商文件规定条款和乙方响应文件及其承诺，甲乙双方签订本合同。</w:t>
      </w:r>
    </w:p>
    <w:p w14:paraId="1579564C">
      <w:pPr>
        <w:numPr>
          <w:ilvl w:val="0"/>
          <w:numId w:val="7"/>
        </w:numPr>
        <w:spacing w:line="360" w:lineRule="auto"/>
        <w:ind w:firstLine="422" w:firstLineChars="200"/>
        <w:outlineLvl w:val="0"/>
        <w:rPr>
          <w:rFonts w:hint="eastAsia" w:ascii="宋体" w:hAnsi="宋体" w:cs="宋体"/>
          <w:b/>
          <w:color w:val="auto"/>
          <w:szCs w:val="21"/>
        </w:rPr>
      </w:pPr>
      <w:r>
        <w:rPr>
          <w:rFonts w:hint="eastAsia" w:ascii="宋体" w:hAnsi="宋体" w:cs="宋体"/>
          <w:b/>
          <w:color w:val="auto"/>
          <w:szCs w:val="21"/>
        </w:rPr>
        <w:t>项目概况和服务成果交付</w:t>
      </w:r>
    </w:p>
    <w:p w14:paraId="6AF0504A">
      <w:pPr>
        <w:snapToGrid w:val="0"/>
        <w:spacing w:line="360" w:lineRule="auto"/>
        <w:ind w:firstLine="420" w:firstLineChars="200"/>
        <w:jc w:val="left"/>
        <w:outlineLvl w:val="1"/>
        <w:rPr>
          <w:rFonts w:hint="eastAsia" w:ascii="宋体" w:hAnsi="宋体" w:cs="宋体"/>
          <w:color w:val="auto"/>
          <w:kern w:val="0"/>
          <w:szCs w:val="21"/>
        </w:rPr>
      </w:pPr>
      <w:r>
        <w:rPr>
          <w:rFonts w:hint="eastAsia" w:ascii="宋体" w:hAnsi="宋体" w:cs="宋体"/>
          <w:color w:val="auto"/>
          <w:kern w:val="0"/>
          <w:szCs w:val="21"/>
        </w:rPr>
        <w:t>1.项目概况</w:t>
      </w:r>
    </w:p>
    <w:p w14:paraId="204506F1">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（1）项目名称：梧州市政府办公大楼既有建筑节能降碳改造项目</w:t>
      </w:r>
    </w:p>
    <w:p w14:paraId="1328204C">
      <w:pPr>
        <w:snapToGrid w:val="0"/>
        <w:spacing w:line="360" w:lineRule="auto"/>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（2）服务范围：</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056BC7CC">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（3）交付付间：</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12DC9BD4">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（4）交付地点：</w:t>
      </w:r>
      <w:r>
        <w:rPr>
          <w:rFonts w:hint="eastAsia" w:ascii="宋体" w:hAnsi="宋体" w:cs="宋体"/>
          <w:color w:val="auto"/>
          <w:kern w:val="0"/>
          <w:szCs w:val="21"/>
          <w:u w:val="single"/>
        </w:rPr>
        <w:t xml:space="preserve">       梧州市政府办公大楼                    </w:t>
      </w:r>
      <w:r>
        <w:rPr>
          <w:rFonts w:hint="eastAsia" w:ascii="宋体" w:hAnsi="宋体" w:cs="宋体"/>
          <w:color w:val="auto"/>
          <w:kern w:val="0"/>
          <w:szCs w:val="21"/>
        </w:rPr>
        <w:t>；</w:t>
      </w:r>
    </w:p>
    <w:p w14:paraId="3452C8C4">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报价要求:包含</w:t>
      </w:r>
      <w:r>
        <w:rPr>
          <w:rFonts w:hint="eastAsia" w:ascii="宋体" w:hAnsi="宋体" w:cs="宋体"/>
          <w:color w:val="auto"/>
          <w:kern w:val="0"/>
          <w:szCs w:val="21"/>
        </w:rPr>
        <w:t>乙方</w:t>
      </w:r>
      <w:r>
        <w:rPr>
          <w:rFonts w:ascii="宋体" w:hAnsi="宋体" w:cs="宋体"/>
          <w:color w:val="auto"/>
          <w:kern w:val="0"/>
          <w:szCs w:val="21"/>
        </w:rPr>
        <w:t>完成本项目服务所有内容及其他可能发生的一切费用。报价包含但不限于服务所包含的货物成本、提交成果、编制、组织、策划、开发、调研、技术协助、校准、培训、技术指导、税金等 类似服务内容的全部费用，</w:t>
      </w:r>
      <w:r>
        <w:rPr>
          <w:rFonts w:hint="eastAsia" w:ascii="宋体" w:hAnsi="宋体" w:cs="宋体"/>
          <w:color w:val="auto"/>
          <w:kern w:val="0"/>
          <w:szCs w:val="21"/>
        </w:rPr>
        <w:t>甲方</w:t>
      </w:r>
      <w:r>
        <w:rPr>
          <w:rFonts w:ascii="宋体" w:hAnsi="宋体" w:cs="宋体"/>
          <w:color w:val="auto"/>
          <w:kern w:val="0"/>
          <w:szCs w:val="21"/>
        </w:rPr>
        <w:t>不再支付其他任何费用。</w:t>
      </w:r>
    </w:p>
    <w:p w14:paraId="66ECDC3F">
      <w:pPr>
        <w:snapToGrid w:val="0"/>
        <w:spacing w:line="360" w:lineRule="auto"/>
        <w:ind w:firstLine="420" w:firstLineChars="200"/>
        <w:jc w:val="left"/>
        <w:outlineLvl w:val="1"/>
        <w:rPr>
          <w:color w:val="auto"/>
          <w:kern w:val="0"/>
          <w:sz w:val="18"/>
          <w:szCs w:val="18"/>
        </w:rPr>
      </w:pPr>
      <w:r>
        <w:rPr>
          <w:rFonts w:hint="eastAsia" w:ascii="宋体" w:hAnsi="宋体" w:cs="宋体"/>
          <w:color w:val="auto"/>
          <w:kern w:val="0"/>
          <w:szCs w:val="21"/>
        </w:rPr>
        <w:t>2.合同标的：</w:t>
      </w:r>
    </w:p>
    <w:tbl>
      <w:tblPr>
        <w:tblStyle w:val="25"/>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3472"/>
        <w:gridCol w:w="2663"/>
        <w:gridCol w:w="2468"/>
      </w:tblGrid>
      <w:tr w14:paraId="42D5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1009" w:type="dxa"/>
            <w:tcBorders>
              <w:top w:val="single" w:color="auto" w:sz="4" w:space="0"/>
              <w:left w:val="single" w:color="auto" w:sz="4" w:space="0"/>
              <w:bottom w:val="single" w:color="auto" w:sz="4" w:space="0"/>
              <w:right w:val="single" w:color="auto" w:sz="4" w:space="0"/>
            </w:tcBorders>
            <w:vAlign w:val="center"/>
          </w:tcPr>
          <w:p w14:paraId="27CA3CF2">
            <w:pPr>
              <w:spacing w:line="360" w:lineRule="auto"/>
              <w:jc w:val="center"/>
              <w:rPr>
                <w:rFonts w:hint="eastAsia" w:ascii="宋体" w:hAnsi="宋体" w:cs="宋体"/>
                <w:color w:val="auto"/>
                <w:szCs w:val="21"/>
              </w:rPr>
            </w:pPr>
            <w:r>
              <w:rPr>
                <w:rFonts w:hint="eastAsia" w:ascii="宋体" w:hAnsi="宋体" w:cs="宋体"/>
                <w:color w:val="auto"/>
                <w:szCs w:val="21"/>
              </w:rPr>
              <w:t>序号</w:t>
            </w:r>
          </w:p>
        </w:tc>
        <w:tc>
          <w:tcPr>
            <w:tcW w:w="3472" w:type="dxa"/>
            <w:tcBorders>
              <w:top w:val="single" w:color="auto" w:sz="4" w:space="0"/>
              <w:left w:val="single" w:color="auto" w:sz="4" w:space="0"/>
              <w:bottom w:val="single" w:color="auto" w:sz="4" w:space="0"/>
              <w:right w:val="single" w:color="auto" w:sz="4" w:space="0"/>
            </w:tcBorders>
            <w:vAlign w:val="center"/>
          </w:tcPr>
          <w:p w14:paraId="1490E483">
            <w:pPr>
              <w:spacing w:line="360" w:lineRule="auto"/>
              <w:jc w:val="center"/>
              <w:rPr>
                <w:rFonts w:hint="eastAsia" w:ascii="宋体" w:hAnsi="宋体" w:cs="宋体"/>
                <w:color w:val="auto"/>
                <w:szCs w:val="21"/>
              </w:rPr>
            </w:pPr>
            <w:r>
              <w:rPr>
                <w:rFonts w:hint="eastAsia" w:ascii="宋体" w:hAnsi="宋体" w:cs="宋体"/>
                <w:color w:val="auto"/>
                <w:szCs w:val="21"/>
              </w:rPr>
              <w:t>标的的名称</w:t>
            </w:r>
          </w:p>
        </w:tc>
        <w:tc>
          <w:tcPr>
            <w:tcW w:w="2663" w:type="dxa"/>
            <w:tcBorders>
              <w:top w:val="single" w:color="auto" w:sz="4" w:space="0"/>
              <w:left w:val="single" w:color="auto" w:sz="4" w:space="0"/>
              <w:bottom w:val="single" w:color="auto" w:sz="4" w:space="0"/>
              <w:right w:val="single" w:color="auto" w:sz="4" w:space="0"/>
            </w:tcBorders>
            <w:vAlign w:val="center"/>
          </w:tcPr>
          <w:p w14:paraId="159B2BD7">
            <w:pPr>
              <w:spacing w:line="360" w:lineRule="auto"/>
              <w:jc w:val="center"/>
              <w:rPr>
                <w:rFonts w:hint="eastAsia" w:ascii="宋体" w:hAnsi="宋体" w:cs="宋体"/>
                <w:color w:val="auto"/>
                <w:szCs w:val="21"/>
              </w:rPr>
            </w:pPr>
            <w:r>
              <w:rPr>
                <w:rFonts w:hint="eastAsia" w:ascii="宋体" w:hAnsi="宋体" w:cs="宋体"/>
                <w:color w:val="auto"/>
                <w:szCs w:val="21"/>
              </w:rPr>
              <w:t>服务内容</w:t>
            </w:r>
          </w:p>
        </w:tc>
        <w:tc>
          <w:tcPr>
            <w:tcW w:w="2468" w:type="dxa"/>
            <w:tcBorders>
              <w:top w:val="single" w:color="auto" w:sz="4" w:space="0"/>
              <w:left w:val="single" w:color="auto" w:sz="4" w:space="0"/>
              <w:bottom w:val="single" w:color="auto" w:sz="4" w:space="0"/>
              <w:right w:val="single" w:color="auto" w:sz="4" w:space="0"/>
            </w:tcBorders>
            <w:vAlign w:val="center"/>
          </w:tcPr>
          <w:p w14:paraId="7CED9E0F">
            <w:pPr>
              <w:spacing w:line="360" w:lineRule="auto"/>
              <w:jc w:val="center"/>
              <w:rPr>
                <w:rFonts w:hint="eastAsia" w:ascii="宋体" w:hAnsi="宋体" w:cs="宋体"/>
                <w:color w:val="auto"/>
                <w:szCs w:val="21"/>
              </w:rPr>
            </w:pPr>
            <w:r>
              <w:rPr>
                <w:rFonts w:hint="eastAsia" w:ascii="宋体" w:hAnsi="宋体" w:cs="宋体"/>
                <w:color w:val="auto"/>
                <w:szCs w:val="21"/>
              </w:rPr>
              <w:t>单价（元）</w:t>
            </w:r>
          </w:p>
        </w:tc>
      </w:tr>
      <w:tr w14:paraId="295C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009" w:type="dxa"/>
            <w:tcBorders>
              <w:top w:val="single" w:color="auto" w:sz="4" w:space="0"/>
              <w:left w:val="single" w:color="auto" w:sz="4" w:space="0"/>
              <w:bottom w:val="single" w:color="auto" w:sz="4" w:space="0"/>
              <w:right w:val="single" w:color="auto" w:sz="4" w:space="0"/>
            </w:tcBorders>
            <w:vAlign w:val="center"/>
          </w:tcPr>
          <w:p w14:paraId="1954E896">
            <w:pPr>
              <w:spacing w:line="360" w:lineRule="auto"/>
              <w:jc w:val="center"/>
              <w:rPr>
                <w:rFonts w:hint="eastAsia" w:ascii="宋体" w:hAnsi="宋体" w:cs="宋体"/>
                <w:color w:val="auto"/>
                <w:szCs w:val="21"/>
              </w:rPr>
            </w:pPr>
          </w:p>
        </w:tc>
        <w:tc>
          <w:tcPr>
            <w:tcW w:w="3472" w:type="dxa"/>
            <w:tcBorders>
              <w:top w:val="single" w:color="auto" w:sz="4" w:space="0"/>
              <w:left w:val="single" w:color="auto" w:sz="4" w:space="0"/>
              <w:bottom w:val="single" w:color="auto" w:sz="4" w:space="0"/>
              <w:right w:val="single" w:color="auto" w:sz="4" w:space="0"/>
            </w:tcBorders>
            <w:vAlign w:val="center"/>
          </w:tcPr>
          <w:p w14:paraId="696B8CF8">
            <w:pPr>
              <w:spacing w:line="360" w:lineRule="auto"/>
              <w:jc w:val="left"/>
              <w:rPr>
                <w:rFonts w:hint="eastAsia" w:ascii="宋体" w:hAnsi="宋体" w:cs="宋体"/>
                <w:color w:val="auto"/>
                <w:szCs w:val="21"/>
              </w:rPr>
            </w:pPr>
          </w:p>
        </w:tc>
        <w:tc>
          <w:tcPr>
            <w:tcW w:w="2663" w:type="dxa"/>
            <w:tcBorders>
              <w:top w:val="single" w:color="auto" w:sz="4" w:space="0"/>
              <w:left w:val="single" w:color="auto" w:sz="4" w:space="0"/>
              <w:bottom w:val="single" w:color="auto" w:sz="4" w:space="0"/>
              <w:right w:val="single" w:color="auto" w:sz="4" w:space="0"/>
            </w:tcBorders>
            <w:vAlign w:val="center"/>
          </w:tcPr>
          <w:p w14:paraId="5E0BF510">
            <w:pPr>
              <w:spacing w:line="360" w:lineRule="auto"/>
              <w:jc w:val="center"/>
              <w:rPr>
                <w:rFonts w:hint="eastAsia" w:ascii="宋体" w:hAnsi="宋体" w:cs="宋体"/>
                <w:color w:val="auto"/>
                <w:szCs w:val="21"/>
              </w:rPr>
            </w:pPr>
          </w:p>
        </w:tc>
        <w:tc>
          <w:tcPr>
            <w:tcW w:w="2468" w:type="dxa"/>
            <w:tcBorders>
              <w:top w:val="single" w:color="auto" w:sz="4" w:space="0"/>
              <w:left w:val="single" w:color="auto" w:sz="4" w:space="0"/>
              <w:bottom w:val="single" w:color="auto" w:sz="4" w:space="0"/>
              <w:right w:val="single" w:color="auto" w:sz="4" w:space="0"/>
            </w:tcBorders>
            <w:vAlign w:val="center"/>
          </w:tcPr>
          <w:p w14:paraId="0BC54108">
            <w:pPr>
              <w:spacing w:line="360" w:lineRule="auto"/>
              <w:jc w:val="center"/>
              <w:rPr>
                <w:rFonts w:hint="eastAsia" w:ascii="宋体" w:hAnsi="宋体" w:cs="宋体"/>
                <w:color w:val="auto"/>
                <w:szCs w:val="21"/>
              </w:rPr>
            </w:pPr>
          </w:p>
        </w:tc>
      </w:tr>
      <w:tr w14:paraId="28C8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009" w:type="dxa"/>
            <w:tcBorders>
              <w:top w:val="single" w:color="auto" w:sz="4" w:space="0"/>
              <w:left w:val="single" w:color="auto" w:sz="4" w:space="0"/>
              <w:bottom w:val="single" w:color="auto" w:sz="4" w:space="0"/>
              <w:right w:val="single" w:color="auto" w:sz="4" w:space="0"/>
            </w:tcBorders>
            <w:vAlign w:val="center"/>
          </w:tcPr>
          <w:p w14:paraId="5B68AC72">
            <w:pPr>
              <w:spacing w:line="360" w:lineRule="auto"/>
              <w:jc w:val="center"/>
              <w:rPr>
                <w:rFonts w:hint="eastAsia" w:ascii="宋体" w:hAnsi="宋体" w:cs="宋体"/>
                <w:color w:val="auto"/>
                <w:szCs w:val="21"/>
              </w:rPr>
            </w:pPr>
          </w:p>
        </w:tc>
        <w:tc>
          <w:tcPr>
            <w:tcW w:w="3472" w:type="dxa"/>
            <w:tcBorders>
              <w:top w:val="single" w:color="auto" w:sz="4" w:space="0"/>
              <w:left w:val="single" w:color="auto" w:sz="4" w:space="0"/>
              <w:bottom w:val="single" w:color="auto" w:sz="4" w:space="0"/>
              <w:right w:val="single" w:color="auto" w:sz="4" w:space="0"/>
            </w:tcBorders>
            <w:vAlign w:val="center"/>
          </w:tcPr>
          <w:p w14:paraId="59AC87E0">
            <w:pPr>
              <w:spacing w:line="360" w:lineRule="auto"/>
              <w:jc w:val="left"/>
              <w:rPr>
                <w:rFonts w:hint="eastAsia" w:ascii="宋体" w:hAnsi="宋体" w:cs="宋体"/>
                <w:color w:val="auto"/>
                <w:szCs w:val="21"/>
              </w:rPr>
            </w:pPr>
          </w:p>
        </w:tc>
        <w:tc>
          <w:tcPr>
            <w:tcW w:w="2663" w:type="dxa"/>
            <w:tcBorders>
              <w:top w:val="single" w:color="auto" w:sz="4" w:space="0"/>
              <w:left w:val="single" w:color="auto" w:sz="4" w:space="0"/>
              <w:bottom w:val="single" w:color="auto" w:sz="4" w:space="0"/>
              <w:right w:val="single" w:color="auto" w:sz="4" w:space="0"/>
            </w:tcBorders>
            <w:vAlign w:val="center"/>
          </w:tcPr>
          <w:p w14:paraId="4AE57CE2">
            <w:pPr>
              <w:spacing w:line="360" w:lineRule="auto"/>
              <w:jc w:val="center"/>
              <w:rPr>
                <w:rFonts w:hint="eastAsia" w:ascii="宋体" w:hAnsi="宋体" w:cs="宋体"/>
                <w:color w:val="auto"/>
                <w:szCs w:val="21"/>
              </w:rPr>
            </w:pPr>
          </w:p>
        </w:tc>
        <w:tc>
          <w:tcPr>
            <w:tcW w:w="2468" w:type="dxa"/>
            <w:tcBorders>
              <w:top w:val="single" w:color="auto" w:sz="4" w:space="0"/>
              <w:left w:val="single" w:color="auto" w:sz="4" w:space="0"/>
              <w:bottom w:val="single" w:color="auto" w:sz="4" w:space="0"/>
              <w:right w:val="single" w:color="auto" w:sz="4" w:space="0"/>
            </w:tcBorders>
            <w:vAlign w:val="center"/>
          </w:tcPr>
          <w:p w14:paraId="60F4C224">
            <w:pPr>
              <w:spacing w:line="360" w:lineRule="auto"/>
              <w:jc w:val="center"/>
              <w:rPr>
                <w:rFonts w:hint="eastAsia" w:ascii="宋体" w:hAnsi="宋体" w:cs="宋体"/>
                <w:color w:val="auto"/>
                <w:szCs w:val="21"/>
              </w:rPr>
            </w:pPr>
          </w:p>
        </w:tc>
      </w:tr>
      <w:tr w14:paraId="5133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009" w:type="dxa"/>
            <w:tcBorders>
              <w:top w:val="single" w:color="auto" w:sz="4" w:space="0"/>
              <w:left w:val="single" w:color="auto" w:sz="4" w:space="0"/>
              <w:bottom w:val="single" w:color="auto" w:sz="4" w:space="0"/>
              <w:right w:val="single" w:color="auto" w:sz="4" w:space="0"/>
            </w:tcBorders>
            <w:vAlign w:val="center"/>
          </w:tcPr>
          <w:p w14:paraId="39E064B9">
            <w:pPr>
              <w:spacing w:line="360" w:lineRule="auto"/>
              <w:jc w:val="center"/>
              <w:rPr>
                <w:rFonts w:hint="eastAsia" w:ascii="宋体" w:hAnsi="宋体" w:cs="宋体"/>
                <w:color w:val="auto"/>
                <w:szCs w:val="21"/>
              </w:rPr>
            </w:pPr>
          </w:p>
        </w:tc>
        <w:tc>
          <w:tcPr>
            <w:tcW w:w="3472" w:type="dxa"/>
            <w:tcBorders>
              <w:top w:val="single" w:color="auto" w:sz="4" w:space="0"/>
              <w:left w:val="single" w:color="auto" w:sz="4" w:space="0"/>
              <w:bottom w:val="single" w:color="auto" w:sz="4" w:space="0"/>
              <w:right w:val="single" w:color="auto" w:sz="4" w:space="0"/>
            </w:tcBorders>
            <w:vAlign w:val="center"/>
          </w:tcPr>
          <w:p w14:paraId="7084D270">
            <w:pPr>
              <w:spacing w:line="360" w:lineRule="auto"/>
              <w:jc w:val="left"/>
              <w:rPr>
                <w:rFonts w:hint="eastAsia" w:ascii="宋体" w:hAnsi="宋体" w:cs="宋体"/>
                <w:color w:val="auto"/>
                <w:szCs w:val="21"/>
              </w:rPr>
            </w:pPr>
          </w:p>
        </w:tc>
        <w:tc>
          <w:tcPr>
            <w:tcW w:w="2663" w:type="dxa"/>
            <w:tcBorders>
              <w:top w:val="single" w:color="auto" w:sz="4" w:space="0"/>
              <w:left w:val="single" w:color="auto" w:sz="4" w:space="0"/>
              <w:right w:val="single" w:color="auto" w:sz="4" w:space="0"/>
            </w:tcBorders>
            <w:vAlign w:val="center"/>
          </w:tcPr>
          <w:p w14:paraId="328A0C99">
            <w:pPr>
              <w:spacing w:line="360" w:lineRule="auto"/>
              <w:jc w:val="center"/>
              <w:rPr>
                <w:rFonts w:hint="eastAsia" w:ascii="宋体" w:hAnsi="宋体" w:cs="宋体"/>
                <w:color w:val="auto"/>
                <w:szCs w:val="21"/>
              </w:rPr>
            </w:pPr>
          </w:p>
        </w:tc>
        <w:tc>
          <w:tcPr>
            <w:tcW w:w="2468" w:type="dxa"/>
            <w:tcBorders>
              <w:top w:val="single" w:color="auto" w:sz="4" w:space="0"/>
              <w:left w:val="single" w:color="auto" w:sz="4" w:space="0"/>
              <w:bottom w:val="single" w:color="auto" w:sz="4" w:space="0"/>
              <w:right w:val="single" w:color="auto" w:sz="4" w:space="0"/>
            </w:tcBorders>
            <w:vAlign w:val="center"/>
          </w:tcPr>
          <w:p w14:paraId="7512116F">
            <w:pPr>
              <w:spacing w:line="360" w:lineRule="auto"/>
              <w:jc w:val="center"/>
              <w:rPr>
                <w:rFonts w:hint="eastAsia" w:ascii="宋体" w:hAnsi="宋体" w:cs="宋体"/>
                <w:color w:val="auto"/>
                <w:szCs w:val="21"/>
              </w:rPr>
            </w:pPr>
          </w:p>
        </w:tc>
      </w:tr>
      <w:tr w14:paraId="75B2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9612" w:type="dxa"/>
            <w:gridSpan w:val="4"/>
            <w:tcBorders>
              <w:top w:val="single" w:color="auto" w:sz="4" w:space="0"/>
              <w:left w:val="single" w:color="auto" w:sz="4" w:space="0"/>
              <w:bottom w:val="single" w:color="auto" w:sz="4" w:space="0"/>
              <w:right w:val="single" w:color="auto" w:sz="4" w:space="0"/>
            </w:tcBorders>
            <w:vAlign w:val="center"/>
          </w:tcPr>
          <w:p w14:paraId="4CC9D310">
            <w:pPr>
              <w:spacing w:line="400" w:lineRule="exact"/>
              <w:rPr>
                <w:rFonts w:hint="eastAsia" w:ascii="宋体" w:hAnsi="宋体" w:cs="宋体"/>
                <w:color w:val="auto"/>
                <w:szCs w:val="21"/>
              </w:rPr>
            </w:pPr>
            <w:r>
              <w:rPr>
                <w:rFonts w:hint="eastAsia" w:ascii="宋体" w:hAnsi="宋体" w:cs="宋体"/>
                <w:color w:val="auto"/>
                <w:szCs w:val="21"/>
              </w:rPr>
              <w:t>合计金额（人民币）：</w:t>
            </w:r>
            <w:r>
              <w:rPr>
                <w:rFonts w:hint="eastAsia" w:ascii="宋体" w:hAnsi="宋体" w:cs="宋体"/>
                <w:color w:val="auto"/>
                <w:szCs w:val="21"/>
                <w:u w:val="single"/>
              </w:rPr>
              <w:t xml:space="preserve">（大写）                          （小写）                   </w:t>
            </w:r>
            <w:r>
              <w:rPr>
                <w:rFonts w:hint="eastAsia" w:ascii="宋体" w:hAnsi="宋体" w:cs="宋体"/>
                <w:color w:val="auto"/>
                <w:szCs w:val="21"/>
              </w:rPr>
              <w:t xml:space="preserve">  </w:t>
            </w:r>
          </w:p>
        </w:tc>
      </w:tr>
    </w:tbl>
    <w:p w14:paraId="69A69917">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第二条  权利和义务</w:t>
      </w:r>
    </w:p>
    <w:p w14:paraId="374BF6ED">
      <w:pPr>
        <w:spacing w:line="400" w:lineRule="exact"/>
        <w:ind w:firstLine="422" w:firstLineChars="200"/>
        <w:outlineLvl w:val="1"/>
        <w:rPr>
          <w:rFonts w:hint="eastAsia" w:ascii="宋体" w:hAnsi="宋体" w:cs="宋体"/>
          <w:b/>
          <w:color w:val="auto"/>
          <w:szCs w:val="21"/>
        </w:rPr>
      </w:pPr>
      <w:r>
        <w:rPr>
          <w:rFonts w:hint="eastAsia" w:ascii="宋体" w:hAnsi="宋体" w:cs="宋体"/>
          <w:b/>
          <w:color w:val="auto"/>
          <w:szCs w:val="21"/>
        </w:rPr>
        <w:t>1.甲方权利和义务</w:t>
      </w:r>
    </w:p>
    <w:p w14:paraId="784CA75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1.1 甲方有权对合同规定范围内乙方的服务行为进行监督和检查，拥有监管权。有权定期核对乙方提供服务所配备的人员数量。对甲方认为不合理的部分有权下达整改通知书，并要求乙方限期整改。</w:t>
      </w:r>
    </w:p>
    <w:p w14:paraId="2FBC3B6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1.2 负责检查监督乙方管理工作的实施及制度的执行情况。</w:t>
      </w:r>
    </w:p>
    <w:p w14:paraId="63408C7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1.3 根据本合同规定，按时向乙方支付应付服务费用。</w:t>
      </w:r>
    </w:p>
    <w:p w14:paraId="3E591F6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1.4 国家法律、法规所规定由甲方承担的其它责任。</w:t>
      </w:r>
    </w:p>
    <w:p w14:paraId="7C165D0D">
      <w:pPr>
        <w:spacing w:line="400" w:lineRule="exact"/>
        <w:ind w:firstLine="422" w:firstLineChars="200"/>
        <w:outlineLvl w:val="1"/>
        <w:rPr>
          <w:rFonts w:hint="eastAsia" w:ascii="宋体" w:hAnsi="宋体" w:cs="宋体"/>
          <w:b/>
          <w:color w:val="auto"/>
          <w:szCs w:val="21"/>
        </w:rPr>
      </w:pPr>
      <w:r>
        <w:rPr>
          <w:rFonts w:hint="eastAsia" w:ascii="宋体" w:hAnsi="宋体" w:cs="宋体"/>
          <w:b/>
          <w:color w:val="auto"/>
          <w:szCs w:val="21"/>
        </w:rPr>
        <w:t>2.乙方权利和义务</w:t>
      </w:r>
    </w:p>
    <w:p w14:paraId="00FCA32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2.1 对本合同规定的委托服务范围内的项目享有管理权及服务义务。</w:t>
      </w:r>
    </w:p>
    <w:p w14:paraId="770ACF9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2.2 根据本合同的规定向甲方收取相关服务费用，并有权在本项目管理范围内管理及合理使用。</w:t>
      </w:r>
    </w:p>
    <w:p w14:paraId="74CA292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2.3 及时向甲方通告本项目服务范围内有关服务的重大事项，及时配合处理投诉。</w:t>
      </w:r>
    </w:p>
    <w:p w14:paraId="0A9967A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2.4 接受项目行业管理部门及政府有关部门的指导，接受甲方的监督。</w:t>
      </w:r>
    </w:p>
    <w:p w14:paraId="3A2A4B3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2.5 国家法律、法规所规定由乙方承担的其它责任。</w:t>
      </w:r>
    </w:p>
    <w:p w14:paraId="03940C6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2.6 乙方所提供的服务必须符合相关政策文件及法律法规，严禁将甲方信息泄露。</w:t>
      </w:r>
    </w:p>
    <w:p w14:paraId="61AD2861">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第三条  质量保证</w:t>
      </w:r>
    </w:p>
    <w:p w14:paraId="4AF30454">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乙方所提供的服务及服务内容必须与</w:t>
      </w:r>
      <w:r>
        <w:rPr>
          <w:rFonts w:hint="eastAsia" w:ascii="宋体" w:hAnsi="宋体"/>
          <w:color w:val="auto"/>
          <w:szCs w:val="21"/>
        </w:rPr>
        <w:t>响应</w:t>
      </w:r>
      <w:r>
        <w:rPr>
          <w:rFonts w:hint="eastAsia" w:ascii="宋体" w:hAnsi="宋体" w:cs="宋体"/>
          <w:color w:val="auto"/>
          <w:szCs w:val="21"/>
        </w:rPr>
        <w:t>承诺相一致，</w:t>
      </w:r>
      <w:r>
        <w:rPr>
          <w:rFonts w:hint="eastAsia" w:ascii="宋体" w:hAnsi="宋体"/>
          <w:color w:val="auto"/>
          <w:szCs w:val="21"/>
        </w:rPr>
        <w:t>且满足项目实施要求，</w:t>
      </w:r>
      <w:r>
        <w:rPr>
          <w:rFonts w:hint="eastAsia" w:ascii="宋体" w:hAnsi="宋体" w:cs="宋体"/>
          <w:color w:val="auto"/>
          <w:szCs w:val="21"/>
        </w:rPr>
        <w:t>有国家强制性标准的，还必须符合国家强制性标准的规定，没有国家强制性标准但有其他强制性标准的，必须符合其他强制性标准的规定。</w:t>
      </w:r>
    </w:p>
    <w:p w14:paraId="67F9E45A">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第四条  标准、规范</w:t>
      </w:r>
    </w:p>
    <w:p w14:paraId="78BA48BA">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1D850753">
      <w:pPr>
        <w:spacing w:line="400" w:lineRule="exact"/>
        <w:ind w:firstLine="422" w:firstLineChars="200"/>
        <w:outlineLvl w:val="0"/>
        <w:rPr>
          <w:rFonts w:hint="eastAsia" w:ascii="宋体" w:hAnsi="宋体" w:cs="宋体"/>
          <w:color w:val="auto"/>
          <w:szCs w:val="21"/>
        </w:rPr>
      </w:pPr>
      <w:r>
        <w:rPr>
          <w:rFonts w:hint="eastAsia" w:ascii="宋体" w:hAnsi="宋体" w:cs="宋体"/>
          <w:b/>
          <w:color w:val="auto"/>
          <w:szCs w:val="21"/>
        </w:rPr>
        <w:t>第五条  知识产权和无产权瑕疵</w:t>
      </w:r>
    </w:p>
    <w:p w14:paraId="1376C97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乙方对甲方提供的文件等资料以及完成的服务成果以及在合同履行中所掌握的数据需承担保密义务；未经甲方书面同意，乙方对甲方提供的资料以及向甲方交付的服务成果以及在合同履行中所掌握的数据，不得向第三方透露、转让、提供知识产权或所有权。如乙方违反本条约定的义务，乙方已收取的费用应全额返还给甲方，造成甲方或第三人损失的，乙方还需承担赔偿责任。</w:t>
      </w:r>
    </w:p>
    <w:p w14:paraId="4F1B39D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2.乙方承诺，乙方向甲方提交的服务成果没有侵犯第三人的知识产权或所有权。否则，由此所产生的一切法律责任由乙方承担，造成甲方或第三人损失的，乙方还需承担赔偿责任。</w:t>
      </w:r>
    </w:p>
    <w:p w14:paraId="62879B2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3.乙方完成并提交服务成果的所有权以及知识产权均属于甲方所有。甲方利用乙方提交的服务成果，而自行研究开发产生的任何新的智力成果，其所有权及知识产权属于甲方所有。</w:t>
      </w:r>
    </w:p>
    <w:p w14:paraId="07579557">
      <w:pPr>
        <w:spacing w:line="400" w:lineRule="exact"/>
        <w:ind w:firstLine="422" w:firstLineChars="200"/>
        <w:outlineLvl w:val="0"/>
        <w:rPr>
          <w:rFonts w:hint="eastAsia" w:ascii="宋体" w:hAnsi="宋体" w:cs="宋体"/>
          <w:color w:val="auto"/>
          <w:szCs w:val="21"/>
        </w:rPr>
      </w:pPr>
      <w:r>
        <w:rPr>
          <w:rFonts w:hint="eastAsia" w:ascii="宋体" w:hAnsi="宋体" w:cs="宋体"/>
          <w:b/>
          <w:color w:val="auto"/>
          <w:szCs w:val="21"/>
        </w:rPr>
        <w:t>第六条  交付和验收</w:t>
      </w:r>
    </w:p>
    <w:p w14:paraId="4608D53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1.服务期限（合同履行期限）：</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bCs/>
          <w:color w:val="auto"/>
        </w:rPr>
        <w:t>交付地点</w:t>
      </w:r>
      <w:r>
        <w:rPr>
          <w:rFonts w:hint="eastAsia" w:ascii="宋体" w:hAnsi="宋体" w:cs="宋体"/>
          <w:color w:val="auto"/>
          <w:szCs w:val="21"/>
        </w:rPr>
        <w:t>：</w:t>
      </w:r>
      <w:r>
        <w:rPr>
          <w:rFonts w:hint="eastAsia" w:ascii="宋体" w:hAnsi="宋体" w:cs="宋体"/>
          <w:color w:val="auto"/>
          <w:szCs w:val="21"/>
          <w:u w:val="single"/>
        </w:rPr>
        <w:t>甲方指定地点</w:t>
      </w:r>
      <w:r>
        <w:rPr>
          <w:rFonts w:hint="eastAsia" w:ascii="宋体" w:hAnsi="宋体" w:cs="宋体"/>
          <w:color w:val="auto"/>
          <w:szCs w:val="21"/>
        </w:rPr>
        <w:t>。</w:t>
      </w:r>
    </w:p>
    <w:p w14:paraId="5BE96C8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24F69D4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3.乙方提供不符合响应文件和本合同规定的服务成果，甲方有权拒绝接受。</w:t>
      </w:r>
    </w:p>
    <w:p w14:paraId="23FC0216">
      <w:pPr>
        <w:snapToGrid w:val="0"/>
        <w:spacing w:line="400" w:lineRule="exact"/>
        <w:ind w:firstLine="420" w:firstLineChars="200"/>
        <w:jc w:val="left"/>
        <w:rPr>
          <w:rFonts w:hint="eastAsia" w:ascii="宋体" w:hAnsi="宋体" w:cs="宋体"/>
          <w:color w:val="auto"/>
          <w:kern w:val="0"/>
          <w:sz w:val="18"/>
          <w:szCs w:val="21"/>
        </w:rPr>
      </w:pPr>
      <w:r>
        <w:rPr>
          <w:rFonts w:hint="eastAsia" w:ascii="宋体" w:hAnsi="宋体" w:cs="宋体"/>
          <w:color w:val="auto"/>
          <w:kern w:val="0"/>
          <w:szCs w:val="21"/>
        </w:rPr>
        <w:t>4.验收标准：符合采购需求要求的服务标准、服务要求等。</w:t>
      </w:r>
    </w:p>
    <w:p w14:paraId="15E8CB4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5.验收方式：服务完成后，乙方须向采购人提交验收申请，验收内容要包括每一项技术和商务要求的履约情况，甲方收到申请后五个工作日进行验收（如有特殊情况，按采甲方指定的时间，另行验收）。</w:t>
      </w:r>
    </w:p>
    <w:p w14:paraId="1ECC237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乙方在服务验收时由甲方对照采购文件的服务内容及要求全面核对检验，如不符合采购文件的服务内容及要求以及提供虚假承诺的，一经查实，将上报有关部门按虚假应标处理，甲方可按相关规定做终止服务处理，同时将取消其成交资格并追究其违约责任。</w:t>
      </w:r>
    </w:p>
    <w:p w14:paraId="187A3613">
      <w:pPr>
        <w:spacing w:line="400" w:lineRule="exact"/>
        <w:ind w:firstLine="420" w:firstLineChars="200"/>
        <w:outlineLvl w:val="1"/>
        <w:rPr>
          <w:rFonts w:hint="eastAsia" w:ascii="宋体" w:hAnsi="宋体" w:cs="宋体"/>
          <w:color w:val="auto"/>
          <w:szCs w:val="21"/>
        </w:rPr>
      </w:pPr>
      <w:r>
        <w:rPr>
          <w:rFonts w:hint="eastAsia" w:ascii="宋体" w:hAnsi="宋体" w:cs="宋体"/>
          <w:color w:val="auto"/>
          <w:szCs w:val="21"/>
        </w:rPr>
        <w:t>7.验收产生的费用由乙方负责。</w:t>
      </w:r>
    </w:p>
    <w:p w14:paraId="23792B34">
      <w:pPr>
        <w:spacing w:line="400" w:lineRule="exact"/>
        <w:ind w:firstLine="420" w:firstLineChars="200"/>
        <w:outlineLvl w:val="1"/>
        <w:rPr>
          <w:rFonts w:hint="eastAsia" w:ascii="宋体" w:hAnsi="宋体" w:cs="宋体"/>
          <w:color w:val="auto"/>
          <w:szCs w:val="21"/>
        </w:rPr>
      </w:pPr>
      <w:r>
        <w:rPr>
          <w:rFonts w:hint="eastAsia" w:ascii="宋体" w:hAnsi="宋体" w:cs="宋体"/>
          <w:color w:val="auto"/>
          <w:szCs w:val="21"/>
        </w:rPr>
        <w:t>8.其他未尽事宜应严格按照《关于印发广西壮族自治区政府采购项目履约验收管理办法的通知》【桂财采〔2015〕22号】以及《财政部关于进一步加强政府采购需求和履约验收管理的指导意见》[财库(2016)205号]规定执行。</w:t>
      </w:r>
    </w:p>
    <w:p w14:paraId="7A7B3B7C">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第七条  服务及售后</w:t>
      </w:r>
    </w:p>
    <w:p w14:paraId="64A5FCD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1.乙方应按照国家有关法律法规规定以及响应文件承诺，为甲方提供售后服务。</w:t>
      </w:r>
    </w:p>
    <w:p w14:paraId="4EE149B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2.处理问题响应时间：乙方确保服务期间提供7×24小时的电话支持服务，通过电话、短信、即时通讯工具、电子邮件等及时解决考核服务中的各种问题，一旦出现电话解决不了的问题，接到采购人通知后</w:t>
      </w:r>
      <w:r>
        <w:rPr>
          <w:rFonts w:hint="eastAsia" w:ascii="宋体" w:hAnsi="宋体" w:cs="宋体"/>
          <w:color w:val="auto"/>
          <w:szCs w:val="21"/>
          <w:u w:val="single"/>
        </w:rPr>
        <w:t xml:space="preserve">     </w:t>
      </w:r>
      <w:r>
        <w:rPr>
          <w:rFonts w:hint="eastAsia" w:ascii="宋体" w:hAnsi="宋体" w:cs="宋体"/>
          <w:color w:val="auto"/>
          <w:szCs w:val="21"/>
        </w:rPr>
        <w:t>小时内到达指定地点解决。</w:t>
      </w:r>
    </w:p>
    <w:p w14:paraId="33D62FF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3.伴随货物质保期：</w:t>
      </w:r>
      <w:r>
        <w:rPr>
          <w:rFonts w:hint="eastAsia" w:ascii="宋体" w:hAnsi="宋体" w:cs="宋体"/>
          <w:color w:val="auto"/>
          <w:szCs w:val="21"/>
          <w:u w:val="single"/>
        </w:rPr>
        <w:t xml:space="preserve">              </w:t>
      </w:r>
    </w:p>
    <w:p w14:paraId="3AFA4CC7">
      <w:pPr>
        <w:spacing w:line="400" w:lineRule="exact"/>
        <w:ind w:firstLine="422" w:firstLineChars="200"/>
        <w:outlineLvl w:val="0"/>
        <w:rPr>
          <w:rFonts w:hint="eastAsia" w:ascii="宋体" w:hAnsi="宋体" w:cs="宋体"/>
          <w:color w:val="auto"/>
          <w:szCs w:val="21"/>
          <w:u w:val="single"/>
        </w:rPr>
      </w:pPr>
      <w:r>
        <w:rPr>
          <w:rFonts w:hint="eastAsia" w:ascii="宋体" w:hAnsi="宋体" w:cs="宋体"/>
          <w:b/>
          <w:color w:val="auto"/>
          <w:szCs w:val="21"/>
        </w:rPr>
        <w:t>第八条  合同价款及支付</w:t>
      </w:r>
    </w:p>
    <w:p w14:paraId="2F603D6B">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1.本合同以人民币付款。</w:t>
      </w:r>
    </w:p>
    <w:p w14:paraId="1A210485">
      <w:pPr>
        <w:snapToGrid w:val="0"/>
        <w:spacing w:line="400" w:lineRule="exact"/>
        <w:ind w:firstLine="420" w:firstLineChars="200"/>
        <w:rPr>
          <w:rFonts w:hint="eastAsia" w:ascii="宋体" w:hAnsi="宋体" w:cs="宋体"/>
          <w:color w:val="auto"/>
          <w:kern w:val="0"/>
          <w:sz w:val="20"/>
          <w:szCs w:val="21"/>
        </w:rPr>
      </w:pPr>
      <w:r>
        <w:rPr>
          <w:rFonts w:hint="eastAsia" w:ascii="宋体" w:hAnsi="宋体" w:cs="宋体"/>
          <w:color w:val="auto"/>
          <w:kern w:val="0"/>
          <w:szCs w:val="21"/>
        </w:rPr>
        <w:t>2.合同价款（或者报酬）：</w:t>
      </w:r>
      <w:r>
        <w:rPr>
          <w:rFonts w:hint="eastAsia" w:ascii="宋体" w:hAnsi="宋体" w:cs="宋体"/>
          <w:color w:val="auto"/>
          <w:kern w:val="0"/>
          <w:sz w:val="20"/>
          <w:szCs w:val="21"/>
          <w:u w:val="single"/>
        </w:rPr>
        <w:t xml:space="preserve">                     </w:t>
      </w:r>
      <w:r>
        <w:rPr>
          <w:rFonts w:hint="eastAsia" w:ascii="宋体" w:hAnsi="宋体" w:cs="宋体"/>
          <w:color w:val="auto"/>
          <w:kern w:val="0"/>
          <w:sz w:val="20"/>
          <w:szCs w:val="21"/>
        </w:rPr>
        <w:t>。</w:t>
      </w:r>
    </w:p>
    <w:p w14:paraId="7FB72333">
      <w:pPr>
        <w:spacing w:line="400" w:lineRule="exact"/>
        <w:ind w:firstLine="420" w:firstLineChars="200"/>
        <w:rPr>
          <w:rFonts w:hint="eastAsia" w:ascii="宋体" w:hAnsi="宋体" w:cs="宋体"/>
          <w:iCs/>
          <w:color w:val="auto"/>
          <w:szCs w:val="21"/>
          <w:u w:val="single"/>
        </w:rPr>
      </w:pPr>
      <w:r>
        <w:rPr>
          <w:rFonts w:hint="eastAsia" w:ascii="宋体" w:hAnsi="宋体" w:cs="宋体"/>
          <w:color w:val="auto"/>
          <w:szCs w:val="21"/>
        </w:rPr>
        <w:t>3.合同价款包括</w:t>
      </w:r>
      <w:r>
        <w:rPr>
          <w:rFonts w:hint="eastAsia" w:ascii="宋体" w:hAnsi="宋体" w:cs="宋体"/>
          <w:color w:val="auto"/>
          <w:szCs w:val="21"/>
          <w:u w:val="single"/>
        </w:rPr>
        <w:t>乙方</w:t>
      </w:r>
      <w:r>
        <w:rPr>
          <w:rFonts w:ascii="宋体" w:hAnsi="宋体" w:cs="宋体"/>
          <w:color w:val="auto"/>
          <w:szCs w:val="21"/>
          <w:u w:val="single"/>
        </w:rPr>
        <w:t>完成本项目服务所有内容及其他可能发生的一切费用。报价包含但不限于服务</w:t>
      </w:r>
      <w:r>
        <w:rPr>
          <w:rFonts w:hint="eastAsia" w:ascii="宋体" w:hAnsi="宋体" w:cs="宋体"/>
          <w:color w:val="auto"/>
          <w:szCs w:val="21"/>
          <w:u w:val="single"/>
        </w:rPr>
        <w:t>所包含的货物成本、</w:t>
      </w:r>
      <w:r>
        <w:rPr>
          <w:rFonts w:ascii="宋体" w:hAnsi="宋体" w:cs="宋体"/>
          <w:color w:val="auto"/>
          <w:szCs w:val="21"/>
          <w:u w:val="single"/>
        </w:rPr>
        <w:t>提交成果、编制、组织、策划、开发、调研、技术协助、校准、培训、技术指导、税金等 类似服务内容的全部费用，</w:t>
      </w:r>
      <w:r>
        <w:rPr>
          <w:rFonts w:hint="eastAsia" w:ascii="宋体" w:hAnsi="宋体" w:cs="宋体"/>
          <w:color w:val="auto"/>
          <w:szCs w:val="21"/>
          <w:u w:val="single"/>
        </w:rPr>
        <w:t>甲方</w:t>
      </w:r>
      <w:r>
        <w:rPr>
          <w:rFonts w:ascii="宋体" w:hAnsi="宋体" w:cs="宋体"/>
          <w:color w:val="auto"/>
          <w:szCs w:val="21"/>
          <w:u w:val="single"/>
        </w:rPr>
        <w:t>不再支付其他任何费用</w:t>
      </w:r>
      <w:r>
        <w:rPr>
          <w:rFonts w:hint="eastAsia" w:ascii="宋体" w:hAnsi="宋体" w:cs="宋体"/>
          <w:iCs/>
          <w:color w:val="auto"/>
          <w:szCs w:val="21"/>
          <w:u w:val="single"/>
        </w:rPr>
        <w:t>。</w:t>
      </w:r>
    </w:p>
    <w:p w14:paraId="2FCE6745">
      <w:pPr>
        <w:spacing w:line="400" w:lineRule="exact"/>
        <w:ind w:firstLine="420" w:firstLineChars="200"/>
        <w:rPr>
          <w:rFonts w:hint="eastAsia" w:ascii="宋体" w:hAnsi="宋体" w:cs="宋体"/>
          <w:color w:val="auto"/>
        </w:rPr>
      </w:pPr>
      <w:r>
        <w:rPr>
          <w:rFonts w:hint="eastAsia" w:ascii="宋体" w:hAnsi="宋体" w:cs="宋体"/>
          <w:bCs/>
          <w:color w:val="auto"/>
          <w:kern w:val="0"/>
          <w:szCs w:val="21"/>
        </w:rPr>
        <w:t>4.</w:t>
      </w:r>
      <w:r>
        <w:rPr>
          <w:rFonts w:hint="eastAsia" w:ascii="宋体" w:hAnsi="宋体" w:cs="宋体"/>
          <w:bCs/>
          <w:color w:val="auto"/>
        </w:rPr>
        <w:t>付款方式：</w:t>
      </w:r>
      <w:r>
        <w:rPr>
          <w:rFonts w:hint="eastAsia" w:ascii="宋体" w:hAnsi="宋体" w:cs="宋体"/>
          <w:color w:val="auto"/>
        </w:rPr>
        <w:t>双方签订合同之日起10个工作日内，甲方向乙方支付合同总金额的50%作为预付款，项目完成并经甲方验收合格且全部交付正常使用后，甲方在10个工作日内向乙方支付合同总金额的50%。</w:t>
      </w:r>
    </w:p>
    <w:p w14:paraId="1C5C92C4">
      <w:pPr>
        <w:spacing w:line="400" w:lineRule="exact"/>
        <w:ind w:firstLine="420" w:firstLineChars="200"/>
        <w:rPr>
          <w:rFonts w:hint="eastAsia" w:ascii="宋体" w:hAnsi="宋体" w:cs="宋体"/>
          <w:color w:val="auto"/>
          <w:szCs w:val="21"/>
          <w:u w:val="single"/>
        </w:rPr>
      </w:pPr>
      <w:r>
        <w:rPr>
          <w:rFonts w:hint="eastAsia" w:ascii="宋体" w:hAnsi="宋体" w:cs="宋体"/>
          <w:color w:val="auto"/>
        </w:rPr>
        <w:t>乙方在申请款项时，必须向甲方提供相应金额的符合国家规定的有效发票。</w:t>
      </w:r>
    </w:p>
    <w:p w14:paraId="267734BC">
      <w:pPr>
        <w:snapToGrid w:val="0"/>
        <w:spacing w:line="400" w:lineRule="exact"/>
        <w:ind w:firstLine="420" w:firstLineChars="200"/>
        <w:rPr>
          <w:rFonts w:hint="eastAsia" w:ascii="宋体" w:hAnsi="宋体" w:cs="宋体"/>
          <w:b/>
          <w:color w:val="auto"/>
          <w:szCs w:val="21"/>
        </w:rPr>
      </w:pPr>
      <w:r>
        <w:rPr>
          <w:rFonts w:hint="eastAsia" w:ascii="宋体" w:hAnsi="宋体" w:cs="宋体"/>
          <w:color w:val="auto"/>
        </w:rPr>
        <w:t>5.资金支付方式：</w:t>
      </w:r>
      <w:r>
        <w:rPr>
          <w:rFonts w:hint="eastAsia" w:ascii="宋体" w:hAnsi="宋体" w:cs="宋体"/>
          <w:color w:val="auto"/>
          <w:u w:val="single"/>
        </w:rPr>
        <w:t xml:space="preserve">  </w:t>
      </w:r>
      <w:r>
        <w:rPr>
          <w:rFonts w:hint="eastAsia" w:ascii="宋体" w:hAnsi="宋体" w:cs="宋体"/>
          <w:i/>
          <w:color w:val="auto"/>
          <w:u w:val="single"/>
        </w:rPr>
        <w:t xml:space="preserve">  </w:t>
      </w:r>
      <w:r>
        <w:rPr>
          <w:rFonts w:hint="eastAsia" w:ascii="宋体" w:hAnsi="宋体" w:cs="宋体"/>
          <w:iCs/>
          <w:color w:val="auto"/>
          <w:u w:val="single"/>
        </w:rPr>
        <w:t>（银行转账）</w:t>
      </w:r>
      <w:r>
        <w:rPr>
          <w:rFonts w:hint="eastAsia" w:ascii="宋体" w:hAnsi="宋体" w:cs="宋体"/>
          <w:i/>
          <w:color w:val="auto"/>
          <w:u w:val="single"/>
        </w:rPr>
        <w:t xml:space="preserve">  </w:t>
      </w:r>
      <w:r>
        <w:rPr>
          <w:rFonts w:hint="eastAsia" w:ascii="宋体" w:hAnsi="宋体" w:cs="宋体"/>
          <w:color w:val="auto"/>
          <w:u w:val="single"/>
        </w:rPr>
        <w:t xml:space="preserve"> </w:t>
      </w:r>
      <w:r>
        <w:rPr>
          <w:rFonts w:hint="eastAsia" w:ascii="宋体" w:hAnsi="宋体" w:cs="宋体"/>
          <w:color w:val="auto"/>
        </w:rPr>
        <w:t>。</w:t>
      </w:r>
    </w:p>
    <w:p w14:paraId="462EC75E">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第九条  税费</w:t>
      </w:r>
    </w:p>
    <w:p w14:paraId="0BA34E6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13034C17">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第十条  违约责任</w:t>
      </w:r>
    </w:p>
    <w:p w14:paraId="008AC83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1.甲乙双方必须遵守本合同并执行合同中的各项规定，保证本合同的正常履行。</w:t>
      </w:r>
    </w:p>
    <w:p w14:paraId="672F2F0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2.甲方延期付款的，每天向乙方偿付延期款额3‰违约金，但违约金累计不得超过延期款额5%。</w:t>
      </w:r>
    </w:p>
    <w:p w14:paraId="182D26D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737197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4.除不可抗力原因外，乙方没有按照合同规定的时间提供服务的，甲方可要求乙方支付违约金。每推迟一天按合同金额的3‰支付违约金，该违约金累计不超过合同金额的10%。</w:t>
      </w:r>
    </w:p>
    <w:p w14:paraId="37D88F2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5.乙方提供的服务如侵犯了第三方合法权益而引发的任何纠纷或者诉讼，均由乙方负责交涉并承担全部责任。</w:t>
      </w:r>
    </w:p>
    <w:p w14:paraId="09F9538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6.因某一方原因导致变更、中止或者终止政府采购合同的，该方应当对另一方受到的损失予以赔偿或者补偿。</w:t>
      </w:r>
    </w:p>
    <w:p w14:paraId="3D05C23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7.其他违约责任按《中华人民共和国民法典》处理。</w:t>
      </w:r>
    </w:p>
    <w:p w14:paraId="20F7F0CD">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第十一条  不可抗力事件处理</w:t>
      </w:r>
    </w:p>
    <w:p w14:paraId="62DDACE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6D3E2DB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056CE0F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3CFEED3F">
      <w:pPr>
        <w:spacing w:line="400" w:lineRule="exact"/>
        <w:ind w:firstLine="422" w:firstLineChars="200"/>
        <w:outlineLvl w:val="0"/>
        <w:rPr>
          <w:rFonts w:hint="eastAsia" w:ascii="宋体" w:hAnsi="宋体" w:cs="宋体"/>
          <w:color w:val="auto"/>
          <w:szCs w:val="21"/>
        </w:rPr>
      </w:pPr>
      <w:r>
        <w:rPr>
          <w:rFonts w:hint="eastAsia" w:ascii="宋体" w:hAnsi="宋体" w:cs="宋体"/>
          <w:b/>
          <w:color w:val="auto"/>
          <w:szCs w:val="21"/>
        </w:rPr>
        <w:t>第十二条  合同争议解决</w:t>
      </w:r>
    </w:p>
    <w:p w14:paraId="1AE0665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因服务质量问题发生争议的，应邀请国家认可的质量检测机构或专家组进行鉴定。服务符合标准的，鉴定费由甲方承担；服务不符合标准的，鉴定费由乙方承担；但乙方对鉴定费用承担垫付义务。如乙方接到甲方通知缴交鉴定费用之日起2日内没有履行垫付义务，视为乙方提供的服务不合格。届时，甲方有权解除合同，乙方已收的费用应全额返还甲方，造成甲方或第三人损失的，由乙方承担赔偿责任。</w:t>
      </w:r>
    </w:p>
    <w:p w14:paraId="2DC343B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2.因履行本合同引起的或者与本合同有关的争议，甲乙双方应首先通过友好协商解决，如果协商不能解决，可向甲方所在地有管辖权的人民法院提起诉讼。</w:t>
      </w:r>
    </w:p>
    <w:p w14:paraId="3709A61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3.诉讼期间，本合同继续履行。</w:t>
      </w:r>
    </w:p>
    <w:p w14:paraId="08357555">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第十三条  合同的变更、终止与转让</w:t>
      </w:r>
    </w:p>
    <w:p w14:paraId="05E3017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 除《中华人民共和国政府采购法》第五十条规定的情形外，本合同一经签订，甲乙双方不得擅自变更、中止或者终止合同。</w:t>
      </w:r>
    </w:p>
    <w:p w14:paraId="70BC05E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2.采购合同继续履行将损害国家利益和社会公共利益的，双方当事人应当变更、中止或者终止合同。有过错的一方应当承担赔偿责任，双方都有过错的，各自承担相应的责任。</w:t>
      </w:r>
    </w:p>
    <w:p w14:paraId="783C2AD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3.乙方不得擅自转让其应履行的合同义务。</w:t>
      </w:r>
    </w:p>
    <w:p w14:paraId="374365F9">
      <w:pPr>
        <w:snapToGrid w:val="0"/>
        <w:spacing w:line="400" w:lineRule="exact"/>
        <w:ind w:firstLine="422" w:firstLineChars="200"/>
        <w:outlineLvl w:val="0"/>
        <w:rPr>
          <w:rFonts w:hint="eastAsia" w:ascii="宋体" w:hAnsi="宋体"/>
          <w:b/>
          <w:color w:val="auto"/>
          <w:szCs w:val="21"/>
        </w:rPr>
      </w:pPr>
      <w:r>
        <w:rPr>
          <w:rFonts w:hint="eastAsia" w:ascii="宋体" w:hAnsi="宋体"/>
          <w:b/>
          <w:color w:val="auto"/>
          <w:szCs w:val="21"/>
        </w:rPr>
        <w:t xml:space="preserve">第十四条  </w:t>
      </w:r>
      <w:r>
        <w:rPr>
          <w:rFonts w:hint="eastAsia" w:ascii="宋体" w:hAnsi="宋体" w:cs="微软雅黑"/>
          <w:b/>
          <w:color w:val="auto"/>
          <w:kern w:val="0"/>
          <w:szCs w:val="21"/>
        </w:rPr>
        <w:t>合</w:t>
      </w:r>
      <w:r>
        <w:rPr>
          <w:rFonts w:hint="eastAsia" w:ascii="宋体" w:hAnsi="宋体" w:cs="微软雅黑"/>
          <w:b/>
          <w:color w:val="auto"/>
          <w:spacing w:val="-2"/>
          <w:kern w:val="0"/>
          <w:szCs w:val="21"/>
        </w:rPr>
        <w:t>同</w:t>
      </w:r>
      <w:r>
        <w:rPr>
          <w:rFonts w:hint="eastAsia" w:ascii="宋体" w:hAnsi="宋体" w:cs="微软雅黑"/>
          <w:b/>
          <w:color w:val="auto"/>
          <w:kern w:val="0"/>
          <w:szCs w:val="21"/>
        </w:rPr>
        <w:t>文</w:t>
      </w:r>
      <w:r>
        <w:rPr>
          <w:rFonts w:hint="eastAsia" w:ascii="宋体" w:hAnsi="宋体" w:cs="微软雅黑"/>
          <w:b/>
          <w:color w:val="auto"/>
          <w:spacing w:val="-2"/>
          <w:kern w:val="0"/>
          <w:szCs w:val="21"/>
        </w:rPr>
        <w:t>件构成</w:t>
      </w:r>
    </w:p>
    <w:p w14:paraId="2FABD767">
      <w:pPr>
        <w:snapToGrid w:val="0"/>
        <w:spacing w:line="400" w:lineRule="exact"/>
        <w:ind w:firstLine="420" w:firstLineChars="200"/>
        <w:outlineLvl w:val="1"/>
        <w:rPr>
          <w:rFonts w:hint="eastAsia" w:ascii="宋体" w:hAnsi="宋体"/>
          <w:color w:val="auto"/>
          <w:kern w:val="0"/>
          <w:szCs w:val="21"/>
        </w:rPr>
      </w:pPr>
      <w:r>
        <w:rPr>
          <w:rFonts w:hint="eastAsia" w:ascii="宋体" w:hAnsi="宋体"/>
          <w:color w:val="auto"/>
          <w:kern w:val="0"/>
          <w:szCs w:val="21"/>
        </w:rPr>
        <w:t>1.政府采购合同</w:t>
      </w:r>
    </w:p>
    <w:p w14:paraId="6E734B01">
      <w:pPr>
        <w:snapToGrid w:val="0"/>
        <w:spacing w:line="400" w:lineRule="exact"/>
        <w:ind w:firstLine="420" w:firstLineChars="200"/>
        <w:outlineLvl w:val="1"/>
        <w:rPr>
          <w:rFonts w:hint="eastAsia" w:ascii="宋体" w:hAnsi="宋体"/>
          <w:color w:val="auto"/>
          <w:kern w:val="0"/>
          <w:szCs w:val="21"/>
        </w:rPr>
      </w:pPr>
      <w:r>
        <w:rPr>
          <w:rFonts w:hint="eastAsia" w:ascii="宋体" w:hAnsi="宋体"/>
          <w:color w:val="auto"/>
          <w:kern w:val="0"/>
          <w:szCs w:val="21"/>
        </w:rPr>
        <w:t>2.成交通知书；</w:t>
      </w:r>
    </w:p>
    <w:p w14:paraId="5811553B">
      <w:pPr>
        <w:snapToGrid w:val="0"/>
        <w:spacing w:line="400" w:lineRule="exact"/>
        <w:ind w:firstLine="420" w:firstLineChars="200"/>
        <w:outlineLvl w:val="1"/>
        <w:rPr>
          <w:rFonts w:hint="eastAsia" w:ascii="宋体" w:hAnsi="宋体"/>
          <w:color w:val="auto"/>
          <w:kern w:val="0"/>
          <w:szCs w:val="21"/>
        </w:rPr>
      </w:pPr>
      <w:r>
        <w:rPr>
          <w:rFonts w:hint="eastAsia" w:ascii="宋体" w:hAnsi="宋体"/>
          <w:color w:val="auto"/>
          <w:kern w:val="0"/>
          <w:szCs w:val="21"/>
        </w:rPr>
        <w:t>3.响应文件；</w:t>
      </w:r>
    </w:p>
    <w:p w14:paraId="2BFF999E">
      <w:pPr>
        <w:snapToGrid w:val="0"/>
        <w:spacing w:line="400" w:lineRule="exact"/>
        <w:ind w:firstLine="420" w:firstLineChars="200"/>
        <w:outlineLvl w:val="1"/>
        <w:rPr>
          <w:rFonts w:hint="eastAsia" w:ascii="宋体" w:hAnsi="宋体"/>
          <w:color w:val="auto"/>
          <w:kern w:val="0"/>
          <w:szCs w:val="21"/>
        </w:rPr>
      </w:pPr>
      <w:r>
        <w:rPr>
          <w:rFonts w:hint="eastAsia" w:ascii="宋体" w:hAnsi="宋体"/>
          <w:color w:val="auto"/>
          <w:kern w:val="0"/>
          <w:szCs w:val="21"/>
        </w:rPr>
        <w:t>4.采购文件及更正公告（澄清或补充通知）；</w:t>
      </w:r>
    </w:p>
    <w:p w14:paraId="07B50C6E">
      <w:pPr>
        <w:snapToGrid w:val="0"/>
        <w:spacing w:line="400" w:lineRule="exact"/>
        <w:ind w:firstLine="420" w:firstLineChars="200"/>
        <w:outlineLvl w:val="1"/>
        <w:rPr>
          <w:rFonts w:hint="eastAsia" w:ascii="宋体" w:hAnsi="宋体"/>
          <w:color w:val="auto"/>
          <w:kern w:val="0"/>
          <w:szCs w:val="21"/>
        </w:rPr>
      </w:pPr>
      <w:r>
        <w:rPr>
          <w:rFonts w:hint="eastAsia" w:ascii="宋体" w:hAnsi="宋体"/>
          <w:color w:val="auto"/>
          <w:kern w:val="0"/>
          <w:szCs w:val="21"/>
        </w:rPr>
        <w:t>5.标准、规范及有关技术文件；</w:t>
      </w:r>
    </w:p>
    <w:p w14:paraId="47AA9D1F">
      <w:pPr>
        <w:snapToGrid w:val="0"/>
        <w:spacing w:line="400" w:lineRule="exact"/>
        <w:ind w:firstLine="420" w:firstLineChars="200"/>
        <w:outlineLvl w:val="1"/>
        <w:rPr>
          <w:rFonts w:hint="eastAsia" w:ascii="宋体" w:hAnsi="宋体"/>
          <w:color w:val="auto"/>
          <w:kern w:val="0"/>
          <w:szCs w:val="21"/>
        </w:rPr>
      </w:pPr>
      <w:r>
        <w:rPr>
          <w:rFonts w:hint="eastAsia" w:ascii="宋体" w:hAnsi="宋体"/>
          <w:color w:val="auto"/>
          <w:kern w:val="0"/>
          <w:szCs w:val="21"/>
        </w:rPr>
        <w:t>6.双方约定的其他合同文件。</w:t>
      </w:r>
    </w:p>
    <w:p w14:paraId="775A7AD6">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上述合同文件互相补充和解释。如果合同文件之间存在矛盾或者不一致之处，以上述文件的排列顺序在先者为准。</w:t>
      </w:r>
    </w:p>
    <w:p w14:paraId="65275602">
      <w:pPr>
        <w:spacing w:line="40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第十五条  合同生效</w:t>
      </w:r>
    </w:p>
    <w:p w14:paraId="311B64B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1.合同执行过程中涉及采购资金和采购内容修改或补充的，须签订书面补充协议，方可作为主合同不可分割的一部分。</w:t>
      </w:r>
    </w:p>
    <w:p w14:paraId="02F3A01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2.本合同未尽事宜，遵照《中华人民共和国民法典》有关条文执行。</w:t>
      </w:r>
    </w:p>
    <w:p w14:paraId="5751638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3.本合同经甲乙双方法定代表人或授权代表签字并加盖单位公章后生效（委托代理人签字的需后附法定代表人授权委托书，格式自拟）。</w:t>
      </w:r>
    </w:p>
    <w:p w14:paraId="68631AD7">
      <w:pPr>
        <w:spacing w:line="500" w:lineRule="exact"/>
        <w:ind w:firstLine="420" w:firstLineChars="200"/>
        <w:rPr>
          <w:rFonts w:hint="eastAsia" w:ascii="仿宋" w:hAnsi="仿宋" w:eastAsia="仿宋" w:cs="仿宋"/>
          <w:color w:val="auto"/>
          <w:sz w:val="28"/>
          <w:szCs w:val="28"/>
        </w:rPr>
      </w:pPr>
      <w:r>
        <w:rPr>
          <w:rFonts w:hint="eastAsia" w:ascii="宋体" w:hAnsi="宋体" w:cs="宋体"/>
          <w:color w:val="auto"/>
          <w:szCs w:val="21"/>
        </w:rPr>
        <w:t>4.本合同自签订之日起2个工作日内，甲方应当将采购合同在广西壮族自治区财政厅指定的媒体上公告。</w:t>
      </w:r>
    </w:p>
    <w:p w14:paraId="3D0985D1">
      <w:pPr>
        <w:spacing w:line="360" w:lineRule="auto"/>
        <w:ind w:right="-624" w:rightChars="-297"/>
        <w:rPr>
          <w:rFonts w:hint="eastAsia" w:asciiTheme="minorEastAsia" w:hAnsiTheme="minorEastAsia" w:eastAsiaTheme="minorEastAsia" w:cstheme="minorEastAsia"/>
          <w:color w:val="auto"/>
          <w:szCs w:val="21"/>
        </w:rPr>
      </w:pPr>
    </w:p>
    <w:p w14:paraId="315F895B">
      <w:pPr>
        <w:tabs>
          <w:tab w:val="left" w:pos="4395"/>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甲方（盖章）：</w:t>
      </w:r>
      <w:r>
        <w:rPr>
          <w:rFonts w:hint="eastAsia" w:asciiTheme="minorEastAsia" w:hAnsiTheme="minorEastAsia" w:eastAsiaTheme="minorEastAsia" w:cstheme="minorEastAsia"/>
          <w:b/>
          <w:color w:val="auto"/>
          <w:szCs w:val="21"/>
        </w:rPr>
        <w:tab/>
      </w:r>
      <w:r>
        <w:rPr>
          <w:rFonts w:hint="eastAsia" w:asciiTheme="minorEastAsia" w:hAnsiTheme="minorEastAsia" w:eastAsiaTheme="minorEastAsia" w:cstheme="minorEastAsia"/>
          <w:b/>
          <w:color w:val="auto"/>
          <w:szCs w:val="21"/>
        </w:rPr>
        <w:t>乙方（盖章）：</w:t>
      </w:r>
    </w:p>
    <w:p w14:paraId="39252726">
      <w:pPr>
        <w:tabs>
          <w:tab w:val="left" w:pos="4395"/>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Cs/>
          <w:color w:val="auto"/>
          <w:szCs w:val="21"/>
        </w:rPr>
        <w:t>法定代表人或者委托代理人（签字）</w:t>
      </w:r>
      <w:r>
        <w:rPr>
          <w:rFonts w:hint="eastAsia" w:asciiTheme="minorEastAsia" w:hAnsiTheme="minorEastAsia" w:eastAsiaTheme="minorEastAsia" w:cstheme="minorEastAsia"/>
          <w:b/>
          <w:color w:val="auto"/>
          <w:szCs w:val="21"/>
        </w:rPr>
        <w:t>：</w:t>
      </w:r>
      <w:r>
        <w:rPr>
          <w:rFonts w:hint="eastAsia" w:asciiTheme="minorEastAsia" w:hAnsiTheme="minorEastAsia" w:eastAsiaTheme="minorEastAsia" w:cstheme="minorEastAsia"/>
          <w:b/>
          <w:color w:val="auto"/>
          <w:szCs w:val="21"/>
        </w:rPr>
        <w:tab/>
      </w:r>
      <w:r>
        <w:rPr>
          <w:rFonts w:hint="eastAsia" w:asciiTheme="minorEastAsia" w:hAnsiTheme="minorEastAsia" w:eastAsiaTheme="minorEastAsia" w:cstheme="minorEastAsia"/>
          <w:bCs/>
          <w:color w:val="auto"/>
          <w:szCs w:val="21"/>
        </w:rPr>
        <w:t>法定代表人或者委托代理人（签字）</w:t>
      </w:r>
      <w:r>
        <w:rPr>
          <w:rFonts w:hint="eastAsia" w:asciiTheme="minorEastAsia" w:hAnsiTheme="minorEastAsia" w:eastAsiaTheme="minorEastAsia" w:cstheme="minorEastAsia"/>
          <w:b/>
          <w:color w:val="auto"/>
          <w:szCs w:val="21"/>
        </w:rPr>
        <w:t xml:space="preserve">： </w:t>
      </w:r>
    </w:p>
    <w:p w14:paraId="615BB465">
      <w:pPr>
        <w:tabs>
          <w:tab w:val="left" w:pos="4395"/>
        </w:tabs>
        <w:spacing w:line="360" w:lineRule="auto"/>
        <w:rPr>
          <w:rFonts w:hint="eastAsia" w:ascii="宋体" w:hAnsi="宋体" w:cs="宋体"/>
          <w:color w:val="auto"/>
          <w:sz w:val="6"/>
          <w:szCs w:val="6"/>
        </w:rPr>
      </w:pPr>
      <w:r>
        <w:rPr>
          <w:rFonts w:hint="eastAsia" w:asciiTheme="minorEastAsia" w:hAnsiTheme="minorEastAsia" w:eastAsiaTheme="minorEastAsia" w:cstheme="minorEastAsia"/>
          <w:color w:val="auto"/>
          <w:szCs w:val="21"/>
        </w:rPr>
        <w:t>签订日期：　　　年　　月　　日</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签订日期：　　　年　　月　　日</w:t>
      </w:r>
    </w:p>
    <w:bookmarkEnd w:id="177"/>
    <w:sectPr>
      <w:footerReference r:id="rId8" w:type="first"/>
      <w:footerReference r:id="rId7" w:type="default"/>
      <w:pgSz w:w="11906" w:h="16838"/>
      <w:pgMar w:top="1327" w:right="1253" w:bottom="1327" w:left="12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E6186B-A172-4813-B34D-375588E44147}"/>
  </w:font>
  <w:font w:name="黑体">
    <w:panose1 w:val="02010609060101010101"/>
    <w:charset w:val="86"/>
    <w:family w:val="auto"/>
    <w:pitch w:val="default"/>
    <w:sig w:usb0="800002BF" w:usb1="38CF7CFA" w:usb2="00000016" w:usb3="00000000" w:csb0="00040001" w:csb1="00000000"/>
    <w:embedRegular r:id="rId2" w:fontKey="{BAD042AF-228C-4B4F-9D24-2BCEB633C8D6}"/>
  </w:font>
  <w:font w:name="Courier New">
    <w:panose1 w:val="02070309020205020404"/>
    <w:charset w:val="01"/>
    <w:family w:val="modern"/>
    <w:pitch w:val="default"/>
    <w:sig w:usb0="E0002EFF" w:usb1="C0007843" w:usb2="00000009" w:usb3="00000000" w:csb0="400001FF" w:csb1="FFFF0000"/>
    <w:embedRegular r:id="rId3" w:fontKey="{E7434836-3308-480F-AAD6-7247F75E16D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1B390E9A-1A62-4F13-B8CE-7301043A4D7E}"/>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embedRegular r:id="rId5" w:fontKey="{01D24886-BB3D-4B9A-8291-81AED6D66E4C}"/>
  </w:font>
  <w:font w:name="华文新魏">
    <w:panose1 w:val="02010800040101010101"/>
    <w:charset w:val="86"/>
    <w:family w:val="auto"/>
    <w:pitch w:val="default"/>
    <w:sig w:usb0="00000001" w:usb1="080F0000" w:usb2="00000000" w:usb3="00000000" w:csb0="00040000" w:csb1="00000000"/>
    <w:embedRegular r:id="rId6" w:fontKey="{3EA41D6C-D2AE-457B-9B62-6DF5793C55D0}"/>
  </w:font>
  <w:font w:name="Wingdings 2">
    <w:panose1 w:val="05020102010507070707"/>
    <w:charset w:val="02"/>
    <w:family w:val="roman"/>
    <w:pitch w:val="default"/>
    <w:sig w:usb0="00000000" w:usb1="00000000" w:usb2="00000000" w:usb3="00000000" w:csb0="80000000" w:csb1="00000000"/>
    <w:embedRegular r:id="rId7" w:fontKey="{0A003A5C-8602-4ADF-9BA8-97B485A9B1BD}"/>
  </w:font>
  <w:font w:name="微软雅黑">
    <w:panose1 w:val="020B0503020204020204"/>
    <w:charset w:val="86"/>
    <w:family w:val="swiss"/>
    <w:pitch w:val="default"/>
    <w:sig w:usb0="80000287" w:usb1="2ACF3C50" w:usb2="00000016" w:usb3="00000000" w:csb0="0004001F" w:csb1="00000000"/>
    <w:embedRegular r:id="rId8" w:fontKey="{A3C073B8-6E72-49F3-A51B-BE22F2FD8487}"/>
  </w:font>
  <w:font w:name="仿宋">
    <w:panose1 w:val="02010609060101010101"/>
    <w:charset w:val="86"/>
    <w:family w:val="modern"/>
    <w:pitch w:val="default"/>
    <w:sig w:usb0="800002BF" w:usb1="38CF7CFA" w:usb2="00000016" w:usb3="00000000" w:csb0="00040001" w:csb1="00000000"/>
    <w:embedRegular r:id="rId9" w:fontKey="{0A618FA8-F649-4D85-A4B8-13AD53A560FB}"/>
  </w:font>
  <w:font w:name="WPSEMBED43">
    <w:panose1 w:val="03000509000000000000"/>
    <w:charset w:val="86"/>
    <w:family w:val="auto"/>
    <w:pitch w:val="default"/>
    <w:sig w:usb0="00000001" w:usb1="080E0000" w:usb2="00000000" w:usb3="00000000" w:csb0="00040000" w:csb1="00000000"/>
  </w:font>
  <w:font w:name="WPSEMBED42">
    <w:panose1 w:val="02010609030101010101"/>
    <w:charset w:val="86"/>
    <w:family w:val="auto"/>
    <w:pitch w:val="default"/>
    <w:sig w:usb0="00000001" w:usb1="080E0000" w:usb2="00000000" w:usb3="00000000" w:csb0="00040000" w:csb1="00000000"/>
  </w:font>
  <w:font w:name="WPSEMBED44">
    <w:panose1 w:val="02010800040101010101"/>
    <w:charset w:val="86"/>
    <w:family w:val="auto"/>
    <w:pitch w:val="default"/>
    <w:sig w:usb0="00000001" w:usb1="080F0000" w:usb2="00000000" w:usb3="00000000" w:csb0="00040000" w:csb1="00000000"/>
  </w:font>
  <w:font w:name="WPSEMBED45">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3362">
    <w:pPr>
      <w:pStyle w:val="19"/>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663F47">
                          <w:pPr>
                            <w:pStyle w:val="1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v1xsgBAACe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hb9cbIAQAAngMAAA4AAAAAAAAAAQAgAAAAHgEAAGRycy9lMm9Eb2Mu&#10;eG1sUEsFBgAAAAAGAAYAWQEAAFgFAAAAAA==&#10;">
              <v:fill on="f" focussize="0,0"/>
              <v:stroke on="f"/>
              <v:imagedata o:title=""/>
              <o:lock v:ext="edit" aspectratio="f"/>
              <v:textbox inset="0mm,0mm,0mm,0mm" style="mso-fit-shape-to-text:t;">
                <w:txbxContent>
                  <w:p w14:paraId="1C663F4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8501D">
    <w:pPr>
      <w:pStyle w:val="19"/>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E79B0C"/>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76E79B0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B32A2">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17C2E9">
                          <w:pPr>
                            <w:pStyle w:val="19"/>
                            <w:jc w:val="center"/>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8sLxZyQEAAJ4DAAAOAAAAAAAAAAEAIAAAAB4BAABkcnMvZTJvRG9j&#10;LnhtbFBLBQYAAAAABgAGAFkBAABZBQAAAAA=&#10;">
              <v:fill on="f" focussize="0,0"/>
              <v:stroke on="f"/>
              <v:imagedata o:title=""/>
              <o:lock v:ext="edit" aspectratio="f"/>
              <v:textbox inset="0mm,0mm,0mm,0mm" style="mso-fit-shape-to-text:t;">
                <w:txbxContent>
                  <w:p w14:paraId="3917C2E9">
                    <w:pPr>
                      <w:pStyle w:val="19"/>
                      <w:jc w:val="center"/>
                    </w:pPr>
                    <w:r>
                      <w:fldChar w:fldCharType="begin"/>
                    </w:r>
                    <w:r>
                      <w:instrText xml:space="preserve"> PAGE  \* MERGEFORMAT </w:instrText>
                    </w:r>
                    <w:r>
                      <w:fldChar w:fldCharType="separate"/>
                    </w:r>
                    <w:r>
                      <w:t>48</w:t>
                    </w:r>
                    <w:r>
                      <w:fldChar w:fldCharType="end"/>
                    </w:r>
                  </w:p>
                </w:txbxContent>
              </v:textbox>
            </v:shape>
          </w:pict>
        </mc:Fallback>
      </mc:AlternateContent>
    </w:r>
  </w:p>
  <w:p w14:paraId="1B1222C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6720">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EFD31C">
                          <w:pPr>
                            <w:pStyle w:val="19"/>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5Ri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rlGJyQEAAJ4DAAAOAAAAAAAAAAEAIAAAAB4BAABkcnMvZTJvRG9j&#10;LnhtbFBLBQYAAAAABgAGAFkBAABZBQAAAAA=&#10;">
              <v:fill on="f" focussize="0,0"/>
              <v:stroke on="f"/>
              <v:imagedata o:title=""/>
              <o:lock v:ext="edit" aspectratio="f"/>
              <v:textbox inset="0mm,0mm,0mm,0mm" style="mso-fit-shape-to-text:t;">
                <w:txbxContent>
                  <w:p w14:paraId="33EFD31C">
                    <w:pPr>
                      <w:pStyle w:val="1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20AD">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CFE90">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F8D59"/>
    <w:multiLevelType w:val="singleLevel"/>
    <w:tmpl w:val="8E1F8D59"/>
    <w:lvl w:ilvl="0" w:tentative="0">
      <w:start w:val="1"/>
      <w:numFmt w:val="decimal"/>
      <w:suff w:val="nothing"/>
      <w:lvlText w:val="%1、"/>
      <w:lvlJc w:val="left"/>
      <w:rPr>
        <w:rFonts w:hint="default"/>
        <w:b/>
        <w:bCs/>
      </w:rPr>
    </w:lvl>
  </w:abstractNum>
  <w:abstractNum w:abstractNumId="1">
    <w:nsid w:val="B80EBFF9"/>
    <w:multiLevelType w:val="singleLevel"/>
    <w:tmpl w:val="B80EBFF9"/>
    <w:lvl w:ilvl="0" w:tentative="0">
      <w:start w:val="1"/>
      <w:numFmt w:val="chineseCounting"/>
      <w:suff w:val="nothing"/>
      <w:lvlText w:val="%1、"/>
      <w:lvlJc w:val="left"/>
      <w:rPr>
        <w:rFonts w:hint="eastAsia"/>
      </w:rPr>
    </w:lvl>
  </w:abstractNum>
  <w:abstractNum w:abstractNumId="2">
    <w:nsid w:val="CCB9D939"/>
    <w:multiLevelType w:val="singleLevel"/>
    <w:tmpl w:val="CCB9D939"/>
    <w:lvl w:ilvl="0" w:tentative="0">
      <w:start w:val="1"/>
      <w:numFmt w:val="decimal"/>
      <w:suff w:val="nothing"/>
      <w:lvlText w:val="%1、"/>
      <w:lvlJc w:val="left"/>
      <w:pPr>
        <w:ind w:left="-2"/>
      </w:pPr>
      <w:rPr>
        <w:rFonts w:hint="default"/>
        <w:b/>
        <w:bCs/>
      </w:rPr>
    </w:lvl>
  </w:abstractNum>
  <w:abstractNum w:abstractNumId="3">
    <w:nsid w:val="D5E08794"/>
    <w:multiLevelType w:val="singleLevel"/>
    <w:tmpl w:val="D5E08794"/>
    <w:lvl w:ilvl="0" w:tentative="0">
      <w:start w:val="1"/>
      <w:numFmt w:val="chineseCounting"/>
      <w:suff w:val="nothing"/>
      <w:lvlText w:val="第%1条　"/>
      <w:lvlJc w:val="left"/>
      <w:rPr>
        <w:rFonts w:hint="eastAsia"/>
      </w:rPr>
    </w:lvl>
  </w:abstractNum>
  <w:abstractNum w:abstractNumId="4">
    <w:nsid w:val="F2C3C535"/>
    <w:multiLevelType w:val="singleLevel"/>
    <w:tmpl w:val="F2C3C535"/>
    <w:lvl w:ilvl="0" w:tentative="0">
      <w:start w:val="2"/>
      <w:numFmt w:val="chineseCounting"/>
      <w:suff w:val="nothing"/>
      <w:lvlText w:val="%1、"/>
      <w:lvlJc w:val="left"/>
      <w:rPr>
        <w:rFonts w:hint="eastAsia"/>
      </w:rPr>
    </w:lvl>
  </w:abstractNum>
  <w:abstractNum w:abstractNumId="5">
    <w:nsid w:val="1C43D0CF"/>
    <w:multiLevelType w:val="singleLevel"/>
    <w:tmpl w:val="1C43D0CF"/>
    <w:lvl w:ilvl="0" w:tentative="0">
      <w:start w:val="1"/>
      <w:numFmt w:val="decimal"/>
      <w:suff w:val="nothing"/>
      <w:lvlText w:val="%1、"/>
      <w:lvlJc w:val="left"/>
      <w:rPr>
        <w:rFonts w:hint="default"/>
        <w:b/>
        <w:bCs/>
      </w:rPr>
    </w:lvl>
  </w:abstractNum>
  <w:abstractNum w:abstractNumId="6">
    <w:nsid w:val="4B63EC45"/>
    <w:multiLevelType w:val="singleLevel"/>
    <w:tmpl w:val="4B63EC45"/>
    <w:lvl w:ilvl="0" w:tentative="0">
      <w:start w:val="1"/>
      <w:numFmt w:val="decimal"/>
      <w:suff w:val="space"/>
      <w:lvlText w:val="%1."/>
      <w:lvlJc w:val="left"/>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ODgzNjJkNjNmYzUzYzg0ZTg5ODJmM2IxY2M4YWMifQ=="/>
  </w:docVars>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57ED8"/>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548"/>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0AA7"/>
    <w:rsid w:val="001E129E"/>
    <w:rsid w:val="001E175C"/>
    <w:rsid w:val="001E1B0E"/>
    <w:rsid w:val="001E3B63"/>
    <w:rsid w:val="001E53FB"/>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1AEB"/>
    <w:rsid w:val="00212CD9"/>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6BC4"/>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6F4E"/>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0D9"/>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5058"/>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0AE3"/>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738"/>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2E"/>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5D6B"/>
    <w:rsid w:val="005B77D2"/>
    <w:rsid w:val="005C0195"/>
    <w:rsid w:val="005C019B"/>
    <w:rsid w:val="005C08D0"/>
    <w:rsid w:val="005C1AED"/>
    <w:rsid w:val="005C2136"/>
    <w:rsid w:val="005C30F5"/>
    <w:rsid w:val="005C3840"/>
    <w:rsid w:val="005C51A5"/>
    <w:rsid w:val="005C54BC"/>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6B3"/>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1CA7"/>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5E2B"/>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56AC"/>
    <w:rsid w:val="0073792F"/>
    <w:rsid w:val="00737A15"/>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D7A3C"/>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5897"/>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210"/>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788"/>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309"/>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7CE"/>
    <w:rsid w:val="00970F18"/>
    <w:rsid w:val="00971565"/>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68C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131"/>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2327"/>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3D0"/>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188"/>
    <w:rsid w:val="00A41537"/>
    <w:rsid w:val="00A41737"/>
    <w:rsid w:val="00A42B8F"/>
    <w:rsid w:val="00A42D8E"/>
    <w:rsid w:val="00A43254"/>
    <w:rsid w:val="00A432DD"/>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178D"/>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34BD"/>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A74"/>
    <w:rsid w:val="00AF4DEC"/>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16"/>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4BC"/>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850"/>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90372"/>
    <w:rsid w:val="00C9041F"/>
    <w:rsid w:val="00C90A64"/>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2FF7"/>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5E90"/>
    <w:rsid w:val="00DC67B1"/>
    <w:rsid w:val="00DC7FBC"/>
    <w:rsid w:val="00DD0019"/>
    <w:rsid w:val="00DD132B"/>
    <w:rsid w:val="00DD1725"/>
    <w:rsid w:val="00DD2159"/>
    <w:rsid w:val="00DD218B"/>
    <w:rsid w:val="00DD28BA"/>
    <w:rsid w:val="00DD2A18"/>
    <w:rsid w:val="00DD3044"/>
    <w:rsid w:val="00DD3985"/>
    <w:rsid w:val="00DD61E8"/>
    <w:rsid w:val="00DD62C0"/>
    <w:rsid w:val="00DD64DE"/>
    <w:rsid w:val="00DD66DE"/>
    <w:rsid w:val="00DD7859"/>
    <w:rsid w:val="00DD7B41"/>
    <w:rsid w:val="00DD7DB0"/>
    <w:rsid w:val="00DE0784"/>
    <w:rsid w:val="00DE0A1D"/>
    <w:rsid w:val="00DE15B2"/>
    <w:rsid w:val="00DE1A9A"/>
    <w:rsid w:val="00DE3D2C"/>
    <w:rsid w:val="00DE5E77"/>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06F1"/>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3B54"/>
    <w:rsid w:val="00E6402D"/>
    <w:rsid w:val="00E6680A"/>
    <w:rsid w:val="00E66F0D"/>
    <w:rsid w:val="00E70615"/>
    <w:rsid w:val="00E713D8"/>
    <w:rsid w:val="00E7161E"/>
    <w:rsid w:val="00E7207B"/>
    <w:rsid w:val="00E72DCE"/>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C5FD7"/>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E79"/>
    <w:rsid w:val="00EE2F09"/>
    <w:rsid w:val="00EE47C5"/>
    <w:rsid w:val="00EE490C"/>
    <w:rsid w:val="00EE4E57"/>
    <w:rsid w:val="00EE5738"/>
    <w:rsid w:val="00EE58BD"/>
    <w:rsid w:val="00EE5E59"/>
    <w:rsid w:val="00EE70F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78E5"/>
    <w:rsid w:val="012C5FAF"/>
    <w:rsid w:val="01551C3E"/>
    <w:rsid w:val="01AF3D99"/>
    <w:rsid w:val="02186FF2"/>
    <w:rsid w:val="02511F9D"/>
    <w:rsid w:val="02897931"/>
    <w:rsid w:val="03A314B8"/>
    <w:rsid w:val="03D82B98"/>
    <w:rsid w:val="03F57F0D"/>
    <w:rsid w:val="03F83E8B"/>
    <w:rsid w:val="048C5D36"/>
    <w:rsid w:val="049C4157"/>
    <w:rsid w:val="05C56868"/>
    <w:rsid w:val="06013577"/>
    <w:rsid w:val="07A539BD"/>
    <w:rsid w:val="07B72767"/>
    <w:rsid w:val="08077E72"/>
    <w:rsid w:val="086D7248"/>
    <w:rsid w:val="08882DD0"/>
    <w:rsid w:val="08C818EE"/>
    <w:rsid w:val="09CC2AAC"/>
    <w:rsid w:val="09E16F33"/>
    <w:rsid w:val="0A652D3E"/>
    <w:rsid w:val="0B326F2A"/>
    <w:rsid w:val="0B882945"/>
    <w:rsid w:val="0C1E2888"/>
    <w:rsid w:val="0C92213C"/>
    <w:rsid w:val="0CC2027E"/>
    <w:rsid w:val="0D84032B"/>
    <w:rsid w:val="0F2A74C4"/>
    <w:rsid w:val="0FD91C66"/>
    <w:rsid w:val="10A27F31"/>
    <w:rsid w:val="11927058"/>
    <w:rsid w:val="120E171E"/>
    <w:rsid w:val="122F7A1A"/>
    <w:rsid w:val="13AF4F03"/>
    <w:rsid w:val="14736E66"/>
    <w:rsid w:val="147F458F"/>
    <w:rsid w:val="14AD5709"/>
    <w:rsid w:val="14EB7761"/>
    <w:rsid w:val="1534169A"/>
    <w:rsid w:val="15B14D7D"/>
    <w:rsid w:val="15C03E03"/>
    <w:rsid w:val="15F946AE"/>
    <w:rsid w:val="15FC59F9"/>
    <w:rsid w:val="162A25EB"/>
    <w:rsid w:val="16735895"/>
    <w:rsid w:val="16FD2A55"/>
    <w:rsid w:val="17067C1A"/>
    <w:rsid w:val="17366761"/>
    <w:rsid w:val="177C01F0"/>
    <w:rsid w:val="178C0204"/>
    <w:rsid w:val="179E3EFA"/>
    <w:rsid w:val="17CE6630"/>
    <w:rsid w:val="19A3312C"/>
    <w:rsid w:val="1AFF0AFE"/>
    <w:rsid w:val="1B4F19F8"/>
    <w:rsid w:val="1C995450"/>
    <w:rsid w:val="1ECC44FA"/>
    <w:rsid w:val="1F063325"/>
    <w:rsid w:val="1FBC5DF5"/>
    <w:rsid w:val="1FF90588"/>
    <w:rsid w:val="20C3623F"/>
    <w:rsid w:val="21781212"/>
    <w:rsid w:val="21B83F86"/>
    <w:rsid w:val="21C15B65"/>
    <w:rsid w:val="221178A8"/>
    <w:rsid w:val="221213CF"/>
    <w:rsid w:val="22327A92"/>
    <w:rsid w:val="22E9024C"/>
    <w:rsid w:val="231D53A2"/>
    <w:rsid w:val="236D5383"/>
    <w:rsid w:val="23A410E9"/>
    <w:rsid w:val="23B7504C"/>
    <w:rsid w:val="24571307"/>
    <w:rsid w:val="25110A2A"/>
    <w:rsid w:val="256C0944"/>
    <w:rsid w:val="25A33267"/>
    <w:rsid w:val="26446DE3"/>
    <w:rsid w:val="26877DFE"/>
    <w:rsid w:val="269669E7"/>
    <w:rsid w:val="26A270C1"/>
    <w:rsid w:val="26D7699F"/>
    <w:rsid w:val="276BB53D"/>
    <w:rsid w:val="27FC67EB"/>
    <w:rsid w:val="29D75F7F"/>
    <w:rsid w:val="2A7B7A11"/>
    <w:rsid w:val="2AB0319B"/>
    <w:rsid w:val="2B244813"/>
    <w:rsid w:val="2B774624"/>
    <w:rsid w:val="2BD64583"/>
    <w:rsid w:val="2C7A72BE"/>
    <w:rsid w:val="2C9A7D75"/>
    <w:rsid w:val="2CC17412"/>
    <w:rsid w:val="2D7C1E99"/>
    <w:rsid w:val="2E9976CE"/>
    <w:rsid w:val="2EF01DEE"/>
    <w:rsid w:val="2F401D3C"/>
    <w:rsid w:val="2F5B24E1"/>
    <w:rsid w:val="2FA95C88"/>
    <w:rsid w:val="2FF806F5"/>
    <w:rsid w:val="3041370F"/>
    <w:rsid w:val="30614D81"/>
    <w:rsid w:val="30B87FED"/>
    <w:rsid w:val="312B50A3"/>
    <w:rsid w:val="31894FD2"/>
    <w:rsid w:val="32453A27"/>
    <w:rsid w:val="3263064A"/>
    <w:rsid w:val="32A43132"/>
    <w:rsid w:val="32AC0C06"/>
    <w:rsid w:val="33344EF5"/>
    <w:rsid w:val="35026383"/>
    <w:rsid w:val="3537750C"/>
    <w:rsid w:val="3537798C"/>
    <w:rsid w:val="35C13FC9"/>
    <w:rsid w:val="36372B05"/>
    <w:rsid w:val="364257B6"/>
    <w:rsid w:val="37EA5922"/>
    <w:rsid w:val="38276B93"/>
    <w:rsid w:val="382E58B8"/>
    <w:rsid w:val="38AC3431"/>
    <w:rsid w:val="392F2E16"/>
    <w:rsid w:val="39E00529"/>
    <w:rsid w:val="3A005F5D"/>
    <w:rsid w:val="3A040DB7"/>
    <w:rsid w:val="3A0B64A7"/>
    <w:rsid w:val="3A574DDA"/>
    <w:rsid w:val="3A727CBB"/>
    <w:rsid w:val="3AD3075A"/>
    <w:rsid w:val="3AF74C02"/>
    <w:rsid w:val="3C0059A5"/>
    <w:rsid w:val="3C134E78"/>
    <w:rsid w:val="3D4C66DF"/>
    <w:rsid w:val="3DF6345D"/>
    <w:rsid w:val="3E052EE6"/>
    <w:rsid w:val="3E2B5515"/>
    <w:rsid w:val="3E4D4F28"/>
    <w:rsid w:val="3ED92EC4"/>
    <w:rsid w:val="3EE13701"/>
    <w:rsid w:val="3F1A4BB3"/>
    <w:rsid w:val="40192BA6"/>
    <w:rsid w:val="403F22CB"/>
    <w:rsid w:val="41766EA9"/>
    <w:rsid w:val="42550A18"/>
    <w:rsid w:val="429D496A"/>
    <w:rsid w:val="42B10935"/>
    <w:rsid w:val="42F473A1"/>
    <w:rsid w:val="437217EA"/>
    <w:rsid w:val="43AB7156"/>
    <w:rsid w:val="441E62C0"/>
    <w:rsid w:val="442924FE"/>
    <w:rsid w:val="44726F11"/>
    <w:rsid w:val="45325D14"/>
    <w:rsid w:val="45811C7C"/>
    <w:rsid w:val="45906116"/>
    <w:rsid w:val="45931B8C"/>
    <w:rsid w:val="45EF2552"/>
    <w:rsid w:val="4623283E"/>
    <w:rsid w:val="463C3E8F"/>
    <w:rsid w:val="468B3EFB"/>
    <w:rsid w:val="46CD04FA"/>
    <w:rsid w:val="470A6193"/>
    <w:rsid w:val="47385210"/>
    <w:rsid w:val="475510F8"/>
    <w:rsid w:val="47DC4F5C"/>
    <w:rsid w:val="48B40671"/>
    <w:rsid w:val="48E02A3D"/>
    <w:rsid w:val="499B5738"/>
    <w:rsid w:val="499F244D"/>
    <w:rsid w:val="4A1544BA"/>
    <w:rsid w:val="4A330F12"/>
    <w:rsid w:val="4A973F3F"/>
    <w:rsid w:val="4AF96BC7"/>
    <w:rsid w:val="4B862A85"/>
    <w:rsid w:val="4CEF36E2"/>
    <w:rsid w:val="4CEF4DC5"/>
    <w:rsid w:val="4E257655"/>
    <w:rsid w:val="4E7826C8"/>
    <w:rsid w:val="4F372380"/>
    <w:rsid w:val="4F372FFB"/>
    <w:rsid w:val="4F81606E"/>
    <w:rsid w:val="4FCE286B"/>
    <w:rsid w:val="5025116D"/>
    <w:rsid w:val="52395ECD"/>
    <w:rsid w:val="52C10D75"/>
    <w:rsid w:val="538434F5"/>
    <w:rsid w:val="53C27FF8"/>
    <w:rsid w:val="54806794"/>
    <w:rsid w:val="549E1A80"/>
    <w:rsid w:val="54C658F4"/>
    <w:rsid w:val="550C4BD7"/>
    <w:rsid w:val="554C1D56"/>
    <w:rsid w:val="55572986"/>
    <w:rsid w:val="565340FA"/>
    <w:rsid w:val="56AD5F59"/>
    <w:rsid w:val="56C60774"/>
    <w:rsid w:val="56EA563C"/>
    <w:rsid w:val="57B12A52"/>
    <w:rsid w:val="58807091"/>
    <w:rsid w:val="58FB010F"/>
    <w:rsid w:val="594069F9"/>
    <w:rsid w:val="59AE53E8"/>
    <w:rsid w:val="5A2F2CC8"/>
    <w:rsid w:val="5B4E4C8F"/>
    <w:rsid w:val="5C10702D"/>
    <w:rsid w:val="5C152601"/>
    <w:rsid w:val="5C591F03"/>
    <w:rsid w:val="5C6471B6"/>
    <w:rsid w:val="5C8A1B2F"/>
    <w:rsid w:val="5D2B1EB1"/>
    <w:rsid w:val="5E587A85"/>
    <w:rsid w:val="5F561B72"/>
    <w:rsid w:val="5FC36C32"/>
    <w:rsid w:val="606007BB"/>
    <w:rsid w:val="60AC7F66"/>
    <w:rsid w:val="61BF10D9"/>
    <w:rsid w:val="61C40EDD"/>
    <w:rsid w:val="62AC22DC"/>
    <w:rsid w:val="638C0CD4"/>
    <w:rsid w:val="63A22BFD"/>
    <w:rsid w:val="64C22EB0"/>
    <w:rsid w:val="64E45EF7"/>
    <w:rsid w:val="6691014E"/>
    <w:rsid w:val="669A2362"/>
    <w:rsid w:val="66C87CCE"/>
    <w:rsid w:val="677435B2"/>
    <w:rsid w:val="67EF75F1"/>
    <w:rsid w:val="682D323D"/>
    <w:rsid w:val="684F4F11"/>
    <w:rsid w:val="69124F16"/>
    <w:rsid w:val="692E6308"/>
    <w:rsid w:val="69CD5C14"/>
    <w:rsid w:val="69CF0D33"/>
    <w:rsid w:val="6A9E67F3"/>
    <w:rsid w:val="6ACB27E3"/>
    <w:rsid w:val="6AFE6E8D"/>
    <w:rsid w:val="6B9946B3"/>
    <w:rsid w:val="6BE518DA"/>
    <w:rsid w:val="6C276F3A"/>
    <w:rsid w:val="6C7007C7"/>
    <w:rsid w:val="6D2F7198"/>
    <w:rsid w:val="6DAE47DB"/>
    <w:rsid w:val="6DE76850"/>
    <w:rsid w:val="6E5777D1"/>
    <w:rsid w:val="6FAA400B"/>
    <w:rsid w:val="6FB20BD4"/>
    <w:rsid w:val="6FB27861"/>
    <w:rsid w:val="6FBA59BE"/>
    <w:rsid w:val="70296B3E"/>
    <w:rsid w:val="70611204"/>
    <w:rsid w:val="7165620F"/>
    <w:rsid w:val="717039F8"/>
    <w:rsid w:val="719C05EE"/>
    <w:rsid w:val="726B6263"/>
    <w:rsid w:val="73315426"/>
    <w:rsid w:val="74416E39"/>
    <w:rsid w:val="74D13AD5"/>
    <w:rsid w:val="74FA2C30"/>
    <w:rsid w:val="754D5C4B"/>
    <w:rsid w:val="76287800"/>
    <w:rsid w:val="767B19D2"/>
    <w:rsid w:val="76C240A7"/>
    <w:rsid w:val="76DA416A"/>
    <w:rsid w:val="775246B7"/>
    <w:rsid w:val="77A05416"/>
    <w:rsid w:val="781909C7"/>
    <w:rsid w:val="781E69D1"/>
    <w:rsid w:val="78C05422"/>
    <w:rsid w:val="7901747F"/>
    <w:rsid w:val="79C32FEF"/>
    <w:rsid w:val="7A263B6B"/>
    <w:rsid w:val="7A3A2CC5"/>
    <w:rsid w:val="7AF46346"/>
    <w:rsid w:val="7B0F5EBF"/>
    <w:rsid w:val="7B130FB9"/>
    <w:rsid w:val="7B182257"/>
    <w:rsid w:val="7BD71E38"/>
    <w:rsid w:val="7BDC35EE"/>
    <w:rsid w:val="7BF64EDE"/>
    <w:rsid w:val="7C400C1E"/>
    <w:rsid w:val="7DD11708"/>
    <w:rsid w:val="7DEE4A4F"/>
    <w:rsid w:val="7E84486C"/>
    <w:rsid w:val="7EAE6230"/>
    <w:rsid w:val="7EBD579E"/>
    <w:rsid w:val="7EC167BD"/>
    <w:rsid w:val="7F272D9E"/>
    <w:rsid w:val="9BF9E5D0"/>
    <w:rsid w:val="D03F0CC5"/>
    <w:rsid w:val="DF7B312A"/>
    <w:rsid w:val="FFAD5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6"/>
    <w:link w:val="35"/>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Calibri Light" w:hAnsi="Calibri Light"/>
      <w:b/>
      <w:bCs/>
      <w:sz w:val="24"/>
    </w:rPr>
  </w:style>
  <w:style w:type="paragraph" w:styleId="8">
    <w:name w:val="heading 8"/>
    <w:basedOn w:val="1"/>
    <w:next w:val="1"/>
    <w:link w:val="36"/>
    <w:qFormat/>
    <w:uiPriority w:val="9"/>
    <w:pPr>
      <w:keepNext/>
      <w:keepLines/>
      <w:spacing w:before="240" w:after="64" w:line="320" w:lineRule="auto"/>
      <w:outlineLvl w:val="7"/>
    </w:pPr>
    <w:rPr>
      <w:rFonts w:ascii="等线 Light" w:hAnsi="等线 Light" w:eastAsia="等线 Light"/>
      <w:sz w:val="24"/>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table of authorities"/>
    <w:basedOn w:val="1"/>
    <w:next w:val="1"/>
    <w:unhideWhenUsed/>
    <w:qFormat/>
    <w:uiPriority w:val="0"/>
    <w:pPr>
      <w:spacing w:line="560" w:lineRule="exact"/>
      <w:ind w:left="420" w:leftChars="20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37"/>
    <w:qFormat/>
    <w:uiPriority w:val="0"/>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link w:val="39"/>
    <w:unhideWhenUsed/>
    <w:qFormat/>
    <w:uiPriority w:val="0"/>
    <w:pPr>
      <w:spacing w:after="120"/>
    </w:pPr>
  </w:style>
  <w:style w:type="paragraph" w:styleId="14">
    <w:name w:val="Body Text Indent"/>
    <w:basedOn w:val="1"/>
    <w:link w:val="40"/>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link w:val="41"/>
    <w:qFormat/>
    <w:uiPriority w:val="0"/>
    <w:rPr>
      <w:rFonts w:ascii="宋体" w:hAnsi="Courier New"/>
      <w:kern w:val="0"/>
      <w:sz w:val="20"/>
      <w:szCs w:val="21"/>
    </w:rPr>
  </w:style>
  <w:style w:type="paragraph" w:styleId="17">
    <w:name w:val="Date"/>
    <w:basedOn w:val="1"/>
    <w:next w:val="1"/>
    <w:link w:val="42"/>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43"/>
    <w:unhideWhenUsed/>
    <w:qFormat/>
    <w:uiPriority w:val="99"/>
    <w:pPr>
      <w:tabs>
        <w:tab w:val="center" w:pos="4153"/>
        <w:tab w:val="right" w:pos="8306"/>
      </w:tabs>
      <w:snapToGrid w:val="0"/>
      <w:jc w:val="left"/>
    </w:pPr>
    <w:rPr>
      <w:kern w:val="0"/>
      <w:sz w:val="18"/>
      <w:szCs w:val="18"/>
    </w:rPr>
  </w:style>
  <w:style w:type="paragraph" w:styleId="20">
    <w:name w:val="header"/>
    <w:basedOn w:val="1"/>
    <w:link w:val="4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annotation subject"/>
    <w:basedOn w:val="11"/>
    <w:next w:val="11"/>
    <w:link w:val="45"/>
    <w:qFormat/>
    <w:uiPriority w:val="99"/>
    <w:rPr>
      <w:b/>
      <w:bCs/>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endnote reference"/>
    <w:unhideWhenUsed/>
    <w:qFormat/>
    <w:uiPriority w:val="99"/>
    <w:rPr>
      <w:vertAlign w:val="superscript"/>
    </w:r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paragraph" w:customStyle="1" w:styleId="31">
    <w:name w:val="首行缩进"/>
    <w:basedOn w:val="1"/>
    <w:qFormat/>
    <w:uiPriority w:val="99"/>
    <w:pPr>
      <w:ind w:firstLine="480" w:firstLineChars="200"/>
    </w:pPr>
    <w:rPr>
      <w:lang w:val="zh-CN"/>
    </w:rPr>
  </w:style>
  <w:style w:type="paragraph" w:customStyle="1" w:styleId="32">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3">
    <w:name w:val="标题 1 字符"/>
    <w:link w:val="2"/>
    <w:qFormat/>
    <w:uiPriority w:val="9"/>
    <w:rPr>
      <w:b/>
      <w:bCs/>
      <w:kern w:val="44"/>
      <w:sz w:val="44"/>
      <w:szCs w:val="44"/>
    </w:rPr>
  </w:style>
  <w:style w:type="character" w:customStyle="1" w:styleId="34">
    <w:name w:val="标题 2 字符"/>
    <w:link w:val="3"/>
    <w:qFormat/>
    <w:uiPriority w:val="9"/>
    <w:rPr>
      <w:rFonts w:ascii="Cambria" w:hAnsi="Cambria" w:eastAsia="宋体" w:cs="Times New Roman"/>
      <w:b/>
      <w:bCs/>
      <w:kern w:val="2"/>
      <w:sz w:val="32"/>
      <w:szCs w:val="32"/>
    </w:rPr>
  </w:style>
  <w:style w:type="character" w:customStyle="1" w:styleId="35">
    <w:name w:val="标题 5 字符"/>
    <w:link w:val="5"/>
    <w:semiHidden/>
    <w:qFormat/>
    <w:uiPriority w:val="9"/>
    <w:rPr>
      <w:rFonts w:ascii="Times New Roman" w:hAnsi="Times New Roman"/>
      <w:b/>
      <w:bCs/>
      <w:kern w:val="2"/>
      <w:sz w:val="28"/>
      <w:szCs w:val="28"/>
    </w:rPr>
  </w:style>
  <w:style w:type="character" w:customStyle="1" w:styleId="36">
    <w:name w:val="标题 8 字符"/>
    <w:link w:val="8"/>
    <w:semiHidden/>
    <w:qFormat/>
    <w:uiPriority w:val="9"/>
    <w:rPr>
      <w:rFonts w:ascii="等线 Light" w:hAnsi="等线 Light" w:eastAsia="等线 Light" w:cs="Times New Roman"/>
      <w:kern w:val="2"/>
      <w:sz w:val="24"/>
      <w:szCs w:val="24"/>
    </w:rPr>
  </w:style>
  <w:style w:type="character" w:customStyle="1" w:styleId="37">
    <w:name w:val="批注文字 字符2"/>
    <w:link w:val="11"/>
    <w:qFormat/>
    <w:uiPriority w:val="0"/>
    <w:rPr>
      <w:rFonts w:ascii="Times New Roman" w:hAnsi="Times New Roman"/>
      <w:kern w:val="2"/>
      <w:sz w:val="21"/>
      <w:szCs w:val="24"/>
    </w:rPr>
  </w:style>
  <w:style w:type="character" w:customStyle="1" w:styleId="38">
    <w:name w:val="正文文本 3 字符"/>
    <w:link w:val="12"/>
    <w:semiHidden/>
    <w:qFormat/>
    <w:uiPriority w:val="99"/>
    <w:rPr>
      <w:kern w:val="2"/>
      <w:sz w:val="16"/>
      <w:szCs w:val="16"/>
    </w:rPr>
  </w:style>
  <w:style w:type="character" w:customStyle="1" w:styleId="39">
    <w:name w:val="正文文本 字符1"/>
    <w:link w:val="13"/>
    <w:qFormat/>
    <w:uiPriority w:val="0"/>
    <w:rPr>
      <w:rFonts w:ascii="Times New Roman" w:hAnsi="Times New Roman"/>
      <w:kern w:val="2"/>
      <w:sz w:val="21"/>
      <w:szCs w:val="24"/>
    </w:rPr>
  </w:style>
  <w:style w:type="character" w:customStyle="1" w:styleId="40">
    <w:name w:val="正文文本缩进 字符"/>
    <w:link w:val="14"/>
    <w:qFormat/>
    <w:uiPriority w:val="0"/>
    <w:rPr>
      <w:rFonts w:ascii="仿宋_GB2312" w:hAnsi="Times New Roman" w:eastAsia="仿宋_GB2312" w:cs="Times New Roman"/>
      <w:sz w:val="32"/>
      <w:szCs w:val="20"/>
    </w:rPr>
  </w:style>
  <w:style w:type="character" w:customStyle="1" w:styleId="41">
    <w:name w:val="纯文本 字符3"/>
    <w:link w:val="16"/>
    <w:qFormat/>
    <w:uiPriority w:val="0"/>
    <w:rPr>
      <w:rFonts w:ascii="宋体" w:hAnsi="Courier New" w:eastAsia="宋体" w:cs="Courier New"/>
      <w:szCs w:val="21"/>
    </w:rPr>
  </w:style>
  <w:style w:type="character" w:customStyle="1" w:styleId="42">
    <w:name w:val="日期 字符"/>
    <w:link w:val="17"/>
    <w:semiHidden/>
    <w:qFormat/>
    <w:uiPriority w:val="99"/>
    <w:rPr>
      <w:rFonts w:ascii="Times New Roman" w:hAnsi="Times New Roman"/>
      <w:kern w:val="2"/>
      <w:sz w:val="21"/>
      <w:szCs w:val="24"/>
    </w:rPr>
  </w:style>
  <w:style w:type="character" w:customStyle="1" w:styleId="43">
    <w:name w:val="页脚 字符"/>
    <w:link w:val="19"/>
    <w:qFormat/>
    <w:uiPriority w:val="99"/>
    <w:rPr>
      <w:sz w:val="18"/>
      <w:szCs w:val="18"/>
    </w:rPr>
  </w:style>
  <w:style w:type="character" w:customStyle="1" w:styleId="44">
    <w:name w:val="页眉 字符"/>
    <w:link w:val="20"/>
    <w:qFormat/>
    <w:uiPriority w:val="99"/>
    <w:rPr>
      <w:sz w:val="18"/>
      <w:szCs w:val="18"/>
    </w:rPr>
  </w:style>
  <w:style w:type="character" w:customStyle="1" w:styleId="45">
    <w:name w:val="批注主题 字符"/>
    <w:link w:val="24"/>
    <w:qFormat/>
    <w:uiPriority w:val="99"/>
    <w:rPr>
      <w:rFonts w:ascii="Times New Roman" w:hAnsi="Times New Roman"/>
      <w:b/>
      <w:bCs/>
      <w:kern w:val="2"/>
      <w:sz w:val="21"/>
      <w:szCs w:val="24"/>
    </w:rPr>
  </w:style>
  <w:style w:type="character" w:customStyle="1" w:styleId="46">
    <w:name w:val="标题 1 字符1"/>
    <w:qFormat/>
    <w:uiPriority w:val="0"/>
    <w:rPr>
      <w:b/>
      <w:bCs/>
      <w:kern w:val="44"/>
      <w:sz w:val="44"/>
      <w:szCs w:val="44"/>
    </w:rPr>
  </w:style>
  <w:style w:type="character" w:customStyle="1" w:styleId="47">
    <w:name w:val="textcontents"/>
    <w:qFormat/>
    <w:uiPriority w:val="0"/>
  </w:style>
  <w:style w:type="character" w:customStyle="1" w:styleId="48">
    <w:name w:val="批注文字 Char"/>
    <w:qFormat/>
    <w:uiPriority w:val="0"/>
    <w:rPr>
      <w:rFonts w:ascii="Times New Roman" w:hAnsi="Times New Roman"/>
      <w:kern w:val="2"/>
      <w:sz w:val="21"/>
      <w:szCs w:val="24"/>
    </w:rPr>
  </w:style>
  <w:style w:type="character" w:customStyle="1" w:styleId="49">
    <w:name w:val="纯文本 字符"/>
    <w:qFormat/>
    <w:uiPriority w:val="0"/>
    <w:rPr>
      <w:rFonts w:ascii="宋体" w:hAnsi="Courier New" w:eastAsia="宋体" w:cs="Courier New"/>
      <w:szCs w:val="21"/>
    </w:rPr>
  </w:style>
  <w:style w:type="character" w:customStyle="1" w:styleId="50">
    <w:name w:val="纯文本 Char"/>
    <w:qFormat/>
    <w:uiPriority w:val="0"/>
    <w:rPr>
      <w:rFonts w:ascii="宋体" w:hAnsi="Courier New" w:eastAsia="宋体" w:cs="Courier New"/>
      <w:szCs w:val="21"/>
    </w:rPr>
  </w:style>
  <w:style w:type="character" w:customStyle="1" w:styleId="51">
    <w:name w:val="纯文本 字符2"/>
    <w:qFormat/>
    <w:uiPriority w:val="0"/>
    <w:rPr>
      <w:rFonts w:ascii="宋体" w:hAnsi="Courier New" w:eastAsia="宋体" w:cs="Courier New"/>
      <w:szCs w:val="21"/>
    </w:rPr>
  </w:style>
  <w:style w:type="character" w:customStyle="1" w:styleId="52">
    <w:name w:val="批注文字 字符1"/>
    <w:qFormat/>
    <w:uiPriority w:val="0"/>
    <w:rPr>
      <w:rFonts w:ascii="Times New Roman" w:hAnsi="Times New Roman"/>
      <w:kern w:val="2"/>
      <w:sz w:val="21"/>
      <w:szCs w:val="24"/>
    </w:rPr>
  </w:style>
  <w:style w:type="character" w:customStyle="1" w:styleId="5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4">
    <w:name w:val="纯文本 字符1"/>
    <w:qFormat/>
    <w:uiPriority w:val="0"/>
    <w:rPr>
      <w:rFonts w:ascii="宋体" w:hAnsi="Courier New"/>
    </w:rPr>
  </w:style>
  <w:style w:type="character" w:customStyle="1" w:styleId="55">
    <w:name w:val="正文文本 Char"/>
    <w:qFormat/>
    <w:uiPriority w:val="99"/>
    <w:rPr>
      <w:rFonts w:ascii="Times New Roman" w:hAnsi="Times New Roman"/>
      <w:kern w:val="2"/>
      <w:sz w:val="21"/>
      <w:szCs w:val="24"/>
    </w:rPr>
  </w:style>
  <w:style w:type="character" w:customStyle="1" w:styleId="56">
    <w:name w:val="批注文字 字符"/>
    <w:qFormat/>
    <w:uiPriority w:val="0"/>
    <w:rPr>
      <w:rFonts w:ascii="Times New Roman" w:hAnsi="Times New Roman"/>
      <w:kern w:val="2"/>
      <w:sz w:val="21"/>
      <w:szCs w:val="24"/>
    </w:rPr>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标题 8 Char"/>
    <w:qFormat/>
    <w:uiPriority w:val="0"/>
    <w:rPr>
      <w:rFonts w:ascii="Arial" w:hAnsi="Arial" w:eastAsia="黑体"/>
      <w:kern w:val="2"/>
      <w:sz w:val="24"/>
      <w:szCs w:val="24"/>
    </w:rPr>
  </w:style>
  <w:style w:type="character" w:customStyle="1" w:styleId="59">
    <w:name w:val="apple-style-span"/>
    <w:qFormat/>
    <w:uiPriority w:val="0"/>
  </w:style>
  <w:style w:type="paragraph" w:customStyle="1" w:styleId="60">
    <w:name w:val="默认段落字体 Para Char Char Char Char Char Char Char Char Char1 Char Char Char Char"/>
    <w:basedOn w:val="1"/>
    <w:qFormat/>
    <w:uiPriority w:val="0"/>
    <w:rPr>
      <w:rFonts w:ascii="Tahoma" w:hAnsi="Tahoma"/>
      <w:sz w:val="24"/>
      <w:szCs w:val="20"/>
    </w:r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2">
    <w:name w:val="List Paragraph"/>
    <w:basedOn w:val="1"/>
    <w:qFormat/>
    <w:uiPriority w:val="34"/>
    <w:pPr>
      <w:ind w:firstLine="420" w:firstLineChars="200"/>
    </w:pPr>
  </w:style>
  <w:style w:type="paragraph" w:customStyle="1" w:styleId="63">
    <w:name w:val="Table Paragraph"/>
    <w:basedOn w:val="1"/>
    <w:qFormat/>
    <w:uiPriority w:val="1"/>
    <w:pPr>
      <w:jc w:val="left"/>
    </w:pPr>
    <w:rPr>
      <w:rFonts w:ascii="Calibri" w:hAnsi="Calibri"/>
      <w:kern w:val="0"/>
      <w:sz w:val="22"/>
      <w:szCs w:val="22"/>
      <w:lang w:eastAsia="en-US"/>
    </w:rPr>
  </w:style>
  <w:style w:type="character" w:customStyle="1" w:styleId="64">
    <w:name w:val="正文文本 字符"/>
    <w:qFormat/>
    <w:uiPriority w:val="0"/>
    <w:rPr>
      <w:rFonts w:ascii="Times New Roman" w:hAnsi="Times New Roman"/>
      <w:kern w:val="2"/>
      <w:sz w:val="21"/>
      <w:szCs w:val="24"/>
    </w:rPr>
  </w:style>
  <w:style w:type="character" w:customStyle="1" w:styleId="65">
    <w:name w:val="批注文字 Char2"/>
    <w:qFormat/>
    <w:uiPriority w:val="0"/>
    <w:rPr>
      <w:rFonts w:ascii="Times New Roman" w:hAnsi="Times New Roman"/>
      <w:kern w:val="2"/>
      <w:sz w:val="21"/>
      <w:szCs w:val="24"/>
    </w:rPr>
  </w:style>
  <w:style w:type="character" w:customStyle="1" w:styleId="66">
    <w:name w:val="正文2 Char Char"/>
    <w:link w:val="67"/>
    <w:qFormat/>
    <w:uiPriority w:val="0"/>
    <w:rPr>
      <w:kern w:val="2"/>
      <w:sz w:val="24"/>
    </w:rPr>
  </w:style>
  <w:style w:type="paragraph" w:customStyle="1" w:styleId="67">
    <w:name w:val="正文2"/>
    <w:basedOn w:val="1"/>
    <w:link w:val="66"/>
    <w:qFormat/>
    <w:uiPriority w:val="0"/>
    <w:pPr>
      <w:adjustRightInd w:val="0"/>
      <w:spacing w:before="156" w:line="360" w:lineRule="auto"/>
      <w:ind w:firstLine="510" w:firstLineChars="200"/>
    </w:pPr>
    <w:rPr>
      <w:sz w:val="24"/>
      <w:szCs w:val="20"/>
    </w:rPr>
  </w:style>
  <w:style w:type="paragraph" w:customStyle="1" w:styleId="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
    <w:name w:val="列出段落1"/>
    <w:basedOn w:val="1"/>
    <w:qFormat/>
    <w:uiPriority w:val="0"/>
    <w:pPr>
      <w:ind w:firstLine="420" w:firstLineChars="200"/>
    </w:pPr>
    <w:rPr>
      <w:szCs w:val="21"/>
    </w:rPr>
  </w:style>
  <w:style w:type="paragraph" w:customStyle="1" w:styleId="70">
    <w:name w:val="Char"/>
    <w:basedOn w:val="1"/>
    <w:qFormat/>
    <w:uiPriority w:val="0"/>
  </w:style>
  <w:style w:type="character" w:customStyle="1" w:styleId="71">
    <w:name w:val="0正文K Char"/>
    <w:link w:val="72"/>
    <w:qFormat/>
    <w:uiPriority w:val="0"/>
    <w:rPr>
      <w:rFonts w:asciiTheme="minorHAnsi" w:hAnsiTheme="minorHAnsi" w:eastAsiaTheme="minorEastAsia" w:cstheme="minorBidi"/>
      <w:color w:val="000000"/>
    </w:rPr>
  </w:style>
  <w:style w:type="paragraph" w:customStyle="1" w:styleId="72">
    <w:name w:val="0正文K"/>
    <w:basedOn w:val="1"/>
    <w:next w:val="73"/>
    <w:link w:val="71"/>
    <w:qFormat/>
    <w:uiPriority w:val="0"/>
    <w:rPr>
      <w:rFonts w:asciiTheme="minorHAnsi" w:hAnsiTheme="minorHAnsi" w:eastAsiaTheme="minorEastAsia" w:cstheme="minorBidi"/>
      <w:color w:val="000000"/>
    </w:rPr>
  </w:style>
  <w:style w:type="paragraph" w:customStyle="1" w:styleId="73">
    <w:name w:val="0正文"/>
    <w:basedOn w:val="1"/>
    <w:qFormat/>
    <w:uiPriority w:val="0"/>
    <w:rPr>
      <w:szCs w:val="28"/>
    </w:rPr>
  </w:style>
  <w:style w:type="paragraph" w:customStyle="1" w:styleId="7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74</Pages>
  <Words>284</Words>
  <Characters>353</Characters>
  <Lines>1309</Lines>
  <Paragraphs>1345</Paragraphs>
  <TotalTime>2</TotalTime>
  <ScaleCrop>false</ScaleCrop>
  <LinksUpToDate>false</LinksUpToDate>
  <CharactersWithSpaces>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2024-05-09T16:44:00Z</dcterms:created>
  <dc:creator>唐冰</dc:creator>
  <cp:lastModifiedBy>everyone</cp:lastModifiedBy>
  <cp:lastPrinted>2020-04-03T16:20:00Z</cp:lastPrinted>
  <dcterms:modified xsi:type="dcterms:W3CDTF">2025-11-28T11:25:47Z</dcterms:modified>
  <dc:title>竞争性谈判文件规范</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2AF332405AFF4FC0AE080375F04F51FC_13</vt:lpwstr>
  </property>
  <property fmtid="{D5CDD505-2E9C-101B-9397-08002B2CF9AE}" pid="4" name="KSOTemplateDocerSaveRecord">
    <vt:lpwstr>eyJoZGlkIjoiOGRmMTUxZWEzZTE5NWRlNTE3MzlkMzc5ZWFkYWZjNTgiLCJ1c2VySWQiOiI2MTI4OTUwMDYifQ==</vt:lpwstr>
  </property>
</Properties>
</file>