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4F8D0">
      <w:pPr>
        <w:spacing w:beforeLines="100" w:afterLines="50" w:line="600" w:lineRule="exact"/>
        <w:jc w:val="center"/>
        <w:rPr>
          <w:rFonts w:hint="eastAsia" w:ascii="宋体" w:hAnsi="宋体" w:cs="宋体"/>
          <w:color w:val="auto"/>
          <w:sz w:val="52"/>
          <w:szCs w:val="52"/>
          <w:highlight w:val="none"/>
        </w:rPr>
      </w:pPr>
    </w:p>
    <w:p w14:paraId="51CD6089">
      <w:pPr>
        <w:keepNext/>
        <w:wordWrap w:val="0"/>
        <w:spacing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云之龙咨询集团有限公司</w:t>
      </w:r>
    </w:p>
    <w:p w14:paraId="3203EF1B">
      <w:pPr>
        <w:keepNext/>
        <w:wordWrap w:val="0"/>
        <w:spacing w:line="360" w:lineRule="auto"/>
        <w:jc w:val="center"/>
        <w:rPr>
          <w:rFonts w:ascii="宋体" w:hAnsi="宋体" w:cs="宋体"/>
          <w:b/>
          <w:iCs/>
          <w:color w:val="auto"/>
          <w:sz w:val="44"/>
          <w:szCs w:val="44"/>
          <w:highlight w:val="none"/>
        </w:rPr>
      </w:pPr>
      <w:r>
        <w:rPr>
          <w:rFonts w:hint="eastAsia" w:ascii="宋体" w:hAnsi="宋体" w:cs="宋体"/>
          <w:iCs/>
          <w:color w:val="auto"/>
          <w:sz w:val="52"/>
          <w:szCs w:val="52"/>
          <w:highlight w:val="none"/>
        </w:rPr>
        <w:t>（服务类政府采购）</w:t>
      </w:r>
    </w:p>
    <w:p w14:paraId="1BB0EC80">
      <w:pPr>
        <w:keepNext/>
        <w:wordWrap w:val="0"/>
        <w:spacing w:line="360" w:lineRule="auto"/>
        <w:jc w:val="center"/>
        <w:rPr>
          <w:rFonts w:ascii="宋体" w:hAnsi="宋体" w:cs="宋体"/>
          <w:b/>
          <w:color w:val="auto"/>
          <w:sz w:val="44"/>
          <w:szCs w:val="44"/>
          <w:highlight w:val="none"/>
        </w:rPr>
      </w:pPr>
    </w:p>
    <w:p w14:paraId="0A127458">
      <w:pPr>
        <w:keepNext/>
        <w:wordWrap w:val="0"/>
        <w:snapToGrid w:val="0"/>
        <w:spacing w:beforeLines="50" w:line="360" w:lineRule="auto"/>
        <w:jc w:val="center"/>
        <w:rPr>
          <w:rFonts w:ascii="宋体" w:hAnsi="宋体" w:cs="宋体"/>
          <w:color w:val="auto"/>
          <w:sz w:val="120"/>
          <w:szCs w:val="120"/>
          <w:highlight w:val="none"/>
        </w:rPr>
      </w:pPr>
      <w:r>
        <w:rPr>
          <w:rFonts w:hint="eastAsia" w:ascii="宋体" w:hAnsi="宋体" w:cs="宋体"/>
          <w:color w:val="auto"/>
          <w:sz w:val="120"/>
          <w:szCs w:val="120"/>
          <w:highlight w:val="none"/>
        </w:rPr>
        <w:t>竞争性磋商文件</w:t>
      </w:r>
    </w:p>
    <w:p w14:paraId="31344347">
      <w:pPr>
        <w:keepNext/>
        <w:wordWrap w:val="0"/>
        <w:snapToGrid w:val="0"/>
        <w:spacing w:beforeLines="50" w:line="360" w:lineRule="auto"/>
        <w:jc w:val="center"/>
        <w:rPr>
          <w:rFonts w:ascii="宋体" w:hAnsi="宋体" w:cs="宋体"/>
          <w:b/>
          <w:color w:val="auto"/>
          <w:sz w:val="30"/>
          <w:szCs w:val="72"/>
          <w:highlight w:val="none"/>
        </w:rPr>
      </w:pPr>
      <w:r>
        <w:rPr>
          <w:rFonts w:hint="eastAsia" w:ascii="宋体" w:hAnsi="宋体" w:cs="宋体"/>
          <w:b/>
          <w:color w:val="auto"/>
          <w:sz w:val="48"/>
          <w:szCs w:val="48"/>
          <w:highlight w:val="none"/>
        </w:rPr>
        <w:t>（全流程电子化采购-远程异地评标）</w:t>
      </w:r>
    </w:p>
    <w:p w14:paraId="0ED5DAD4">
      <w:pPr>
        <w:keepNext/>
        <w:wordWrap w:val="0"/>
        <w:snapToGrid w:val="0"/>
        <w:spacing w:line="360" w:lineRule="auto"/>
        <w:rPr>
          <w:rFonts w:ascii="宋体" w:hAnsi="宋体" w:cs="宋体"/>
          <w:color w:val="auto"/>
          <w:sz w:val="32"/>
          <w:szCs w:val="96"/>
          <w:highlight w:val="none"/>
        </w:rPr>
      </w:pPr>
    </w:p>
    <w:p w14:paraId="3A813FB8">
      <w:pPr>
        <w:keepNext/>
        <w:wordWrap w:val="0"/>
        <w:snapToGrid w:val="0"/>
        <w:spacing w:line="360" w:lineRule="auto"/>
        <w:ind w:left="2651" w:leftChars="400" w:hanging="1811" w:hangingChars="501"/>
        <w:jc w:val="left"/>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rPr>
        <w:t>项目名称：</w:t>
      </w:r>
      <w:r>
        <w:rPr>
          <w:rFonts w:hint="eastAsia" w:ascii="宋体" w:hAnsi="宋体" w:cs="宋体"/>
          <w:b/>
          <w:bCs/>
          <w:color w:val="auto"/>
          <w:sz w:val="36"/>
          <w:szCs w:val="36"/>
          <w:highlight w:val="none"/>
          <w:lang w:eastAsia="zh-CN"/>
        </w:rPr>
        <w:t xml:space="preserve">法医病理鉴定、法医临床鉴定、法医毒物鉴定服务采购项目 </w:t>
      </w:r>
    </w:p>
    <w:p w14:paraId="3955916B">
      <w:pPr>
        <w:keepNext/>
        <w:wordWrap w:val="0"/>
        <w:snapToGrid w:val="0"/>
        <w:spacing w:line="360" w:lineRule="auto"/>
        <w:ind w:left="851" w:leftChars="400" w:hanging="11" w:firstLineChars="0"/>
        <w:jc w:val="left"/>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rPr>
        <w:t>项目编号：</w:t>
      </w:r>
      <w:r>
        <w:rPr>
          <w:rFonts w:hint="eastAsia" w:ascii="宋体" w:hAnsi="宋体" w:cs="宋体"/>
          <w:b/>
          <w:bCs/>
          <w:color w:val="auto"/>
          <w:sz w:val="36"/>
          <w:szCs w:val="36"/>
          <w:highlight w:val="none"/>
          <w:lang w:eastAsia="zh-CN"/>
        </w:rPr>
        <w:t>WZZC2025-C3-810164-YZLZ</w:t>
      </w:r>
    </w:p>
    <w:p w14:paraId="49A0A9C5">
      <w:pPr>
        <w:keepNext/>
        <w:wordWrap w:val="0"/>
        <w:snapToGrid w:val="0"/>
        <w:spacing w:line="360" w:lineRule="auto"/>
        <w:ind w:left="3251" w:leftChars="400" w:hanging="2411" w:hangingChars="667"/>
        <w:jc w:val="left"/>
        <w:rPr>
          <w:rFonts w:ascii="宋体" w:hAnsi="宋体" w:cs="宋体"/>
          <w:b/>
          <w:bCs/>
          <w:color w:val="auto"/>
          <w:sz w:val="36"/>
          <w:szCs w:val="36"/>
          <w:highlight w:val="none"/>
        </w:rPr>
      </w:pPr>
      <w:r>
        <w:rPr>
          <w:rFonts w:hint="eastAsia" w:ascii="宋体" w:hAnsi="宋体" w:cs="宋体"/>
          <w:b/>
          <w:bCs/>
          <w:color w:val="auto"/>
          <w:sz w:val="36"/>
          <w:szCs w:val="36"/>
          <w:highlight w:val="none"/>
        </w:rPr>
        <w:t>采 购 人：</w:t>
      </w:r>
      <w:r>
        <w:rPr>
          <w:rFonts w:hint="eastAsia" w:ascii="宋体" w:hAnsi="宋体" w:cs="宋体"/>
          <w:b/>
          <w:bCs/>
          <w:color w:val="auto"/>
          <w:sz w:val="36"/>
          <w:szCs w:val="36"/>
          <w:highlight w:val="none"/>
          <w:lang w:eastAsia="zh-CN"/>
        </w:rPr>
        <w:t>岑溪市公安局交通管理大队</w:t>
      </w:r>
      <w:r>
        <w:rPr>
          <w:rFonts w:hint="eastAsia" w:ascii="宋体" w:hAnsi="宋体" w:cs="宋体"/>
          <w:b/>
          <w:bCs/>
          <w:color w:val="auto"/>
          <w:sz w:val="36"/>
          <w:szCs w:val="36"/>
          <w:highlight w:val="none"/>
        </w:rPr>
        <w:t> </w:t>
      </w:r>
    </w:p>
    <w:p w14:paraId="406B406A">
      <w:pPr>
        <w:keepNext/>
        <w:wordWrap w:val="0"/>
        <w:snapToGrid w:val="0"/>
        <w:spacing w:line="360" w:lineRule="auto"/>
        <w:ind w:left="3251" w:leftChars="400" w:hanging="2411" w:hangingChars="667"/>
        <w:jc w:val="left"/>
        <w:rPr>
          <w:rFonts w:ascii="宋体" w:hAnsi="宋体" w:cs="宋体"/>
          <w:b/>
          <w:bCs/>
          <w:color w:val="auto"/>
          <w:w w:val="95"/>
          <w:sz w:val="32"/>
          <w:szCs w:val="32"/>
          <w:highlight w:val="none"/>
        </w:rPr>
      </w:pPr>
      <w:r>
        <w:rPr>
          <w:rFonts w:hint="eastAsia" w:ascii="宋体" w:hAnsi="宋体" w:cs="宋体"/>
          <w:b/>
          <w:bCs/>
          <w:color w:val="auto"/>
          <w:sz w:val="36"/>
          <w:szCs w:val="36"/>
          <w:highlight w:val="none"/>
        </w:rPr>
        <w:t>采购代理机构：云之龙咨询集团有限公司</w:t>
      </w:r>
    </w:p>
    <w:p w14:paraId="646C7C61">
      <w:pPr>
        <w:pStyle w:val="17"/>
        <w:snapToGrid w:val="0"/>
        <w:spacing w:line="360" w:lineRule="auto"/>
        <w:ind w:firstLine="1200" w:firstLineChars="393"/>
        <w:jc w:val="left"/>
        <w:rPr>
          <w:rFonts w:hAnsi="宋体" w:cs="宋体"/>
          <w:b/>
          <w:bCs/>
          <w:color w:val="auto"/>
          <w:w w:val="95"/>
          <w:sz w:val="32"/>
          <w:szCs w:val="32"/>
          <w:highlight w:val="none"/>
        </w:rPr>
      </w:pPr>
    </w:p>
    <w:p w14:paraId="6B9966B3">
      <w:pPr>
        <w:pStyle w:val="17"/>
        <w:snapToGrid w:val="0"/>
        <w:spacing w:line="360" w:lineRule="auto"/>
        <w:ind w:left="419" w:leftChars="0" w:hanging="419" w:hangingChars="122"/>
        <w:jc w:val="center"/>
        <w:rPr>
          <w:rFonts w:hAnsi="宋体" w:cs="宋体"/>
          <w:color w:val="auto"/>
          <w:sz w:val="21"/>
          <w:highlight w:val="none"/>
        </w:rPr>
      </w:pPr>
      <w:r>
        <w:rPr>
          <w:rFonts w:hint="eastAsia" w:hAnsi="宋体" w:cs="宋体"/>
          <w:b/>
          <w:bCs/>
          <w:color w:val="auto"/>
          <w:w w:val="95"/>
          <w:sz w:val="36"/>
          <w:szCs w:val="36"/>
          <w:highlight w:val="none"/>
        </w:rPr>
        <w:t>202</w:t>
      </w:r>
      <w:r>
        <w:rPr>
          <w:rFonts w:hint="eastAsia" w:hAnsi="宋体" w:cs="宋体"/>
          <w:b/>
          <w:bCs/>
          <w:color w:val="auto"/>
          <w:w w:val="95"/>
          <w:sz w:val="36"/>
          <w:szCs w:val="36"/>
          <w:highlight w:val="none"/>
          <w:lang w:val="en-US" w:eastAsia="zh-CN"/>
        </w:rPr>
        <w:t>5</w:t>
      </w:r>
      <w:r>
        <w:rPr>
          <w:rFonts w:hint="eastAsia" w:hAnsi="宋体" w:cs="宋体"/>
          <w:b/>
          <w:bCs/>
          <w:color w:val="auto"/>
          <w:w w:val="95"/>
          <w:sz w:val="36"/>
          <w:szCs w:val="36"/>
          <w:highlight w:val="none"/>
        </w:rPr>
        <w:t>年</w:t>
      </w:r>
      <w:r>
        <w:rPr>
          <w:rFonts w:hint="eastAsia" w:hAnsi="宋体" w:cs="宋体"/>
          <w:b/>
          <w:bCs/>
          <w:color w:val="auto"/>
          <w:w w:val="95"/>
          <w:sz w:val="36"/>
          <w:szCs w:val="36"/>
          <w:highlight w:val="none"/>
          <w:lang w:val="en-US" w:eastAsia="zh-CN"/>
        </w:rPr>
        <w:t>11</w:t>
      </w:r>
      <w:r>
        <w:rPr>
          <w:rFonts w:hint="eastAsia" w:hAnsi="宋体" w:cs="宋体"/>
          <w:b/>
          <w:bCs/>
          <w:color w:val="auto"/>
          <w:w w:val="95"/>
          <w:sz w:val="36"/>
          <w:szCs w:val="36"/>
          <w:highlight w:val="none"/>
        </w:rPr>
        <w:t>月</w:t>
      </w:r>
    </w:p>
    <w:p w14:paraId="7039D470">
      <w:pPr>
        <w:spacing w:line="360" w:lineRule="auto"/>
        <w:jc w:val="center"/>
        <w:rPr>
          <w:rFonts w:ascii="宋体" w:hAnsi="宋体" w:cs="宋体"/>
          <w:b/>
          <w:bCs/>
          <w:color w:val="auto"/>
          <w:kern w:val="0"/>
          <w:sz w:val="32"/>
          <w:szCs w:val="32"/>
          <w:highlight w:val="none"/>
        </w:rPr>
      </w:pPr>
    </w:p>
    <w:p w14:paraId="3CBF45F1">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br w:type="page"/>
      </w:r>
    </w:p>
    <w:p w14:paraId="317F0D44">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4922EE64">
      <w:pPr>
        <w:spacing w:line="400" w:lineRule="exact"/>
        <w:jc w:val="center"/>
        <w:rPr>
          <w:rFonts w:ascii="宋体" w:hAnsi="宋体" w:cs="宋体"/>
          <w:b/>
          <w:color w:val="auto"/>
          <w:sz w:val="44"/>
          <w:szCs w:val="44"/>
          <w:highlight w:val="none"/>
        </w:rPr>
      </w:pPr>
    </w:p>
    <w:p w14:paraId="6CA0B1E1">
      <w:pPr>
        <w:pStyle w:val="22"/>
        <w:tabs>
          <w:tab w:val="right" w:leader="dot" w:pos="8869"/>
        </w:tabs>
        <w:snapToGrid w:val="0"/>
        <w:spacing w:line="500" w:lineRule="atLeast"/>
        <w:rPr>
          <w:rFonts w:ascii="宋体" w:hAnsi="宋体" w:cs="宋体"/>
          <w:b/>
          <w:color w:val="auto"/>
          <w:sz w:val="24"/>
          <w:highlight w:val="none"/>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TOC \o "1-3" \h \z \u </w:instrText>
      </w:r>
      <w:r>
        <w:rPr>
          <w:rFonts w:hint="eastAsia" w:ascii="宋体" w:hAnsi="宋体" w:cs="宋体"/>
          <w:b/>
          <w:color w:val="auto"/>
          <w:sz w:val="24"/>
          <w:highlight w:val="none"/>
        </w:rPr>
        <w:fldChar w:fldCharType="separate"/>
      </w:r>
      <w:r>
        <w:rPr>
          <w:color w:val="auto"/>
          <w:highlight w:val="none"/>
        </w:rPr>
        <w:fldChar w:fldCharType="begin"/>
      </w:r>
      <w:r>
        <w:rPr>
          <w:color w:val="auto"/>
          <w:highlight w:val="none"/>
        </w:rPr>
        <w:instrText xml:space="preserve"> HYPERLINK \l "_Toc74323456" </w:instrText>
      </w:r>
      <w:r>
        <w:rPr>
          <w:color w:val="auto"/>
          <w:highlight w:val="none"/>
        </w:rPr>
        <w:fldChar w:fldCharType="separate"/>
      </w:r>
      <w:r>
        <w:rPr>
          <w:rStyle w:val="35"/>
          <w:rFonts w:hint="eastAsia" w:ascii="宋体" w:hAnsi="宋体" w:cs="宋体"/>
          <w:b/>
          <w:color w:val="auto"/>
          <w:sz w:val="24"/>
          <w:highlight w:val="none"/>
        </w:rPr>
        <w:t>第一章 竞争性磋商公告</w:t>
      </w:r>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_Toc74323456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2</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5D829C8C">
      <w:pPr>
        <w:pStyle w:val="22"/>
        <w:tabs>
          <w:tab w:val="right" w:leader="dot" w:pos="8869"/>
        </w:tabs>
        <w:snapToGrid w:val="0"/>
        <w:spacing w:line="500" w:lineRule="atLeast"/>
        <w:rPr>
          <w:rFonts w:ascii="宋体" w:hAnsi="宋体" w:cs="宋体"/>
          <w:b/>
          <w:color w:val="auto"/>
          <w:sz w:val="24"/>
          <w:highlight w:val="none"/>
        </w:rPr>
      </w:pPr>
      <w:r>
        <w:rPr>
          <w:color w:val="auto"/>
          <w:highlight w:val="none"/>
        </w:rPr>
        <w:fldChar w:fldCharType="begin"/>
      </w:r>
      <w:r>
        <w:rPr>
          <w:color w:val="auto"/>
          <w:highlight w:val="none"/>
        </w:rPr>
        <w:instrText xml:space="preserve"> HYPERLINK \l "_Toc74323457" </w:instrText>
      </w:r>
      <w:r>
        <w:rPr>
          <w:color w:val="auto"/>
          <w:highlight w:val="none"/>
        </w:rPr>
        <w:fldChar w:fldCharType="separate"/>
      </w:r>
      <w:r>
        <w:rPr>
          <w:rStyle w:val="35"/>
          <w:rFonts w:hint="eastAsia" w:ascii="宋体" w:hAnsi="宋体" w:cs="宋体"/>
          <w:b/>
          <w:color w:val="auto"/>
          <w:sz w:val="24"/>
          <w:highlight w:val="none"/>
        </w:rPr>
        <w:t>第二章 供应</w:t>
      </w:r>
      <w:bookmarkStart w:id="0" w:name="_Hlt82161237"/>
      <w:r>
        <w:rPr>
          <w:rStyle w:val="35"/>
          <w:rFonts w:hint="eastAsia" w:ascii="宋体" w:hAnsi="宋体" w:cs="宋体"/>
          <w:b/>
          <w:color w:val="auto"/>
          <w:sz w:val="24"/>
          <w:highlight w:val="none"/>
        </w:rPr>
        <w:t>商</w:t>
      </w:r>
      <w:bookmarkEnd w:id="0"/>
      <w:r>
        <w:rPr>
          <w:rStyle w:val="35"/>
          <w:rFonts w:hint="eastAsia" w:ascii="宋体" w:hAnsi="宋体" w:cs="宋体"/>
          <w:b/>
          <w:color w:val="auto"/>
          <w:sz w:val="24"/>
          <w:highlight w:val="none"/>
        </w:rPr>
        <w:t>须知</w:t>
      </w:r>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_Toc74323457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6</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4E129413">
      <w:pPr>
        <w:pStyle w:val="22"/>
        <w:tabs>
          <w:tab w:val="right" w:leader="dot" w:pos="8869"/>
        </w:tabs>
        <w:snapToGrid w:val="0"/>
        <w:spacing w:line="500" w:lineRule="atLeast"/>
        <w:rPr>
          <w:rFonts w:ascii="宋体" w:hAnsi="宋体" w:cs="宋体"/>
          <w:b/>
          <w:color w:val="auto"/>
          <w:sz w:val="24"/>
          <w:highlight w:val="none"/>
        </w:rPr>
      </w:pPr>
      <w:r>
        <w:rPr>
          <w:color w:val="auto"/>
          <w:highlight w:val="none"/>
        </w:rPr>
        <w:fldChar w:fldCharType="begin"/>
      </w:r>
      <w:r>
        <w:rPr>
          <w:color w:val="auto"/>
          <w:highlight w:val="none"/>
        </w:rPr>
        <w:instrText xml:space="preserve"> HYPERLINK \l "_Toc74323458" </w:instrText>
      </w:r>
      <w:r>
        <w:rPr>
          <w:color w:val="auto"/>
          <w:highlight w:val="none"/>
        </w:rPr>
        <w:fldChar w:fldCharType="separate"/>
      </w:r>
      <w:r>
        <w:rPr>
          <w:rStyle w:val="35"/>
          <w:rFonts w:hint="eastAsia" w:ascii="宋体" w:hAnsi="宋体" w:cs="宋体"/>
          <w:b/>
          <w:color w:val="auto"/>
          <w:sz w:val="24"/>
          <w:highlight w:val="none"/>
        </w:rPr>
        <w:t>第三章 采购需</w:t>
      </w:r>
      <w:bookmarkStart w:id="1" w:name="_Hlt82166940"/>
      <w:r>
        <w:rPr>
          <w:rStyle w:val="35"/>
          <w:rFonts w:hint="eastAsia" w:ascii="宋体" w:hAnsi="宋体" w:cs="宋体"/>
          <w:b/>
          <w:color w:val="auto"/>
          <w:sz w:val="24"/>
          <w:highlight w:val="none"/>
        </w:rPr>
        <w:t>求</w:t>
      </w:r>
      <w:bookmarkEnd w:id="1"/>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_Toc74323458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23</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3DD23581">
      <w:pPr>
        <w:pStyle w:val="22"/>
        <w:tabs>
          <w:tab w:val="right" w:leader="dot" w:pos="8869"/>
        </w:tabs>
        <w:snapToGrid w:val="0"/>
        <w:spacing w:line="500" w:lineRule="atLeast"/>
        <w:rPr>
          <w:rFonts w:ascii="宋体" w:hAnsi="宋体" w:cs="宋体"/>
          <w:b/>
          <w:color w:val="auto"/>
          <w:sz w:val="24"/>
          <w:highlight w:val="none"/>
        </w:rPr>
      </w:pPr>
      <w:r>
        <w:rPr>
          <w:color w:val="auto"/>
          <w:highlight w:val="none"/>
        </w:rPr>
        <w:fldChar w:fldCharType="begin"/>
      </w:r>
      <w:r>
        <w:rPr>
          <w:color w:val="auto"/>
          <w:highlight w:val="none"/>
        </w:rPr>
        <w:instrText xml:space="preserve"> HYPERLINK \l "_Toc74323459" </w:instrText>
      </w:r>
      <w:r>
        <w:rPr>
          <w:color w:val="auto"/>
          <w:highlight w:val="none"/>
        </w:rPr>
        <w:fldChar w:fldCharType="separate"/>
      </w:r>
      <w:r>
        <w:rPr>
          <w:rStyle w:val="35"/>
          <w:rFonts w:hint="eastAsia" w:ascii="宋体" w:hAnsi="宋体" w:cs="宋体"/>
          <w:b/>
          <w:color w:val="auto"/>
          <w:sz w:val="24"/>
          <w:highlight w:val="none"/>
        </w:rPr>
        <w:t>第四章 评审程序、</w:t>
      </w:r>
      <w:bookmarkStart w:id="2" w:name="_Hlt82166000"/>
      <w:r>
        <w:rPr>
          <w:rStyle w:val="35"/>
          <w:rFonts w:hint="eastAsia" w:ascii="宋体" w:hAnsi="宋体" w:cs="宋体"/>
          <w:b/>
          <w:color w:val="auto"/>
          <w:sz w:val="24"/>
          <w:highlight w:val="none"/>
        </w:rPr>
        <w:t>评</w:t>
      </w:r>
      <w:bookmarkEnd w:id="2"/>
      <w:r>
        <w:rPr>
          <w:rStyle w:val="35"/>
          <w:rFonts w:hint="eastAsia" w:ascii="宋体" w:hAnsi="宋体" w:cs="宋体"/>
          <w:b/>
          <w:color w:val="auto"/>
          <w:sz w:val="24"/>
          <w:highlight w:val="none"/>
        </w:rPr>
        <w:t>审方法和评审标准</w:t>
      </w:r>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_Toc74323459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33</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638E8B9F">
      <w:pPr>
        <w:pStyle w:val="22"/>
        <w:tabs>
          <w:tab w:val="right" w:leader="dot" w:pos="8869"/>
        </w:tabs>
        <w:snapToGrid w:val="0"/>
        <w:spacing w:line="500" w:lineRule="atLeast"/>
        <w:rPr>
          <w:rFonts w:ascii="宋体" w:hAnsi="宋体" w:cs="宋体"/>
          <w:b/>
          <w:color w:val="auto"/>
          <w:sz w:val="24"/>
          <w:highlight w:val="none"/>
        </w:rPr>
      </w:pPr>
      <w:r>
        <w:rPr>
          <w:color w:val="auto"/>
          <w:highlight w:val="none"/>
        </w:rPr>
        <w:fldChar w:fldCharType="begin"/>
      </w:r>
      <w:r>
        <w:rPr>
          <w:color w:val="auto"/>
          <w:highlight w:val="none"/>
        </w:rPr>
        <w:instrText xml:space="preserve"> HYPERLINK \l "_Toc74323460" </w:instrText>
      </w:r>
      <w:r>
        <w:rPr>
          <w:color w:val="auto"/>
          <w:highlight w:val="none"/>
        </w:rPr>
        <w:fldChar w:fldCharType="separate"/>
      </w:r>
      <w:r>
        <w:rPr>
          <w:rStyle w:val="35"/>
          <w:rFonts w:hint="eastAsia" w:ascii="宋体" w:hAnsi="宋体" w:cs="宋体"/>
          <w:b/>
          <w:color w:val="auto"/>
          <w:sz w:val="24"/>
          <w:highlight w:val="none"/>
        </w:rPr>
        <w:t>第五章 响应文件格式</w:t>
      </w:r>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_Toc74323460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42</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33E8A6DE">
      <w:pPr>
        <w:pStyle w:val="22"/>
        <w:tabs>
          <w:tab w:val="right" w:leader="dot" w:pos="8869"/>
        </w:tabs>
        <w:snapToGrid w:val="0"/>
        <w:spacing w:line="500" w:lineRule="atLeast"/>
        <w:rPr>
          <w:rFonts w:ascii="宋体" w:hAnsi="宋体" w:cs="宋体"/>
          <w:color w:val="auto"/>
          <w:sz w:val="24"/>
          <w:highlight w:val="none"/>
        </w:rPr>
      </w:pPr>
      <w:r>
        <w:rPr>
          <w:color w:val="auto"/>
          <w:highlight w:val="none"/>
        </w:rPr>
        <w:fldChar w:fldCharType="begin"/>
      </w:r>
      <w:r>
        <w:rPr>
          <w:color w:val="auto"/>
          <w:highlight w:val="none"/>
        </w:rPr>
        <w:instrText xml:space="preserve"> HYPERLINK \l "_Toc74323461" </w:instrText>
      </w:r>
      <w:r>
        <w:rPr>
          <w:color w:val="auto"/>
          <w:highlight w:val="none"/>
        </w:rPr>
        <w:fldChar w:fldCharType="separate"/>
      </w:r>
      <w:r>
        <w:rPr>
          <w:rStyle w:val="35"/>
          <w:rFonts w:hint="eastAsia" w:ascii="宋体" w:hAnsi="宋体" w:cs="宋体"/>
          <w:b/>
          <w:color w:val="auto"/>
          <w:sz w:val="24"/>
          <w:highlight w:val="none"/>
        </w:rPr>
        <w:t>第六章 合同文本</w:t>
      </w:r>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_Toc74323461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72</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2564FB54">
      <w:pPr>
        <w:pStyle w:val="23"/>
        <w:tabs>
          <w:tab w:val="right" w:leader="dot" w:pos="8931"/>
          <w:tab w:val="clear" w:pos="8296"/>
        </w:tabs>
        <w:snapToGrid w:val="0"/>
        <w:spacing w:line="500" w:lineRule="atLeast"/>
        <w:ind w:left="0" w:leftChars="0"/>
        <w:rPr>
          <w:rFonts w:ascii="宋体" w:hAnsi="宋体" w:cs="宋体"/>
          <w:b/>
          <w:color w:val="auto"/>
          <w:sz w:val="32"/>
          <w:szCs w:val="32"/>
          <w:highlight w:val="none"/>
        </w:rPr>
      </w:pPr>
      <w:r>
        <w:rPr>
          <w:rFonts w:hint="eastAsia" w:ascii="宋体" w:hAnsi="宋体" w:cs="宋体"/>
          <w:b/>
          <w:color w:val="auto"/>
          <w:sz w:val="24"/>
          <w:highlight w:val="none"/>
        </w:rPr>
        <w:fldChar w:fldCharType="end"/>
      </w:r>
    </w:p>
    <w:p w14:paraId="1715A0D2">
      <w:pPr>
        <w:spacing w:line="400" w:lineRule="exact"/>
        <w:rPr>
          <w:rFonts w:ascii="宋体" w:hAnsi="宋体" w:cs="宋体"/>
          <w:b/>
          <w:color w:val="auto"/>
          <w:sz w:val="32"/>
          <w:szCs w:val="32"/>
          <w:highlight w:val="none"/>
        </w:rPr>
        <w:sectPr>
          <w:headerReference r:id="rId4" w:type="first"/>
          <w:footerReference r:id="rId6" w:type="first"/>
          <w:headerReference r:id="rId3" w:type="default"/>
          <w:footerReference r:id="rId5" w:type="default"/>
          <w:pgSz w:w="11906" w:h="16838"/>
          <w:pgMar w:top="1440" w:right="1279" w:bottom="1440" w:left="1587" w:header="851" w:footer="992" w:gutter="0"/>
          <w:pgNumType w:start="0"/>
          <w:cols w:space="720" w:num="1"/>
          <w:titlePg/>
          <w:docGrid w:type="lines" w:linePitch="312" w:charSpace="0"/>
        </w:sectPr>
      </w:pPr>
    </w:p>
    <w:p w14:paraId="155ED4D7">
      <w:pPr>
        <w:pStyle w:val="3"/>
        <w:spacing w:line="360" w:lineRule="auto"/>
        <w:jc w:val="center"/>
        <w:rPr>
          <w:rFonts w:ascii="宋体" w:hAnsi="宋体" w:cs="宋体"/>
          <w:color w:val="auto"/>
          <w:highlight w:val="none"/>
        </w:rPr>
      </w:pPr>
      <w:bookmarkStart w:id="3" w:name="_Toc74323456"/>
      <w:r>
        <w:rPr>
          <w:rFonts w:hint="eastAsia" w:ascii="宋体" w:hAnsi="宋体" w:cs="宋体"/>
          <w:color w:val="auto"/>
          <w:highlight w:val="none"/>
        </w:rPr>
        <w:t>第一章 竞争性磋商公告</w:t>
      </w:r>
      <w:bookmarkEnd w:id="3"/>
    </w:p>
    <w:p w14:paraId="7A69FE90">
      <w:pPr>
        <w:spacing w:line="460" w:lineRule="exact"/>
        <w:jc w:val="center"/>
        <w:rPr>
          <w:rFonts w:ascii="宋体" w:hAnsi="宋体" w:cs="宋体"/>
          <w:color w:val="auto"/>
          <w:sz w:val="32"/>
          <w:szCs w:val="32"/>
          <w:highlight w:val="none"/>
        </w:rPr>
      </w:pPr>
      <w:bookmarkStart w:id="4" w:name="_Hlk37430271"/>
      <w:r>
        <w:rPr>
          <w:rFonts w:hint="eastAsia" w:ascii="宋体" w:hAnsi="宋体" w:cs="宋体"/>
          <w:b/>
          <w:bCs/>
          <w:color w:val="auto"/>
          <w:sz w:val="32"/>
          <w:szCs w:val="32"/>
          <w:highlight w:val="none"/>
        </w:rPr>
        <w:t>竞争性磋商公告（远程异地评标）</w:t>
      </w:r>
    </w:p>
    <w:p w14:paraId="3E2AE700">
      <w:pPr>
        <w:pBdr>
          <w:top w:val="single" w:color="auto" w:sz="4" w:space="1"/>
          <w:left w:val="single" w:color="auto" w:sz="4" w:space="4"/>
          <w:bottom w:val="single" w:color="auto" w:sz="4" w:space="1"/>
          <w:right w:val="single" w:color="auto" w:sz="4" w:space="4"/>
        </w:pBd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5D6CE13A">
      <w:pPr>
        <w:pBdr>
          <w:top w:val="single" w:color="auto" w:sz="4" w:space="1"/>
          <w:left w:val="single" w:color="auto" w:sz="4" w:space="4"/>
          <w:bottom w:val="single" w:color="auto" w:sz="4" w:space="1"/>
          <w:right w:val="single" w:color="auto" w:sz="4" w:space="4"/>
        </w:pBd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single"/>
          <w:lang w:val="en-US" w:eastAsia="zh-CN"/>
        </w:rPr>
        <w:t xml:space="preserve">法医病理鉴定、法医临床鉴定、法医毒物鉴定服务 </w:t>
      </w:r>
      <w:r>
        <w:rPr>
          <w:rFonts w:hint="eastAsia" w:ascii="宋体" w:hAnsi="宋体" w:cs="宋体"/>
          <w:color w:val="auto"/>
          <w:szCs w:val="21"/>
          <w:highlight w:val="none"/>
        </w:rPr>
        <w:t>采购项目的潜在供应商应在广西政府采购云平台（https</w:t>
      </w:r>
      <w:r>
        <w:rPr>
          <w:rFonts w:hint="eastAsia" w:ascii="宋体" w:hAnsi="宋体" w:cs="宋体"/>
          <w:color w:val="auto"/>
          <w:szCs w:val="21"/>
          <w:highlight w:val="none"/>
          <w:lang w:eastAsia="zh-CN"/>
        </w:rPr>
        <w:t>：</w:t>
      </w:r>
      <w:r>
        <w:rPr>
          <w:rFonts w:hint="eastAsia" w:ascii="宋体" w:hAnsi="宋体" w:cs="宋体"/>
          <w:color w:val="auto"/>
          <w:szCs w:val="21"/>
          <w:highlight w:val="none"/>
        </w:rPr>
        <w:t>//www.gcy.zfcg.gxzf.gov.cn/）获取（下载）竞争性磋商文件，并于</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日9时00分</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北京时间）前提交（上传）</w:t>
      </w:r>
      <w:r>
        <w:rPr>
          <w:rFonts w:hint="eastAsia" w:ascii="宋体" w:hAnsi="宋体" w:cs="宋体"/>
          <w:color w:val="auto"/>
          <w:szCs w:val="21"/>
          <w:highlight w:val="none"/>
        </w:rPr>
        <w:t>响应</w:t>
      </w:r>
      <w:r>
        <w:rPr>
          <w:rFonts w:hint="eastAsia" w:ascii="宋体" w:hAnsi="宋体" w:cs="宋体"/>
          <w:bCs/>
          <w:color w:val="auto"/>
          <w:szCs w:val="21"/>
          <w:highlight w:val="none"/>
        </w:rPr>
        <w:t>文件。</w:t>
      </w:r>
    </w:p>
    <w:p w14:paraId="085A6DF4">
      <w:pPr>
        <w:spacing w:line="460" w:lineRule="exact"/>
        <w:ind w:firstLine="310" w:firstLineChars="147"/>
        <w:rPr>
          <w:rFonts w:ascii="宋体" w:hAnsi="宋体" w:cs="宋体"/>
          <w:b/>
          <w:color w:val="auto"/>
          <w:szCs w:val="21"/>
          <w:highlight w:val="none"/>
        </w:rPr>
      </w:pPr>
      <w:bookmarkStart w:id="5" w:name="_Toc28359012"/>
      <w:bookmarkStart w:id="6" w:name="_Toc35393798"/>
      <w:bookmarkStart w:id="7" w:name="_Toc71365905"/>
      <w:bookmarkStart w:id="8" w:name="_Toc44229878"/>
      <w:bookmarkStart w:id="9" w:name="_Toc35393629"/>
      <w:bookmarkStart w:id="10" w:name="_Toc28359089"/>
      <w:r>
        <w:rPr>
          <w:rFonts w:hint="eastAsia" w:ascii="宋体" w:hAnsi="宋体" w:cs="宋体"/>
          <w:b/>
          <w:color w:val="auto"/>
          <w:szCs w:val="21"/>
          <w:highlight w:val="none"/>
        </w:rPr>
        <w:t>一、项目基本情况</w:t>
      </w:r>
      <w:bookmarkEnd w:id="5"/>
      <w:bookmarkEnd w:id="6"/>
      <w:bookmarkEnd w:id="7"/>
      <w:bookmarkEnd w:id="8"/>
      <w:bookmarkEnd w:id="9"/>
      <w:bookmarkEnd w:id="10"/>
    </w:p>
    <w:p w14:paraId="1EE489FE">
      <w:pPr>
        <w:spacing w:line="46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WZZC2025-C3-810164-YZLZ</w:t>
      </w:r>
    </w:p>
    <w:p w14:paraId="751FA1A1">
      <w:pPr>
        <w:spacing w:line="46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 xml:space="preserve">法医病理鉴定、法医临床鉴定、法医毒物鉴定服务采购项目 </w:t>
      </w:r>
    </w:p>
    <w:p w14:paraId="313D6364">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采购方式：竞争性磋商</w:t>
      </w:r>
    </w:p>
    <w:p w14:paraId="079F5DF4">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w:t>
      </w:r>
      <w:r>
        <w:rPr>
          <w:rFonts w:hint="eastAsia" w:ascii="宋体" w:hAnsi="宋体"/>
          <w:szCs w:val="21"/>
          <w:lang w:val="en-US" w:eastAsia="zh-CN"/>
        </w:rPr>
        <w:t>600000.00</w:t>
      </w:r>
      <w:r>
        <w:rPr>
          <w:rFonts w:hint="eastAsia" w:ascii="宋体" w:hAnsi="宋体"/>
          <w:color w:val="auto"/>
          <w:szCs w:val="21"/>
          <w:highlight w:val="none"/>
        </w:rPr>
        <w:t>元</w:t>
      </w:r>
    </w:p>
    <w:p w14:paraId="79BCACCF">
      <w:pPr>
        <w:spacing w:line="460" w:lineRule="exact"/>
        <w:ind w:firstLine="420" w:firstLineChars="200"/>
        <w:rPr>
          <w:rFonts w:hint="default" w:ascii="宋体" w:hAnsi="宋体" w:cs="宋体"/>
          <w:color w:val="auto"/>
          <w:szCs w:val="21"/>
          <w:highlight w:val="none"/>
          <w:lang w:val="en-US"/>
        </w:rPr>
      </w:pPr>
      <w:r>
        <w:rPr>
          <w:rFonts w:hint="eastAsia" w:ascii="宋体" w:hAnsi="宋体" w:cs="宋体"/>
          <w:color w:val="auto"/>
          <w:szCs w:val="21"/>
          <w:highlight w:val="none"/>
        </w:rPr>
        <w:t>最高限价：</w:t>
      </w:r>
      <w:r>
        <w:rPr>
          <w:rFonts w:hint="eastAsia"/>
          <w:lang w:val="en-US" w:eastAsia="zh-CN"/>
        </w:rPr>
        <w:t>折扣≤100%</w:t>
      </w:r>
    </w:p>
    <w:p w14:paraId="22143F25">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tbl>
      <w:tblPr>
        <w:tblStyle w:val="29"/>
        <w:tblW w:w="904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7"/>
        <w:gridCol w:w="1754"/>
        <w:gridCol w:w="1393"/>
        <w:gridCol w:w="5019"/>
      </w:tblGrid>
      <w:tr w14:paraId="26C498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14:paraId="0E2D95A2">
            <w:pPr>
              <w:snapToGrid w:val="0"/>
              <w:spacing w:line="360" w:lineRule="auto"/>
              <w:jc w:val="center"/>
              <w:rPr>
                <w:rFonts w:ascii="宋体" w:hAnsi="宋体"/>
                <w:szCs w:val="21"/>
              </w:rPr>
            </w:pPr>
            <w:r>
              <w:rPr>
                <w:rFonts w:hint="eastAsia" w:ascii="宋体" w:hAnsi="宋体"/>
                <w:szCs w:val="21"/>
              </w:rPr>
              <w:t>序号</w:t>
            </w:r>
          </w:p>
        </w:tc>
        <w:tc>
          <w:tcPr>
            <w:tcW w:w="1754" w:type="dxa"/>
            <w:tcBorders>
              <w:top w:val="single" w:color="auto" w:sz="4" w:space="0"/>
              <w:left w:val="single" w:color="auto" w:sz="4" w:space="0"/>
              <w:bottom w:val="single" w:color="auto" w:sz="4" w:space="0"/>
              <w:right w:val="single" w:color="auto" w:sz="4" w:space="0"/>
            </w:tcBorders>
            <w:noWrap w:val="0"/>
            <w:vAlign w:val="center"/>
          </w:tcPr>
          <w:p w14:paraId="40A915E3">
            <w:pPr>
              <w:snapToGrid w:val="0"/>
              <w:spacing w:line="360" w:lineRule="auto"/>
              <w:jc w:val="center"/>
              <w:rPr>
                <w:rFonts w:ascii="宋体" w:hAnsi="宋体"/>
                <w:szCs w:val="21"/>
              </w:rPr>
            </w:pPr>
            <w:r>
              <w:rPr>
                <w:rFonts w:hint="eastAsia" w:ascii="宋体" w:hAnsi="宋体"/>
                <w:color w:val="auto"/>
                <w:szCs w:val="21"/>
              </w:rPr>
              <w:t>标的</w:t>
            </w:r>
            <w:r>
              <w:rPr>
                <w:rFonts w:hint="eastAsia" w:ascii="宋体" w:hAnsi="宋体"/>
                <w:color w:val="auto"/>
                <w:szCs w:val="21"/>
                <w:lang w:eastAsia="zh-CN"/>
              </w:rPr>
              <w:t>的</w:t>
            </w:r>
            <w:r>
              <w:rPr>
                <w:rFonts w:hint="eastAsia" w:ascii="宋体" w:hAnsi="宋体"/>
                <w:szCs w:val="21"/>
              </w:rPr>
              <w:t>名称</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7352F389">
            <w:pPr>
              <w:snapToGrid w:val="0"/>
              <w:spacing w:line="360" w:lineRule="auto"/>
              <w:jc w:val="center"/>
              <w:rPr>
                <w:rFonts w:ascii="宋体" w:hAnsi="宋体"/>
                <w:szCs w:val="21"/>
              </w:rPr>
            </w:pPr>
            <w:r>
              <w:rPr>
                <w:rFonts w:hint="eastAsia" w:ascii="宋体" w:hAnsi="宋体"/>
                <w:szCs w:val="21"/>
              </w:rPr>
              <w:t>数量及单位</w:t>
            </w:r>
          </w:p>
        </w:tc>
        <w:tc>
          <w:tcPr>
            <w:tcW w:w="5019" w:type="dxa"/>
            <w:tcBorders>
              <w:top w:val="single" w:color="auto" w:sz="4" w:space="0"/>
              <w:left w:val="single" w:color="auto" w:sz="4" w:space="0"/>
              <w:bottom w:val="single" w:color="auto" w:sz="4" w:space="0"/>
              <w:right w:val="single" w:color="auto" w:sz="4" w:space="0"/>
            </w:tcBorders>
            <w:noWrap w:val="0"/>
            <w:vAlign w:val="center"/>
          </w:tcPr>
          <w:p w14:paraId="039B93F7">
            <w:pPr>
              <w:snapToGrid w:val="0"/>
              <w:spacing w:line="360" w:lineRule="auto"/>
              <w:jc w:val="center"/>
              <w:rPr>
                <w:rFonts w:ascii="宋体" w:hAnsi="宋体"/>
                <w:szCs w:val="21"/>
              </w:rPr>
            </w:pPr>
            <w:r>
              <w:rPr>
                <w:rFonts w:hint="eastAsia" w:ascii="宋体" w:hAnsi="宋体"/>
                <w:szCs w:val="21"/>
              </w:rPr>
              <w:t>简要技术需求或者服务要求</w:t>
            </w:r>
          </w:p>
        </w:tc>
      </w:tr>
      <w:tr w14:paraId="3B915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01"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14:paraId="2C85056E">
            <w:pPr>
              <w:snapToGrid w:val="0"/>
              <w:spacing w:line="360" w:lineRule="auto"/>
              <w:jc w:val="center"/>
              <w:rPr>
                <w:rFonts w:ascii="宋体" w:hAnsi="宋体"/>
                <w:szCs w:val="21"/>
              </w:rPr>
            </w:pPr>
            <w:r>
              <w:rPr>
                <w:rFonts w:hint="eastAsia" w:ascii="宋体" w:hAnsi="宋体"/>
                <w:szCs w:val="21"/>
              </w:rPr>
              <w:t>01</w:t>
            </w:r>
          </w:p>
        </w:tc>
        <w:tc>
          <w:tcPr>
            <w:tcW w:w="1754" w:type="dxa"/>
            <w:tcBorders>
              <w:top w:val="single" w:color="auto" w:sz="4" w:space="0"/>
              <w:left w:val="single" w:color="auto" w:sz="4" w:space="0"/>
              <w:bottom w:val="single" w:color="auto" w:sz="4" w:space="0"/>
              <w:right w:val="single" w:color="auto" w:sz="4" w:space="0"/>
            </w:tcBorders>
            <w:noWrap w:val="0"/>
            <w:vAlign w:val="center"/>
          </w:tcPr>
          <w:p w14:paraId="26FA7C57">
            <w:pPr>
              <w:tabs>
                <w:tab w:val="left" w:pos="180"/>
                <w:tab w:val="left" w:pos="1620"/>
              </w:tabs>
              <w:spacing w:line="360" w:lineRule="auto"/>
              <w:jc w:val="center"/>
              <w:rPr>
                <w:rFonts w:ascii="宋体" w:hAnsi="宋体"/>
                <w:szCs w:val="21"/>
              </w:rPr>
            </w:pPr>
            <w:r>
              <w:rPr>
                <w:rFonts w:hint="eastAsia" w:ascii="宋体" w:hAnsi="宋体"/>
                <w:szCs w:val="21"/>
              </w:rPr>
              <w:t>法医病理鉴定、法医临床鉴定、法医毒物鉴定服务</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46D11155">
            <w:pPr>
              <w:snapToGrid w:val="0"/>
              <w:spacing w:line="360" w:lineRule="auto"/>
              <w:jc w:val="center"/>
              <w:rPr>
                <w:rFonts w:hint="eastAsia" w:ascii="宋体" w:hAnsi="宋体"/>
                <w:szCs w:val="21"/>
              </w:rPr>
            </w:pPr>
            <w:r>
              <w:rPr>
                <w:rFonts w:hint="eastAsia" w:ascii="宋体" w:hAnsi="宋体"/>
                <w:szCs w:val="21"/>
              </w:rPr>
              <w:t>1项</w:t>
            </w:r>
          </w:p>
        </w:tc>
        <w:tc>
          <w:tcPr>
            <w:tcW w:w="5019" w:type="dxa"/>
            <w:tcBorders>
              <w:top w:val="single" w:color="auto" w:sz="4" w:space="0"/>
              <w:left w:val="single" w:color="auto" w:sz="4" w:space="0"/>
              <w:bottom w:val="single" w:color="auto" w:sz="4" w:space="0"/>
              <w:right w:val="single" w:color="auto" w:sz="4" w:space="0"/>
            </w:tcBorders>
            <w:noWrap w:val="0"/>
            <w:vAlign w:val="center"/>
          </w:tcPr>
          <w:p w14:paraId="7D082E81">
            <w:pPr>
              <w:snapToGrid w:val="0"/>
              <w:spacing w:line="360" w:lineRule="auto"/>
              <w:rPr>
                <w:rFonts w:hint="eastAsia" w:ascii="宋体" w:hAnsi="宋体" w:eastAsia="宋体"/>
                <w:szCs w:val="21"/>
                <w:lang w:eastAsia="zh-CN"/>
              </w:rPr>
            </w:pPr>
            <w:r>
              <w:rPr>
                <w:rFonts w:hint="eastAsia" w:ascii="宋体" w:hAnsi="宋体" w:eastAsia="宋体"/>
                <w:szCs w:val="21"/>
                <w:lang w:eastAsia="zh-CN"/>
              </w:rPr>
              <w:t>1.法医病理鉴定（尸表检验、尸体常规解剖、特殊尸体解剖、硅藻检查、法医现场勘查、法医病理诊断、死亡原因分析、死亡方式判断、生前伤死后伤鉴别等）；</w:t>
            </w:r>
          </w:p>
          <w:p w14:paraId="75534A86">
            <w:pPr>
              <w:snapToGrid w:val="0"/>
              <w:spacing w:line="360" w:lineRule="auto"/>
              <w:rPr>
                <w:rFonts w:hint="eastAsia" w:ascii="宋体" w:hAnsi="宋体" w:eastAsia="宋体"/>
                <w:szCs w:val="21"/>
                <w:lang w:eastAsia="zh-CN"/>
              </w:rPr>
            </w:pPr>
            <w:r>
              <w:rPr>
                <w:rFonts w:hint="eastAsia" w:ascii="宋体" w:hAnsi="宋体" w:eastAsia="宋体"/>
                <w:szCs w:val="21"/>
                <w:lang w:eastAsia="zh-CN"/>
              </w:rPr>
              <w:t>2.法医临床鉴定（损伤程度鉴定、伤残程度评定、伤病关系鉴定等）；</w:t>
            </w:r>
          </w:p>
          <w:p w14:paraId="45612274">
            <w:pPr>
              <w:snapToGrid w:val="0"/>
              <w:spacing w:line="360" w:lineRule="auto"/>
              <w:rPr>
                <w:rFonts w:hint="eastAsia" w:ascii="宋体" w:hAnsi="宋体" w:eastAsia="宋体"/>
                <w:szCs w:val="21"/>
                <w:lang w:eastAsia="zh-CN"/>
              </w:rPr>
            </w:pPr>
            <w:r>
              <w:rPr>
                <w:rFonts w:hint="eastAsia" w:ascii="宋体" w:hAnsi="宋体" w:eastAsia="宋体"/>
                <w:szCs w:val="21"/>
                <w:lang w:eastAsia="zh-CN"/>
              </w:rPr>
              <w:t>3.法医毒物鉴定（人体体液中乙醇定性定量分析等）。</w:t>
            </w:r>
          </w:p>
        </w:tc>
      </w:tr>
    </w:tbl>
    <w:p w14:paraId="6C47E423">
      <w:pPr>
        <w:spacing w:line="56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合同履行期限：</w:t>
      </w:r>
      <w:r>
        <w:rPr>
          <w:rFonts w:hint="eastAsia" w:ascii="宋体" w:hAnsi="宋体"/>
          <w:szCs w:val="21"/>
        </w:rPr>
        <w:t>自签订合同之日起一年。</w:t>
      </w:r>
    </w:p>
    <w:p w14:paraId="6BEE0BAE">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本项目（否）接受联合体。</w:t>
      </w:r>
    </w:p>
    <w:p w14:paraId="5BA25463">
      <w:pPr>
        <w:spacing w:line="460" w:lineRule="exact"/>
        <w:ind w:firstLine="310" w:firstLineChars="147"/>
        <w:rPr>
          <w:rFonts w:ascii="宋体" w:hAnsi="宋体" w:cs="宋体"/>
          <w:b/>
          <w:color w:val="auto"/>
          <w:szCs w:val="21"/>
          <w:highlight w:val="none"/>
        </w:rPr>
      </w:pPr>
      <w:bookmarkStart w:id="11" w:name="_Toc28359090"/>
      <w:bookmarkStart w:id="12" w:name="_Toc28359013"/>
      <w:bookmarkStart w:id="13" w:name="_Toc44229879"/>
      <w:bookmarkStart w:id="14" w:name="_Toc35393630"/>
      <w:bookmarkStart w:id="15" w:name="_Toc71365906"/>
      <w:bookmarkStart w:id="16" w:name="_Toc35393799"/>
      <w:r>
        <w:rPr>
          <w:rFonts w:hint="eastAsia" w:ascii="宋体" w:hAnsi="宋体" w:cs="宋体"/>
          <w:b/>
          <w:color w:val="auto"/>
          <w:szCs w:val="21"/>
          <w:highlight w:val="none"/>
        </w:rPr>
        <w:t>二、申请人的资格条件：</w:t>
      </w:r>
      <w:bookmarkEnd w:id="11"/>
      <w:bookmarkEnd w:id="12"/>
      <w:bookmarkEnd w:id="13"/>
      <w:bookmarkEnd w:id="14"/>
      <w:bookmarkEnd w:id="15"/>
      <w:bookmarkEnd w:id="16"/>
    </w:p>
    <w:p w14:paraId="537B6695">
      <w:pPr>
        <w:spacing w:line="460" w:lineRule="exact"/>
        <w:ind w:firstLine="420" w:firstLineChars="200"/>
        <w:rPr>
          <w:rFonts w:ascii="宋体" w:hAnsi="宋体" w:cs="宋体"/>
          <w:color w:val="auto"/>
          <w:szCs w:val="21"/>
          <w:highlight w:val="none"/>
        </w:rPr>
      </w:pPr>
      <w:bookmarkStart w:id="17" w:name="_Toc71365907"/>
      <w:bookmarkStart w:id="18" w:name="_Toc44229880"/>
      <w:bookmarkStart w:id="19" w:name="_Toc35393631"/>
      <w:bookmarkStart w:id="20" w:name="_Toc35393800"/>
      <w:bookmarkStart w:id="21" w:name="_Toc28359091"/>
      <w:bookmarkStart w:id="22" w:name="_Toc28359014"/>
      <w:r>
        <w:rPr>
          <w:rFonts w:hint="eastAsia" w:ascii="宋体" w:hAnsi="宋体" w:cs="宋体"/>
          <w:color w:val="auto"/>
          <w:szCs w:val="21"/>
          <w:highlight w:val="none"/>
        </w:rPr>
        <w:t>1.满足《中华人民共和国政府采购法》第二十二条规定；</w:t>
      </w:r>
    </w:p>
    <w:p w14:paraId="66A85D14">
      <w:pPr>
        <w:spacing w:line="46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val="en-US" w:eastAsia="zh-CN"/>
        </w:rPr>
        <w:t>无；</w:t>
      </w:r>
    </w:p>
    <w:p w14:paraId="317C62DB">
      <w:pPr>
        <w:spacing w:line="46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3.本项目的特定资格要求：</w:t>
      </w:r>
      <w:r>
        <w:rPr>
          <w:rFonts w:hint="eastAsia" w:ascii="宋体" w:hAnsi="宋体"/>
          <w:szCs w:val="21"/>
        </w:rPr>
        <w:t>具备有效的司法行政机关审核登记的《司法鉴定许可证》（符合本项目业务范围）的供应商</w:t>
      </w:r>
      <w:r>
        <w:rPr>
          <w:rFonts w:hint="eastAsia" w:ascii="宋体" w:hAnsi="宋体" w:cs="宋体"/>
          <w:szCs w:val="21"/>
        </w:rPr>
        <w:t>。</w:t>
      </w:r>
    </w:p>
    <w:p w14:paraId="152A5719">
      <w:pPr>
        <w:spacing w:line="460" w:lineRule="exact"/>
        <w:ind w:firstLine="521" w:firstLineChars="247"/>
        <w:rPr>
          <w:rFonts w:ascii="宋体" w:hAnsi="宋体" w:cs="宋体"/>
          <w:b/>
          <w:color w:val="auto"/>
          <w:szCs w:val="21"/>
          <w:highlight w:val="none"/>
        </w:rPr>
      </w:pPr>
      <w:r>
        <w:rPr>
          <w:rFonts w:hint="eastAsia" w:ascii="宋体" w:hAnsi="宋体" w:cs="宋体"/>
          <w:b/>
          <w:color w:val="auto"/>
          <w:szCs w:val="21"/>
          <w:highlight w:val="none"/>
        </w:rPr>
        <w:t>三、获取竞争性磋商文件</w:t>
      </w:r>
      <w:bookmarkEnd w:id="17"/>
      <w:bookmarkEnd w:id="18"/>
      <w:bookmarkEnd w:id="19"/>
      <w:bookmarkEnd w:id="20"/>
      <w:bookmarkEnd w:id="21"/>
      <w:bookmarkEnd w:id="22"/>
    </w:p>
    <w:p w14:paraId="28E488F6">
      <w:pPr>
        <w:spacing w:line="460" w:lineRule="exact"/>
        <w:ind w:firstLine="420" w:firstLineChars="200"/>
        <w:rPr>
          <w:rFonts w:ascii="宋体" w:hAnsi="宋体" w:cs="宋体"/>
          <w:bCs/>
          <w:color w:val="auto"/>
          <w:kern w:val="0"/>
          <w:szCs w:val="21"/>
          <w:highlight w:val="none"/>
        </w:rPr>
      </w:pPr>
      <w:bookmarkStart w:id="23" w:name="_Toc35393801"/>
      <w:bookmarkStart w:id="24" w:name="_Toc44229881"/>
      <w:bookmarkStart w:id="25" w:name="_Toc28359092"/>
      <w:bookmarkStart w:id="26" w:name="_Toc28359015"/>
      <w:bookmarkStart w:id="27" w:name="_Toc35393632"/>
      <w:r>
        <w:rPr>
          <w:rFonts w:hint="eastAsia" w:ascii="宋体" w:hAnsi="宋体" w:cs="宋体"/>
          <w:bCs/>
          <w:color w:val="auto"/>
          <w:kern w:val="0"/>
          <w:szCs w:val="21"/>
          <w:highlight w:val="none"/>
        </w:rPr>
        <w:t>时间：2025年</w:t>
      </w:r>
      <w:r>
        <w:rPr>
          <w:rFonts w:hint="eastAsia" w:ascii="宋体" w:hAnsi="宋体" w:cs="宋体"/>
          <w:bCs/>
          <w:color w:val="auto"/>
          <w:szCs w:val="21"/>
          <w:highlight w:val="none"/>
          <w:lang w:val="en-US" w:eastAsia="zh-CN"/>
        </w:rPr>
        <w:t>11</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27</w:t>
      </w:r>
      <w:r>
        <w:rPr>
          <w:rFonts w:hint="eastAsia" w:ascii="宋体" w:hAnsi="宋体" w:cs="宋体"/>
          <w:bCs/>
          <w:color w:val="auto"/>
          <w:szCs w:val="21"/>
          <w:highlight w:val="none"/>
        </w:rPr>
        <w:t>日</w:t>
      </w:r>
      <w:r>
        <w:rPr>
          <w:rFonts w:hint="eastAsia" w:ascii="宋体" w:hAnsi="宋体" w:cs="宋体"/>
          <w:color w:val="auto"/>
          <w:szCs w:val="21"/>
          <w:highlight w:val="none"/>
        </w:rPr>
        <w:t>起</w:t>
      </w:r>
      <w:r>
        <w:rPr>
          <w:rFonts w:hint="eastAsia" w:ascii="宋体" w:hAnsi="宋体" w:cs="宋体"/>
          <w:bCs/>
          <w:color w:val="auto"/>
          <w:kern w:val="0"/>
          <w:szCs w:val="21"/>
          <w:highlight w:val="none"/>
        </w:rPr>
        <w:t>至2025年</w:t>
      </w:r>
      <w:r>
        <w:rPr>
          <w:rFonts w:hint="eastAsia" w:ascii="宋体" w:hAnsi="宋体" w:cs="宋体"/>
          <w:bCs/>
          <w:color w:val="auto"/>
          <w:szCs w:val="21"/>
          <w:highlight w:val="none"/>
          <w:lang w:val="en-US" w:eastAsia="zh-CN"/>
        </w:rPr>
        <w:t>12</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日</w:t>
      </w:r>
      <w:r>
        <w:rPr>
          <w:rFonts w:hint="eastAsia" w:ascii="宋体" w:hAnsi="宋体" w:cs="宋体"/>
          <w:bCs/>
          <w:color w:val="auto"/>
          <w:kern w:val="0"/>
          <w:szCs w:val="21"/>
          <w:highlight w:val="none"/>
        </w:rPr>
        <w:t>，每天上午8</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00至12</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00，</w:t>
      </w:r>
      <w:r>
        <w:rPr>
          <w:rFonts w:hint="eastAsia"/>
        </w:rPr>
        <w:t>下午3</w:t>
      </w:r>
      <w:r>
        <w:rPr>
          <w:rFonts w:hint="eastAsia"/>
          <w:lang w:eastAsia="zh-CN"/>
        </w:rPr>
        <w:t>：</w:t>
      </w:r>
      <w:r>
        <w:rPr>
          <w:rFonts w:hint="eastAsia"/>
        </w:rPr>
        <w:t>00至6</w:t>
      </w:r>
      <w:r>
        <w:rPr>
          <w:rFonts w:hint="eastAsia"/>
          <w:lang w:eastAsia="zh-CN"/>
        </w:rPr>
        <w:t>：</w:t>
      </w:r>
      <w:r>
        <w:rPr>
          <w:rFonts w:hint="eastAsia"/>
        </w:rPr>
        <w:t>00</w:t>
      </w:r>
      <w:r>
        <w:rPr>
          <w:rFonts w:hint="eastAsia" w:ascii="宋体" w:hAnsi="宋体" w:cs="宋体"/>
          <w:bCs/>
          <w:color w:val="auto"/>
          <w:kern w:val="0"/>
          <w:szCs w:val="21"/>
          <w:highlight w:val="none"/>
        </w:rPr>
        <w:t>（北京时间，法定节假日除外）</w:t>
      </w:r>
    </w:p>
    <w:p w14:paraId="77BD1CB4">
      <w:pPr>
        <w:spacing w:line="4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//www.gcy.zfcg.gxzf.gov.cn/）</w:t>
      </w:r>
    </w:p>
    <w:p w14:paraId="7C59042B">
      <w:pPr>
        <w:spacing w:line="4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方式：网上下载。本项目不提供纸质文件，潜在供应商需使用账号登录或者使用CA登录广西政府采购云平台（https</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//www.gcy.zfcg.gxzf.gov.cn/）-进入“项目采购”应用，在获取采购文件菜单中选择项目，获取竞争性磋商文件。</w:t>
      </w:r>
      <w:r>
        <w:rPr>
          <w:rFonts w:hint="eastAsia" w:ascii="宋体" w:hAnsi="宋体" w:cs="宋体"/>
          <w:color w:val="auto"/>
          <w:szCs w:val="21"/>
          <w:highlight w:val="none"/>
        </w:rPr>
        <w:t>电子响应文件制作需要基于广西政府采购云平台获取的磋商文件编制，</w:t>
      </w:r>
      <w:r>
        <w:rPr>
          <w:rFonts w:hint="eastAsia" w:ascii="宋体" w:hAnsi="宋体" w:cs="宋体"/>
          <w:bCs/>
          <w:color w:val="auto"/>
          <w:kern w:val="0"/>
          <w:szCs w:val="21"/>
          <w:highlight w:val="none"/>
        </w:rPr>
        <w:t>通过其他方式获取磋商文件的，将有可能导致供应商无法在广西政府采购云平台编制及上传响应文件。</w:t>
      </w:r>
    </w:p>
    <w:p w14:paraId="6668A925">
      <w:pPr>
        <w:spacing w:line="460" w:lineRule="exact"/>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u w:val="single"/>
        </w:rPr>
        <w:t>0</w:t>
      </w:r>
      <w:r>
        <w:rPr>
          <w:rFonts w:hint="eastAsia" w:ascii="宋体" w:hAnsi="宋体" w:cs="宋体"/>
          <w:color w:val="auto"/>
          <w:szCs w:val="21"/>
          <w:highlight w:val="none"/>
        </w:rPr>
        <w:t>元</w:t>
      </w:r>
    </w:p>
    <w:p w14:paraId="64BAF002">
      <w:pPr>
        <w:spacing w:line="460" w:lineRule="exact"/>
        <w:ind w:firstLine="310" w:firstLineChars="147"/>
        <w:rPr>
          <w:rFonts w:ascii="宋体" w:hAnsi="宋体" w:cs="宋体"/>
          <w:b/>
          <w:color w:val="auto"/>
          <w:szCs w:val="21"/>
          <w:highlight w:val="none"/>
        </w:rPr>
      </w:pPr>
      <w:bookmarkStart w:id="28" w:name="_Toc71365908"/>
      <w:r>
        <w:rPr>
          <w:rFonts w:hint="eastAsia" w:ascii="宋体" w:hAnsi="宋体" w:cs="宋体"/>
          <w:b/>
          <w:color w:val="auto"/>
          <w:szCs w:val="21"/>
          <w:highlight w:val="none"/>
        </w:rPr>
        <w:t>四、响应文件提交</w:t>
      </w:r>
      <w:bookmarkEnd w:id="23"/>
      <w:bookmarkEnd w:id="24"/>
      <w:bookmarkEnd w:id="25"/>
      <w:bookmarkEnd w:id="26"/>
      <w:bookmarkEnd w:id="27"/>
      <w:bookmarkEnd w:id="28"/>
    </w:p>
    <w:p w14:paraId="4B3C01ED">
      <w:pPr>
        <w:spacing w:line="460" w:lineRule="exact"/>
        <w:ind w:firstLine="420" w:firstLineChars="200"/>
        <w:rPr>
          <w:rFonts w:ascii="宋体" w:hAnsi="宋体" w:cs="宋体"/>
          <w:bCs/>
          <w:color w:val="auto"/>
          <w:szCs w:val="21"/>
          <w:highlight w:val="none"/>
        </w:rPr>
      </w:pPr>
      <w:bookmarkStart w:id="29" w:name="_Toc28359093"/>
      <w:bookmarkStart w:id="30" w:name="_Toc28359016"/>
      <w:bookmarkStart w:id="31" w:name="_Toc35393802"/>
      <w:bookmarkStart w:id="32" w:name="_Toc71365909"/>
      <w:bookmarkStart w:id="33" w:name="_Toc44229882"/>
      <w:bookmarkStart w:id="34" w:name="_Toc35393633"/>
      <w:r>
        <w:rPr>
          <w:rFonts w:hint="eastAsia" w:ascii="宋体" w:hAnsi="宋体" w:cs="宋体"/>
          <w:color w:val="auto"/>
          <w:szCs w:val="21"/>
          <w:highlight w:val="none"/>
        </w:rPr>
        <w:t>截止时间：</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日9时00分</w:t>
      </w:r>
      <w:r>
        <w:rPr>
          <w:rFonts w:hint="eastAsia" w:ascii="宋体" w:hAnsi="宋体" w:cs="宋体"/>
          <w:bCs/>
          <w:color w:val="auto"/>
          <w:szCs w:val="21"/>
          <w:highlight w:val="none"/>
        </w:rPr>
        <w:t>（北京时间）</w:t>
      </w:r>
    </w:p>
    <w:p w14:paraId="1D91C986">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地点：广西政府采购云平台（https</w:t>
      </w:r>
      <w:r>
        <w:rPr>
          <w:rFonts w:hint="eastAsia" w:ascii="宋体" w:hAnsi="宋体" w:cs="宋体"/>
          <w:color w:val="auto"/>
          <w:szCs w:val="21"/>
          <w:highlight w:val="none"/>
          <w:lang w:eastAsia="zh-CN"/>
        </w:rPr>
        <w:t>：</w:t>
      </w:r>
      <w:r>
        <w:rPr>
          <w:rFonts w:hint="eastAsia" w:ascii="宋体" w:hAnsi="宋体" w:cs="宋体"/>
          <w:color w:val="auto"/>
          <w:szCs w:val="21"/>
          <w:highlight w:val="none"/>
        </w:rPr>
        <w:t>//www.gcy.zfcg.gxzf.gov.cn/）</w:t>
      </w:r>
    </w:p>
    <w:p w14:paraId="417F69B9">
      <w:pPr>
        <w:spacing w:line="460" w:lineRule="exact"/>
        <w:ind w:firstLine="310" w:firstLineChars="147"/>
        <w:rPr>
          <w:rFonts w:ascii="宋体" w:hAnsi="宋体" w:cs="宋体"/>
          <w:b/>
          <w:color w:val="auto"/>
          <w:szCs w:val="21"/>
          <w:highlight w:val="none"/>
        </w:rPr>
      </w:pPr>
      <w:r>
        <w:rPr>
          <w:rFonts w:hint="eastAsia" w:ascii="宋体" w:hAnsi="宋体" w:cs="宋体"/>
          <w:b/>
          <w:color w:val="auto"/>
          <w:szCs w:val="21"/>
          <w:highlight w:val="none"/>
        </w:rPr>
        <w:t>五、开启</w:t>
      </w:r>
      <w:bookmarkEnd w:id="29"/>
      <w:bookmarkEnd w:id="30"/>
      <w:bookmarkEnd w:id="31"/>
      <w:bookmarkEnd w:id="32"/>
      <w:bookmarkEnd w:id="33"/>
      <w:bookmarkEnd w:id="34"/>
    </w:p>
    <w:p w14:paraId="2A2A219B">
      <w:pPr>
        <w:spacing w:line="460" w:lineRule="exact"/>
        <w:ind w:firstLine="420" w:firstLineChars="200"/>
        <w:rPr>
          <w:rFonts w:ascii="宋体" w:hAnsi="宋体" w:cs="宋体"/>
          <w:bCs/>
          <w:color w:val="auto"/>
          <w:szCs w:val="21"/>
          <w:highlight w:val="none"/>
          <w:u w:val="single"/>
        </w:rPr>
      </w:pPr>
      <w:bookmarkStart w:id="35" w:name="_Toc71365910"/>
      <w:bookmarkStart w:id="36" w:name="_Toc44229883"/>
      <w:bookmarkStart w:id="37" w:name="_Toc28359094"/>
      <w:bookmarkStart w:id="38" w:name="_Toc35393634"/>
      <w:bookmarkStart w:id="39" w:name="_Toc28359017"/>
      <w:bookmarkStart w:id="40" w:name="_Toc35393803"/>
      <w:r>
        <w:rPr>
          <w:rFonts w:hint="eastAsia" w:ascii="宋体" w:hAnsi="宋体" w:cs="宋体"/>
          <w:color w:val="auto"/>
          <w:szCs w:val="21"/>
          <w:highlight w:val="none"/>
        </w:rPr>
        <w:t>1.时间：</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日9时00分</w:t>
      </w:r>
      <w:r>
        <w:rPr>
          <w:rFonts w:hint="eastAsia" w:ascii="宋体" w:hAnsi="宋体" w:cs="宋体"/>
          <w:bCs/>
          <w:color w:val="auto"/>
          <w:szCs w:val="21"/>
          <w:highlight w:val="none"/>
        </w:rPr>
        <w:t>（北京时间）</w:t>
      </w:r>
    </w:p>
    <w:p w14:paraId="0EA08131">
      <w:pPr>
        <w:spacing w:line="460" w:lineRule="exact"/>
        <w:ind w:firstLine="518" w:firstLineChars="247"/>
        <w:rPr>
          <w:rFonts w:ascii="宋体" w:hAnsi="宋体" w:cs="宋体"/>
          <w:bCs/>
          <w:color w:val="auto"/>
          <w:kern w:val="0"/>
          <w:szCs w:val="21"/>
          <w:highlight w:val="none"/>
        </w:rPr>
      </w:pPr>
      <w:r>
        <w:rPr>
          <w:rFonts w:hint="eastAsia" w:ascii="宋体" w:hAnsi="宋体" w:cs="宋体"/>
          <w:color w:val="auto"/>
          <w:szCs w:val="21"/>
          <w:highlight w:val="none"/>
        </w:rPr>
        <w:t>2.地点：广西政府采购云平台（https</w:t>
      </w:r>
      <w:r>
        <w:rPr>
          <w:rFonts w:hint="eastAsia" w:ascii="宋体" w:hAnsi="宋体" w:cs="宋体"/>
          <w:color w:val="auto"/>
          <w:szCs w:val="21"/>
          <w:highlight w:val="none"/>
          <w:lang w:eastAsia="zh-CN"/>
        </w:rPr>
        <w:t>：</w:t>
      </w:r>
      <w:r>
        <w:rPr>
          <w:rFonts w:hint="eastAsia" w:ascii="宋体" w:hAnsi="宋体" w:cs="宋体"/>
          <w:color w:val="auto"/>
          <w:szCs w:val="21"/>
          <w:highlight w:val="none"/>
        </w:rPr>
        <w:t>//www.gcy.zfcg.gxzf.gov.cn/）</w:t>
      </w:r>
    </w:p>
    <w:p w14:paraId="64397748">
      <w:pPr>
        <w:spacing w:line="460" w:lineRule="exact"/>
        <w:ind w:firstLine="310" w:firstLineChars="147"/>
        <w:rPr>
          <w:rFonts w:ascii="宋体" w:hAnsi="宋体" w:cs="宋体"/>
          <w:b/>
          <w:color w:val="auto"/>
          <w:szCs w:val="21"/>
          <w:highlight w:val="none"/>
        </w:rPr>
      </w:pPr>
      <w:r>
        <w:rPr>
          <w:rFonts w:hint="eastAsia" w:ascii="宋体" w:hAnsi="宋体" w:cs="宋体"/>
          <w:b/>
          <w:color w:val="auto"/>
          <w:szCs w:val="21"/>
          <w:highlight w:val="none"/>
        </w:rPr>
        <w:t>六、公告期限</w:t>
      </w:r>
      <w:bookmarkEnd w:id="35"/>
      <w:bookmarkEnd w:id="36"/>
      <w:bookmarkEnd w:id="37"/>
      <w:bookmarkEnd w:id="38"/>
      <w:bookmarkEnd w:id="39"/>
      <w:bookmarkEnd w:id="40"/>
    </w:p>
    <w:p w14:paraId="5950AA23">
      <w:pPr>
        <w:spacing w:line="4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3EFB1F2B">
      <w:pPr>
        <w:spacing w:line="460" w:lineRule="exact"/>
        <w:ind w:firstLine="310" w:firstLineChars="147"/>
        <w:rPr>
          <w:rFonts w:ascii="宋体" w:hAnsi="宋体" w:cs="宋体"/>
          <w:b/>
          <w:color w:val="auto"/>
          <w:szCs w:val="21"/>
          <w:highlight w:val="none"/>
        </w:rPr>
      </w:pPr>
      <w:bookmarkStart w:id="41" w:name="_Toc35393635"/>
      <w:bookmarkStart w:id="42" w:name="_Toc71365911"/>
      <w:bookmarkStart w:id="43" w:name="_Toc35393804"/>
      <w:bookmarkStart w:id="44" w:name="_Toc44229884"/>
      <w:r>
        <w:rPr>
          <w:rFonts w:hint="eastAsia" w:ascii="宋体" w:hAnsi="宋体" w:cs="宋体"/>
          <w:b/>
          <w:color w:val="auto"/>
          <w:szCs w:val="21"/>
          <w:highlight w:val="none"/>
        </w:rPr>
        <w:t>七、其他补充事宜</w:t>
      </w:r>
      <w:bookmarkEnd w:id="41"/>
      <w:bookmarkEnd w:id="42"/>
      <w:bookmarkEnd w:id="43"/>
      <w:bookmarkEnd w:id="44"/>
    </w:p>
    <w:p w14:paraId="69124934">
      <w:pPr>
        <w:spacing w:line="360" w:lineRule="auto"/>
        <w:ind w:firstLine="420" w:firstLineChars="200"/>
        <w:rPr>
          <w:rFonts w:ascii="宋体" w:hAnsi="宋体" w:cs="宋体"/>
          <w:color w:val="auto"/>
          <w:kern w:val="0"/>
          <w:szCs w:val="21"/>
          <w:highlight w:val="none"/>
        </w:rPr>
      </w:pPr>
      <w:bookmarkStart w:id="45" w:name="_Toc28359018"/>
      <w:bookmarkStart w:id="46" w:name="_Toc35393636"/>
      <w:bookmarkStart w:id="47" w:name="_Toc35393805"/>
      <w:bookmarkStart w:id="48" w:name="_Toc44229885"/>
      <w:bookmarkStart w:id="49" w:name="_Toc28359095"/>
      <w:r>
        <w:rPr>
          <w:rFonts w:hint="eastAsia" w:ascii="宋体" w:hAnsi="宋体" w:cs="宋体"/>
          <w:color w:val="auto"/>
          <w:kern w:val="0"/>
          <w:szCs w:val="21"/>
          <w:highlight w:val="none"/>
        </w:rPr>
        <w:t>1.网上查询地址</w:t>
      </w:r>
    </w:p>
    <w:p w14:paraId="116C8EF0">
      <w:pPr>
        <w:wordWrap w:val="0"/>
        <w:spacing w:line="360" w:lineRule="auto"/>
        <w:ind w:firstLine="424" w:firstLineChars="202"/>
        <w:rPr>
          <w:rFonts w:ascii="宋体" w:hAnsi="宋体" w:cs="宋体"/>
          <w:color w:val="auto"/>
          <w:szCs w:val="21"/>
          <w:highlight w:val="none"/>
        </w:rPr>
      </w:pPr>
      <w:bookmarkStart w:id="50" w:name="_Hlk37429674"/>
      <w:r>
        <w:rPr>
          <w:rFonts w:hint="eastAsia" w:ascii="宋体" w:hAnsi="宋体" w:cs="宋体"/>
          <w:color w:val="auto"/>
          <w:szCs w:val="21"/>
          <w:highlight w:val="none"/>
        </w:rPr>
        <w:t>中国政府采购网（www.ccgp.gov.cn）、广西壮族自治区政府采购网（zfcg.gxzf.gov.cn）、梧州市政府采购网（http</w:t>
      </w:r>
      <w:r>
        <w:rPr>
          <w:rFonts w:hint="eastAsia" w:ascii="宋体" w:hAnsi="宋体" w:cs="宋体"/>
          <w:color w:val="auto"/>
          <w:szCs w:val="21"/>
          <w:highlight w:val="none"/>
          <w:lang w:eastAsia="zh-CN"/>
        </w:rPr>
        <w:t>：</w:t>
      </w:r>
      <w:r>
        <w:rPr>
          <w:rFonts w:hint="eastAsia" w:ascii="宋体" w:hAnsi="宋体" w:cs="宋体"/>
          <w:color w:val="auto"/>
          <w:szCs w:val="21"/>
          <w:highlight w:val="none"/>
        </w:rPr>
        <w:t>//117.141.250.58:10030/web/cgw/index.ptl）</w:t>
      </w:r>
      <w:r>
        <w:rPr>
          <w:rFonts w:hint="eastAsia" w:ascii="宋体" w:hAnsi="宋体" w:cs="宋体"/>
          <w:color w:val="auto"/>
          <w:szCs w:val="21"/>
          <w:highlight w:val="none"/>
          <w:lang w:eastAsia="zh-CN"/>
        </w:rPr>
        <w:t>、</w:t>
      </w:r>
      <w:r>
        <w:rPr>
          <w:rFonts w:hint="eastAsia" w:ascii="宋体" w:hAnsi="宋体"/>
          <w:color w:val="auto"/>
          <w:szCs w:val="21"/>
          <w:lang w:eastAsia="zh-CN"/>
        </w:rPr>
        <w:t>全国公共资源交易平台（广西•岑溪）（http：//ggzy.jgswj.gxzf.gov.cn/cxsggzy/）。</w:t>
      </w:r>
    </w:p>
    <w:p w14:paraId="4CDB8722">
      <w:pPr>
        <w:spacing w:line="460" w:lineRule="exact"/>
        <w:ind w:firstLine="424" w:firstLineChars="202"/>
        <w:rPr>
          <w:rFonts w:ascii="宋体" w:hAnsi="宋体" w:cs="宋体"/>
          <w:color w:val="auto"/>
          <w:kern w:val="0"/>
          <w:szCs w:val="21"/>
          <w:highlight w:val="none"/>
        </w:rPr>
      </w:pPr>
      <w:r>
        <w:rPr>
          <w:rFonts w:hint="eastAsia" w:ascii="宋体" w:hAnsi="宋体" w:cs="宋体"/>
          <w:color w:val="auto"/>
          <w:szCs w:val="21"/>
          <w:highlight w:val="none"/>
        </w:rPr>
        <w:t>2.</w:t>
      </w:r>
      <w:r>
        <w:rPr>
          <w:rFonts w:hint="eastAsia" w:ascii="宋体" w:hAnsi="宋体" w:cs="宋体"/>
          <w:color w:val="auto"/>
          <w:kern w:val="0"/>
          <w:szCs w:val="21"/>
          <w:highlight w:val="none"/>
        </w:rPr>
        <w:t>本项目需要落实的政府采购政策</w:t>
      </w:r>
    </w:p>
    <w:p w14:paraId="7BF75C4E">
      <w:pPr>
        <w:spacing w:line="4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646A6BAA">
      <w:pPr>
        <w:spacing w:line="4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00707212">
      <w:pPr>
        <w:spacing w:line="4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502ABDC0">
      <w:pPr>
        <w:spacing w:line="4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25FD485A">
      <w:pPr>
        <w:spacing w:line="4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bookmarkEnd w:id="50"/>
    <w:p w14:paraId="7CCFF147">
      <w:pPr>
        <w:widowControl/>
        <w:spacing w:line="46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3.供应商</w:t>
      </w:r>
      <w:r>
        <w:rPr>
          <w:rFonts w:hint="eastAsia" w:ascii="宋体" w:hAnsi="宋体" w:cs="宋体"/>
          <w:color w:val="auto"/>
          <w:szCs w:val="21"/>
          <w:highlight w:val="none"/>
        </w:rPr>
        <w:t>竞标注意事项</w:t>
      </w:r>
    </w:p>
    <w:p w14:paraId="5B46D6EA">
      <w:pPr>
        <w:widowControl/>
        <w:spacing w:line="4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本项目为全流程电子化采购项目，通过广西政府采购云平台（</w:t>
      </w:r>
      <w:r>
        <w:rPr>
          <w:rFonts w:hint="eastAsia" w:ascii="宋体" w:hAnsi="宋体"/>
          <w:bCs/>
          <w:color w:val="auto"/>
          <w:szCs w:val="21"/>
          <w:highlight w:val="none"/>
        </w:rPr>
        <w:t>https</w:t>
      </w:r>
      <w:r>
        <w:rPr>
          <w:rFonts w:hint="eastAsia" w:ascii="宋体" w:hAnsi="宋体"/>
          <w:bCs/>
          <w:color w:val="auto"/>
          <w:szCs w:val="21"/>
          <w:highlight w:val="none"/>
          <w:lang w:eastAsia="zh-CN"/>
        </w:rPr>
        <w:t>：</w:t>
      </w:r>
      <w:r>
        <w:rPr>
          <w:rFonts w:hint="eastAsia" w:ascii="宋体" w:hAnsi="宋体"/>
          <w:bCs/>
          <w:color w:val="auto"/>
          <w:szCs w:val="21"/>
          <w:highlight w:val="none"/>
        </w:rPr>
        <w:t>//www.gcy.zfcg.gxzf.gov.cn/</w:t>
      </w:r>
      <w:r>
        <w:rPr>
          <w:rFonts w:hint="eastAsia" w:ascii="宋体" w:hAnsi="宋体"/>
          <w:color w:val="auto"/>
          <w:szCs w:val="21"/>
          <w:highlight w:val="none"/>
        </w:rPr>
        <w:t>）实行在线电子</w:t>
      </w:r>
      <w:r>
        <w:rPr>
          <w:rFonts w:hint="eastAsia" w:ascii="宋体" w:hAnsi="宋体"/>
          <w:color w:val="auto"/>
          <w:szCs w:val="21"/>
          <w:highlight w:val="none"/>
          <w:lang w:val="en-US" w:eastAsia="zh-CN"/>
        </w:rPr>
        <w:t>竞标</w:t>
      </w:r>
      <w:r>
        <w:rPr>
          <w:rFonts w:hint="eastAsia" w:ascii="宋体" w:hAnsi="宋体"/>
          <w:color w:val="auto"/>
          <w:szCs w:val="21"/>
          <w:highlight w:val="none"/>
        </w:rPr>
        <w:t>，供应商应按照本项目</w:t>
      </w:r>
      <w:r>
        <w:rPr>
          <w:rFonts w:hint="eastAsia"/>
          <w:lang w:val="en-US" w:eastAsia="zh-CN"/>
        </w:rPr>
        <w:t>竞争性磋商文件</w:t>
      </w:r>
      <w:r>
        <w:rPr>
          <w:rFonts w:hint="eastAsia" w:ascii="宋体" w:hAnsi="宋体"/>
          <w:color w:val="auto"/>
          <w:szCs w:val="21"/>
          <w:highlight w:val="none"/>
        </w:rPr>
        <w:t>和广西政府采购云平台的要求编制、加密后在</w:t>
      </w:r>
      <w:r>
        <w:rPr>
          <w:rFonts w:hint="eastAsia" w:ascii="宋体" w:hAnsi="宋体"/>
          <w:color w:val="auto"/>
          <w:szCs w:val="21"/>
          <w:highlight w:val="none"/>
          <w:lang w:val="en-US" w:eastAsia="zh-CN"/>
        </w:rPr>
        <w:t>响应文件提交</w:t>
      </w:r>
      <w:r>
        <w:rPr>
          <w:rFonts w:hint="eastAsia" w:ascii="宋体" w:hAnsi="宋体"/>
          <w:color w:val="auto"/>
          <w:szCs w:val="21"/>
          <w:highlight w:val="none"/>
        </w:rPr>
        <w:t>截止时间前通过网络上传至广西政府采购云平台（加密的电子</w:t>
      </w:r>
      <w:r>
        <w:rPr>
          <w:rFonts w:hint="eastAsia" w:ascii="宋体" w:hAnsi="宋体"/>
          <w:color w:val="auto"/>
          <w:szCs w:val="21"/>
          <w:highlight w:val="none"/>
          <w:lang w:eastAsia="zh-CN"/>
        </w:rPr>
        <w:t>响应文件</w:t>
      </w:r>
      <w:r>
        <w:rPr>
          <w:rFonts w:hint="eastAsia" w:ascii="宋体" w:hAnsi="宋体"/>
          <w:color w:val="auto"/>
          <w:szCs w:val="21"/>
          <w:highlight w:val="none"/>
        </w:rPr>
        <w:t>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cs="宋体"/>
          <w:color w:val="auto"/>
          <w:szCs w:val="21"/>
          <w:highlight w:val="none"/>
        </w:rPr>
        <w:t>，</w:t>
      </w:r>
      <w:r>
        <w:rPr>
          <w:rFonts w:hint="eastAsia" w:ascii="宋体" w:hAnsi="宋体" w:cs="宋体"/>
          <w:b/>
          <w:color w:val="auto"/>
          <w:szCs w:val="21"/>
          <w:highlight w:val="none"/>
        </w:rPr>
        <w:t>供应商在广西政府采购云平台提交电子响应文件时，请填写参加远程采购活动经办人联系方式。</w:t>
      </w:r>
      <w:r>
        <w:rPr>
          <w:rFonts w:hint="eastAsia" w:ascii="宋体" w:hAnsi="宋体" w:cs="宋体"/>
          <w:color w:val="auto"/>
          <w:szCs w:val="21"/>
          <w:highlight w:val="none"/>
        </w:rPr>
        <w:t>供应商登录广西政府采购云平台，依次进入“服务中心-项目采购-操作流程-电子招投标-政府采购项目电子交易管理操作指南-供应商”查看电子竞标具体操作流程。</w:t>
      </w:r>
    </w:p>
    <w:p w14:paraId="5E2AC311">
      <w:pPr>
        <w:widowControl/>
        <w:spacing w:line="4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如在操作过程中遇到问题或者需要技术支持，请致电广西政府采购云</w:t>
      </w:r>
      <w:r>
        <w:rPr>
          <w:rFonts w:hint="eastAsia" w:ascii="宋体" w:hAnsi="宋体" w:cs="宋体"/>
          <w:bCs/>
          <w:color w:val="auto"/>
          <w:kern w:val="0"/>
          <w:szCs w:val="21"/>
          <w:highlight w:val="none"/>
          <w:lang w:val="en-US" w:eastAsia="zh-CN"/>
        </w:rPr>
        <w:t>平台</w:t>
      </w:r>
      <w:r>
        <w:rPr>
          <w:rFonts w:hint="eastAsia" w:ascii="宋体" w:hAnsi="宋体" w:cs="宋体"/>
          <w:bCs/>
          <w:color w:val="auto"/>
          <w:kern w:val="0"/>
          <w:szCs w:val="21"/>
          <w:highlight w:val="none"/>
        </w:rPr>
        <w:t>客服热线：95763或者0771-3381253</w:t>
      </w:r>
      <w:r>
        <w:rPr>
          <w:rFonts w:hint="eastAsia" w:ascii="宋体" w:hAnsi="宋体" w:cs="宋体"/>
          <w:color w:val="auto"/>
          <w:szCs w:val="21"/>
          <w:highlight w:val="none"/>
        </w:rPr>
        <w:t>）。</w:t>
      </w:r>
    </w:p>
    <w:p w14:paraId="14C07A45">
      <w:pPr>
        <w:snapToGrid w:val="0"/>
        <w:spacing w:line="4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7F49B44D">
      <w:pPr>
        <w:widowControl/>
        <w:spacing w:line="460" w:lineRule="exac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370155F9">
      <w:pPr>
        <w:spacing w:line="460" w:lineRule="exact"/>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（4）供应商需要在具备有摄像头及语音功能且互联网网络状况良好的电脑登录广西政府采购云平台远程开标大厅参与本次磋商，否则后果自负。</w:t>
      </w:r>
    </w:p>
    <w:p w14:paraId="27E58603">
      <w:pPr>
        <w:spacing w:line="460" w:lineRule="exact"/>
        <w:ind w:firstLine="310" w:firstLineChars="147"/>
        <w:rPr>
          <w:rFonts w:ascii="宋体" w:hAnsi="宋体" w:cs="宋体"/>
          <w:b/>
          <w:color w:val="auto"/>
          <w:szCs w:val="21"/>
          <w:highlight w:val="none"/>
        </w:rPr>
      </w:pPr>
      <w:r>
        <w:rPr>
          <w:rFonts w:hint="eastAsia" w:ascii="宋体" w:hAnsi="宋体" w:cs="宋体"/>
          <w:b/>
          <w:color w:val="auto"/>
          <w:szCs w:val="21"/>
          <w:highlight w:val="none"/>
        </w:rPr>
        <w:t>八、凡对本次采购提出询问，请按以下方式联系。</w:t>
      </w:r>
      <w:bookmarkEnd w:id="45"/>
      <w:bookmarkEnd w:id="46"/>
      <w:bookmarkEnd w:id="47"/>
      <w:bookmarkEnd w:id="48"/>
      <w:bookmarkEnd w:id="49"/>
    </w:p>
    <w:p w14:paraId="1634F893">
      <w:pPr>
        <w:spacing w:line="460" w:lineRule="exact"/>
        <w:ind w:firstLine="420" w:firstLineChars="200"/>
        <w:rPr>
          <w:rFonts w:hint="eastAsia" w:ascii="宋体" w:hAnsi="宋体" w:cs="宋体"/>
          <w:kern w:val="0"/>
          <w:szCs w:val="21"/>
        </w:rPr>
      </w:pPr>
      <w:bookmarkStart w:id="51" w:name="_Toc28359096"/>
      <w:bookmarkStart w:id="52" w:name="_Toc35393637"/>
      <w:bookmarkStart w:id="53" w:name="_Toc28359019"/>
      <w:bookmarkStart w:id="54" w:name="_Toc35393806"/>
      <w:r>
        <w:rPr>
          <w:rFonts w:hint="eastAsia" w:ascii="宋体" w:hAnsi="宋体" w:cs="宋体"/>
          <w:kern w:val="0"/>
          <w:szCs w:val="21"/>
        </w:rPr>
        <w:t>1.采购人信息</w:t>
      </w:r>
      <w:bookmarkEnd w:id="51"/>
      <w:bookmarkEnd w:id="52"/>
      <w:bookmarkEnd w:id="53"/>
      <w:bookmarkEnd w:id="54"/>
    </w:p>
    <w:p w14:paraId="6F04FF01">
      <w:pPr>
        <w:spacing w:line="460" w:lineRule="exact"/>
        <w:ind w:firstLine="420" w:firstLineChars="200"/>
        <w:jc w:val="left"/>
        <w:rPr>
          <w:rFonts w:hint="eastAsia" w:ascii="宋体" w:hAnsi="宋体" w:cs="宋体"/>
          <w:szCs w:val="21"/>
        </w:rPr>
      </w:pPr>
      <w:r>
        <w:rPr>
          <w:rFonts w:hint="eastAsia" w:ascii="宋体" w:hAnsi="宋体" w:cs="宋体"/>
          <w:szCs w:val="21"/>
        </w:rPr>
        <w:t>名称：岑溪市公安局交通管理大队</w:t>
      </w:r>
    </w:p>
    <w:p w14:paraId="480E0CFE">
      <w:pPr>
        <w:spacing w:line="460" w:lineRule="exact"/>
        <w:ind w:firstLine="420" w:firstLineChars="200"/>
        <w:jc w:val="left"/>
        <w:rPr>
          <w:rFonts w:hint="eastAsia" w:ascii="宋体" w:hAnsi="宋体" w:cs="宋体"/>
          <w:szCs w:val="21"/>
        </w:rPr>
      </w:pPr>
      <w:r>
        <w:rPr>
          <w:rFonts w:hint="eastAsia" w:ascii="宋体" w:hAnsi="宋体" w:cs="宋体"/>
          <w:szCs w:val="21"/>
        </w:rPr>
        <w:t>地址：广西壮族自治区岑溪市玉梧大道554号</w:t>
      </w:r>
    </w:p>
    <w:p w14:paraId="0EF1B0F3">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szCs w:val="21"/>
        </w:rPr>
        <w:t xml:space="preserve">联系方式：陈锐，0774-8222280 </w:t>
      </w:r>
      <w:r>
        <w:rPr>
          <w:rFonts w:hint="eastAsia" w:ascii="宋体" w:hAnsi="宋体" w:cs="宋体"/>
          <w:color w:val="auto"/>
          <w:szCs w:val="21"/>
          <w:highlight w:val="none"/>
        </w:rPr>
        <w:t xml:space="preserve">   </w:t>
      </w:r>
    </w:p>
    <w:p w14:paraId="25AE0C5F">
      <w:pPr>
        <w:spacing w:line="460" w:lineRule="exact"/>
        <w:ind w:firstLine="420" w:firstLineChars="200"/>
        <w:rPr>
          <w:rFonts w:ascii="宋体" w:hAnsi="宋体" w:cs="宋体"/>
          <w:color w:val="auto"/>
          <w:kern w:val="0"/>
          <w:szCs w:val="21"/>
          <w:highlight w:val="none"/>
        </w:rPr>
      </w:pPr>
      <w:bookmarkStart w:id="55" w:name="_Toc35393807"/>
      <w:bookmarkStart w:id="56" w:name="_Toc35393638"/>
      <w:bookmarkStart w:id="57" w:name="_Toc28359097"/>
      <w:bookmarkStart w:id="58" w:name="_Toc28359020"/>
      <w:r>
        <w:rPr>
          <w:rFonts w:hint="eastAsia" w:ascii="宋体" w:hAnsi="宋体" w:cs="宋体"/>
          <w:color w:val="auto"/>
          <w:kern w:val="0"/>
          <w:szCs w:val="21"/>
          <w:highlight w:val="none"/>
        </w:rPr>
        <w:t>2.采购代理机构信息</w:t>
      </w:r>
      <w:bookmarkEnd w:id="55"/>
      <w:bookmarkEnd w:id="56"/>
      <w:bookmarkEnd w:id="57"/>
      <w:bookmarkEnd w:id="58"/>
    </w:p>
    <w:p w14:paraId="47899251">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名    称：云之龙咨询集团有限公司</w:t>
      </w:r>
    </w:p>
    <w:p w14:paraId="771BFAB2">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　　址：岑溪市岑城镇城东路118号</w:t>
      </w:r>
    </w:p>
    <w:p w14:paraId="2F1315F0">
      <w:pPr>
        <w:spacing w:line="46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联系方式：卢思颖、陈丽年，0774-8219456</w:t>
      </w:r>
    </w:p>
    <w:p w14:paraId="7BC49B10">
      <w:pPr>
        <w:spacing w:line="460" w:lineRule="exact"/>
        <w:ind w:firstLine="420" w:firstLineChars="200"/>
        <w:rPr>
          <w:rFonts w:ascii="宋体" w:hAnsi="宋体" w:cs="宋体"/>
          <w:color w:val="auto"/>
          <w:kern w:val="0"/>
          <w:szCs w:val="21"/>
          <w:highlight w:val="none"/>
        </w:rPr>
      </w:pPr>
      <w:bookmarkStart w:id="59" w:name="_Toc28359098"/>
      <w:bookmarkStart w:id="60" w:name="_Toc35393639"/>
      <w:bookmarkStart w:id="61" w:name="_Toc35393808"/>
      <w:bookmarkStart w:id="62" w:name="_Toc28359021"/>
      <w:r>
        <w:rPr>
          <w:rFonts w:hint="eastAsia" w:ascii="宋体" w:hAnsi="宋体" w:cs="宋体"/>
          <w:color w:val="auto"/>
          <w:kern w:val="0"/>
          <w:szCs w:val="21"/>
          <w:highlight w:val="none"/>
        </w:rPr>
        <w:t>3.项目联系方式</w:t>
      </w:r>
      <w:bookmarkEnd w:id="59"/>
      <w:bookmarkEnd w:id="60"/>
      <w:bookmarkEnd w:id="61"/>
      <w:bookmarkEnd w:id="62"/>
    </w:p>
    <w:p w14:paraId="57A0BD30">
      <w:pPr>
        <w:pStyle w:val="17"/>
        <w:spacing w:line="460" w:lineRule="exact"/>
        <w:ind w:firstLine="420" w:firstLineChars="200"/>
        <w:rPr>
          <w:rFonts w:hAnsi="宋体" w:cs="宋体"/>
          <w:color w:val="auto"/>
          <w:sz w:val="21"/>
          <w:highlight w:val="none"/>
        </w:rPr>
      </w:pPr>
      <w:r>
        <w:rPr>
          <w:rFonts w:hint="eastAsia" w:hAnsi="宋体" w:cs="宋体"/>
          <w:color w:val="auto"/>
          <w:sz w:val="21"/>
          <w:highlight w:val="none"/>
        </w:rPr>
        <w:t>项目联系人：卢思颖、陈丽年</w:t>
      </w:r>
    </w:p>
    <w:p w14:paraId="38E44840">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　　话：0774-8219456</w:t>
      </w:r>
    </w:p>
    <w:p w14:paraId="3E2B2A20">
      <w:pPr>
        <w:spacing w:line="360" w:lineRule="auto"/>
        <w:ind w:firstLine="420" w:firstLineChars="200"/>
        <w:rPr>
          <w:rFonts w:ascii="宋体" w:hAnsi="宋体" w:cs="宋体"/>
          <w:color w:val="auto"/>
          <w:szCs w:val="21"/>
          <w:highlight w:val="none"/>
          <w:u w:val="single"/>
        </w:rPr>
      </w:pPr>
    </w:p>
    <w:bookmarkEnd w:id="4"/>
    <w:p w14:paraId="479CC69A">
      <w:pPr>
        <w:pStyle w:val="3"/>
        <w:spacing w:line="360" w:lineRule="auto"/>
        <w:jc w:val="center"/>
        <w:rPr>
          <w:rFonts w:ascii="宋体" w:hAnsi="宋体" w:cs="宋体"/>
          <w:color w:val="auto"/>
          <w:highlight w:val="none"/>
        </w:rPr>
      </w:pPr>
      <w:bookmarkStart w:id="185" w:name="_GoBack"/>
      <w:bookmarkEnd w:id="185"/>
      <w:r>
        <w:rPr>
          <w:rFonts w:hint="eastAsia" w:ascii="宋体" w:hAnsi="宋体" w:cs="宋体"/>
          <w:color w:val="auto"/>
          <w:sz w:val="32"/>
          <w:szCs w:val="32"/>
          <w:highlight w:val="none"/>
        </w:rPr>
        <w:br w:type="page"/>
      </w:r>
      <w:bookmarkStart w:id="63" w:name="_Toc74323457"/>
      <w:r>
        <w:rPr>
          <w:rFonts w:hint="eastAsia" w:ascii="宋体" w:hAnsi="宋体" w:cs="宋体"/>
          <w:color w:val="auto"/>
          <w:highlight w:val="none"/>
        </w:rPr>
        <w:t>第二章 供应商须知</w:t>
      </w:r>
      <w:bookmarkEnd w:id="63"/>
    </w:p>
    <w:p w14:paraId="38893ACD">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tbl>
      <w:tblPr>
        <w:tblStyle w:val="29"/>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3372F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tcPr>
          <w:p w14:paraId="1CB9A9FB">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noWrap/>
          </w:tcPr>
          <w:p w14:paraId="22A13A2C">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1FBC8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6F5D57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noWrap/>
            <w:vAlign w:val="center"/>
          </w:tcPr>
          <w:p w14:paraId="0CEFD571">
            <w:pPr>
              <w:spacing w:line="360" w:lineRule="auto"/>
              <w:rPr>
                <w:rFonts w:ascii="宋体" w:hAnsi="宋体" w:cs="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0BF510CE">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07345D21">
            <w:pPr>
              <w:spacing w:line="360" w:lineRule="auto"/>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97262F9">
            <w:pPr>
              <w:spacing w:line="360" w:lineRule="auto"/>
              <w:rPr>
                <w:rFonts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4C350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0269A5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noWrap/>
            <w:vAlign w:val="center"/>
          </w:tcPr>
          <w:p w14:paraId="4C5FA7B1">
            <w:pPr>
              <w:spacing w:line="360" w:lineRule="auto"/>
              <w:rPr>
                <w:rFonts w:ascii="宋体" w:hAnsi="宋体" w:cs="宋体"/>
                <w:color w:val="auto"/>
                <w:szCs w:val="21"/>
                <w:highlight w:val="none"/>
              </w:rPr>
            </w:pPr>
            <w:r>
              <w:rPr>
                <w:rFonts w:hint="eastAsia" w:ascii="宋体" w:hAnsi="宋体" w:cs="宋体"/>
                <w:color w:val="auto"/>
                <w:szCs w:val="21"/>
                <w:highlight w:val="none"/>
              </w:rPr>
              <w:t>是否接受联合体竞标</w:t>
            </w:r>
            <w:r>
              <w:rPr>
                <w:rFonts w:hint="eastAsia" w:ascii="宋体" w:hAnsi="宋体" w:cs="宋体"/>
                <w:color w:val="auto"/>
                <w:szCs w:val="21"/>
                <w:highlight w:val="none"/>
                <w:lang w:eastAsia="zh-CN"/>
              </w:rPr>
              <w:t>：</w:t>
            </w:r>
            <w:r>
              <w:rPr>
                <w:rFonts w:hint="eastAsia" w:ascii="宋体" w:hAnsi="宋体" w:cs="宋体"/>
                <w:color w:val="auto"/>
                <w:szCs w:val="21"/>
                <w:highlight w:val="none"/>
              </w:rPr>
              <w:t>详见竞争性磋商公告</w:t>
            </w:r>
          </w:p>
        </w:tc>
      </w:tr>
      <w:tr w14:paraId="12538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5C39A9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7912" w:type="dxa"/>
            <w:noWrap/>
            <w:vAlign w:val="center"/>
          </w:tcPr>
          <w:p w14:paraId="74F718A3">
            <w:pPr>
              <w:spacing w:line="360" w:lineRule="auto"/>
              <w:rPr>
                <w:rFonts w:ascii="宋体" w:hAnsi="宋体" w:cs="宋体"/>
                <w:color w:val="auto"/>
                <w:szCs w:val="21"/>
                <w:highlight w:val="none"/>
              </w:rPr>
            </w:pPr>
            <w:r>
              <w:rPr>
                <w:rFonts w:hint="eastAsia" w:ascii="宋体" w:hAnsi="宋体" w:cs="宋体"/>
                <w:color w:val="auto"/>
                <w:szCs w:val="21"/>
                <w:highlight w:val="none"/>
              </w:rPr>
              <w:t>本项目不接受联合体。</w:t>
            </w:r>
          </w:p>
        </w:tc>
      </w:tr>
      <w:tr w14:paraId="42DA7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EB8CC4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noWrap/>
            <w:vAlign w:val="center"/>
          </w:tcPr>
          <w:p w14:paraId="3244D645">
            <w:pPr>
              <w:pStyle w:val="11"/>
              <w:spacing w:line="360" w:lineRule="auto"/>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sym w:font="Wingdings 2" w:char="0052"/>
            </w:r>
            <w:r>
              <w:rPr>
                <w:rFonts w:hint="eastAsia" w:ascii="宋体" w:hAnsi="宋体" w:cs="宋体"/>
                <w:color w:val="auto"/>
                <w:szCs w:val="21"/>
                <w:highlight w:val="none"/>
                <w:lang w:val="en-US" w:eastAsia="zh-CN"/>
              </w:rPr>
              <w:t>不允许分包或转包。</w:t>
            </w:r>
          </w:p>
        </w:tc>
      </w:tr>
      <w:tr w14:paraId="1A8EC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ED6023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7912" w:type="dxa"/>
            <w:noWrap/>
            <w:vAlign w:val="center"/>
          </w:tcPr>
          <w:p w14:paraId="475A37FB">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1290277F">
            <w:pPr>
              <w:pStyle w:val="11"/>
              <w:spacing w:line="360" w:lineRule="auto"/>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auto"/>
                <w:szCs w:val="21"/>
                <w:highlight w:val="none"/>
                <w:lang w:val="en-US" w:eastAsia="zh-CN"/>
              </w:rPr>
              <w:t>必须提供，否则响应文件按无效响应处理</w:t>
            </w:r>
            <w:r>
              <w:rPr>
                <w:rFonts w:hint="eastAsia" w:ascii="宋体" w:hAnsi="宋体" w:cs="宋体"/>
                <w:color w:val="auto"/>
                <w:szCs w:val="21"/>
                <w:highlight w:val="none"/>
                <w:lang w:val="en-US" w:eastAsia="zh-CN"/>
              </w:rPr>
              <w:t>）</w:t>
            </w:r>
          </w:p>
          <w:p w14:paraId="7D094979">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月至响应文件提交截止时间内</w:t>
            </w:r>
            <w:r>
              <w:rPr>
                <w:rFonts w:hint="eastAsia" w:ascii="宋体" w:hAnsi="宋体" w:cs="宋体"/>
                <w:color w:val="auto"/>
                <w:szCs w:val="21"/>
                <w:highlight w:val="none"/>
                <w:lang w:eastAsia="zh-CN"/>
              </w:rPr>
              <w:t>任意</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个月的依法缴纳税收的凭据复印件；依法免税的，必须提供相应文件证明其依法免税。从成立之日起到响应文件提交截止时间止不足要求月数的，</w:t>
            </w:r>
            <w:r>
              <w:rPr>
                <w:rFonts w:hint="eastAsia" w:ascii="宋体" w:hAnsi="宋体" w:cs="宋体"/>
                <w:color w:val="auto"/>
                <w:szCs w:val="21"/>
                <w:highlight w:val="none"/>
                <w:lang w:val="en-US" w:eastAsia="zh-CN"/>
              </w:rPr>
              <w:t>不需提供</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CCC3991">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月至响应文件提交截止时间内</w:t>
            </w:r>
            <w:r>
              <w:rPr>
                <w:rFonts w:hint="eastAsia" w:ascii="宋体" w:hAnsi="宋体" w:cs="宋体"/>
                <w:color w:val="auto"/>
                <w:szCs w:val="21"/>
                <w:highlight w:val="none"/>
                <w:lang w:eastAsia="zh-CN"/>
              </w:rPr>
              <w:t>任意</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个月的依法缴纳社会保障资金的缴费凭证（如：专用收据、社会保险缴纳清单或者社保部门的证明等）复印件；依法不需要缴纳社会保障资金的，必须提供相应文件证明不需要缴纳社会保障资金。从成立之日起到响应文件提交截止时间止不足要求月数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不需提供</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99BA633">
            <w:pPr>
              <w:spacing w:line="360" w:lineRule="auto"/>
              <w:contextualSpacing/>
              <w:jc w:val="left"/>
              <w:rPr>
                <w:rFonts w:ascii="宋体" w:hAnsi="宋体" w:cs="宋体"/>
                <w:b/>
                <w:color w:val="auto"/>
                <w:szCs w:val="21"/>
                <w:highlight w:val="none"/>
              </w:rPr>
            </w:pPr>
            <w:r>
              <w:rPr>
                <w:rFonts w:hint="eastAsia" w:ascii="宋体" w:hAnsi="宋体" w:cs="宋体"/>
                <w:color w:val="auto"/>
                <w:szCs w:val="21"/>
                <w:highlight w:val="none"/>
              </w:rPr>
              <w:t>4.供应商财务状况报告（2024年度财务报表复印件，或者银行出具的资信证明，或者中国人民银行征信中心出具的信用报告（企业竞标的提供企业信用报告，自然人竞标的提供个人信用报告）；供应商属于成立时间</w:t>
            </w:r>
            <w:r>
              <w:rPr>
                <w:rFonts w:hint="eastAsia" w:ascii="宋体" w:hAnsi="宋体" w:cs="宋体"/>
                <w:color w:val="auto"/>
                <w:kern w:val="0"/>
                <w:szCs w:val="21"/>
                <w:highlight w:val="none"/>
              </w:rPr>
              <w:t>在规定年度之后</w:t>
            </w:r>
            <w:r>
              <w:rPr>
                <w:rFonts w:hint="eastAsia" w:ascii="宋体" w:hAnsi="宋体" w:cs="宋体"/>
                <w:color w:val="auto"/>
                <w:szCs w:val="21"/>
                <w:highlight w:val="none"/>
              </w:rPr>
              <w:t>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Cs/>
                <w:color w:val="auto"/>
                <w:szCs w:val="21"/>
                <w:highlight w:val="none"/>
              </w:rPr>
              <w:t>）</w:t>
            </w:r>
          </w:p>
          <w:p w14:paraId="096EA0D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E3404D3">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132838F">
            <w:pPr>
              <w:spacing w:line="46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w:t>
            </w:r>
            <w:r>
              <w:rPr>
                <w:rFonts w:hint="eastAsia" w:ascii="宋体" w:hAnsi="宋体"/>
                <w:szCs w:val="21"/>
              </w:rPr>
              <w:t>有效的司法行政机关审核登记的《司法鉴定许可证》</w:t>
            </w:r>
            <w:r>
              <w:rPr>
                <w:rFonts w:hint="eastAsia" w:ascii="宋体" w:hAnsi="宋体"/>
                <w:szCs w:val="21"/>
                <w:lang w:eastAsia="zh-CN"/>
              </w:rPr>
              <w:t>复印件</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w:t>
            </w:r>
            <w:r>
              <w:rPr>
                <w:rFonts w:hint="eastAsia" w:ascii="宋体" w:hAnsi="宋体" w:eastAsia="宋体" w:cs="宋体"/>
                <w:b/>
                <w:bCs/>
                <w:color w:val="auto"/>
                <w:szCs w:val="21"/>
                <w:highlight w:val="none"/>
              </w:rPr>
              <w:t>须提供，否则响应文件按无效响应处理）</w:t>
            </w:r>
          </w:p>
          <w:p w14:paraId="20628516">
            <w:pPr>
              <w:spacing w:line="46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中小企业声明函（格式后附）【如属于残疾人福利性单位的提供残疾人福利性单位声明函，属于监狱企业的提供由省级以上监狱管理局、戒毒管理局（含新疆生产建设兵团）出具的属于监狱企业的证明文件】；</w:t>
            </w:r>
          </w:p>
          <w:p w14:paraId="2564BF2C">
            <w:pPr>
              <w:spacing w:line="46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除磋商文件规定必须提供以外，供应商认为需要提供的其他证明材料。</w:t>
            </w:r>
          </w:p>
          <w:p w14:paraId="69C5ADCB">
            <w:pPr>
              <w:spacing w:line="460" w:lineRule="exact"/>
              <w:rPr>
                <w:rFonts w:ascii="宋体" w:hAnsi="宋体" w:cs="宋体"/>
                <w:b/>
                <w:color w:val="auto"/>
                <w:szCs w:val="21"/>
                <w:highlight w:val="none"/>
                <w:lang w:val="en-US" w:eastAsia="zh-CN"/>
              </w:rPr>
            </w:pPr>
            <w:r>
              <w:rPr>
                <w:rFonts w:hint="eastAsia" w:ascii="宋体" w:hAnsi="宋体" w:eastAsia="宋体" w:cs="宋体"/>
                <w:b/>
                <w:bCs/>
                <w:color w:val="auto"/>
                <w:szCs w:val="21"/>
                <w:highlight w:val="none"/>
              </w:rPr>
              <w:t>注：以上标明“必须提供”</w:t>
            </w:r>
            <w:r>
              <w:rPr>
                <w:rFonts w:hint="eastAsia" w:ascii="宋体" w:hAnsi="宋体" w:cs="宋体"/>
                <w:b/>
                <w:color w:val="auto"/>
                <w:szCs w:val="21"/>
                <w:highlight w:val="none"/>
              </w:rPr>
              <w:t>的材料属于复印件的，必须加盖供应商电子签章，否则响应文件按无效处理。</w:t>
            </w:r>
          </w:p>
        </w:tc>
      </w:tr>
      <w:tr w14:paraId="4CEA6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FC82A5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noWrap/>
            <w:vAlign w:val="center"/>
          </w:tcPr>
          <w:p w14:paraId="50222112">
            <w:pPr>
              <w:spacing w:line="360" w:lineRule="auto"/>
              <w:rPr>
                <w:rFonts w:ascii="宋体" w:hAnsi="宋体" w:cs="宋体"/>
                <w:color w:val="auto"/>
                <w:szCs w:val="21"/>
                <w:highlight w:val="none"/>
              </w:rPr>
            </w:pPr>
            <w:r>
              <w:rPr>
                <w:rFonts w:hint="eastAsia" w:ascii="宋体" w:hAnsi="宋体" w:cs="宋体"/>
                <w:color w:val="auto"/>
                <w:szCs w:val="21"/>
                <w:highlight w:val="none"/>
              </w:rPr>
              <w:t>报价文件</w:t>
            </w:r>
          </w:p>
          <w:p w14:paraId="4AE25A2A">
            <w:pPr>
              <w:spacing w:line="360" w:lineRule="auto"/>
              <w:rPr>
                <w:rFonts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39A645A">
            <w:pPr>
              <w:spacing w:line="360" w:lineRule="auto"/>
              <w:rPr>
                <w:rFonts w:ascii="宋体" w:hAnsi="宋体" w:cs="宋体"/>
                <w:color w:val="auto"/>
                <w:szCs w:val="21"/>
                <w:highlight w:val="none"/>
              </w:rPr>
            </w:pPr>
            <w:r>
              <w:rPr>
                <w:rFonts w:hint="eastAsia" w:ascii="宋体" w:hAnsi="宋体" w:cs="宋体"/>
                <w:color w:val="auto"/>
                <w:szCs w:val="21"/>
                <w:highlight w:val="none"/>
              </w:rPr>
              <w:t>2.供应商认为需要提供的其他有关资料。</w:t>
            </w:r>
          </w:p>
        </w:tc>
      </w:tr>
      <w:tr w14:paraId="67EE5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744E4F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12.1.3</w:t>
            </w:r>
          </w:p>
        </w:tc>
        <w:tc>
          <w:tcPr>
            <w:tcW w:w="7912" w:type="dxa"/>
            <w:noWrap/>
            <w:vAlign w:val="center"/>
          </w:tcPr>
          <w:p w14:paraId="1CC2A073">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商务技术文件</w:t>
            </w:r>
          </w:p>
          <w:p w14:paraId="43CAFB1C">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944DF17">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A911A74">
            <w:pPr>
              <w:spacing w:line="360" w:lineRule="auto"/>
              <w:rPr>
                <w:rFonts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65772519">
            <w:pPr>
              <w:spacing w:line="360" w:lineRule="auto"/>
              <w:rPr>
                <w:rFonts w:ascii="宋体" w:hAnsi="宋体" w:cs="宋体"/>
                <w:color w:val="auto"/>
                <w:szCs w:val="21"/>
                <w:highlight w:val="none"/>
              </w:rPr>
            </w:pPr>
            <w:r>
              <w:rPr>
                <w:rFonts w:hint="eastAsia" w:ascii="宋体" w:hAnsi="宋体" w:cs="宋体"/>
                <w:color w:val="auto"/>
                <w:szCs w:val="21"/>
                <w:highlight w:val="none"/>
              </w:rPr>
              <w:t>4.商务</w:t>
            </w:r>
            <w:r>
              <w:rPr>
                <w:rFonts w:hint="eastAsia" w:ascii="宋体" w:hAnsi="宋体" w:cs="宋体"/>
                <w:color w:val="auto"/>
                <w:szCs w:val="21"/>
                <w:highlight w:val="none"/>
                <w:lang w:val="en-US" w:eastAsia="zh-CN"/>
              </w:rPr>
              <w:t>条款</w:t>
            </w:r>
            <w:r>
              <w:rPr>
                <w:rFonts w:hint="eastAsia" w:ascii="宋体" w:hAnsi="宋体" w:cs="宋体"/>
                <w:color w:val="auto"/>
                <w:szCs w:val="21"/>
                <w:highlight w:val="none"/>
              </w:rPr>
              <w:t>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985E423">
            <w:pPr>
              <w:spacing w:line="360" w:lineRule="auto"/>
              <w:rPr>
                <w:rFonts w:ascii="宋体" w:hAnsi="宋体" w:cs="宋体"/>
                <w:color w:val="auto"/>
                <w:szCs w:val="21"/>
                <w:highlight w:val="none"/>
              </w:rPr>
            </w:pPr>
            <w:r>
              <w:rPr>
                <w:rFonts w:hint="eastAsia" w:ascii="宋体" w:hAnsi="宋体" w:cs="宋体"/>
                <w:color w:val="auto"/>
                <w:szCs w:val="21"/>
                <w:highlight w:val="none"/>
              </w:rPr>
              <w:t>5.服务方案（格式自拟）；（</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DAE794A">
            <w:pPr>
              <w:spacing w:line="360" w:lineRule="auto"/>
              <w:rPr>
                <w:rFonts w:ascii="宋体" w:hAnsi="宋体" w:cs="宋体"/>
                <w:color w:val="auto"/>
                <w:szCs w:val="21"/>
                <w:highlight w:val="none"/>
              </w:rPr>
            </w:pPr>
            <w:r>
              <w:rPr>
                <w:rFonts w:hint="eastAsia" w:ascii="宋体" w:hAnsi="宋体" w:cs="宋体"/>
                <w:color w:val="auto"/>
                <w:szCs w:val="21"/>
                <w:highlight w:val="none"/>
              </w:rPr>
              <w:t>6.技术需求偏离表（格式后附）；（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1D7CC58">
            <w:pPr>
              <w:spacing w:line="360" w:lineRule="auto"/>
              <w:rPr>
                <w:rFonts w:ascii="宋体" w:hAnsi="宋体" w:cs="宋体"/>
                <w:color w:val="auto"/>
                <w:szCs w:val="21"/>
                <w:highlight w:val="none"/>
              </w:rPr>
            </w:pPr>
            <w:r>
              <w:rPr>
                <w:rFonts w:hint="eastAsia" w:ascii="宋体" w:hAnsi="宋体" w:cs="宋体"/>
                <w:color w:val="auto"/>
                <w:szCs w:val="21"/>
                <w:highlight w:val="none"/>
              </w:rPr>
              <w:t>7.项目实施人员一览表（格式后附）； （</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B82A8F9">
            <w:pPr>
              <w:spacing w:line="30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b w:val="0"/>
                <w:bCs w:val="0"/>
                <w:color w:val="auto"/>
                <w:sz w:val="21"/>
                <w:szCs w:val="21"/>
                <w:highlight w:val="none"/>
                <w:lang w:val="en-US" w:eastAsia="zh-CN"/>
              </w:rPr>
              <w:t>代理服务费承诺书</w:t>
            </w:r>
            <w:r>
              <w:rPr>
                <w:rFonts w:hint="eastAsia"/>
                <w:b w:val="0"/>
                <w:bCs w:val="0"/>
                <w:sz w:val="21"/>
                <w:szCs w:val="21"/>
                <w:lang w:eastAsia="zh-CN"/>
              </w:rPr>
              <w:t>（格式后附）；</w:t>
            </w:r>
            <w:r>
              <w:rPr>
                <w:rFonts w:hint="eastAsia" w:ascii="宋体" w:hAnsi="宋体" w:cs="宋体"/>
                <w:b/>
                <w:bCs/>
                <w:color w:val="auto"/>
                <w:sz w:val="21"/>
                <w:szCs w:val="21"/>
                <w:highlight w:val="none"/>
              </w:rPr>
              <w:t>（必须提供，否则响应文件按无效响应处理）</w:t>
            </w:r>
          </w:p>
          <w:p w14:paraId="1208FB6B">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对应采购需求的技术要求、商务要求提供的其他文件资料（格式自拟）；</w:t>
            </w:r>
          </w:p>
          <w:p w14:paraId="68C8FF63">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注：以上标明“必须提供”的材料属于复印件的，必须加盖供应商</w:t>
            </w:r>
            <w:r>
              <w:rPr>
                <w:rFonts w:hint="eastAsia" w:ascii="宋体" w:hAnsi="宋体" w:cs="宋体"/>
                <w:b/>
                <w:bCs/>
                <w:color w:val="auto"/>
                <w:szCs w:val="21"/>
                <w:highlight w:val="none"/>
              </w:rPr>
              <w:t>电子签章</w:t>
            </w:r>
            <w:r>
              <w:rPr>
                <w:rFonts w:hint="eastAsia" w:ascii="宋体" w:hAnsi="宋体" w:cs="宋体"/>
                <w:b/>
                <w:color w:val="auto"/>
                <w:szCs w:val="21"/>
                <w:highlight w:val="none"/>
              </w:rPr>
              <w:t>，否则响应文件按无效响应处理。</w:t>
            </w:r>
          </w:p>
        </w:tc>
      </w:tr>
      <w:tr w14:paraId="55283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992" w:type="dxa"/>
            <w:noWrap/>
            <w:vAlign w:val="center"/>
          </w:tcPr>
          <w:p w14:paraId="1A15B36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noWrap/>
            <w:vAlign w:val="center"/>
          </w:tcPr>
          <w:p w14:paraId="78CBCF13">
            <w:pPr>
              <w:spacing w:line="360" w:lineRule="auto"/>
              <w:contextualSpacing/>
              <w:jc w:val="left"/>
              <w:rPr>
                <w:rFonts w:ascii="宋体" w:hAnsi="宋体" w:cs="宋体"/>
                <w:color w:val="auto"/>
                <w:szCs w:val="21"/>
                <w:highlight w:val="none"/>
              </w:rPr>
            </w:pPr>
            <w:r>
              <w:rPr>
                <w:rFonts w:hint="eastAsia" w:ascii="宋体" w:hAnsi="宋体" w:eastAsia="宋体" w:cs="宋体"/>
                <w:sz w:val="21"/>
                <w:szCs w:val="21"/>
              </w:rPr>
              <w:t>报价必须包含供应商完成本项目服务所有内容及相关其他相关服务的成本、利润、税金、 人员差旅费用、交通费用、住宿费用、检测方法、技术措施费、检测费、鉴定费等费用及其他所有可能发生的一切费用。除签订的合同价款外，采购人不再支付任何额外费用。</w:t>
            </w:r>
          </w:p>
        </w:tc>
      </w:tr>
      <w:tr w14:paraId="67B5C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DBB640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7912" w:type="dxa"/>
            <w:noWrap/>
            <w:vAlign w:val="center"/>
          </w:tcPr>
          <w:p w14:paraId="1AD04F2A">
            <w:pPr>
              <w:pStyle w:val="9"/>
              <w:widowControl w:val="0"/>
              <w:tabs>
                <w:tab w:val="clear" w:pos="454"/>
              </w:tabs>
              <w:snapToGrid w:val="0"/>
              <w:spacing w:afterLines="0" w:line="360" w:lineRule="auto"/>
              <w:ind w:left="283" w:hanging="283" w:hangingChars="135"/>
              <w:rPr>
                <w:rFonts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90</w:t>
            </w:r>
            <w:r>
              <w:rPr>
                <w:rFonts w:hint="eastAsia" w:ascii="宋体" w:hAnsi="宋体" w:cs="宋体"/>
                <w:color w:val="auto"/>
                <w:kern w:val="2"/>
                <w:sz w:val="21"/>
                <w:szCs w:val="21"/>
                <w:highlight w:val="none"/>
              </w:rPr>
              <w:t>日。</w:t>
            </w:r>
          </w:p>
        </w:tc>
      </w:tr>
      <w:tr w14:paraId="48020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B95271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noWrap/>
            <w:vAlign w:val="center"/>
          </w:tcPr>
          <w:p w14:paraId="246A844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本项目不收取磋商保证金。</w:t>
            </w:r>
          </w:p>
        </w:tc>
      </w:tr>
      <w:tr w14:paraId="509FF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D42EBC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w:t>
            </w:r>
          </w:p>
        </w:tc>
        <w:tc>
          <w:tcPr>
            <w:tcW w:w="7912" w:type="dxa"/>
            <w:noWrap/>
            <w:vAlign w:val="center"/>
          </w:tcPr>
          <w:p w14:paraId="6A17CFE3">
            <w:pPr>
              <w:spacing w:line="360" w:lineRule="auto"/>
              <w:rPr>
                <w:rFonts w:ascii="宋体" w:hAnsi="宋体" w:cs="宋体"/>
                <w:color w:val="auto"/>
                <w:szCs w:val="21"/>
                <w:highlight w:val="none"/>
              </w:rPr>
            </w:pPr>
            <w:r>
              <w:rPr>
                <w:rFonts w:hint="eastAsia" w:ascii="宋体" w:hAnsi="宋体" w:cs="宋体"/>
                <w:color w:val="auto"/>
                <w:szCs w:val="21"/>
                <w:highlight w:val="none"/>
              </w:rPr>
              <w:t>本项目不接受电子备份响应文件</w:t>
            </w:r>
          </w:p>
        </w:tc>
      </w:tr>
      <w:tr w14:paraId="1DB15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6AEFC8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noWrap/>
            <w:vAlign w:val="center"/>
          </w:tcPr>
          <w:p w14:paraId="2DE9F3D3">
            <w:pPr>
              <w:spacing w:line="360" w:lineRule="auto"/>
              <w:contextualSpacing/>
              <w:jc w:val="left"/>
              <w:rPr>
                <w:rFonts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5809039D">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4A6B9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D5A3E5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noWrap/>
            <w:vAlign w:val="center"/>
          </w:tcPr>
          <w:p w14:paraId="63C9652F">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14:paraId="1155A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3903CA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25</w:t>
            </w:r>
          </w:p>
        </w:tc>
        <w:tc>
          <w:tcPr>
            <w:tcW w:w="7912" w:type="dxa"/>
            <w:noWrap/>
            <w:vAlign w:val="center"/>
          </w:tcPr>
          <w:p w14:paraId="642DD4C2">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5A7583B9">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tc>
      </w:tr>
      <w:tr w14:paraId="1DC4E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noWrap/>
            <w:vAlign w:val="center"/>
          </w:tcPr>
          <w:p w14:paraId="6396240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26.3</w:t>
            </w:r>
          </w:p>
        </w:tc>
        <w:tc>
          <w:tcPr>
            <w:tcW w:w="7912" w:type="dxa"/>
            <w:noWrap/>
            <w:vAlign w:val="center"/>
          </w:tcPr>
          <w:p w14:paraId="68D9E1F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w:t>
            </w:r>
            <w:r>
              <w:rPr>
                <w:rFonts w:hint="eastAsia" w:ascii="宋体" w:hAnsi="宋体" w:cs="宋体"/>
                <w:color w:val="auto"/>
                <w:szCs w:val="21"/>
                <w:highlight w:val="none"/>
                <w:lang w:val="en-US" w:eastAsia="zh-CN"/>
              </w:rPr>
              <w:t>条款</w:t>
            </w:r>
            <w:r>
              <w:rPr>
                <w:rFonts w:hint="eastAsia" w:ascii="宋体" w:hAnsi="宋体" w:cs="宋体"/>
                <w:color w:val="auto"/>
                <w:szCs w:val="21"/>
                <w:highlight w:val="none"/>
              </w:rPr>
              <w:t>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49A69215">
            <w:pPr>
              <w:pStyle w:val="11"/>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技术需求评审中允许负偏离的条款数为</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lang w:val="en-US" w:eastAsia="zh-CN"/>
              </w:rPr>
              <w:t>项。</w:t>
            </w:r>
          </w:p>
        </w:tc>
      </w:tr>
      <w:tr w14:paraId="24FFB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ED104F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28.1</w:t>
            </w:r>
          </w:p>
        </w:tc>
        <w:tc>
          <w:tcPr>
            <w:tcW w:w="7912" w:type="dxa"/>
            <w:noWrap/>
            <w:vAlign w:val="center"/>
          </w:tcPr>
          <w:p w14:paraId="173274F4">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本项目不收取履约保证金。</w:t>
            </w:r>
          </w:p>
        </w:tc>
      </w:tr>
      <w:tr w14:paraId="68832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BE12A1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29.1</w:t>
            </w:r>
          </w:p>
        </w:tc>
        <w:tc>
          <w:tcPr>
            <w:tcW w:w="7912" w:type="dxa"/>
            <w:noWrap/>
            <w:vAlign w:val="center"/>
          </w:tcPr>
          <w:p w14:paraId="45E405B8">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2632B196">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50DC164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1033F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11026E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7912" w:type="dxa"/>
            <w:noWrap/>
            <w:vAlign w:val="center"/>
          </w:tcPr>
          <w:p w14:paraId="648DB83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71763D81">
            <w:pPr>
              <w:pStyle w:val="17"/>
              <w:snapToGrid w:val="0"/>
              <w:spacing w:line="360" w:lineRule="auto"/>
              <w:rPr>
                <w:rFonts w:hAnsi="宋体" w:cs="宋体"/>
                <w:color w:val="auto"/>
                <w:sz w:val="21"/>
                <w:highlight w:val="none"/>
                <w:lang w:val="en-US" w:eastAsia="zh-CN"/>
              </w:rPr>
            </w:pPr>
            <w:r>
              <w:rPr>
                <w:rFonts w:hint="eastAsia" w:hAnsi="宋体" w:cs="宋体"/>
                <w:color w:val="auto"/>
                <w:sz w:val="21"/>
                <w:highlight w:val="none"/>
                <w:lang w:val="en-US" w:eastAsia="zh-CN"/>
              </w:rPr>
              <w:t>质疑联系部门：云之龙咨询集团有限公司岑溪分公司</w:t>
            </w:r>
          </w:p>
          <w:p w14:paraId="6728ECEE">
            <w:pPr>
              <w:pStyle w:val="17"/>
              <w:snapToGrid w:val="0"/>
              <w:spacing w:line="360" w:lineRule="auto"/>
              <w:rPr>
                <w:rFonts w:hAnsi="宋体" w:cs="宋体"/>
                <w:color w:val="auto"/>
                <w:sz w:val="21"/>
                <w:highlight w:val="none"/>
                <w:lang w:val="en-US" w:eastAsia="zh-CN"/>
              </w:rPr>
            </w:pPr>
            <w:r>
              <w:rPr>
                <w:rFonts w:hint="eastAsia" w:hAnsi="宋体" w:cs="宋体"/>
                <w:color w:val="auto"/>
                <w:sz w:val="21"/>
                <w:highlight w:val="none"/>
                <w:lang w:val="en-US" w:eastAsia="zh-CN"/>
              </w:rPr>
              <w:t xml:space="preserve">联系电话：0774-8219456/7288399              </w:t>
            </w:r>
          </w:p>
          <w:p w14:paraId="3B5453BF">
            <w:pPr>
              <w:pStyle w:val="17"/>
              <w:snapToGrid w:val="0"/>
              <w:spacing w:line="360" w:lineRule="auto"/>
              <w:rPr>
                <w:rFonts w:hAnsi="宋体" w:cs="宋体"/>
                <w:color w:val="auto"/>
                <w:sz w:val="21"/>
                <w:highlight w:val="none"/>
                <w:lang w:val="en-US" w:eastAsia="zh-CN"/>
              </w:rPr>
            </w:pPr>
            <w:r>
              <w:rPr>
                <w:rFonts w:hint="eastAsia" w:hAnsi="宋体" w:cs="宋体"/>
                <w:color w:val="auto"/>
                <w:sz w:val="21"/>
                <w:highlight w:val="none"/>
                <w:lang w:val="en-US" w:eastAsia="zh-CN"/>
              </w:rPr>
              <w:t xml:space="preserve">通讯地址：云之龙咨询集团有限公司（岑溪市岑城镇城东路118号） </w:t>
            </w:r>
          </w:p>
          <w:p w14:paraId="1993FD55">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业务时间：工作日每天上午8时00分到12时00分，下午3时00分到6时00分。</w:t>
            </w:r>
          </w:p>
        </w:tc>
      </w:tr>
      <w:tr w14:paraId="043B2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8130B0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32.1</w:t>
            </w:r>
          </w:p>
        </w:tc>
        <w:tc>
          <w:tcPr>
            <w:tcW w:w="7912" w:type="dxa"/>
            <w:noWrap/>
            <w:vAlign w:val="center"/>
          </w:tcPr>
          <w:p w14:paraId="3119B556">
            <w:pPr>
              <w:pStyle w:val="17"/>
              <w:snapToGrid w:val="0"/>
              <w:spacing w:line="360" w:lineRule="auto"/>
              <w:rPr>
                <w:rFonts w:hAnsi="宋体" w:cs="宋体"/>
                <w:color w:val="auto"/>
                <w:sz w:val="21"/>
                <w:highlight w:val="none"/>
                <w:lang w:val="en-US" w:eastAsia="zh-CN"/>
              </w:rPr>
            </w:pPr>
            <w:r>
              <w:rPr>
                <w:rFonts w:hint="eastAsia" w:hAnsi="宋体" w:cs="宋体"/>
                <w:color w:val="auto"/>
                <w:sz w:val="21"/>
                <w:highlight w:val="none"/>
                <w:lang w:val="en-US" w:eastAsia="zh-CN"/>
              </w:rPr>
              <w:t>1.采购代理费支付方式：</w:t>
            </w:r>
          </w:p>
          <w:p w14:paraId="44CA4DBD">
            <w:pPr>
              <w:pStyle w:val="17"/>
              <w:snapToGrid w:val="0"/>
              <w:spacing w:line="360" w:lineRule="auto"/>
              <w:rPr>
                <w:rFonts w:hAnsi="宋体" w:cs="宋体"/>
                <w:color w:val="auto"/>
                <w:sz w:val="21"/>
                <w:highlight w:val="none"/>
                <w:lang w:val="en-US" w:eastAsia="zh-CN"/>
              </w:rPr>
            </w:pPr>
            <w:r>
              <w:rPr>
                <w:rFonts w:hint="eastAsia" w:hAnsi="宋体" w:cs="宋体"/>
                <w:color w:val="auto"/>
                <w:sz w:val="21"/>
                <w:highlight w:val="none"/>
                <w:lang w:val="en-US" w:eastAsia="zh-CN"/>
              </w:rPr>
              <w:t>本项目代理服务费由</w:t>
            </w:r>
            <w:r>
              <w:rPr>
                <w:rFonts w:hint="eastAsia" w:hAnsi="宋体" w:cs="宋体"/>
                <w:color w:val="auto"/>
                <w:sz w:val="21"/>
                <w:highlight w:val="none"/>
                <w:u w:val="single"/>
                <w:lang w:val="en-US" w:eastAsia="zh-CN"/>
              </w:rPr>
              <w:t>成交供应商</w:t>
            </w:r>
            <w:r>
              <w:rPr>
                <w:rFonts w:hint="eastAsia" w:hAnsi="宋体" w:cs="宋体"/>
                <w:color w:val="auto"/>
                <w:sz w:val="21"/>
                <w:highlight w:val="none"/>
                <w:u w:val="none"/>
                <w:lang w:val="en-US" w:eastAsia="zh-CN"/>
              </w:rPr>
              <w:t>在成交结果发布之日起7天内</w:t>
            </w:r>
            <w:r>
              <w:rPr>
                <w:rFonts w:hint="eastAsia" w:hAnsi="宋体" w:cs="宋体"/>
                <w:color w:val="auto"/>
                <w:sz w:val="21"/>
                <w:highlight w:val="none"/>
                <w:lang w:val="en-US" w:eastAsia="zh-CN"/>
              </w:rPr>
              <w:t>一次性向采购代理机构支付。</w:t>
            </w:r>
          </w:p>
          <w:p w14:paraId="0EB76F16">
            <w:pPr>
              <w:pStyle w:val="17"/>
              <w:numPr>
                <w:ilvl w:val="0"/>
                <w:numId w:val="0"/>
              </w:numPr>
              <w:snapToGrid w:val="0"/>
              <w:spacing w:line="360" w:lineRule="auto"/>
              <w:rPr>
                <w:rFonts w:hAnsi="宋体" w:cs="宋体"/>
                <w:color w:val="auto"/>
                <w:sz w:val="21"/>
                <w:highlight w:val="none"/>
                <w:u w:val="single"/>
                <w:lang w:val="en-US" w:eastAsia="zh-CN"/>
              </w:rPr>
            </w:pPr>
            <w:r>
              <w:rPr>
                <w:rFonts w:ascii="宋体" w:hAnsi="宋体" w:eastAsia="宋体" w:cs="宋体"/>
                <w:color w:val="auto"/>
                <w:kern w:val="0"/>
                <w:sz w:val="21"/>
                <w:szCs w:val="21"/>
                <w:highlight w:val="none"/>
                <w:lang w:val="en-US" w:eastAsia="zh-CN" w:bidi="ar-SA"/>
              </w:rPr>
              <w:t>2.</w:t>
            </w:r>
            <w:r>
              <w:rPr>
                <w:rFonts w:hint="eastAsia" w:hAnsi="宋体" w:cs="宋体"/>
                <w:color w:val="auto"/>
                <w:sz w:val="21"/>
                <w:highlight w:val="none"/>
                <w:lang w:val="en-US" w:eastAsia="zh-CN"/>
              </w:rPr>
              <w:t>采购代理费收取标准：</w:t>
            </w:r>
          </w:p>
          <w:p w14:paraId="2BB374D7">
            <w:pPr>
              <w:pStyle w:val="17"/>
              <w:snapToGrid w:val="0"/>
              <w:spacing w:line="360" w:lineRule="auto"/>
              <w:rPr>
                <w:rFonts w:hint="eastAsia" w:hAnsi="宋体" w:cs="宋体"/>
                <w:color w:val="auto"/>
                <w:sz w:val="21"/>
                <w:u w:val="single"/>
                <w:lang w:val="en-US" w:eastAsia="zh-CN"/>
              </w:rPr>
            </w:pPr>
            <w:r>
              <w:rPr>
                <w:rFonts w:hint="eastAsia" w:hAnsi="宋体" w:cs="宋体"/>
                <w:color w:val="auto"/>
                <w:sz w:val="21"/>
                <w:lang w:val="en-US" w:eastAsia="zh-CN"/>
              </w:rPr>
              <w:t>本项目代理服务费为固定收费（人民币）：</w:t>
            </w:r>
            <w:r>
              <w:rPr>
                <w:rFonts w:hint="eastAsia" w:hAnsi="宋体" w:cs="宋体"/>
                <w:color w:val="auto"/>
                <w:sz w:val="21"/>
                <w:u w:val="single"/>
                <w:lang w:val="en-US" w:eastAsia="zh-CN"/>
              </w:rPr>
              <w:t>壹万零捌佰元整（¥</w:t>
            </w:r>
            <w:r>
              <w:rPr>
                <w:rFonts w:hint="eastAsia" w:hAnsi="宋体" w:eastAsia="宋体" w:cs="宋体"/>
                <w:color w:val="auto"/>
                <w:sz w:val="21"/>
                <w:u w:val="single"/>
                <w:lang w:val="en-US" w:eastAsia="zh-CN"/>
              </w:rPr>
              <w:t>10800.00</w:t>
            </w:r>
            <w:r>
              <w:rPr>
                <w:rFonts w:hint="eastAsia" w:hAnsi="宋体" w:cs="宋体"/>
                <w:color w:val="auto"/>
                <w:sz w:val="21"/>
                <w:u w:val="single"/>
                <w:lang w:val="en-US" w:eastAsia="zh-CN"/>
              </w:rPr>
              <w:t>）</w:t>
            </w:r>
          </w:p>
          <w:p w14:paraId="5627B6BF">
            <w:pPr>
              <w:pStyle w:val="17"/>
              <w:snapToGrid w:val="0"/>
              <w:spacing w:line="360" w:lineRule="auto"/>
              <w:rPr>
                <w:rFonts w:hAnsi="宋体" w:cs="宋体"/>
                <w:color w:val="auto"/>
                <w:sz w:val="21"/>
                <w:highlight w:val="none"/>
                <w:lang w:val="en-US" w:eastAsia="zh-CN"/>
              </w:rPr>
            </w:pPr>
            <w:r>
              <w:rPr>
                <w:rFonts w:hint="eastAsia" w:hAnsi="宋体" w:cs="宋体"/>
                <w:color w:val="auto"/>
                <w:sz w:val="21"/>
                <w:highlight w:val="none"/>
                <w:lang w:val="en-US" w:eastAsia="zh-CN"/>
              </w:rPr>
              <w:t>3.户名：云之龙咨询集团有限公司岑溪分公司</w:t>
            </w:r>
          </w:p>
          <w:p w14:paraId="706BA9C5">
            <w:pPr>
              <w:pStyle w:val="17"/>
              <w:snapToGrid w:val="0"/>
              <w:spacing w:line="360" w:lineRule="auto"/>
              <w:rPr>
                <w:rFonts w:hAnsi="宋体" w:cs="宋体"/>
                <w:color w:val="auto"/>
                <w:sz w:val="21"/>
                <w:highlight w:val="none"/>
                <w:lang w:val="en-US" w:eastAsia="zh-CN"/>
              </w:rPr>
            </w:pPr>
            <w:r>
              <w:rPr>
                <w:rFonts w:hint="eastAsia" w:hAnsi="宋体" w:cs="宋体"/>
                <w:color w:val="auto"/>
                <w:sz w:val="21"/>
                <w:highlight w:val="none"/>
                <w:lang w:val="en-US" w:eastAsia="zh-CN"/>
              </w:rPr>
              <w:t>账号：8113001012600159946</w:t>
            </w:r>
          </w:p>
          <w:p w14:paraId="121DAD20">
            <w:pPr>
              <w:pStyle w:val="17"/>
              <w:snapToGrid w:val="0"/>
              <w:spacing w:line="360" w:lineRule="auto"/>
              <w:rPr>
                <w:rFonts w:hAnsi="宋体" w:cs="宋体"/>
                <w:color w:val="auto"/>
                <w:sz w:val="21"/>
                <w:highlight w:val="none"/>
                <w:lang w:val="en-US" w:eastAsia="zh-CN"/>
              </w:rPr>
            </w:pPr>
            <w:r>
              <w:rPr>
                <w:rFonts w:hint="eastAsia" w:hAnsi="宋体" w:cs="宋体"/>
                <w:color w:val="auto"/>
                <w:sz w:val="21"/>
                <w:highlight w:val="none"/>
                <w:lang w:val="en-US" w:eastAsia="zh-CN"/>
              </w:rPr>
              <w:t>开户行：中信银行南宁东葛支行</w:t>
            </w:r>
          </w:p>
        </w:tc>
      </w:tr>
      <w:tr w14:paraId="72371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DF93C7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33.1</w:t>
            </w:r>
          </w:p>
        </w:tc>
        <w:tc>
          <w:tcPr>
            <w:tcW w:w="7912" w:type="dxa"/>
            <w:noWrap/>
            <w:vAlign w:val="center"/>
          </w:tcPr>
          <w:p w14:paraId="44D085B3">
            <w:pPr>
              <w:pStyle w:val="17"/>
              <w:snapToGrid w:val="0"/>
              <w:spacing w:line="360" w:lineRule="auto"/>
              <w:rPr>
                <w:rFonts w:hAnsi="宋体" w:cs="宋体"/>
                <w:color w:val="auto"/>
                <w:kern w:val="2"/>
                <w:sz w:val="21"/>
                <w:highlight w:val="none"/>
                <w:lang w:val="en-US" w:eastAsia="zh-CN"/>
              </w:rPr>
            </w:pPr>
            <w:r>
              <w:rPr>
                <w:rFonts w:hint="eastAsia" w:hAnsi="宋体" w:cs="宋体"/>
                <w:color w:val="auto"/>
                <w:sz w:val="21"/>
                <w:highlight w:val="none"/>
                <w:lang w:val="en-US" w:eastAsia="zh-CN"/>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0E412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23FE79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33.2</w:t>
            </w:r>
          </w:p>
        </w:tc>
        <w:tc>
          <w:tcPr>
            <w:tcW w:w="7912" w:type="dxa"/>
            <w:noWrap/>
            <w:vAlign w:val="center"/>
          </w:tcPr>
          <w:p w14:paraId="5D65B5D0">
            <w:pPr>
              <w:pStyle w:val="17"/>
              <w:snapToGrid w:val="0"/>
              <w:spacing w:line="360" w:lineRule="auto"/>
              <w:rPr>
                <w:rFonts w:hAnsi="宋体" w:cs="宋体"/>
                <w:color w:val="auto"/>
                <w:sz w:val="21"/>
                <w:highlight w:val="none"/>
                <w:lang w:val="en-US" w:eastAsia="zh-CN"/>
              </w:rPr>
            </w:pPr>
            <w:r>
              <w:rPr>
                <w:rFonts w:hint="eastAsia" w:hAnsi="宋体" w:cs="宋体"/>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B464725">
            <w:pPr>
              <w:pStyle w:val="17"/>
              <w:snapToGrid w:val="0"/>
              <w:spacing w:line="360" w:lineRule="auto"/>
              <w:rPr>
                <w:rFonts w:hAnsi="宋体" w:cs="宋体"/>
                <w:color w:val="auto"/>
                <w:sz w:val="21"/>
                <w:highlight w:val="none"/>
                <w:lang w:val="en-US" w:eastAsia="zh-CN"/>
              </w:rPr>
            </w:pPr>
            <w:r>
              <w:rPr>
                <w:rFonts w:hint="eastAsia" w:hAnsi="宋体" w:cs="宋体"/>
                <w:bCs/>
                <w:color w:val="auto"/>
                <w:sz w:val="21"/>
                <w:highlight w:val="none"/>
                <w:lang w:val="en-US" w:eastAsia="zh-CN"/>
              </w:rPr>
              <w:t>2.本磋商文件所称的“</w:t>
            </w:r>
            <w:r>
              <w:rPr>
                <w:rFonts w:hint="eastAsia" w:hAnsi="宋体" w:cs="宋体"/>
                <w:color w:val="auto"/>
                <w:sz w:val="21"/>
                <w:highlight w:val="none"/>
                <w:lang w:val="en-US" w:eastAsia="zh-CN"/>
              </w:rPr>
              <w:t>电子签章</w:t>
            </w:r>
            <w:r>
              <w:rPr>
                <w:rFonts w:hint="eastAsia" w:hAnsi="宋体" w:cs="宋体"/>
                <w:bCs/>
                <w:color w:val="auto"/>
                <w:sz w:val="21"/>
                <w:highlight w:val="none"/>
                <w:lang w:val="en-US" w:eastAsia="zh-CN"/>
              </w:rPr>
              <w:t>”、“电子签名”</w:t>
            </w:r>
            <w:r>
              <w:rPr>
                <w:rFonts w:hint="eastAsia" w:hAnsi="宋体" w:cs="宋体"/>
                <w:color w:val="auto"/>
                <w:sz w:val="21"/>
                <w:highlight w:val="none"/>
                <w:lang w:val="en-US" w:eastAsia="zh-CN"/>
              </w:rPr>
              <w:t>，是指经广西政府采购云平台认可的CA认证的电子签名数据为表现形式的印章，可用于签署电子响应文件，电子印章与实物印章具有同等法律效力，不因其采用电子化表现形式而否定其法律效力。</w:t>
            </w:r>
          </w:p>
          <w:p w14:paraId="2C31A2EA">
            <w:pPr>
              <w:pStyle w:val="17"/>
              <w:snapToGrid w:val="0"/>
              <w:spacing w:line="360" w:lineRule="auto"/>
              <w:rPr>
                <w:rFonts w:hAnsi="宋体" w:cs="宋体"/>
                <w:bCs/>
                <w:color w:val="auto"/>
                <w:sz w:val="21"/>
                <w:highlight w:val="none"/>
                <w:lang w:val="en-US" w:eastAsia="zh-CN"/>
              </w:rPr>
            </w:pPr>
            <w:r>
              <w:rPr>
                <w:rFonts w:hint="eastAsia" w:hAnsi="宋体" w:cs="宋体"/>
                <w:color w:val="auto"/>
                <w:sz w:val="21"/>
                <w:highlight w:val="none"/>
                <w:lang w:val="en-US" w:eastAsia="zh-CN"/>
              </w:rPr>
              <w:t>3.供应商为其他组织或者自然人时，本磋商文件规定的法定代表人指负责人或者自然人。本磋商文件所称负责人是指参加竞标的其他组织</w:t>
            </w:r>
            <w:r>
              <w:rPr>
                <w:rFonts w:hint="eastAsia" w:hAnsi="宋体" w:cs="宋体"/>
                <w:bCs/>
                <w:color w:val="auto"/>
                <w:sz w:val="21"/>
                <w:highlight w:val="none"/>
                <w:lang w:val="en-US" w:eastAsia="zh-CN"/>
              </w:rPr>
              <w:t>营业执照或者执业许可证等证照上的</w:t>
            </w:r>
            <w:r>
              <w:rPr>
                <w:rFonts w:hint="eastAsia" w:hAnsi="宋体" w:cs="宋体"/>
                <w:color w:val="auto"/>
                <w:sz w:val="21"/>
                <w:highlight w:val="none"/>
                <w:lang w:val="en-US" w:eastAsia="zh-CN"/>
              </w:rPr>
              <w:t>负责人，本磋商文件所称自然人指参与竞标的自然人本人，</w:t>
            </w:r>
            <w:r>
              <w:rPr>
                <w:rFonts w:hint="eastAsia" w:hAnsi="宋体" w:cs="宋体"/>
                <w:bCs/>
                <w:color w:val="auto"/>
                <w:sz w:val="21"/>
                <w:highlight w:val="none"/>
                <w:lang w:val="en-US" w:eastAsia="zh-CN"/>
              </w:rPr>
              <w:t>且应具备独立承担民事责任能力，自然人应当为年满18岁以上成年人（十六周岁以上的未成年人，以自己的劳动收入为主要生活来源的，视为完全民事行为能力人）。</w:t>
            </w:r>
          </w:p>
          <w:p w14:paraId="459C039E">
            <w:pPr>
              <w:pStyle w:val="17"/>
              <w:snapToGrid w:val="0"/>
              <w:spacing w:line="360" w:lineRule="auto"/>
              <w:rPr>
                <w:rFonts w:hAnsi="宋体" w:cs="宋体"/>
                <w:color w:val="auto"/>
                <w:sz w:val="21"/>
                <w:highlight w:val="none"/>
                <w:lang w:val="en-US" w:eastAsia="zh-CN"/>
              </w:rPr>
            </w:pPr>
            <w:r>
              <w:rPr>
                <w:rFonts w:hint="eastAsia" w:hAnsi="宋体" w:cs="宋体"/>
                <w:color w:val="auto"/>
                <w:sz w:val="21"/>
                <w:highlight w:val="none"/>
                <w:lang w:val="en-US" w:eastAsia="zh-CN"/>
              </w:rPr>
              <w:t>4.本磋商文件中描述供应商的“签字”是指供应商的法定代表人或者委托代理人亲自在文件规定签署处亲笔写上个人的名字的行为，私章、签字章、印鉴、影印等其他形式均不能代替亲笔签字。</w:t>
            </w:r>
          </w:p>
          <w:p w14:paraId="504D7436">
            <w:pPr>
              <w:pStyle w:val="17"/>
              <w:snapToGrid w:val="0"/>
              <w:spacing w:line="360" w:lineRule="auto"/>
              <w:rPr>
                <w:rFonts w:hAnsi="宋体" w:cs="宋体"/>
                <w:color w:val="auto"/>
                <w:sz w:val="21"/>
                <w:highlight w:val="none"/>
                <w:lang w:val="en-US" w:eastAsia="zh-CN"/>
              </w:rPr>
            </w:pPr>
            <w:r>
              <w:rPr>
                <w:rFonts w:hint="eastAsia" w:hAnsi="宋体" w:cs="宋体"/>
                <w:color w:val="auto"/>
                <w:sz w:val="21"/>
                <w:highlight w:val="none"/>
                <w:lang w:val="en-US" w:eastAsia="zh-CN"/>
              </w:rPr>
              <w:t>5.本磋商文件所称的“以上”“以下”“以内”“届满”，包括本数；所称的“不满”“超过”“以外”，不包括本数。</w:t>
            </w:r>
          </w:p>
        </w:tc>
      </w:tr>
    </w:tbl>
    <w:p w14:paraId="2A4FC5D7">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供应商须知正文</w:t>
      </w:r>
    </w:p>
    <w:p w14:paraId="5A612E9A">
      <w:pPr>
        <w:spacing w:line="360" w:lineRule="auto"/>
        <w:jc w:val="center"/>
        <w:rPr>
          <w:rFonts w:ascii="宋体" w:hAnsi="宋体" w:cs="宋体"/>
          <w:b/>
          <w:color w:val="auto"/>
          <w:sz w:val="32"/>
          <w:szCs w:val="32"/>
          <w:highlight w:val="none"/>
        </w:rPr>
      </w:pPr>
    </w:p>
    <w:p w14:paraId="120175E7">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一、总则</w:t>
      </w:r>
    </w:p>
    <w:p w14:paraId="1DBB5494">
      <w:pPr>
        <w:spacing w:line="360" w:lineRule="auto"/>
        <w:rPr>
          <w:rFonts w:ascii="宋体" w:hAnsi="宋体" w:cs="宋体"/>
          <w:color w:val="auto"/>
          <w:szCs w:val="21"/>
          <w:highlight w:val="none"/>
        </w:rPr>
      </w:pPr>
    </w:p>
    <w:p w14:paraId="3C79B4C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2B1723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E1C2A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3814BB8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1784CF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7A29596A">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22271D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356314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0A7036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2.5“竞标”是指供应商按照本项目竞争性磋商公告规定的方式获取磋商文件、提交响应文件并希望获得标的的行为。</w:t>
      </w:r>
    </w:p>
    <w:p w14:paraId="79F6489F">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3A8A32D1">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5A0D4FBE">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40CE6C29">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1349DA9B">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2.10“负偏离”，是指响应文件对磋商文件“采购需求”中有关条款作出的响应不满足条款要求，导致采购人要求不能得到满足的情形。</w:t>
      </w:r>
    </w:p>
    <w:p w14:paraId="37E4EED3">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5FBAA66B">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1975B75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06DAFA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133122B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4.竞标费用</w:t>
      </w:r>
    </w:p>
    <w:p w14:paraId="48F735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4E19048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418C77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4019CE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51A7309D">
      <w:pPr>
        <w:keepNext/>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w:t>
      </w:r>
      <w:bookmarkStart w:id="64" w:name="_Hlk66782192"/>
      <w:r>
        <w:rPr>
          <w:rFonts w:hint="eastAsia" w:ascii="宋体" w:hAnsi="宋体" w:cs="宋体"/>
          <w:color w:val="auto"/>
          <w:szCs w:val="21"/>
          <w:highlight w:val="none"/>
        </w:rPr>
        <w:t>根据《政府采购促进中小企业发展管理办法》（财库〔2020〕46号）第九条第二款和</w:t>
      </w:r>
      <w:r>
        <w:rPr>
          <w:rFonts w:hint="eastAsia" w:ascii="宋体" w:hAnsi="宋体"/>
          <w:color w:val="auto"/>
          <w:szCs w:val="21"/>
          <w:highlight w:val="none"/>
        </w:rPr>
        <w:t>《广西壮族自治区财政厅关于持续优化政府采购营商环境推动高质量发展的通知》（桂财采〔2024〕55号）</w:t>
      </w:r>
      <w:r>
        <w:rPr>
          <w:rFonts w:hint="eastAsia" w:ascii="宋体" w:hAnsi="宋体" w:cs="宋体"/>
          <w:color w:val="auto"/>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的扣除，用扣除后的价格参加评审。</w:t>
      </w:r>
      <w:bookmarkEnd w:id="64"/>
    </w:p>
    <w:p w14:paraId="561E430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5C33864A">
      <w:pPr>
        <w:pStyle w:val="6"/>
        <w:keepNext w:val="0"/>
        <w:keepLines w:val="0"/>
        <w:spacing w:before="0" w:after="0" w:line="360" w:lineRule="auto"/>
        <w:ind w:left="420" w:leftChars="200"/>
        <w:rPr>
          <w:rFonts w:ascii="宋体" w:hAnsi="宋体" w:cs="宋体"/>
          <w:b w:val="0"/>
          <w:color w:val="auto"/>
          <w:sz w:val="21"/>
          <w:szCs w:val="21"/>
          <w:highlight w:val="none"/>
        </w:rPr>
      </w:pPr>
      <w:bookmarkStart w:id="65" w:name="_Toc254970673"/>
      <w:bookmarkStart w:id="66" w:name="_Toc254970532"/>
      <w:r>
        <w:rPr>
          <w:rFonts w:hint="eastAsia" w:ascii="宋体" w:hAnsi="宋体" w:cs="宋体"/>
          <w:b w:val="0"/>
          <w:color w:val="auto"/>
          <w:sz w:val="21"/>
          <w:szCs w:val="21"/>
          <w:highlight w:val="none"/>
        </w:rPr>
        <w:t>6.1本项目不允许转包。</w:t>
      </w:r>
    </w:p>
    <w:p w14:paraId="4D64A6A8">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5942111F">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1A100B0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7.特别说明</w:t>
      </w:r>
      <w:bookmarkEnd w:id="65"/>
      <w:bookmarkEnd w:id="66"/>
    </w:p>
    <w:p w14:paraId="18192B7E">
      <w:pPr>
        <w:spacing w:line="360" w:lineRule="auto"/>
        <w:ind w:firstLine="420" w:firstLineChars="200"/>
        <w:rPr>
          <w:rFonts w:ascii="宋体" w:hAnsi="宋体" w:cs="宋体"/>
          <w:color w:val="auto"/>
          <w:szCs w:val="21"/>
          <w:highlight w:val="none"/>
        </w:rPr>
      </w:pPr>
      <w:bookmarkStart w:id="67" w:name="_8.1提供相同品牌产品且通过资格审查、符合性审查的不同投标人参加同一合"/>
      <w:bookmarkEnd w:id="67"/>
      <w:r>
        <w:rPr>
          <w:rFonts w:hint="eastAsia" w:ascii="宋体" w:hAnsi="宋体" w:cs="宋体"/>
          <w:color w:val="auto"/>
          <w:szCs w:val="21"/>
          <w:highlight w:val="none"/>
        </w:rPr>
        <w:t>7.1</w:t>
      </w:r>
      <w:bookmarkStart w:id="68"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68"/>
    <w:p w14:paraId="117769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7FF04C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E398C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455CDC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6B8DB1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7E50AA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7F624F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0FA76C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BC3D4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F8559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5CC007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或不同供应商报名的IP地址一致的；或不同供应商竞标设备信息（包括但不限于：IP地址、MAC地址、硬盘号、CPU号、主板号）一致的； </w:t>
      </w:r>
    </w:p>
    <w:p w14:paraId="59CFA2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7825AA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04B054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2BAC6E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5DDAAF3">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4569AA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6BCBA1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77E53E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0748E9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747AC6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7DFB3C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AD38A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24B399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7F479DE0">
      <w:pPr>
        <w:spacing w:line="360" w:lineRule="auto"/>
        <w:ind w:firstLine="420" w:firstLineChars="200"/>
        <w:rPr>
          <w:rFonts w:ascii="宋体" w:hAnsi="宋体" w:cs="宋体"/>
          <w:color w:val="auto"/>
          <w:szCs w:val="21"/>
          <w:highlight w:val="none"/>
        </w:rPr>
      </w:pPr>
    </w:p>
    <w:p w14:paraId="1C319959">
      <w:pPr>
        <w:spacing w:line="360" w:lineRule="auto"/>
        <w:ind w:left="1" w:firstLine="417" w:firstLineChars="199"/>
        <w:jc w:val="center"/>
        <w:rPr>
          <w:rFonts w:ascii="宋体" w:hAnsi="宋体" w:cs="宋体"/>
          <w:color w:val="auto"/>
          <w:highlight w:val="none"/>
        </w:rPr>
      </w:pPr>
      <w:bookmarkStart w:id="69" w:name="_Toc254970675"/>
      <w:bookmarkStart w:id="70" w:name="_Toc254970534"/>
    </w:p>
    <w:p w14:paraId="646C2AF9">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二、磋商文件</w:t>
      </w:r>
      <w:bookmarkEnd w:id="69"/>
      <w:bookmarkEnd w:id="70"/>
    </w:p>
    <w:p w14:paraId="155C0E11">
      <w:pPr>
        <w:spacing w:line="360" w:lineRule="auto"/>
        <w:rPr>
          <w:rFonts w:ascii="宋体" w:hAnsi="宋体" w:cs="宋体"/>
          <w:color w:val="auto"/>
          <w:szCs w:val="21"/>
          <w:highlight w:val="none"/>
        </w:rPr>
      </w:pPr>
    </w:p>
    <w:p w14:paraId="224592D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530F2B1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（1）竞争性磋商公告；</w:t>
      </w:r>
    </w:p>
    <w:p w14:paraId="075C5C0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（2）供应商须知； </w:t>
      </w:r>
    </w:p>
    <w:p w14:paraId="1B2F90F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（3）采购需求；</w:t>
      </w:r>
    </w:p>
    <w:p w14:paraId="2E3B9BF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（4）评审程序、评审方法和评审标准；</w:t>
      </w:r>
    </w:p>
    <w:p w14:paraId="54830B9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（5）响应文件格式；</w:t>
      </w:r>
    </w:p>
    <w:p w14:paraId="33953B0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（6）合同文本。</w:t>
      </w:r>
    </w:p>
    <w:p w14:paraId="47AE195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666814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w:t>
      </w:r>
      <w:r>
        <w:rPr>
          <w:rFonts w:hint="eastAsia" w:ascii="宋体" w:hAnsi="宋体" w:cs="宋体"/>
          <w:color w:val="auto"/>
          <w:szCs w:val="21"/>
          <w:highlight w:val="none"/>
          <w:lang w:val="en-US" w:eastAsia="zh-CN"/>
        </w:rPr>
        <w:t>应</w:t>
      </w:r>
      <w:r>
        <w:rPr>
          <w:rFonts w:hint="eastAsia" w:ascii="宋体" w:hAnsi="宋体" w:cs="宋体"/>
          <w:color w:val="auto"/>
          <w:szCs w:val="21"/>
          <w:highlight w:val="none"/>
        </w:rPr>
        <w:t>在提交首次响应文件截止之日前，以书面形式向采购人、采购代理机构提出。</w:t>
      </w:r>
    </w:p>
    <w:p w14:paraId="3BD34FD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1E8893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4756D973">
      <w:pPr>
        <w:spacing w:line="360" w:lineRule="auto"/>
        <w:rPr>
          <w:rFonts w:ascii="宋体" w:hAnsi="宋体" w:cs="宋体"/>
          <w:color w:val="auto"/>
          <w:szCs w:val="21"/>
          <w:highlight w:val="none"/>
        </w:rPr>
      </w:pPr>
    </w:p>
    <w:p w14:paraId="599DB1D5">
      <w:pPr>
        <w:spacing w:line="360" w:lineRule="auto"/>
        <w:jc w:val="center"/>
        <w:rPr>
          <w:rFonts w:ascii="宋体" w:hAnsi="宋体" w:cs="宋体"/>
          <w:b/>
          <w:bCs/>
          <w:color w:val="auto"/>
          <w:szCs w:val="21"/>
          <w:highlight w:val="none"/>
        </w:rPr>
      </w:pPr>
      <w:r>
        <w:rPr>
          <w:rFonts w:hint="eastAsia" w:ascii="宋体" w:hAnsi="宋体" w:cs="宋体"/>
          <w:b/>
          <w:bCs/>
          <w:color w:val="auto"/>
          <w:sz w:val="32"/>
          <w:szCs w:val="32"/>
          <w:highlight w:val="none"/>
        </w:rPr>
        <w:t>三、响应文件的编制</w:t>
      </w:r>
    </w:p>
    <w:p w14:paraId="5A481174">
      <w:pPr>
        <w:spacing w:line="360" w:lineRule="auto"/>
        <w:rPr>
          <w:rFonts w:ascii="宋体" w:hAnsi="宋体" w:cs="宋体"/>
          <w:color w:val="auto"/>
          <w:szCs w:val="21"/>
          <w:highlight w:val="none"/>
        </w:rPr>
      </w:pPr>
    </w:p>
    <w:p w14:paraId="5E84BA7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4FD5AD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供应商必须按照磋商文件的要求编制响应文件，并对其提交的响应文件的真实性、合法性承担法律责任。响应文件必须对磋商文件提出的要求和条件作出明确实质性响应。</w:t>
      </w:r>
    </w:p>
    <w:p w14:paraId="52CBD6E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68A15B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22601566">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36E2B5D5">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4D5EA52F">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5554BB2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079C84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563C89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470538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74BA4BB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15.竞标报价</w:t>
      </w:r>
    </w:p>
    <w:p w14:paraId="5BCDBE80">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00A5FFB9">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48C1CFCF">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5E9CA1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15.3.1供应商的竞标报价应符合以下要求，否则响应文件按无效响应处理：</w:t>
      </w:r>
    </w:p>
    <w:p w14:paraId="184A0E71">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2CCE1783">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0D2E6F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2ADEEA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15.3.2竞标报价（包含首次报价、最后报价）超过所竞标分标规定的采购预算金额或者最高限价的，其响应文件将按无效处理。</w:t>
      </w:r>
    </w:p>
    <w:p w14:paraId="6BE29E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71" w:name="_Hlk42592874"/>
      <w:r>
        <w:rPr>
          <w:rFonts w:hint="eastAsia" w:ascii="宋体" w:hAnsi="宋体" w:cs="宋体"/>
          <w:color w:val="auto"/>
          <w:szCs w:val="21"/>
          <w:highlight w:val="none"/>
        </w:rPr>
        <w:t>竞标报价（包含首次报价、最后报价）超过分项采购预算金额或者最高限价的，其响应文件将按无效处理。</w:t>
      </w:r>
    </w:p>
    <w:bookmarkEnd w:id="71"/>
    <w:p w14:paraId="4EEA8CC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3077F3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18DE59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竞标有效期应由供应商按“供应商须知前附表”规定的期限作出响应。承诺的竞标有效期低于采购文件规定期限的，供应商的响应文件作无效处理。</w:t>
      </w:r>
    </w:p>
    <w:p w14:paraId="7288B9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48CA025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46959D17">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3BF9C415">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340C4541">
      <w:pPr>
        <w:spacing w:line="360" w:lineRule="auto"/>
        <w:ind w:firstLine="420" w:firstLineChars="200"/>
        <w:rPr>
          <w:rFonts w:ascii="宋体" w:hAnsi="宋体" w:cs="宋体"/>
          <w:color w:val="auto"/>
          <w:szCs w:val="21"/>
          <w:highlight w:val="none"/>
        </w:rPr>
      </w:pPr>
      <w:bookmarkStart w:id="72"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w:t>
      </w:r>
      <w:r>
        <w:rPr>
          <w:rFonts w:hint="eastAsia" w:ascii="宋体" w:hAnsi="宋体" w:cs="宋体"/>
          <w:color w:val="auto"/>
          <w:spacing w:val="-6"/>
          <w:szCs w:val="21"/>
          <w:highlight w:val="none"/>
          <w:lang w:val="en-US" w:eastAsia="zh-CN"/>
        </w:rPr>
        <w:t>磋商</w:t>
      </w:r>
      <w:r>
        <w:rPr>
          <w:rFonts w:hint="eastAsia" w:ascii="宋体" w:hAnsi="宋体" w:cs="宋体"/>
          <w:color w:val="auto"/>
          <w:spacing w:val="-6"/>
          <w:szCs w:val="21"/>
          <w:highlight w:val="none"/>
        </w:rPr>
        <w:t>保证金自成交通知书发出之日起5个工作日内退还；</w:t>
      </w:r>
      <w:r>
        <w:rPr>
          <w:rFonts w:hint="eastAsia" w:ascii="宋体" w:hAnsi="宋体" w:cs="宋体"/>
          <w:color w:val="auto"/>
          <w:szCs w:val="21"/>
          <w:highlight w:val="none"/>
        </w:rPr>
        <w:t>成交供应商的磋商保证金自签订合同之日起5个工作日内退还。</w:t>
      </w:r>
      <w:bookmarkEnd w:id="72"/>
    </w:p>
    <w:p w14:paraId="646D1FAC">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17.3除逾期退还磋商保证金和终止采购的情形以外，磋商保证金不计息。</w:t>
      </w:r>
    </w:p>
    <w:p w14:paraId="4F268BA0">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370EB6A3">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185A7AC5">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2EC1CE2E">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5A95E3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4B512C0E">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3FCB311D">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332B8EC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091A8A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18.1供应商应按照本项目磋商文件规定的格式和顺序和广西政府采购云平台的要求编制</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并加密。响应文件内容不完整、编排混乱导致响应文件被误读、漏读或者查找不到相关内容的，由此引发的后果由供应商承担。</w:t>
      </w:r>
    </w:p>
    <w:p w14:paraId="4A6988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3F186B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w:t>
      </w:r>
      <w:r>
        <w:rPr>
          <w:rFonts w:hint="eastAsia" w:ascii="宋体" w:hAnsi="宋体" w:cs="宋体"/>
          <w:b/>
          <w:bCs/>
          <w:color w:val="auto"/>
          <w:szCs w:val="21"/>
          <w:highlight w:val="none"/>
        </w:rPr>
        <w:t>否则按无效响应处理。</w:t>
      </w:r>
    </w:p>
    <w:p w14:paraId="02BF90C1">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并与广西政府采购云平台中获取采购文件的供应商名称一致，供应商为自然人的，标注的供应商名称应与身份证姓名及签名一致，</w:t>
      </w:r>
      <w:r>
        <w:rPr>
          <w:rFonts w:hint="eastAsia" w:ascii="宋体" w:hAnsi="宋体" w:cs="宋体"/>
          <w:b/>
          <w:bCs/>
          <w:color w:val="auto"/>
          <w:szCs w:val="21"/>
          <w:highlight w:val="none"/>
        </w:rPr>
        <w:t>否则其响应文件按无效响应处理。</w:t>
      </w:r>
    </w:p>
    <w:p w14:paraId="0A5EC0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2EF5D3E9">
      <w:pP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19.电子</w:t>
      </w:r>
      <w:r>
        <w:rPr>
          <w:rFonts w:hint="eastAsia" w:ascii="宋体" w:hAnsi="宋体" w:cs="宋体"/>
          <w:b/>
          <w:color w:val="auto"/>
          <w:sz w:val="24"/>
          <w:highlight w:val="none"/>
        </w:rPr>
        <w:t>备份响应文件</w:t>
      </w:r>
    </w:p>
    <w:p w14:paraId="0A97CF1E">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电子备份响应文件是指通过在线编制生成且后缀名为“bfbs”的文件，是否接受电子备份响应文件</w:t>
      </w:r>
      <w:r>
        <w:rPr>
          <w:rFonts w:hint="eastAsia" w:ascii="宋体" w:hAnsi="宋体" w:cs="宋体"/>
          <w:bCs/>
          <w:color w:val="auto"/>
          <w:szCs w:val="21"/>
          <w:highlight w:val="none"/>
        </w:rPr>
        <w:t>详见在“供应商须知前附表”。</w:t>
      </w:r>
    </w:p>
    <w:p w14:paraId="71EBFEA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22401129">
      <w:pPr>
        <w:spacing w:line="360" w:lineRule="auto"/>
        <w:ind w:firstLine="420" w:firstLineChars="200"/>
        <w:rPr>
          <w:rFonts w:ascii="宋体" w:hAnsi="宋体" w:cs="宋体"/>
          <w:b/>
          <w:color w:val="auto"/>
          <w:highlight w:val="none"/>
        </w:rPr>
      </w:pPr>
      <w:r>
        <w:rPr>
          <w:rFonts w:hint="eastAsia" w:ascii="宋体" w:hAnsi="宋体" w:cs="宋体"/>
          <w:bCs/>
          <w:color w:val="auto"/>
          <w:szCs w:val="21"/>
          <w:highlight w:val="none"/>
        </w:rPr>
        <w:t>20.1供应商必须按“供应商须知前附表”规定的</w:t>
      </w:r>
      <w:r>
        <w:rPr>
          <w:rFonts w:hint="eastAsia" w:ascii="宋体" w:hAnsi="宋体" w:cs="宋体"/>
          <w:color w:val="auto"/>
          <w:szCs w:val="21"/>
          <w:highlight w:val="none"/>
        </w:rPr>
        <w:t>时间及</w:t>
      </w:r>
      <w:r>
        <w:rPr>
          <w:rFonts w:hint="eastAsia" w:ascii="宋体" w:hAnsi="宋体" w:cs="宋体"/>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 xml:space="preserve">。 </w:t>
      </w:r>
    </w:p>
    <w:p w14:paraId="5C90780B">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20.2未在规定时间内提交或者未按照磋商文件要求加密的电子响应文件，广西政府采购云平台将拒收。</w:t>
      </w:r>
    </w:p>
    <w:p w14:paraId="773DA81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469A6FD3">
      <w:pPr>
        <w:snapToGrid w:val="0"/>
        <w:spacing w:line="360" w:lineRule="auto"/>
        <w:ind w:firstLine="420"/>
        <w:jc w:val="left"/>
        <w:rPr>
          <w:rFonts w:ascii="宋体" w:hAnsi="宋体" w:cs="宋体"/>
          <w:color w:val="auto"/>
          <w:szCs w:val="21"/>
          <w:highlight w:val="none"/>
        </w:rPr>
      </w:pPr>
      <w:bookmarkStart w:id="73" w:name="_Toc254970684"/>
      <w:bookmarkStart w:id="74" w:name="_Toc254970543"/>
      <w:r>
        <w:rPr>
          <w:rFonts w:hint="eastAsia" w:ascii="宋体" w:hAnsi="宋体" w:cs="宋体"/>
          <w:color w:val="auto"/>
          <w:szCs w:val="21"/>
          <w:highlight w:val="none"/>
        </w:rPr>
        <w:t>21.1</w:t>
      </w:r>
      <w:r>
        <w:rPr>
          <w:rFonts w:hint="eastAsia" w:ascii="宋体" w:hAnsi="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cs="宋体"/>
          <w:color w:val="auto"/>
          <w:szCs w:val="21"/>
          <w:highlight w:val="none"/>
        </w:rPr>
        <w:t>（补充、修改或者撤回方式可登录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进入“服务中心”中查看 “电子投标文件制作与投送教程”）</w:t>
      </w:r>
    </w:p>
    <w:bookmarkEnd w:id="73"/>
    <w:bookmarkEnd w:id="74"/>
    <w:p w14:paraId="1AED41F2">
      <w:pPr>
        <w:pStyle w:val="7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21.2在提交响应文件截止时间前，除供应商补充、修改或者撤回响应文件外，任何单位和个人不得解密或提取响应文件。</w:t>
      </w:r>
    </w:p>
    <w:p w14:paraId="21CD33AB">
      <w:pPr>
        <w:spacing w:line="360" w:lineRule="auto"/>
        <w:ind w:firstLine="482" w:firstLineChars="200"/>
        <w:rPr>
          <w:rFonts w:ascii="宋体" w:hAnsi="宋体" w:cs="宋体"/>
          <w:b/>
          <w:bCs/>
          <w:color w:val="auto"/>
          <w:sz w:val="24"/>
          <w:highlight w:val="none"/>
        </w:rPr>
      </w:pPr>
      <w:bookmarkStart w:id="75" w:name="_Hlk45702405"/>
      <w:r>
        <w:rPr>
          <w:rFonts w:hint="eastAsia" w:ascii="宋体" w:hAnsi="宋体" w:cs="宋体"/>
          <w:b/>
          <w:bCs/>
          <w:color w:val="auto"/>
          <w:sz w:val="24"/>
          <w:highlight w:val="none"/>
        </w:rPr>
        <w:t>22.响应文件的退回</w:t>
      </w:r>
    </w:p>
    <w:p w14:paraId="1D90A6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58E0C8B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23.截止时间后的撤回</w:t>
      </w:r>
    </w:p>
    <w:p w14:paraId="773C94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供应商在响应文件提交截止时间后向采购人、采购代理机构书面申请撤回响应文件的，将根据本须知正文17.4的规定不予退还其磋商保证金。</w:t>
      </w:r>
    </w:p>
    <w:bookmarkEnd w:id="75"/>
    <w:p w14:paraId="3E2B2510">
      <w:pPr>
        <w:spacing w:line="360" w:lineRule="auto"/>
        <w:rPr>
          <w:rFonts w:ascii="宋体" w:hAnsi="宋体" w:cs="宋体"/>
          <w:color w:val="auto"/>
          <w:szCs w:val="21"/>
          <w:highlight w:val="none"/>
        </w:rPr>
      </w:pPr>
    </w:p>
    <w:p w14:paraId="16259655">
      <w:pPr>
        <w:spacing w:line="360" w:lineRule="auto"/>
        <w:ind w:left="420" w:firstLine="42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四、评审及磋商</w:t>
      </w:r>
    </w:p>
    <w:p w14:paraId="18D67EA2">
      <w:pPr>
        <w:spacing w:line="360" w:lineRule="auto"/>
        <w:ind w:left="420" w:firstLine="420"/>
        <w:rPr>
          <w:rFonts w:ascii="宋体" w:hAnsi="宋体" w:cs="宋体"/>
          <w:color w:val="auto"/>
          <w:szCs w:val="21"/>
          <w:highlight w:val="none"/>
        </w:rPr>
      </w:pPr>
    </w:p>
    <w:p w14:paraId="34D9209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473499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以上单数组成。</w:t>
      </w:r>
    </w:p>
    <w:p w14:paraId="22EB51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A9F0BA6">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24.3</w:t>
      </w:r>
      <w:r>
        <w:rPr>
          <w:rFonts w:hint="eastAsia" w:ascii="宋体" w:hAnsi="宋体" w:cs="宋体"/>
          <w:bCs/>
          <w:color w:val="auto"/>
          <w:szCs w:val="21"/>
          <w:highlight w:val="none"/>
        </w:rPr>
        <w:t>采购代理机构</w:t>
      </w:r>
      <w:r>
        <w:rPr>
          <w:rFonts w:hint="eastAsia" w:ascii="宋体" w:hAnsi="宋体" w:cs="宋体"/>
          <w:bCs/>
          <w:color w:val="auto"/>
          <w:highlight w:val="none"/>
        </w:rPr>
        <w:t>应当</w:t>
      </w:r>
      <w:r>
        <w:rPr>
          <w:rFonts w:hint="eastAsia" w:ascii="宋体" w:hAnsi="宋体" w:cs="宋体"/>
          <w:bCs/>
          <w:color w:val="auto"/>
          <w:szCs w:val="21"/>
          <w:highlight w:val="none"/>
        </w:rPr>
        <w:t>基于广西政府采购云平台</w:t>
      </w:r>
      <w:r>
        <w:rPr>
          <w:rFonts w:hint="eastAsia" w:ascii="宋体" w:hAnsi="宋体" w:cs="宋体"/>
          <w:bCs/>
          <w:color w:val="auto"/>
          <w:highlight w:val="none"/>
        </w:rPr>
        <w:t>抽（选）取</w:t>
      </w:r>
      <w:r>
        <w:rPr>
          <w:rFonts w:hint="eastAsia" w:ascii="宋体" w:hAnsi="宋体" w:cs="宋体"/>
          <w:bCs/>
          <w:color w:val="auto"/>
          <w:szCs w:val="21"/>
          <w:highlight w:val="none"/>
        </w:rPr>
        <w:t>评审专家。</w:t>
      </w:r>
    </w:p>
    <w:p w14:paraId="29742431">
      <w:pPr>
        <w:spacing w:line="360" w:lineRule="auto"/>
        <w:ind w:firstLine="420" w:firstLineChars="200"/>
        <w:rPr>
          <w:color w:val="auto"/>
          <w:highlight w:val="none"/>
        </w:rPr>
      </w:pPr>
      <w:r>
        <w:rPr>
          <w:rFonts w:hint="eastAsia" w:ascii="宋体" w:hAnsi="宋体" w:cs="宋体"/>
          <w:bCs/>
          <w:color w:val="auto"/>
          <w:highlight w:val="none"/>
        </w:rPr>
        <w:t>24.4参加过采购项目前期咨询论证的专家，不得参加该采购项目的评审活动。</w:t>
      </w:r>
    </w:p>
    <w:p w14:paraId="2A7C162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25.首次响应文件的开启和解密</w:t>
      </w:r>
    </w:p>
    <w:p w14:paraId="00E323D1">
      <w:pPr>
        <w:spacing w:line="360" w:lineRule="auto"/>
        <w:ind w:firstLine="420" w:firstLineChars="200"/>
        <w:rPr>
          <w:rFonts w:ascii="宋体" w:hAnsi="宋体" w:cs="宋体"/>
          <w:color w:val="auto"/>
          <w:szCs w:val="21"/>
          <w:highlight w:val="none"/>
        </w:rPr>
      </w:pPr>
      <w:r>
        <w:rPr>
          <w:rFonts w:hint="eastAsia" w:ascii="宋体" w:hAnsi="宋体" w:cs="宋体"/>
          <w:bCs/>
          <w:color w:val="auto"/>
          <w:highlight w:val="none"/>
        </w:rPr>
        <w:t>采购代理机构将在“供应商须知前附表”规定的时</w:t>
      </w:r>
      <w:r>
        <w:rPr>
          <w:rFonts w:hint="eastAsia" w:ascii="宋体" w:hAnsi="宋体" w:cs="宋体"/>
          <w:color w:val="auto"/>
          <w:highlight w:val="none"/>
        </w:rPr>
        <w:t>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w:t>
      </w:r>
      <w:r>
        <w:rPr>
          <w:rFonts w:hint="eastAsia" w:ascii="宋体" w:hAnsi="宋体" w:cs="宋体"/>
          <w:bCs/>
          <w:color w:val="auto"/>
          <w:szCs w:val="21"/>
          <w:highlight w:val="none"/>
        </w:rPr>
        <w:t>“供应商须知前附表”</w:t>
      </w:r>
      <w:r>
        <w:rPr>
          <w:rFonts w:hint="eastAsia" w:ascii="宋体" w:hAnsi="宋体" w:cs="宋体"/>
          <w:color w:val="auto"/>
          <w:highlight w:val="none"/>
        </w:rPr>
        <w:t>规定的时间内自行进行响应文件解密。</w:t>
      </w:r>
      <w:r>
        <w:rPr>
          <w:rFonts w:hint="eastAsia" w:ascii="宋体" w:hAnsi="宋体" w:cs="宋体"/>
          <w:b/>
          <w:color w:val="auto"/>
          <w:highlight w:val="none"/>
        </w:rPr>
        <w:t>供应商未在规定的时间内解密响应文件或者解密失败的，供应商</w:t>
      </w:r>
      <w:r>
        <w:rPr>
          <w:rFonts w:hint="eastAsia" w:ascii="宋体" w:hAnsi="宋体" w:cs="宋体"/>
          <w:b/>
          <w:color w:val="auto"/>
          <w:szCs w:val="21"/>
          <w:highlight w:val="none"/>
        </w:rPr>
        <w:t>的响应文件作无效处理</w:t>
      </w:r>
      <w:r>
        <w:rPr>
          <w:rFonts w:hint="eastAsia" w:ascii="宋体" w:hAnsi="宋体" w:cs="宋体"/>
          <w:b/>
          <w:color w:val="auto"/>
          <w:highlight w:val="none"/>
        </w:rPr>
        <w:t>。</w:t>
      </w:r>
    </w:p>
    <w:p w14:paraId="5147304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73C646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26.1本项目的评审方法为综合评分法。</w:t>
      </w:r>
    </w:p>
    <w:p w14:paraId="0E0453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26.2磋商小组按照“第四章 评审程序、评审方法和评审标准”规定的方法、评审因素、标准和程序对响应文件进行评审。</w:t>
      </w:r>
    </w:p>
    <w:p w14:paraId="3E05E8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 商务/技术要求允许负偏离的条款数详见“供应商须知前附表”。</w:t>
      </w:r>
    </w:p>
    <w:p w14:paraId="5934B3AA">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26.4磋商小组成员要依法独立评审，并对评审意见承担个人责任。磋商小组成员对需要共同认定的事项存在争议的，按照少数服从多数的原则</w:t>
      </w:r>
      <w:r>
        <w:rPr>
          <w:rFonts w:hint="eastAsia" w:ascii="宋体" w:hAnsi="宋体" w:cs="宋体"/>
          <w:color w:val="auto"/>
          <w:highlight w:val="none"/>
          <w:lang w:val="en-US" w:eastAsia="zh-CN"/>
        </w:rPr>
        <w:t>作</w:t>
      </w:r>
      <w:r>
        <w:rPr>
          <w:rFonts w:hint="eastAsia" w:ascii="宋体" w:hAnsi="宋体" w:cs="宋体"/>
          <w:color w:val="auto"/>
          <w:highlight w:val="none"/>
        </w:rPr>
        <w:t>出结论。持不同意见的磋商小组成员应当在评审报告上签署不同意见并说明理由，否则视为同意。</w:t>
      </w:r>
    </w:p>
    <w:p w14:paraId="6E5A8B8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26.5电子交易活动的中止。采购过程中出现以下情形，导致电子交易平台无法正常运行，或者无法保证电子交易的公平、公正和安全时，采购机构可中止电子交易活动：</w:t>
      </w:r>
    </w:p>
    <w:p w14:paraId="61E1DDB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6641096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33021D5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63F88E6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4816180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474A22DC">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26B7292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40D34D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F648E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6" w:name="_Hlk66782294"/>
      <w:r>
        <w:rPr>
          <w:rFonts w:hint="eastAsia" w:ascii="宋体" w:hAnsi="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76"/>
    </w:p>
    <w:p w14:paraId="272E88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27.3出现下列情形之一的，采购人或者采购代理机构应当终止竞争性磋商采购活动，发布项目终止公告并说明原因，重新开展采购活动：</w:t>
      </w:r>
    </w:p>
    <w:p w14:paraId="6E0EEF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6701FA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5A9BC6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（3）除“第四章 评审程序、评审方法和评审标准”第4.3条规定的情形外，在采购过程中符合要求的供应商或者报价未超过采购预算的供应商不足3家的。</w:t>
      </w:r>
    </w:p>
    <w:p w14:paraId="7489F8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18B9089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56D00BDE">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28.1 履约保证金的金额、提交方式、缴纳期限、退付的时间和条件详见 “供应商须知前附表”。成交供应商未按规定提交履约保证金的，视为拒绝</w:t>
      </w:r>
      <w:r>
        <w:rPr>
          <w:rFonts w:hint="eastAsia" w:ascii="宋体" w:hAnsi="宋体" w:cs="宋体"/>
          <w:color w:val="auto"/>
          <w:highlight w:val="none"/>
        </w:rPr>
        <w:t>与采购人</w:t>
      </w:r>
      <w:r>
        <w:rPr>
          <w:rFonts w:hint="eastAsia" w:ascii="宋体" w:hAnsi="宋体" w:cs="宋体"/>
          <w:color w:val="auto"/>
          <w:szCs w:val="21"/>
          <w:highlight w:val="none"/>
        </w:rPr>
        <w:t>签订合同。</w:t>
      </w:r>
    </w:p>
    <w:p w14:paraId="08348A50">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28.2在履约保证金退还日期前，若成交供应商的开户名称、开户银行、账号有变动的，请以书面形式通知履约保证金收取单位，否则由此产生的后果由成交供应商自行承担。</w:t>
      </w:r>
    </w:p>
    <w:p w14:paraId="06779D8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30FBE82B">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08441390">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3FDC0467">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610DCD57">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18BC3D34">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8615E59">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66EEA4DE">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60A58A16">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405EF89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5DA3D9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D68103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7650E5E7">
      <w:pPr>
        <w:pStyle w:val="7"/>
        <w:spacing w:line="360" w:lineRule="auto"/>
        <w:rPr>
          <w:rFonts w:ascii="宋体" w:hAnsi="宋体" w:cs="宋体"/>
          <w:color w:val="auto"/>
          <w:szCs w:val="21"/>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cs="宋体"/>
          <w:color w:val="auto"/>
          <w:szCs w:val="21"/>
          <w:highlight w:val="none"/>
        </w:rPr>
        <w:t>但答复的内容不得涉及商业秘密</w:t>
      </w:r>
      <w:r>
        <w:rPr>
          <w:rFonts w:hint="eastAsia" w:ascii="宋体" w:hAnsi="宋体" w:cs="宋体"/>
          <w:color w:val="auto"/>
          <w:highlight w:val="none"/>
        </w:rPr>
        <w:t>。</w:t>
      </w:r>
    </w:p>
    <w:p w14:paraId="5157C01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3FDA8AD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（1）对可以质疑的磋商文件提出质疑的，为收到磋商文件之日或者竞争性磋商公告期限届满之日；</w:t>
      </w:r>
    </w:p>
    <w:p w14:paraId="09B337E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083D19D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2BD19E7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4533F0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70B1E59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2912E21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35E0623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6C15F28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6A622D7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2D846D0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0BAEEC9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2CF19A7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7F56297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818C37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8C60BA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44E6F3AE">
      <w:pPr>
        <w:spacing w:line="360" w:lineRule="auto"/>
        <w:ind w:firstLine="420" w:firstLineChars="200"/>
        <w:rPr>
          <w:rFonts w:ascii="宋体" w:hAnsi="宋体" w:cs="宋体"/>
          <w:b/>
          <w:bCs/>
          <w:color w:val="auto"/>
          <w:sz w:val="24"/>
          <w:highlight w:val="none"/>
        </w:rPr>
      </w:pPr>
      <w:r>
        <w:rPr>
          <w:rFonts w:hint="eastAsia" w:ascii="宋体" w:hAnsi="宋体" w:cs="宋体"/>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73C151A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32.其他内容</w:t>
      </w:r>
    </w:p>
    <w:p w14:paraId="55809688">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w:t>
      </w:r>
      <w:r>
        <w:rPr>
          <w:rFonts w:hint="eastAsia" w:ascii="宋体" w:hAnsi="宋体" w:cs="宋体"/>
          <w:color w:val="auto"/>
          <w:szCs w:val="21"/>
          <w:highlight w:val="none"/>
          <w:lang w:val="en-US" w:eastAsia="zh-CN"/>
        </w:rPr>
        <w:t>费</w:t>
      </w:r>
      <w:r>
        <w:rPr>
          <w:rFonts w:hint="eastAsia" w:ascii="宋体" w:hAnsi="宋体" w:cs="宋体"/>
          <w:color w:val="auto"/>
          <w:szCs w:val="21"/>
          <w:highlight w:val="none"/>
        </w:rPr>
        <w:t>收取标准及缴费账户详见“供应商须知前附表”，供应商为联合体的，可以由联合体中的一方或者多方共同交纳代理服务费。</w:t>
      </w:r>
    </w:p>
    <w:p w14:paraId="24867187">
      <w:pPr>
        <w:spacing w:line="360" w:lineRule="auto"/>
        <w:ind w:firstLine="420" w:firstLineChars="200"/>
        <w:rPr>
          <w:rFonts w:hint="default" w:ascii="宋体" w:hAnsi="宋体" w:eastAsia="宋体" w:cs="宋体"/>
          <w:highlight w:val="none"/>
          <w:lang w:val="en-US" w:eastAsia="zh-CN"/>
        </w:rPr>
      </w:pPr>
      <w:r>
        <w:rPr>
          <w:rFonts w:ascii="宋体" w:hAnsi="宋体" w:cs="宋体"/>
          <w:szCs w:val="21"/>
          <w:highlight w:val="none"/>
        </w:rPr>
        <w:t>32.2</w:t>
      </w:r>
      <w:r>
        <w:rPr>
          <w:rFonts w:hint="eastAsia" w:ascii="宋体" w:hAnsi="宋体" w:cs="宋体"/>
          <w:szCs w:val="21"/>
          <w:highlight w:val="none"/>
        </w:rPr>
        <w:t>代理服务费收费计算标准：</w:t>
      </w:r>
      <w:r>
        <w:rPr>
          <w:rFonts w:hint="eastAsia" w:ascii="宋体" w:hAnsi="宋体" w:cs="宋体"/>
          <w:szCs w:val="21"/>
          <w:highlight w:val="none"/>
          <w:lang w:val="en-US" w:eastAsia="zh-CN"/>
        </w:rPr>
        <w:t>固定收费。</w:t>
      </w:r>
    </w:p>
    <w:p w14:paraId="22ABCFB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33.需要补充的其他内容</w:t>
      </w:r>
    </w:p>
    <w:p w14:paraId="02A253E9">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33.1本磋商文件解释规则详见“供应商须知前附表”。</w:t>
      </w:r>
    </w:p>
    <w:p w14:paraId="63A919ED">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33.2 其他事项详见“供应商须知前附表”。</w:t>
      </w:r>
    </w:p>
    <w:p w14:paraId="19EE97F9">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3D358C81">
      <w:pPr>
        <w:pStyle w:val="17"/>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10B67A2E">
      <w:pPr>
        <w:pStyle w:val="17"/>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70C9AB31">
      <w:pPr>
        <w:pStyle w:val="17"/>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E0CC6E1">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43C90F7B">
      <w:pPr>
        <w:pStyle w:val="3"/>
        <w:spacing w:before="0" w:after="0" w:line="240" w:lineRule="auto"/>
        <w:jc w:val="left"/>
        <w:rPr>
          <w:rFonts w:ascii="宋体" w:hAnsi="宋体" w:cs="宋体"/>
          <w:color w:val="auto"/>
          <w:kern w:val="2"/>
          <w:sz w:val="21"/>
          <w:highlight w:val="none"/>
        </w:rPr>
      </w:pPr>
      <w:r>
        <w:rPr>
          <w:rFonts w:hint="eastAsia" w:ascii="宋体" w:hAnsi="宋体" w:cs="宋体"/>
          <w:color w:val="auto"/>
          <w:kern w:val="2"/>
          <w:sz w:val="21"/>
          <w:highlight w:val="none"/>
        </w:rPr>
        <w:t>依据本磋商文件规定享受扶持政策获得政府采购合同的，小微企业不得将合同分包给大中型企业，中型企业不得将合同分包给大型企业。</w:t>
      </w:r>
    </w:p>
    <w:p w14:paraId="42E8FC93">
      <w:pPr>
        <w:pStyle w:val="3"/>
        <w:spacing w:before="0" w:after="0" w:line="240" w:lineRule="auto"/>
        <w:jc w:val="center"/>
        <w:rPr>
          <w:rFonts w:ascii="宋体" w:hAnsi="宋体" w:cs="宋体"/>
          <w:color w:val="auto"/>
          <w:highlight w:val="none"/>
        </w:rPr>
      </w:pPr>
      <w:r>
        <w:rPr>
          <w:rFonts w:hint="eastAsia" w:ascii="宋体" w:hAnsi="宋体" w:cs="宋体"/>
          <w:b w:val="0"/>
          <w:color w:val="auto"/>
          <w:highlight w:val="none"/>
        </w:rPr>
        <w:br w:type="page"/>
      </w:r>
      <w:bookmarkStart w:id="77" w:name="_Toc74323458"/>
      <w:r>
        <w:rPr>
          <w:rFonts w:hint="eastAsia" w:ascii="宋体" w:hAnsi="宋体" w:cs="宋体"/>
          <w:color w:val="auto"/>
          <w:highlight w:val="none"/>
        </w:rPr>
        <w:t>第三章 采购需求</w:t>
      </w:r>
      <w:bookmarkEnd w:id="77"/>
    </w:p>
    <w:p w14:paraId="17737889">
      <w:pPr>
        <w:spacing w:line="360" w:lineRule="auto"/>
        <w:jc w:val="center"/>
        <w:rPr>
          <w:rFonts w:ascii="宋体" w:hAnsi="宋体" w:cs="宋体"/>
          <w:b/>
          <w:color w:val="auto"/>
          <w:sz w:val="32"/>
          <w:szCs w:val="32"/>
          <w:highlight w:val="none"/>
        </w:rPr>
      </w:pPr>
    </w:p>
    <w:p w14:paraId="4D1A8FC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65C369A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highlight w:val="none"/>
        </w:rPr>
        <w:t>1.为落实政府采购政策需满足的要求：</w:t>
      </w:r>
    </w:p>
    <w:p w14:paraId="749C31B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本竞争性磋商文件所称中小企业必须符合《政府采购促进中小企业发展管理办法》（财库〔2020〕46号）的规定。</w:t>
      </w:r>
    </w:p>
    <w:p w14:paraId="262E5C91">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2.“实质性要求”是指采购需求中带“</w:t>
      </w:r>
      <w:r>
        <w:rPr>
          <w:rFonts w:hint="eastAsia" w:ascii="宋体" w:hAnsi="宋体" w:cs="宋体"/>
          <w:color w:val="auto"/>
          <w:kern w:val="0"/>
          <w:szCs w:val="21"/>
          <w:highlight w:val="none"/>
        </w:rPr>
        <w:t>▲</w:t>
      </w:r>
      <w:r>
        <w:rPr>
          <w:rFonts w:hint="eastAsia" w:ascii="宋体" w:hAnsi="宋体" w:cs="宋体"/>
          <w:color w:val="auto"/>
          <w:szCs w:val="21"/>
          <w:highlight w:val="none"/>
        </w:rPr>
        <w:t>”的条款或者不能负偏离的条款或者已经指明不满足响应文件按无效处理的条款。</w:t>
      </w:r>
      <w:r>
        <w:rPr>
          <w:rFonts w:hint="eastAsia" w:ascii="宋体" w:hAnsi="宋体" w:cs="宋体"/>
          <w:b/>
          <w:bCs/>
          <w:color w:val="auto"/>
          <w:highlight w:val="none"/>
        </w:rPr>
        <w:t>本项目技术需求为实质性要求，不允许负偏离</w:t>
      </w:r>
      <w:r>
        <w:rPr>
          <w:rFonts w:hint="eastAsia" w:ascii="宋体" w:hAnsi="宋体" w:cs="宋体"/>
          <w:b/>
          <w:bCs/>
          <w:color w:val="auto"/>
          <w:szCs w:val="21"/>
          <w:highlight w:val="none"/>
        </w:rPr>
        <w:t>。</w:t>
      </w:r>
    </w:p>
    <w:p w14:paraId="789CBF1C">
      <w:pPr>
        <w:spacing w:line="360" w:lineRule="auto"/>
        <w:ind w:firstLine="424" w:firstLineChars="202"/>
        <w:jc w:val="left"/>
        <w:rPr>
          <w:rFonts w:ascii="宋体" w:hAnsi="宋体" w:cs="宋体"/>
          <w:color w:val="auto"/>
          <w:highlight w:val="none"/>
        </w:rPr>
      </w:pPr>
      <w:r>
        <w:rPr>
          <w:rFonts w:hint="eastAsia" w:ascii="宋体" w:hAnsi="宋体" w:cs="宋体"/>
          <w:color w:val="auto"/>
          <w:szCs w:val="21"/>
          <w:highlight w:val="none"/>
        </w:rPr>
        <w:t>3.供应商应根据自身实际情况如实响应磋商文件，否则将按无效响应处理（定制采购不适用本条款）。</w:t>
      </w:r>
      <w:r>
        <w:rPr>
          <w:rFonts w:hint="eastAsia" w:ascii="宋体" w:hAnsi="宋体" w:cs="宋体"/>
          <w:color w:val="auto"/>
          <w:highlight w:val="none"/>
        </w:rPr>
        <w:t>对于重要技术条款或技术参数应当在响应文件中提供技术支持资料，技术支持资料以磋商文件中规定的形式为准，否则将视为无效技术支持资料。</w:t>
      </w:r>
    </w:p>
    <w:p w14:paraId="676D0A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highlight w:val="none"/>
        </w:rPr>
        <w:t>供应商必须自行为其竞标产品侵犯他人的知识产权或者专利成果的行为承担相应法律责任。</w:t>
      </w:r>
    </w:p>
    <w:p w14:paraId="412A7A3A">
      <w:pPr>
        <w:spacing w:line="460" w:lineRule="exact"/>
        <w:rPr>
          <w:rFonts w:ascii="宋体" w:hAnsi="宋体" w:cs="宋体"/>
          <w:b/>
          <w:color w:val="auto"/>
          <w:szCs w:val="21"/>
          <w:highlight w:val="none"/>
          <w:u w:val="single"/>
        </w:rPr>
      </w:pPr>
      <w:r>
        <w:rPr>
          <w:rFonts w:hint="eastAsia" w:ascii="宋体" w:hAnsi="宋体" w:cs="宋体"/>
          <w:b/>
          <w:color w:val="auto"/>
          <w:sz w:val="24"/>
          <w:highlight w:val="none"/>
        </w:rPr>
        <w:t>采购预算：</w:t>
      </w:r>
      <w:r>
        <w:rPr>
          <w:rFonts w:hint="eastAsia" w:ascii="宋体" w:hAnsi="宋体" w:cs="宋体"/>
          <w:b/>
          <w:color w:val="auto"/>
          <w:sz w:val="24"/>
          <w:highlight w:val="none"/>
          <w:u w:val="single"/>
          <w:lang w:val="en-US" w:eastAsia="zh-CN"/>
        </w:rPr>
        <w:t>陆拾万元整</w:t>
      </w:r>
      <w:r>
        <w:rPr>
          <w:rFonts w:hint="eastAsia" w:ascii="宋体" w:hAnsi="宋体" w:cs="宋体"/>
          <w:b/>
          <w:color w:val="auto"/>
          <w:sz w:val="24"/>
          <w:highlight w:val="none"/>
          <w:u w:val="single"/>
        </w:rPr>
        <w:t>（¥</w:t>
      </w:r>
      <w:r>
        <w:rPr>
          <w:rFonts w:hint="eastAsia" w:ascii="宋体" w:hAnsi="宋体" w:cs="宋体"/>
          <w:b/>
          <w:color w:val="auto"/>
          <w:sz w:val="24"/>
          <w:highlight w:val="none"/>
          <w:u w:val="single"/>
          <w:lang w:val="en-US" w:eastAsia="zh-CN"/>
        </w:rPr>
        <w:t>60</w:t>
      </w:r>
      <w:r>
        <w:rPr>
          <w:rFonts w:hint="eastAsia" w:ascii="宋体" w:hAnsi="宋体" w:cs="宋体"/>
          <w:b/>
          <w:color w:val="auto"/>
          <w:sz w:val="24"/>
          <w:highlight w:val="none"/>
          <w:u w:val="single"/>
        </w:rPr>
        <w:t>0000.00）</w:t>
      </w:r>
    </w:p>
    <w:tbl>
      <w:tblPr>
        <w:tblStyle w:val="29"/>
        <w:tblW w:w="96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6"/>
        <w:gridCol w:w="1048"/>
        <w:gridCol w:w="800"/>
        <w:gridCol w:w="787"/>
        <w:gridCol w:w="6608"/>
      </w:tblGrid>
      <w:tr w14:paraId="29DA8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456" w:type="dxa"/>
            <w:noWrap w:val="0"/>
            <w:vAlign w:val="center"/>
          </w:tcPr>
          <w:p w14:paraId="30A4F003">
            <w:pPr>
              <w:tabs>
                <w:tab w:val="left" w:pos="180"/>
                <w:tab w:val="left" w:pos="1620"/>
              </w:tabs>
              <w:spacing w:line="360" w:lineRule="auto"/>
              <w:jc w:val="center"/>
              <w:rPr>
                <w:rFonts w:hint="eastAsia" w:ascii="宋体" w:hAnsi="宋体" w:eastAsia="宋体" w:cs="宋体"/>
                <w:b/>
                <w:szCs w:val="21"/>
              </w:rPr>
            </w:pPr>
            <w:r>
              <w:rPr>
                <w:rFonts w:hint="eastAsia" w:ascii="宋体" w:hAnsi="宋体" w:eastAsia="宋体" w:cs="宋体"/>
                <w:b/>
                <w:szCs w:val="21"/>
              </w:rPr>
              <w:t>序号</w:t>
            </w:r>
          </w:p>
        </w:tc>
        <w:tc>
          <w:tcPr>
            <w:tcW w:w="1048" w:type="dxa"/>
            <w:noWrap w:val="0"/>
            <w:vAlign w:val="center"/>
          </w:tcPr>
          <w:p w14:paraId="3B8C4710">
            <w:pPr>
              <w:tabs>
                <w:tab w:val="left" w:pos="180"/>
                <w:tab w:val="left" w:pos="1620"/>
              </w:tabs>
              <w:spacing w:line="360" w:lineRule="auto"/>
              <w:jc w:val="center"/>
              <w:rPr>
                <w:rFonts w:hint="eastAsia" w:ascii="宋体" w:hAnsi="宋体" w:eastAsia="宋体" w:cs="宋体"/>
                <w:b/>
                <w:szCs w:val="21"/>
              </w:rPr>
            </w:pPr>
            <w:r>
              <w:rPr>
                <w:rFonts w:hint="eastAsia" w:ascii="宋体" w:hAnsi="宋体" w:eastAsia="宋体" w:cs="宋体"/>
                <w:b/>
                <w:szCs w:val="21"/>
              </w:rPr>
              <w:t>标的的名称</w:t>
            </w:r>
          </w:p>
        </w:tc>
        <w:tc>
          <w:tcPr>
            <w:tcW w:w="800" w:type="dxa"/>
            <w:noWrap w:val="0"/>
            <w:vAlign w:val="center"/>
          </w:tcPr>
          <w:p w14:paraId="704871B8">
            <w:pPr>
              <w:tabs>
                <w:tab w:val="left" w:pos="180"/>
                <w:tab w:val="left" w:pos="1620"/>
              </w:tabs>
              <w:spacing w:line="360" w:lineRule="auto"/>
              <w:jc w:val="center"/>
              <w:rPr>
                <w:rFonts w:hint="eastAsia" w:ascii="宋体" w:hAnsi="宋体" w:eastAsia="宋体" w:cs="宋体"/>
                <w:b/>
                <w:szCs w:val="21"/>
              </w:rPr>
            </w:pPr>
            <w:r>
              <w:rPr>
                <w:rFonts w:hint="eastAsia" w:ascii="宋体" w:hAnsi="宋体" w:eastAsia="宋体" w:cs="宋体"/>
                <w:b/>
                <w:szCs w:val="21"/>
              </w:rPr>
              <w:t>数量单位</w:t>
            </w:r>
          </w:p>
        </w:tc>
        <w:tc>
          <w:tcPr>
            <w:tcW w:w="787" w:type="dxa"/>
            <w:noWrap w:val="0"/>
            <w:vAlign w:val="center"/>
          </w:tcPr>
          <w:p w14:paraId="59A954B1">
            <w:pPr>
              <w:tabs>
                <w:tab w:val="left" w:pos="180"/>
                <w:tab w:val="left" w:pos="1620"/>
              </w:tabs>
              <w:spacing w:line="360" w:lineRule="auto"/>
              <w:jc w:val="center"/>
              <w:rPr>
                <w:rFonts w:hint="eastAsia" w:ascii="宋体" w:hAnsi="宋体" w:eastAsia="宋体" w:cs="宋体"/>
                <w:b/>
                <w:szCs w:val="21"/>
              </w:rPr>
            </w:pPr>
            <w:r>
              <w:rPr>
                <w:rFonts w:hint="eastAsia" w:ascii="宋体" w:hAnsi="宋体" w:eastAsia="宋体" w:cs="宋体"/>
                <w:b/>
                <w:szCs w:val="21"/>
              </w:rPr>
              <w:t>所属行业</w:t>
            </w:r>
          </w:p>
        </w:tc>
        <w:tc>
          <w:tcPr>
            <w:tcW w:w="6608" w:type="dxa"/>
            <w:noWrap w:val="0"/>
            <w:vAlign w:val="center"/>
          </w:tcPr>
          <w:p w14:paraId="58A004DD">
            <w:pPr>
              <w:spacing w:line="360" w:lineRule="auto"/>
              <w:jc w:val="center"/>
              <w:rPr>
                <w:rFonts w:hint="eastAsia" w:ascii="宋体" w:hAnsi="宋体" w:eastAsia="宋体" w:cs="宋体"/>
                <w:b/>
                <w:szCs w:val="21"/>
              </w:rPr>
            </w:pPr>
            <w:r>
              <w:rPr>
                <w:rFonts w:hint="eastAsia" w:ascii="宋体" w:hAnsi="宋体" w:cs="宋体"/>
                <w:kern w:val="0"/>
                <w:szCs w:val="21"/>
              </w:rPr>
              <w:t>▲</w:t>
            </w:r>
            <w:r>
              <w:rPr>
                <w:rFonts w:hint="eastAsia" w:ascii="宋体" w:hAnsi="宋体" w:eastAsia="宋体" w:cs="宋体"/>
                <w:b/>
                <w:szCs w:val="21"/>
              </w:rPr>
              <w:t>技术需求</w:t>
            </w:r>
          </w:p>
        </w:tc>
      </w:tr>
      <w:tr w14:paraId="6F13A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456" w:type="dxa"/>
            <w:noWrap w:val="0"/>
            <w:vAlign w:val="center"/>
          </w:tcPr>
          <w:p w14:paraId="586D7155">
            <w:pPr>
              <w:tabs>
                <w:tab w:val="left" w:pos="180"/>
                <w:tab w:val="left" w:pos="1620"/>
              </w:tabs>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048" w:type="dxa"/>
            <w:noWrap w:val="0"/>
            <w:vAlign w:val="center"/>
          </w:tcPr>
          <w:p w14:paraId="76938DDD">
            <w:pPr>
              <w:spacing w:line="276" w:lineRule="auto"/>
              <w:jc w:val="center"/>
              <w:rPr>
                <w:rFonts w:hint="eastAsia" w:ascii="宋体" w:hAnsi="宋体" w:eastAsia="宋体" w:cs="宋体"/>
                <w:color w:val="000000"/>
                <w:kern w:val="0"/>
                <w:szCs w:val="21"/>
                <w:lang w:bidi="ar"/>
              </w:rPr>
            </w:pPr>
            <w:r>
              <w:rPr>
                <w:rFonts w:hint="eastAsia" w:ascii="宋体" w:hAnsi="宋体" w:eastAsia="宋体" w:cs="宋体"/>
                <w:sz w:val="21"/>
                <w:szCs w:val="21"/>
              </w:rPr>
              <w:t>法医病理鉴定、法医临床鉴定、法医毒物鉴定服务</w:t>
            </w:r>
          </w:p>
        </w:tc>
        <w:tc>
          <w:tcPr>
            <w:tcW w:w="800" w:type="dxa"/>
            <w:noWrap w:val="0"/>
            <w:vAlign w:val="center"/>
          </w:tcPr>
          <w:p w14:paraId="60F5848E">
            <w:pPr>
              <w:tabs>
                <w:tab w:val="left" w:pos="180"/>
                <w:tab w:val="left" w:pos="1620"/>
              </w:tabs>
              <w:spacing w:line="360" w:lineRule="auto"/>
              <w:jc w:val="center"/>
              <w:rPr>
                <w:rFonts w:hint="eastAsia" w:ascii="宋体" w:hAnsi="宋体" w:eastAsia="宋体" w:cs="宋体"/>
                <w:szCs w:val="21"/>
              </w:rPr>
            </w:pPr>
            <w:r>
              <w:rPr>
                <w:rFonts w:hint="eastAsia" w:ascii="宋体" w:hAnsi="宋体" w:eastAsia="宋体" w:cs="宋体"/>
                <w:szCs w:val="21"/>
              </w:rPr>
              <w:t>1项</w:t>
            </w:r>
          </w:p>
        </w:tc>
        <w:tc>
          <w:tcPr>
            <w:tcW w:w="787" w:type="dxa"/>
            <w:noWrap w:val="0"/>
            <w:vAlign w:val="center"/>
          </w:tcPr>
          <w:p w14:paraId="3422B02F">
            <w:pPr>
              <w:tabs>
                <w:tab w:val="left" w:pos="180"/>
                <w:tab w:val="left" w:pos="1620"/>
              </w:tabs>
              <w:spacing w:line="360" w:lineRule="auto"/>
              <w:jc w:val="center"/>
              <w:rPr>
                <w:rFonts w:hint="eastAsia" w:ascii="宋体" w:hAnsi="宋体" w:eastAsia="宋体" w:cs="宋体"/>
                <w:szCs w:val="21"/>
              </w:rPr>
            </w:pPr>
            <w:r>
              <w:rPr>
                <w:rFonts w:hint="eastAsia" w:ascii="宋体" w:hAnsi="宋体" w:eastAsia="宋体" w:cs="宋体"/>
              </w:rPr>
              <w:t>其他未列明行业</w:t>
            </w:r>
          </w:p>
        </w:tc>
        <w:tc>
          <w:tcPr>
            <w:tcW w:w="6608" w:type="dxa"/>
            <w:noWrap w:val="0"/>
            <w:vAlign w:val="center"/>
          </w:tcPr>
          <w:p w14:paraId="50D76501">
            <w:pPr>
              <w:pStyle w:val="2"/>
              <w:numPr>
                <w:ilvl w:val="0"/>
                <w:numId w:val="0"/>
              </w:numPr>
              <w:spacing w:line="276" w:lineRule="auto"/>
              <w:rPr>
                <w:rFonts w:hint="eastAsia" w:ascii="宋体" w:hAnsi="宋体" w:eastAsia="宋体" w:cs="宋体"/>
                <w:b/>
                <w:bCs/>
                <w:sz w:val="21"/>
                <w:szCs w:val="21"/>
              </w:rPr>
            </w:pPr>
            <w:r>
              <w:rPr>
                <w:rFonts w:hint="eastAsia" w:ascii="宋体" w:hAnsi="宋体" w:eastAsia="宋体" w:cs="宋体"/>
                <w:b/>
                <w:bCs/>
                <w:kern w:val="2"/>
                <w:sz w:val="21"/>
                <w:szCs w:val="21"/>
                <w:lang w:val="en-US" w:eastAsia="zh-CN" w:bidi="ar-SA"/>
              </w:rPr>
              <w:t>一、</w:t>
            </w:r>
            <w:r>
              <w:rPr>
                <w:rFonts w:hint="eastAsia" w:ascii="宋体" w:hAnsi="宋体" w:eastAsia="宋体" w:cs="宋体"/>
                <w:b/>
                <w:bCs/>
                <w:sz w:val="21"/>
                <w:szCs w:val="21"/>
              </w:rPr>
              <w:t xml:space="preserve">项目概况 </w:t>
            </w:r>
          </w:p>
          <w:p w14:paraId="2BAE55C4">
            <w:pPr>
              <w:pStyle w:val="2"/>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通过竞争性磋商采购方式确定法医病理鉴定、法医临床鉴定、法医毒物鉴定（血液酒精含量检测）服务的供应商承担岑溪市的检验鉴定工作，服务期限为自合同签订之日起1年。 </w:t>
            </w:r>
          </w:p>
          <w:p w14:paraId="5923AA7E">
            <w:pPr>
              <w:pStyle w:val="2"/>
              <w:spacing w:line="360" w:lineRule="auto"/>
              <w:rPr>
                <w:rFonts w:hint="eastAsia" w:ascii="宋体" w:hAnsi="宋体" w:eastAsia="宋体" w:cs="宋体"/>
                <w:sz w:val="21"/>
                <w:szCs w:val="21"/>
              </w:rPr>
            </w:pPr>
            <w:r>
              <w:rPr>
                <w:rFonts w:hint="eastAsia" w:ascii="宋体" w:hAnsi="宋体" w:eastAsia="宋体" w:cs="宋体"/>
                <w:sz w:val="21"/>
                <w:szCs w:val="21"/>
              </w:rPr>
              <w:t>本项目检验鉴定服务内容：</w:t>
            </w:r>
          </w:p>
          <w:tbl>
            <w:tblPr>
              <w:tblStyle w:val="29"/>
              <w:tblW w:w="6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5575"/>
            </w:tblGrid>
            <w:tr w14:paraId="5526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center"/>
                </w:tcPr>
                <w:p w14:paraId="5F65E8CC">
                  <w:pPr>
                    <w:pStyle w:val="2"/>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5575" w:type="dxa"/>
                  <w:noWrap w:val="0"/>
                  <w:vAlign w:val="center"/>
                </w:tcPr>
                <w:p w14:paraId="013856B1">
                  <w:pPr>
                    <w:pStyle w:val="2"/>
                    <w:spacing w:line="360" w:lineRule="auto"/>
                    <w:jc w:val="center"/>
                    <w:rPr>
                      <w:rFonts w:hint="eastAsia" w:ascii="宋体" w:hAnsi="宋体" w:eastAsia="宋体" w:cs="宋体"/>
                      <w:sz w:val="21"/>
                      <w:szCs w:val="21"/>
                    </w:rPr>
                  </w:pPr>
                  <w:r>
                    <w:rPr>
                      <w:rFonts w:hint="eastAsia" w:ascii="宋体" w:hAnsi="宋体" w:eastAsia="宋体" w:cs="宋体"/>
                      <w:sz w:val="21"/>
                      <w:szCs w:val="21"/>
                    </w:rPr>
                    <w:t>检验鉴定服务内容</w:t>
                  </w:r>
                </w:p>
              </w:tc>
            </w:tr>
            <w:tr w14:paraId="1A85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center"/>
                </w:tcPr>
                <w:p w14:paraId="2D790F53">
                  <w:pPr>
                    <w:pStyle w:val="2"/>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5575" w:type="dxa"/>
                  <w:noWrap w:val="0"/>
                  <w:vAlign w:val="center"/>
                </w:tcPr>
                <w:p w14:paraId="7AEC0114">
                  <w:pPr>
                    <w:pStyle w:val="2"/>
                    <w:spacing w:line="360" w:lineRule="auto"/>
                    <w:jc w:val="left"/>
                    <w:rPr>
                      <w:rFonts w:hint="eastAsia" w:ascii="宋体" w:hAnsi="宋体" w:eastAsia="宋体" w:cs="宋体"/>
                      <w:sz w:val="21"/>
                      <w:szCs w:val="21"/>
                    </w:rPr>
                  </w:pPr>
                  <w:r>
                    <w:rPr>
                      <w:rFonts w:hint="eastAsia" w:ascii="宋体" w:hAnsi="宋体" w:eastAsia="宋体" w:cs="宋体"/>
                      <w:sz w:val="21"/>
                      <w:szCs w:val="21"/>
                    </w:rPr>
                    <w:t>法医病理鉴定（尸表检验、尸体常规解剖、特殊尸体解剖、硅藻检查、法医现 场勘查、法医病理诊断、死亡原因分析、死亡方式判断、生前伤死后伤鉴别等）</w:t>
                  </w:r>
                </w:p>
              </w:tc>
            </w:tr>
            <w:tr w14:paraId="40BE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center"/>
                </w:tcPr>
                <w:p w14:paraId="4C6E929C">
                  <w:pPr>
                    <w:pStyle w:val="2"/>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5575" w:type="dxa"/>
                  <w:noWrap w:val="0"/>
                  <w:vAlign w:val="center"/>
                </w:tcPr>
                <w:p w14:paraId="01019BB2">
                  <w:pPr>
                    <w:pStyle w:val="2"/>
                    <w:spacing w:line="360" w:lineRule="auto"/>
                    <w:jc w:val="left"/>
                    <w:rPr>
                      <w:rFonts w:hint="eastAsia" w:ascii="宋体" w:hAnsi="宋体" w:eastAsia="宋体" w:cs="宋体"/>
                      <w:sz w:val="21"/>
                      <w:szCs w:val="21"/>
                    </w:rPr>
                  </w:pPr>
                  <w:r>
                    <w:rPr>
                      <w:rFonts w:hint="eastAsia" w:ascii="宋体" w:hAnsi="宋体" w:eastAsia="宋体" w:cs="宋体"/>
                      <w:sz w:val="21"/>
                      <w:szCs w:val="21"/>
                    </w:rPr>
                    <w:t>法医临床鉴定（损伤程度鉴定、伤残程度评定、伤病关系鉴定等）</w:t>
                  </w:r>
                </w:p>
              </w:tc>
            </w:tr>
            <w:tr w14:paraId="7263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center"/>
                </w:tcPr>
                <w:p w14:paraId="75F4E186">
                  <w:pPr>
                    <w:pStyle w:val="2"/>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5575" w:type="dxa"/>
                  <w:noWrap w:val="0"/>
                  <w:vAlign w:val="center"/>
                </w:tcPr>
                <w:p w14:paraId="56FCB6E9">
                  <w:pPr>
                    <w:pStyle w:val="2"/>
                    <w:spacing w:line="360" w:lineRule="auto"/>
                    <w:jc w:val="left"/>
                    <w:rPr>
                      <w:rFonts w:hint="eastAsia" w:ascii="宋体" w:hAnsi="宋体" w:eastAsia="宋体" w:cs="宋体"/>
                      <w:sz w:val="21"/>
                      <w:szCs w:val="21"/>
                    </w:rPr>
                  </w:pPr>
                  <w:r>
                    <w:rPr>
                      <w:rFonts w:hint="eastAsia" w:ascii="宋体" w:hAnsi="宋体" w:eastAsia="宋体" w:cs="宋体"/>
                      <w:sz w:val="21"/>
                      <w:szCs w:val="21"/>
                    </w:rPr>
                    <w:t>法医毒物鉴定（人体体液中乙醇定性定量分析等）</w:t>
                  </w:r>
                </w:p>
              </w:tc>
            </w:tr>
          </w:tbl>
          <w:p w14:paraId="5FBA0645">
            <w:pPr>
              <w:pStyle w:val="2"/>
              <w:numPr>
                <w:ilvl w:val="0"/>
                <w:numId w:val="0"/>
              </w:numPr>
              <w:spacing w:line="360" w:lineRule="auto"/>
              <w:rPr>
                <w:rFonts w:hint="eastAsia" w:ascii="宋体" w:hAnsi="宋体" w:eastAsia="宋体" w:cs="宋体"/>
                <w:b/>
                <w:bCs/>
                <w:sz w:val="21"/>
                <w:szCs w:val="21"/>
              </w:rPr>
            </w:pPr>
            <w:r>
              <w:rPr>
                <w:rFonts w:hint="eastAsia" w:ascii="宋体" w:hAnsi="宋体" w:eastAsia="宋体" w:cs="宋体"/>
                <w:b/>
                <w:bCs/>
                <w:kern w:val="2"/>
                <w:sz w:val="21"/>
                <w:szCs w:val="21"/>
                <w:lang w:val="en-US" w:eastAsia="zh-CN" w:bidi="ar-SA"/>
              </w:rPr>
              <w:t>二、</w:t>
            </w:r>
            <w:r>
              <w:rPr>
                <w:rFonts w:hint="eastAsia" w:ascii="宋体" w:hAnsi="宋体" w:eastAsia="宋体" w:cs="宋体"/>
                <w:b/>
                <w:bCs/>
                <w:sz w:val="21"/>
                <w:szCs w:val="21"/>
              </w:rPr>
              <w:t xml:space="preserve">服务要求 </w:t>
            </w:r>
          </w:p>
          <w:p w14:paraId="67F6EB95">
            <w:pPr>
              <w:pStyle w:val="2"/>
              <w:numPr>
                <w:ilvl w:val="0"/>
                <w:numId w:val="0"/>
              </w:numPr>
              <w:spacing w:line="360" w:lineRule="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lang w:eastAsia="zh-CN"/>
              </w:rPr>
              <w:t>供应商</w:t>
            </w:r>
            <w:r>
              <w:rPr>
                <w:rFonts w:hint="eastAsia" w:ascii="宋体" w:hAnsi="宋体" w:eastAsia="宋体" w:cs="宋体"/>
                <w:sz w:val="21"/>
                <w:szCs w:val="21"/>
              </w:rPr>
              <w:t>必须是取得国家司法行政部门许可的鉴定机构。</w:t>
            </w:r>
            <w:r>
              <w:rPr>
                <w:rFonts w:hint="eastAsia" w:ascii="宋体" w:hAnsi="宋体" w:eastAsia="宋体" w:cs="宋体"/>
                <w:sz w:val="21"/>
                <w:szCs w:val="21"/>
                <w:lang w:eastAsia="zh-CN"/>
              </w:rPr>
              <w:t>供应商</w:t>
            </w:r>
            <w:r>
              <w:rPr>
                <w:rFonts w:hint="eastAsia" w:ascii="宋体" w:hAnsi="宋体" w:eastAsia="宋体" w:cs="宋体"/>
                <w:sz w:val="21"/>
                <w:szCs w:val="21"/>
              </w:rPr>
              <w:t xml:space="preserve">在其执业范围内受理交通事故相应法医鉴定服务的委托，并实施鉴定。 </w:t>
            </w:r>
          </w:p>
          <w:p w14:paraId="78B44021">
            <w:pPr>
              <w:pStyle w:val="2"/>
              <w:numPr>
                <w:ilvl w:val="0"/>
                <w:numId w:val="0"/>
              </w:numPr>
              <w:spacing w:line="360" w:lineRule="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lang w:eastAsia="zh-CN"/>
              </w:rPr>
              <w:t>供应商</w:t>
            </w:r>
            <w:r>
              <w:rPr>
                <w:rFonts w:hint="eastAsia" w:ascii="宋体" w:hAnsi="宋体" w:eastAsia="宋体" w:cs="宋体"/>
                <w:sz w:val="21"/>
                <w:szCs w:val="21"/>
              </w:rPr>
              <w:t>受理鉴定委托，应当按照国家相关法律、法规及行业标准科学、客观、公正 地进行鉴定工作，所出具的鉴定结论涉及的全部法律责任由鉴定机构、鉴定人等机关相关人员自行承担，采购人不予承担任何责任。对于重特大、有影响、疑难等其它道路交通事故，需要派技术人员前往现场勘查的，应及时按照采购人的要求前往并不得加收鉴定费用。</w:t>
            </w:r>
          </w:p>
          <w:p w14:paraId="20FC9B64">
            <w:pPr>
              <w:pStyle w:val="2"/>
              <w:numPr>
                <w:ilvl w:val="0"/>
                <w:numId w:val="0"/>
              </w:numPr>
              <w:spacing w:line="360" w:lineRule="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rPr>
              <w:t>供应商受理鉴定委托，组织有能力专门的鉴定小组对委托的项目进行技术检验，该鉴定小组必须有3名以上（具备司法部或司法厅颁发的《司法人鉴定人执业证》执业证件、和</w:t>
            </w:r>
            <w:r>
              <w:rPr>
                <w:rFonts w:hint="eastAsia" w:ascii="宋体" w:hAnsi="宋体" w:eastAsia="宋体" w:cs="宋体"/>
                <w:sz w:val="21"/>
                <w:szCs w:val="21"/>
                <w:lang w:eastAsia="zh-CN"/>
              </w:rPr>
              <w:t>供应商</w:t>
            </w:r>
            <w:r>
              <w:rPr>
                <w:rFonts w:hint="eastAsia" w:ascii="宋体" w:hAnsi="宋体" w:eastAsia="宋体" w:cs="宋体"/>
                <w:sz w:val="21"/>
                <w:szCs w:val="21"/>
              </w:rPr>
              <w:t>签署的劳动合同复印件、身份证复印件）职务固定的技术人员并且专人专项，不得交叉使用。</w:t>
            </w:r>
            <w:r>
              <w:rPr>
                <w:rFonts w:hint="eastAsia" w:ascii="宋体" w:hAnsi="宋体" w:eastAsia="宋体" w:cs="宋体"/>
                <w:sz w:val="21"/>
                <w:szCs w:val="21"/>
                <w:lang w:eastAsia="zh-CN"/>
              </w:rPr>
              <w:t>供应商</w:t>
            </w:r>
            <w:r>
              <w:rPr>
                <w:rFonts w:hint="eastAsia" w:ascii="宋体" w:hAnsi="宋体" w:eastAsia="宋体" w:cs="宋体"/>
                <w:sz w:val="21"/>
                <w:szCs w:val="21"/>
              </w:rPr>
              <w:t>具有良好的专业背景和培训经历，具备与其所承担的鉴定工作的类型、范围和工作量相适应的能力。接到采购人处理问题通知后</w:t>
            </w:r>
            <w:r>
              <w:rPr>
                <w:rFonts w:hint="eastAsia" w:ascii="宋体" w:hAnsi="宋体" w:eastAsia="宋体" w:cs="宋体"/>
                <w:sz w:val="21"/>
                <w:szCs w:val="21"/>
                <w:lang w:eastAsia="zh-CN"/>
              </w:rPr>
              <w:t>岑溪</w:t>
            </w:r>
            <w:r>
              <w:rPr>
                <w:rFonts w:hint="eastAsia" w:ascii="宋体" w:hAnsi="宋体" w:eastAsia="宋体" w:cs="宋体"/>
                <w:sz w:val="21"/>
                <w:szCs w:val="21"/>
              </w:rPr>
              <w:t>市区范围内3小时内派专员抵达现场处理。</w:t>
            </w:r>
            <w:r>
              <w:rPr>
                <w:rFonts w:hint="eastAsia"/>
                <w:lang w:eastAsia="zh-CN"/>
              </w:rPr>
              <w:t>岑溪市</w:t>
            </w:r>
            <w:r>
              <w:rPr>
                <w:rFonts w:hint="eastAsia" w:ascii="宋体" w:hAnsi="宋体" w:eastAsia="宋体" w:cs="宋体"/>
                <w:sz w:val="21"/>
                <w:szCs w:val="21"/>
              </w:rPr>
              <w:t>各乡镇范围5小时内派员抵达现场处理。特殊情况不能完成的，经报采购人批准同意，可以适当延长，但延长时间最长不得超过30个工作日。</w:t>
            </w:r>
            <w:r>
              <w:rPr>
                <w:rFonts w:hint="eastAsia" w:ascii="宋体" w:hAnsi="宋体" w:eastAsia="宋体" w:cs="宋体"/>
                <w:sz w:val="21"/>
                <w:szCs w:val="21"/>
                <w:lang w:eastAsia="zh-CN"/>
              </w:rPr>
              <w:t>供应商</w:t>
            </w:r>
            <w:r>
              <w:rPr>
                <w:rFonts w:hint="eastAsia" w:ascii="宋体" w:hAnsi="宋体" w:eastAsia="宋体" w:cs="宋体"/>
                <w:sz w:val="21"/>
                <w:szCs w:val="21"/>
              </w:rPr>
              <w:t>应无条件满足应急检验鉴定工作的要求，紧急案件24小之内完成检材搜集，条件允许情况下48小时之内出具检验鉴定结论。鉴定报告应准确、清晰、明确和客观地报告每一项或一系列鉴定工作的结果，并且应包括采购人要求的、说明鉴定结果所必需的和所用方法要求的全部信息。</w:t>
            </w:r>
          </w:p>
          <w:p w14:paraId="67C4CC05">
            <w:pPr>
              <w:pStyle w:val="2"/>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在有效服务期内，如</w:t>
            </w:r>
            <w:r>
              <w:rPr>
                <w:rFonts w:hint="eastAsia" w:ascii="宋体" w:hAnsi="宋体" w:eastAsia="宋体" w:cs="宋体"/>
                <w:sz w:val="21"/>
                <w:szCs w:val="21"/>
                <w:lang w:eastAsia="zh-CN"/>
              </w:rPr>
              <w:t>供应商</w:t>
            </w:r>
            <w:r>
              <w:rPr>
                <w:rFonts w:hint="eastAsia" w:ascii="宋体" w:hAnsi="宋体" w:eastAsia="宋体" w:cs="宋体"/>
                <w:sz w:val="21"/>
                <w:szCs w:val="21"/>
              </w:rPr>
              <w:t>在人员配置、作业管理、质量控制等各个方面不能满足</w:t>
            </w:r>
            <w:r>
              <w:rPr>
                <w:rFonts w:hint="eastAsia"/>
                <w:lang w:eastAsia="zh-CN"/>
              </w:rPr>
              <w:t>竞争性</w:t>
            </w:r>
            <w:r>
              <w:rPr>
                <w:rFonts w:hint="eastAsia" w:ascii="宋体" w:hAnsi="宋体" w:eastAsia="宋体" w:cs="宋体"/>
                <w:sz w:val="21"/>
                <w:szCs w:val="21"/>
              </w:rPr>
              <w:t xml:space="preserve">磋商文件、采购合同的相关要求或没有实现响应文件中的相关承诺，采购人有权依法解除合同，并保留追究其法律责任的权利。采购人有权在签订合同时对项目方案作适当修改。 </w:t>
            </w:r>
          </w:p>
          <w:p w14:paraId="25A25286">
            <w:pPr>
              <w:pStyle w:val="2"/>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供应商</w:t>
            </w:r>
            <w:r>
              <w:rPr>
                <w:rFonts w:hint="eastAsia" w:ascii="宋体" w:hAnsi="宋体" w:eastAsia="宋体" w:cs="宋体"/>
                <w:sz w:val="21"/>
                <w:szCs w:val="21"/>
              </w:rPr>
              <w:t>应对在实施鉴定中获得或产生的所有信息承担管理和保密责任；</w:t>
            </w:r>
            <w:r>
              <w:rPr>
                <w:rFonts w:hint="eastAsia" w:ascii="宋体" w:hAnsi="宋体" w:eastAsia="宋体" w:cs="宋体"/>
                <w:sz w:val="21"/>
                <w:szCs w:val="21"/>
                <w:lang w:eastAsia="zh-CN"/>
              </w:rPr>
              <w:t>供应商</w:t>
            </w:r>
            <w:r>
              <w:rPr>
                <w:rFonts w:hint="eastAsia" w:ascii="宋体" w:hAnsi="宋体" w:eastAsia="宋体" w:cs="宋体"/>
                <w:sz w:val="21"/>
                <w:szCs w:val="21"/>
              </w:rPr>
              <w:t>不得在公开场合发布及私自透露采购人委托的检验鉴定项目相关信息，如有需要，应事先通知并征得采购人同意。</w:t>
            </w:r>
            <w:r>
              <w:rPr>
                <w:rFonts w:hint="eastAsia" w:ascii="宋体" w:hAnsi="宋体" w:eastAsia="宋体" w:cs="宋体"/>
                <w:sz w:val="21"/>
                <w:szCs w:val="21"/>
                <w:lang w:eastAsia="zh-CN"/>
              </w:rPr>
              <w:t>供应商</w:t>
            </w:r>
            <w:r>
              <w:rPr>
                <w:rFonts w:hint="eastAsia" w:ascii="宋体" w:hAnsi="宋体" w:eastAsia="宋体" w:cs="宋体"/>
                <w:sz w:val="21"/>
                <w:szCs w:val="21"/>
              </w:rPr>
              <w:t xml:space="preserve">需附相关声明。 </w:t>
            </w:r>
          </w:p>
          <w:p w14:paraId="6DECDB1D">
            <w:pPr>
              <w:pStyle w:val="2"/>
              <w:spacing w:line="360" w:lineRule="auto"/>
              <w:rPr>
                <w:rFonts w:hint="eastAsia" w:ascii="宋体" w:hAnsi="宋体" w:eastAsia="宋体" w:cs="宋体"/>
              </w:rPr>
            </w:pP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供应商</w:t>
            </w:r>
            <w:r>
              <w:rPr>
                <w:rFonts w:hint="eastAsia" w:ascii="宋体" w:hAnsi="宋体" w:eastAsia="宋体" w:cs="宋体"/>
                <w:sz w:val="21"/>
                <w:szCs w:val="21"/>
              </w:rPr>
              <w:t>具备固定、独立的检验鉴定场所；实验室、样品室（物证室）、档案室、办公室、接案室、资料室等功能区域划分科学、设置合理，符合工作要求；对于现场工作以及涉及生物检材/样本、危险性检材/样本的区域和人员，</w:t>
            </w:r>
            <w:r>
              <w:rPr>
                <w:rFonts w:hint="eastAsia" w:ascii="宋体" w:hAnsi="宋体" w:eastAsia="宋体" w:cs="宋体"/>
                <w:sz w:val="21"/>
                <w:szCs w:val="21"/>
                <w:lang w:eastAsia="zh-CN"/>
              </w:rPr>
              <w:t>供应商</w:t>
            </w:r>
            <w:r>
              <w:rPr>
                <w:rFonts w:hint="eastAsia" w:ascii="宋体" w:hAnsi="宋体" w:eastAsia="宋体" w:cs="宋体"/>
                <w:sz w:val="21"/>
                <w:szCs w:val="21"/>
              </w:rPr>
              <w:t>应能够提供适当的防护措施。应配备符合鉴定技术标准且满足鉴定项目需要的设备</w:t>
            </w:r>
            <w:r>
              <w:rPr>
                <w:rFonts w:hint="eastAsia" w:ascii="宋体" w:hAnsi="宋体" w:eastAsia="宋体" w:cs="宋体"/>
                <w:sz w:val="21"/>
                <w:szCs w:val="21"/>
                <w:lang w:eastAsia="zh-CN"/>
              </w:rPr>
              <w:t>（</w:t>
            </w:r>
            <w:r>
              <w:rPr>
                <w:rFonts w:hint="eastAsia" w:ascii="宋体" w:hAnsi="宋体" w:cs="宋体"/>
                <w:sz w:val="21"/>
                <w:szCs w:val="21"/>
                <w:lang w:eastAsia="zh-CN"/>
              </w:rPr>
              <w:t>对照</w:t>
            </w:r>
            <w:r>
              <w:rPr>
                <w:rFonts w:ascii="Helvetica" w:hAnsi="Helvetica" w:eastAsia="Helvetica" w:cs="Helvetica"/>
                <w:i w:val="0"/>
                <w:iCs w:val="0"/>
                <w:caps w:val="0"/>
                <w:color w:val="333333"/>
                <w:spacing w:val="0"/>
                <w:sz w:val="21"/>
                <w:szCs w:val="21"/>
                <w:shd w:val="clear" w:color="auto" w:fill="FFFFFF"/>
              </w:rPr>
              <w:t>司法部出台《司法鉴定机构仪器设备基本配置标准》</w:t>
            </w:r>
            <w:r>
              <w:rPr>
                <w:rFonts w:hint="eastAsia" w:ascii="宋体" w:hAnsi="宋体" w:eastAsia="宋体" w:cs="宋体"/>
                <w:sz w:val="21"/>
                <w:szCs w:val="21"/>
                <w:lang w:eastAsia="zh-CN"/>
              </w:rPr>
              <w:t>）</w:t>
            </w:r>
            <w:r>
              <w:rPr>
                <w:rFonts w:hint="eastAsia" w:ascii="宋体" w:hAnsi="宋体" w:eastAsia="宋体" w:cs="宋体"/>
                <w:sz w:val="21"/>
                <w:szCs w:val="21"/>
              </w:rPr>
              <w:t>，如项目需要使用非本鉴定机构控制下的外部设备时，</w:t>
            </w:r>
            <w:r>
              <w:rPr>
                <w:rFonts w:hint="eastAsia" w:ascii="宋体" w:hAnsi="宋体" w:eastAsia="宋体" w:cs="宋体"/>
                <w:sz w:val="21"/>
                <w:szCs w:val="21"/>
                <w:lang w:eastAsia="zh-CN"/>
              </w:rPr>
              <w:t>供应商</w:t>
            </w:r>
            <w:r>
              <w:rPr>
                <w:rFonts w:hint="eastAsia" w:ascii="宋体" w:hAnsi="宋体" w:eastAsia="宋体" w:cs="宋体"/>
                <w:sz w:val="21"/>
                <w:szCs w:val="21"/>
              </w:rPr>
              <w:t xml:space="preserve">应确保所用设备的适用性和校准状态。应有用于检材/样本的运输、接收、处置、保护、存储、保留和/或清理的程序，应对接收、内部传递、处置、保留、返还和清理等过程进行记录，确保“保管链”记录的完整性和可追溯性。 </w:t>
            </w:r>
          </w:p>
        </w:tc>
      </w:tr>
      <w:tr w14:paraId="13EE9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9699" w:type="dxa"/>
            <w:gridSpan w:val="5"/>
            <w:noWrap w:val="0"/>
            <w:vAlign w:val="center"/>
          </w:tcPr>
          <w:p w14:paraId="2EC502CD">
            <w:pPr>
              <w:tabs>
                <w:tab w:val="left" w:pos="180"/>
                <w:tab w:val="left" w:pos="1620"/>
              </w:tabs>
              <w:spacing w:line="360" w:lineRule="auto"/>
              <w:jc w:val="left"/>
              <w:rPr>
                <w:rFonts w:hint="eastAsia"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b/>
                <w:bCs/>
                <w:color w:val="000000"/>
                <w:szCs w:val="21"/>
              </w:rPr>
              <w:t>一、商务条款</w:t>
            </w:r>
          </w:p>
        </w:tc>
      </w:tr>
      <w:tr w14:paraId="52991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04" w:type="dxa"/>
            <w:gridSpan w:val="2"/>
            <w:tcBorders>
              <w:top w:val="single" w:color="auto" w:sz="4" w:space="0"/>
              <w:left w:val="single" w:color="auto" w:sz="4" w:space="0"/>
              <w:bottom w:val="single" w:color="auto" w:sz="4" w:space="0"/>
              <w:right w:val="single" w:color="auto" w:sz="4" w:space="0"/>
            </w:tcBorders>
            <w:noWrap w:val="0"/>
            <w:vAlign w:val="center"/>
          </w:tcPr>
          <w:p w14:paraId="073E4878">
            <w:pPr>
              <w:snapToGrid w:val="0"/>
              <w:spacing w:line="360" w:lineRule="auto"/>
              <w:jc w:val="center"/>
              <w:rPr>
                <w:rFonts w:hint="eastAsia" w:ascii="宋体" w:hAnsi="宋体" w:eastAsia="宋体" w:cs="宋体"/>
                <w:szCs w:val="21"/>
              </w:rPr>
            </w:pPr>
            <w:r>
              <w:rPr>
                <w:rFonts w:hint="eastAsia" w:ascii="宋体" w:hAnsi="宋体" w:eastAsia="宋体" w:cs="宋体"/>
                <w:b/>
                <w:szCs w:val="21"/>
              </w:rPr>
              <w:t>服务时间及服务地点</w:t>
            </w:r>
          </w:p>
        </w:tc>
        <w:tc>
          <w:tcPr>
            <w:tcW w:w="8195" w:type="dxa"/>
            <w:gridSpan w:val="3"/>
            <w:tcBorders>
              <w:top w:val="single" w:color="auto" w:sz="4" w:space="0"/>
              <w:left w:val="single" w:color="auto" w:sz="4" w:space="0"/>
              <w:bottom w:val="single" w:color="auto" w:sz="4" w:space="0"/>
              <w:right w:val="single" w:color="auto" w:sz="4" w:space="0"/>
            </w:tcBorders>
            <w:noWrap w:val="0"/>
            <w:vAlign w:val="center"/>
          </w:tcPr>
          <w:p w14:paraId="02DC4CDB">
            <w:pPr>
              <w:spacing w:line="360" w:lineRule="auto"/>
              <w:rPr>
                <w:rFonts w:hint="eastAsia" w:ascii="宋体" w:hAnsi="宋体" w:eastAsia="宋体" w:cs="宋体"/>
                <w:szCs w:val="21"/>
                <w:lang w:bidi="hi-IN"/>
              </w:rPr>
            </w:pPr>
            <w:r>
              <w:rPr>
                <w:rFonts w:hint="eastAsia" w:ascii="宋体" w:hAnsi="宋体" w:cs="宋体"/>
                <w:szCs w:val="21"/>
                <w:lang w:val="en-US" w:eastAsia="zh-CN" w:bidi="hi-IN"/>
              </w:rPr>
              <w:t>1.</w:t>
            </w:r>
            <w:r>
              <w:rPr>
                <w:rFonts w:hint="eastAsia" w:ascii="宋体" w:hAnsi="宋体" w:eastAsia="宋体" w:cs="宋体"/>
                <w:szCs w:val="21"/>
                <w:lang w:bidi="hi-IN"/>
              </w:rPr>
              <w:t>服务期限：自签订合同之日起1年。</w:t>
            </w:r>
          </w:p>
          <w:p w14:paraId="27F27E51">
            <w:pPr>
              <w:autoSpaceDE w:val="0"/>
              <w:autoSpaceDN w:val="0"/>
              <w:adjustRightInd w:val="0"/>
              <w:spacing w:line="360" w:lineRule="auto"/>
              <w:rPr>
                <w:rFonts w:hint="eastAsia" w:ascii="宋体" w:hAnsi="宋体" w:eastAsia="宋体" w:cs="宋体"/>
                <w:szCs w:val="21"/>
                <w:lang w:bidi="hi-IN"/>
              </w:rPr>
            </w:pPr>
            <w:r>
              <w:rPr>
                <w:rFonts w:hint="eastAsia" w:ascii="宋体" w:hAnsi="宋体" w:cs="宋体"/>
                <w:szCs w:val="21"/>
                <w:lang w:val="en-US" w:eastAsia="zh-CN" w:bidi="hi-IN"/>
              </w:rPr>
              <w:t>2.</w:t>
            </w:r>
            <w:r>
              <w:rPr>
                <w:rFonts w:hint="eastAsia" w:ascii="宋体" w:hAnsi="宋体" w:eastAsia="宋体" w:cs="宋体"/>
                <w:szCs w:val="21"/>
                <w:lang w:bidi="hi-IN"/>
              </w:rPr>
              <w:t xml:space="preserve">服务地点：广西岑溪市采购人指定地点。 </w:t>
            </w:r>
          </w:p>
        </w:tc>
      </w:tr>
      <w:tr w14:paraId="67695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04" w:type="dxa"/>
            <w:gridSpan w:val="2"/>
            <w:tcBorders>
              <w:top w:val="single" w:color="auto" w:sz="4" w:space="0"/>
              <w:left w:val="single" w:color="auto" w:sz="4" w:space="0"/>
              <w:bottom w:val="single" w:color="auto" w:sz="4" w:space="0"/>
              <w:right w:val="single" w:color="auto" w:sz="4" w:space="0"/>
            </w:tcBorders>
            <w:noWrap w:val="0"/>
            <w:vAlign w:val="center"/>
          </w:tcPr>
          <w:p w14:paraId="6232966D">
            <w:pPr>
              <w:spacing w:line="360" w:lineRule="auto"/>
              <w:jc w:val="center"/>
              <w:rPr>
                <w:rFonts w:hint="eastAsia" w:ascii="宋体" w:hAnsi="宋体" w:eastAsia="宋体" w:cs="宋体"/>
                <w:b/>
                <w:szCs w:val="21"/>
              </w:rPr>
            </w:pPr>
            <w:r>
              <w:rPr>
                <w:rFonts w:hint="eastAsia" w:ascii="宋体" w:hAnsi="宋体" w:eastAsia="宋体" w:cs="宋体"/>
                <w:b/>
                <w:bCs/>
                <w:szCs w:val="21"/>
              </w:rPr>
              <w:t>合同签订时间</w:t>
            </w:r>
          </w:p>
        </w:tc>
        <w:tc>
          <w:tcPr>
            <w:tcW w:w="8195" w:type="dxa"/>
            <w:gridSpan w:val="3"/>
            <w:tcBorders>
              <w:top w:val="single" w:color="auto" w:sz="4" w:space="0"/>
              <w:left w:val="single" w:color="auto" w:sz="4" w:space="0"/>
              <w:bottom w:val="single" w:color="auto" w:sz="4" w:space="0"/>
              <w:right w:val="single" w:color="auto" w:sz="4" w:space="0"/>
            </w:tcBorders>
            <w:noWrap w:val="0"/>
            <w:vAlign w:val="center"/>
          </w:tcPr>
          <w:p w14:paraId="11E3F1C4">
            <w:pPr>
              <w:spacing w:line="360" w:lineRule="auto"/>
              <w:rPr>
                <w:rFonts w:hint="eastAsia" w:ascii="宋体" w:hAnsi="宋体" w:eastAsia="宋体" w:cs="宋体"/>
                <w:szCs w:val="21"/>
              </w:rPr>
            </w:pPr>
            <w:r>
              <w:rPr>
                <w:rFonts w:hint="eastAsia" w:ascii="宋体" w:hAnsi="宋体" w:eastAsia="宋体" w:cs="宋体"/>
                <w:szCs w:val="21"/>
              </w:rPr>
              <w:t>自成交通知书发出之日起25日内。</w:t>
            </w:r>
          </w:p>
        </w:tc>
      </w:tr>
      <w:tr w14:paraId="475DA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04" w:type="dxa"/>
            <w:gridSpan w:val="2"/>
            <w:tcBorders>
              <w:top w:val="single" w:color="auto" w:sz="4" w:space="0"/>
              <w:left w:val="single" w:color="auto" w:sz="4" w:space="0"/>
              <w:bottom w:val="single" w:color="auto" w:sz="4" w:space="0"/>
              <w:right w:val="single" w:color="auto" w:sz="4" w:space="0"/>
            </w:tcBorders>
            <w:noWrap w:val="0"/>
            <w:vAlign w:val="center"/>
          </w:tcPr>
          <w:p w14:paraId="1B184FA2">
            <w:pPr>
              <w:pStyle w:val="17"/>
              <w:snapToGrid w:val="0"/>
              <w:spacing w:line="360" w:lineRule="auto"/>
              <w:jc w:val="center"/>
              <w:outlineLvl w:val="0"/>
              <w:rPr>
                <w:rFonts w:hint="eastAsia" w:ascii="宋体" w:hAnsi="宋体" w:eastAsia="宋体" w:cs="宋体"/>
                <w:sz w:val="21"/>
              </w:rPr>
            </w:pPr>
            <w:r>
              <w:rPr>
                <w:rFonts w:hint="eastAsia" w:ascii="宋体" w:hAnsi="宋体" w:eastAsia="宋体" w:cs="宋体"/>
                <w:b/>
                <w:sz w:val="21"/>
              </w:rPr>
              <w:t>付款条件</w:t>
            </w:r>
          </w:p>
        </w:tc>
        <w:tc>
          <w:tcPr>
            <w:tcW w:w="8195" w:type="dxa"/>
            <w:gridSpan w:val="3"/>
            <w:tcBorders>
              <w:top w:val="single" w:color="auto" w:sz="4" w:space="0"/>
              <w:left w:val="single" w:color="auto" w:sz="4" w:space="0"/>
              <w:bottom w:val="single" w:color="auto" w:sz="4" w:space="0"/>
              <w:right w:val="single" w:color="auto" w:sz="4" w:space="0"/>
            </w:tcBorders>
            <w:noWrap w:val="0"/>
            <w:vAlign w:val="center"/>
          </w:tcPr>
          <w:p w14:paraId="7B26034F">
            <w:pPr>
              <w:autoSpaceDE w:val="0"/>
              <w:autoSpaceDN w:val="0"/>
              <w:adjustRightInd w:val="0"/>
              <w:spacing w:line="360" w:lineRule="auto"/>
              <w:rPr>
                <w:rFonts w:hint="eastAsia" w:ascii="宋体" w:hAnsi="宋体" w:eastAsia="宋体" w:cs="宋体"/>
                <w:kern w:val="0"/>
                <w:szCs w:val="21"/>
              </w:rPr>
            </w:pPr>
            <w:r>
              <w:rPr>
                <w:rFonts w:hint="eastAsia" w:ascii="宋体" w:hAnsi="宋体" w:eastAsia="宋体" w:cs="宋体"/>
                <w:kern w:val="0"/>
                <w:szCs w:val="21"/>
                <w:lang w:val="en-US" w:eastAsia="zh-CN"/>
              </w:rPr>
              <w:t>1</w:t>
            </w:r>
            <w:r>
              <w:rPr>
                <w:rFonts w:hint="eastAsia" w:ascii="宋体" w:hAnsi="宋体" w:cs="宋体"/>
                <w:kern w:val="0"/>
                <w:szCs w:val="21"/>
                <w:lang w:val="en-US" w:eastAsia="zh-CN"/>
              </w:rPr>
              <w:t>.</w:t>
            </w:r>
            <w:r>
              <w:rPr>
                <w:rFonts w:hint="eastAsia" w:ascii="宋体" w:hAnsi="宋体" w:eastAsia="宋体" w:cs="宋体"/>
                <w:kern w:val="0"/>
                <w:szCs w:val="21"/>
              </w:rPr>
              <w:t>合同正式生效后，双方根据每月按项目数量结算一次。</w:t>
            </w:r>
          </w:p>
          <w:p w14:paraId="65E97198">
            <w:pPr>
              <w:autoSpaceDE w:val="0"/>
              <w:autoSpaceDN w:val="0"/>
              <w:adjustRightInd w:val="0"/>
              <w:spacing w:line="360" w:lineRule="auto"/>
              <w:rPr>
                <w:rFonts w:hint="eastAsia" w:ascii="宋体" w:hAnsi="宋体" w:eastAsia="宋体" w:cs="宋体"/>
                <w:kern w:val="0"/>
                <w:szCs w:val="21"/>
              </w:rPr>
            </w:pPr>
            <w:r>
              <w:rPr>
                <w:rFonts w:hint="eastAsia" w:ascii="宋体" w:hAnsi="宋体" w:eastAsia="宋体" w:cs="宋体"/>
                <w:kern w:val="0"/>
                <w:szCs w:val="21"/>
              </w:rPr>
              <w:t>2</w:t>
            </w:r>
            <w:r>
              <w:rPr>
                <w:rFonts w:hint="eastAsia" w:ascii="宋体" w:hAnsi="宋体" w:cs="宋体"/>
                <w:kern w:val="0"/>
                <w:szCs w:val="21"/>
                <w:lang w:val="en-US" w:eastAsia="zh-CN"/>
              </w:rPr>
              <w:t>.</w:t>
            </w:r>
            <w:r>
              <w:rPr>
                <w:rFonts w:hint="eastAsia" w:ascii="宋体" w:hAnsi="宋体" w:eastAsia="宋体" w:cs="宋体"/>
                <w:kern w:val="0"/>
                <w:szCs w:val="21"/>
              </w:rPr>
              <w:t>结算价格=每月实际项目数量×基准价×</w:t>
            </w:r>
            <w:r>
              <w:rPr>
                <w:rFonts w:hint="eastAsia" w:ascii="宋体" w:hAnsi="宋体" w:cs="宋体"/>
                <w:kern w:val="0"/>
                <w:szCs w:val="21"/>
                <w:lang w:eastAsia="zh-CN"/>
              </w:rPr>
              <w:t>折扣</w:t>
            </w:r>
            <w:r>
              <w:rPr>
                <w:rFonts w:hint="eastAsia" w:ascii="宋体" w:hAnsi="宋体" w:eastAsia="宋体" w:cs="宋体"/>
                <w:kern w:val="0"/>
                <w:szCs w:val="21"/>
              </w:rPr>
              <w:t>（如早期尸表检验基准价为500元，当月实际项目数量为1，</w:t>
            </w:r>
            <w:r>
              <w:rPr>
                <w:rFonts w:hint="eastAsia" w:ascii="宋体" w:hAnsi="宋体" w:cs="宋体"/>
                <w:kern w:val="0"/>
                <w:szCs w:val="21"/>
                <w:lang w:eastAsia="zh-CN"/>
              </w:rPr>
              <w:t>折扣</w:t>
            </w:r>
            <w:r>
              <w:rPr>
                <w:rFonts w:hint="eastAsia" w:ascii="宋体" w:hAnsi="宋体" w:eastAsia="宋体" w:cs="宋体"/>
                <w:kern w:val="0"/>
                <w:szCs w:val="21"/>
              </w:rPr>
              <w:t xml:space="preserve">为90%，当月的结算价格为 1×500×90%=450元） </w:t>
            </w:r>
          </w:p>
          <w:p w14:paraId="1BDB72BA">
            <w:pPr>
              <w:snapToGrid w:val="0"/>
              <w:spacing w:line="360" w:lineRule="auto"/>
              <w:rPr>
                <w:rFonts w:hint="eastAsia" w:eastAsia="宋体"/>
                <w:lang w:val="en-US" w:eastAsia="zh-CN"/>
              </w:rPr>
            </w:pPr>
            <w:r>
              <w:rPr>
                <w:rFonts w:hint="eastAsia" w:ascii="宋体" w:hAnsi="宋体" w:eastAsia="宋体" w:cs="宋体"/>
                <w:kern w:val="0"/>
                <w:szCs w:val="21"/>
                <w:lang w:val="en-US" w:eastAsia="zh-CN"/>
              </w:rPr>
              <w:t>3</w:t>
            </w:r>
            <w:r>
              <w:rPr>
                <w:rFonts w:hint="eastAsia" w:ascii="宋体" w:hAnsi="宋体" w:cs="宋体"/>
                <w:kern w:val="0"/>
                <w:szCs w:val="21"/>
                <w:lang w:val="en-US" w:eastAsia="zh-CN"/>
              </w:rPr>
              <w:t>.</w:t>
            </w:r>
            <w:r>
              <w:rPr>
                <w:rFonts w:hint="eastAsia" w:ascii="宋体" w:hAnsi="宋体" w:cs="宋体"/>
                <w:b w:val="0"/>
                <w:bCs/>
                <w:szCs w:val="21"/>
              </w:rPr>
              <w:t>供应商须向采购人提供每月所发生的鉴定服务内容明细清单列表，根据</w:t>
            </w:r>
            <w:r>
              <w:rPr>
                <w:rFonts w:hint="eastAsia" w:ascii="宋体" w:hAnsi="宋体" w:eastAsia="宋体" w:cs="宋体"/>
                <w:sz w:val="21"/>
                <w:szCs w:val="21"/>
              </w:rPr>
              <w:t>广西壮族自治区物价局、广西壮族自治区司法厅</w:t>
            </w:r>
            <w:r>
              <w:rPr>
                <w:rFonts w:hint="eastAsia" w:ascii="宋体" w:hAnsi="宋体" w:eastAsia="宋体" w:cs="宋体"/>
                <w:sz w:val="21"/>
                <w:szCs w:val="21"/>
                <w:lang w:eastAsia="zh-CN"/>
              </w:rPr>
              <w:t>印发的</w:t>
            </w:r>
            <w:r>
              <w:rPr>
                <w:rFonts w:hint="eastAsia" w:ascii="宋体" w:hAnsi="宋体" w:eastAsia="宋体" w:cs="宋体"/>
                <w:sz w:val="21"/>
                <w:szCs w:val="21"/>
              </w:rPr>
              <w:t>《广西壮族自治区司法鉴定收费管理办法》桂发改收费规[2023]1185号</w:t>
            </w:r>
            <w:r>
              <w:rPr>
                <w:rFonts w:hint="eastAsia" w:ascii="宋体" w:hAnsi="宋体" w:eastAsia="宋体" w:cs="宋体"/>
                <w:sz w:val="21"/>
                <w:szCs w:val="21"/>
                <w:lang w:eastAsia="zh-CN"/>
              </w:rPr>
              <w:t>文件</w:t>
            </w:r>
            <w:r>
              <w:rPr>
                <w:rFonts w:hint="eastAsia" w:ascii="宋体" w:hAnsi="宋体" w:cs="宋体"/>
                <w:b w:val="0"/>
                <w:bCs/>
                <w:szCs w:val="21"/>
              </w:rPr>
              <w:t>的相关规定</w:t>
            </w:r>
            <w:r>
              <w:rPr>
                <w:rFonts w:hint="eastAsia" w:ascii="宋体" w:hAnsi="宋体" w:cs="宋体"/>
                <w:b w:val="0"/>
                <w:bCs/>
                <w:szCs w:val="21"/>
                <w:lang w:eastAsia="zh-CN"/>
              </w:rPr>
              <w:t>（如项目执行期间，</w:t>
            </w:r>
            <w:r>
              <w:rPr>
                <w:rFonts w:hint="eastAsia" w:ascii="宋体" w:hAnsi="宋体" w:cs="宋体"/>
                <w:b w:val="0"/>
                <w:bCs/>
                <w:szCs w:val="21"/>
                <w:lang w:val="en-US" w:eastAsia="zh-CN"/>
              </w:rPr>
              <w:t>若有新标准出台，则以新标准为准。</w:t>
            </w:r>
            <w:r>
              <w:rPr>
                <w:rFonts w:hint="eastAsia" w:ascii="宋体" w:hAnsi="宋体" w:cs="宋体"/>
                <w:b w:val="0"/>
                <w:bCs/>
                <w:szCs w:val="21"/>
                <w:lang w:eastAsia="zh-CN"/>
              </w:rPr>
              <w:t>）</w:t>
            </w:r>
          </w:p>
        </w:tc>
      </w:tr>
      <w:tr w14:paraId="403668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1504" w:type="dxa"/>
            <w:gridSpan w:val="2"/>
            <w:tcBorders>
              <w:top w:val="single" w:color="auto" w:sz="4" w:space="0"/>
              <w:left w:val="single" w:color="auto" w:sz="4" w:space="0"/>
              <w:bottom w:val="single" w:color="auto" w:sz="4" w:space="0"/>
              <w:right w:val="single" w:color="auto" w:sz="4" w:space="0"/>
            </w:tcBorders>
            <w:noWrap w:val="0"/>
            <w:vAlign w:val="center"/>
          </w:tcPr>
          <w:p w14:paraId="51DE85C0">
            <w:pPr>
              <w:pStyle w:val="17"/>
              <w:snapToGrid w:val="0"/>
              <w:spacing w:line="360" w:lineRule="auto"/>
              <w:jc w:val="center"/>
              <w:outlineLvl w:val="0"/>
              <w:rPr>
                <w:rFonts w:hint="eastAsia" w:ascii="宋体" w:hAnsi="宋体" w:eastAsia="宋体" w:cs="宋体"/>
                <w:sz w:val="21"/>
              </w:rPr>
            </w:pPr>
            <w:r>
              <w:rPr>
                <w:rFonts w:hint="eastAsia" w:ascii="宋体" w:hAnsi="宋体" w:eastAsia="宋体" w:cs="宋体"/>
                <w:b/>
                <w:sz w:val="21"/>
              </w:rPr>
              <w:t>验收标准</w:t>
            </w:r>
            <w:r>
              <w:rPr>
                <w:rFonts w:hint="eastAsia" w:ascii="宋体" w:hAnsi="宋体" w:eastAsia="宋体" w:cs="宋体"/>
                <w:b/>
              </w:rPr>
              <w:t>（质量要求）</w:t>
            </w:r>
          </w:p>
        </w:tc>
        <w:tc>
          <w:tcPr>
            <w:tcW w:w="8195" w:type="dxa"/>
            <w:gridSpan w:val="3"/>
            <w:tcBorders>
              <w:top w:val="single" w:color="auto" w:sz="4" w:space="0"/>
              <w:left w:val="single" w:color="auto" w:sz="4" w:space="0"/>
              <w:bottom w:val="single" w:color="auto" w:sz="4" w:space="0"/>
              <w:right w:val="single" w:color="auto" w:sz="4" w:space="0"/>
            </w:tcBorders>
            <w:noWrap w:val="0"/>
            <w:vAlign w:val="center"/>
          </w:tcPr>
          <w:p w14:paraId="11271A36">
            <w:pPr>
              <w:pStyle w:val="17"/>
              <w:snapToGrid w:val="0"/>
              <w:spacing w:line="360" w:lineRule="auto"/>
              <w:jc w:val="left"/>
              <w:outlineLvl w:val="0"/>
              <w:rPr>
                <w:rFonts w:hint="eastAsia" w:ascii="宋体" w:hAnsi="宋体" w:eastAsia="宋体" w:cs="宋体"/>
                <w:sz w:val="21"/>
              </w:rPr>
            </w:pPr>
            <w:r>
              <w:rPr>
                <w:rFonts w:hint="eastAsia" w:ascii="宋体" w:hAnsi="宋体" w:eastAsia="宋体" w:cs="宋体"/>
                <w:sz w:val="21"/>
              </w:rPr>
              <w:t>符合国家规定的质量标准和现行技术规范、规程要求并通过有关部门审查。</w:t>
            </w:r>
          </w:p>
        </w:tc>
      </w:tr>
      <w:tr w14:paraId="61F08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04" w:type="dxa"/>
            <w:gridSpan w:val="2"/>
            <w:tcBorders>
              <w:top w:val="single" w:color="auto" w:sz="4" w:space="0"/>
              <w:left w:val="single" w:color="auto" w:sz="4" w:space="0"/>
              <w:bottom w:val="single" w:color="auto" w:sz="4" w:space="0"/>
              <w:right w:val="single" w:color="auto" w:sz="4" w:space="0"/>
            </w:tcBorders>
            <w:noWrap w:val="0"/>
            <w:vAlign w:val="center"/>
          </w:tcPr>
          <w:p w14:paraId="55F3A2BB">
            <w:pPr>
              <w:snapToGrid w:val="0"/>
              <w:spacing w:line="360" w:lineRule="auto"/>
              <w:jc w:val="center"/>
              <w:rPr>
                <w:rFonts w:hint="eastAsia" w:ascii="宋体" w:hAnsi="宋体" w:eastAsia="宋体" w:cs="宋体"/>
                <w:szCs w:val="21"/>
              </w:rPr>
            </w:pPr>
            <w:r>
              <w:rPr>
                <w:rFonts w:hint="eastAsia" w:ascii="宋体" w:hAnsi="宋体" w:eastAsia="宋体" w:cs="宋体"/>
                <w:b/>
                <w:szCs w:val="21"/>
              </w:rPr>
              <w:t>报价要求</w:t>
            </w:r>
          </w:p>
        </w:tc>
        <w:tc>
          <w:tcPr>
            <w:tcW w:w="8195" w:type="dxa"/>
            <w:gridSpan w:val="3"/>
            <w:tcBorders>
              <w:top w:val="single" w:color="auto" w:sz="4" w:space="0"/>
              <w:left w:val="single" w:color="auto" w:sz="4" w:space="0"/>
              <w:bottom w:val="single" w:color="auto" w:sz="4" w:space="0"/>
              <w:right w:val="single" w:color="auto" w:sz="4" w:space="0"/>
            </w:tcBorders>
            <w:noWrap w:val="0"/>
            <w:vAlign w:val="center"/>
          </w:tcPr>
          <w:p w14:paraId="3B8E5527">
            <w:pPr>
              <w:numPr>
                <w:ilvl w:val="0"/>
                <w:numId w:val="0"/>
              </w:numPr>
              <w:spacing w:line="276" w:lineRule="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rPr>
              <w:t>本项目作</w:t>
            </w:r>
            <w:r>
              <w:rPr>
                <w:rFonts w:hint="eastAsia" w:ascii="宋体" w:hAnsi="宋体" w:cs="宋体"/>
                <w:sz w:val="21"/>
                <w:szCs w:val="21"/>
                <w:lang w:eastAsia="zh-CN"/>
              </w:rPr>
              <w:t>折扣</w:t>
            </w:r>
            <w:r>
              <w:rPr>
                <w:rFonts w:hint="eastAsia" w:ascii="宋体" w:hAnsi="宋体" w:eastAsia="宋体" w:cs="宋体"/>
                <w:sz w:val="21"/>
                <w:szCs w:val="21"/>
              </w:rPr>
              <w:t>报价，以广西壮族自治区发展和改革委员会</w:t>
            </w:r>
            <w:r>
              <w:rPr>
                <w:rFonts w:hint="eastAsia" w:ascii="宋体" w:hAnsi="宋体" w:eastAsia="宋体" w:cs="宋体"/>
                <w:sz w:val="21"/>
                <w:szCs w:val="21"/>
                <w:lang w:eastAsia="zh-CN"/>
              </w:rPr>
              <w:t>、</w:t>
            </w:r>
            <w:r>
              <w:rPr>
                <w:rFonts w:hint="eastAsia" w:ascii="宋体" w:hAnsi="宋体" w:eastAsia="宋体" w:cs="宋体"/>
                <w:sz w:val="21"/>
                <w:szCs w:val="21"/>
              </w:rPr>
              <w:t>广西壮族自治区司法厅印发</w:t>
            </w:r>
            <w:r>
              <w:rPr>
                <w:rFonts w:hint="eastAsia" w:ascii="宋体" w:hAnsi="宋体" w:eastAsia="宋体" w:cs="宋体"/>
                <w:sz w:val="21"/>
                <w:szCs w:val="21"/>
                <w:lang w:eastAsia="zh-CN"/>
              </w:rPr>
              <w:t>的</w:t>
            </w:r>
            <w:r>
              <w:rPr>
                <w:rFonts w:hint="eastAsia" w:ascii="宋体" w:hAnsi="宋体" w:eastAsia="宋体" w:cs="宋体"/>
                <w:sz w:val="21"/>
                <w:szCs w:val="21"/>
              </w:rPr>
              <w:t>桂发改收费规</w:t>
            </w:r>
            <w:r>
              <w:rPr>
                <w:rFonts w:hint="eastAsia" w:ascii="宋体" w:hAnsi="宋体" w:eastAsia="宋体" w:cs="宋体"/>
                <w:sz w:val="21"/>
                <w:szCs w:val="21"/>
                <w:lang w:eastAsia="zh-CN"/>
              </w:rPr>
              <w:t>【</w:t>
            </w:r>
            <w:r>
              <w:rPr>
                <w:rFonts w:hint="eastAsia" w:ascii="宋体" w:hAnsi="宋体" w:eastAsia="宋体" w:cs="宋体"/>
                <w:sz w:val="21"/>
                <w:szCs w:val="21"/>
              </w:rPr>
              <w:t>2023</w:t>
            </w:r>
            <w:r>
              <w:rPr>
                <w:rFonts w:hint="eastAsia" w:ascii="宋体" w:hAnsi="宋体" w:eastAsia="宋体" w:cs="宋体"/>
                <w:sz w:val="21"/>
                <w:szCs w:val="21"/>
                <w:lang w:eastAsia="zh-CN"/>
              </w:rPr>
              <w:t>】</w:t>
            </w:r>
            <w:r>
              <w:rPr>
                <w:rFonts w:hint="eastAsia" w:ascii="宋体" w:hAnsi="宋体" w:eastAsia="宋体" w:cs="宋体"/>
                <w:sz w:val="21"/>
                <w:szCs w:val="21"/>
              </w:rPr>
              <w:t>1185号的</w:t>
            </w:r>
            <w:r>
              <w:rPr>
                <w:rFonts w:hint="eastAsia" w:ascii="宋体" w:hAnsi="宋体" w:eastAsia="宋体" w:cs="宋体"/>
                <w:sz w:val="21"/>
                <w:szCs w:val="21"/>
                <w:lang w:eastAsia="zh-CN"/>
              </w:rPr>
              <w:t>文件</w:t>
            </w:r>
            <w:r>
              <w:rPr>
                <w:rFonts w:hint="eastAsia" w:ascii="宋体" w:hAnsi="宋体" w:eastAsia="宋体" w:cs="宋体"/>
                <w:sz w:val="21"/>
                <w:szCs w:val="21"/>
              </w:rPr>
              <w:t>为依据，本项目上限控制价如下：</w:t>
            </w:r>
          </w:p>
          <w:p w14:paraId="1D38C57A">
            <w:pPr>
              <w:pStyle w:val="2"/>
              <w:rPr>
                <w:rFonts w:hint="eastAsia" w:ascii="宋体" w:hAnsi="宋体" w:eastAsia="宋体" w:cs="宋体"/>
                <w:sz w:val="21"/>
                <w:szCs w:val="21"/>
              </w:rPr>
            </w:pPr>
            <w:r>
              <w:rPr>
                <w:rFonts w:hint="eastAsia" w:ascii="宋体" w:hAnsi="宋体" w:eastAsia="宋体" w:cs="宋体"/>
                <w:sz w:val="21"/>
                <w:szCs w:val="21"/>
              </w:rPr>
              <w:t>（1）法医病理鉴定</w:t>
            </w:r>
          </w:p>
          <w:tbl>
            <w:tblPr>
              <w:tblStyle w:val="29"/>
              <w:tblW w:w="7725"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250"/>
              <w:gridCol w:w="813"/>
              <w:gridCol w:w="1550"/>
              <w:gridCol w:w="3325"/>
            </w:tblGrid>
            <w:tr w14:paraId="2E6B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1C71ED41">
                  <w:pPr>
                    <w:pStyle w:val="2"/>
                    <w:jc w:val="center"/>
                    <w:rPr>
                      <w:rFonts w:hint="eastAsia" w:ascii="宋体" w:hAnsi="宋体" w:eastAsia="宋体" w:cs="宋体"/>
                      <w:sz w:val="21"/>
                      <w:szCs w:val="21"/>
                    </w:rPr>
                  </w:pPr>
                  <w:r>
                    <w:rPr>
                      <w:rFonts w:hint="eastAsia" w:ascii="宋体" w:hAnsi="宋体" w:eastAsia="宋体" w:cs="宋体"/>
                      <w:sz w:val="21"/>
                      <w:szCs w:val="21"/>
                    </w:rPr>
                    <w:t>序号</w:t>
                  </w:r>
                </w:p>
              </w:tc>
              <w:tc>
                <w:tcPr>
                  <w:tcW w:w="1250" w:type="dxa"/>
                  <w:noWrap w:val="0"/>
                  <w:vAlign w:val="center"/>
                </w:tcPr>
                <w:p w14:paraId="76C4E752">
                  <w:pPr>
                    <w:pStyle w:val="2"/>
                    <w:jc w:val="center"/>
                    <w:rPr>
                      <w:rFonts w:hint="eastAsia" w:ascii="宋体" w:hAnsi="宋体" w:eastAsia="宋体" w:cs="宋体"/>
                      <w:sz w:val="21"/>
                      <w:szCs w:val="21"/>
                    </w:rPr>
                  </w:pPr>
                  <w:r>
                    <w:rPr>
                      <w:rFonts w:hint="eastAsia" w:ascii="宋体" w:hAnsi="宋体" w:eastAsia="宋体" w:cs="宋体"/>
                      <w:sz w:val="21"/>
                      <w:szCs w:val="21"/>
                    </w:rPr>
                    <w:t>项目</w:t>
                  </w:r>
                </w:p>
              </w:tc>
              <w:tc>
                <w:tcPr>
                  <w:tcW w:w="813" w:type="dxa"/>
                  <w:noWrap w:val="0"/>
                  <w:vAlign w:val="center"/>
                </w:tcPr>
                <w:p w14:paraId="014FBB72">
                  <w:pPr>
                    <w:pStyle w:val="2"/>
                    <w:jc w:val="center"/>
                    <w:rPr>
                      <w:rFonts w:hint="eastAsia" w:ascii="宋体" w:hAnsi="宋体" w:eastAsia="宋体" w:cs="宋体"/>
                      <w:sz w:val="21"/>
                      <w:szCs w:val="21"/>
                    </w:rPr>
                  </w:pPr>
                  <w:r>
                    <w:rPr>
                      <w:rFonts w:hint="eastAsia" w:ascii="宋体" w:hAnsi="宋体" w:eastAsia="宋体" w:cs="宋体"/>
                      <w:sz w:val="21"/>
                      <w:szCs w:val="21"/>
                    </w:rPr>
                    <w:t>单位</w:t>
                  </w:r>
                </w:p>
              </w:tc>
              <w:tc>
                <w:tcPr>
                  <w:tcW w:w="1550" w:type="dxa"/>
                  <w:noWrap w:val="0"/>
                  <w:vAlign w:val="center"/>
                </w:tcPr>
                <w:p w14:paraId="561F660D">
                  <w:pPr>
                    <w:pStyle w:val="2"/>
                    <w:jc w:val="center"/>
                    <w:rPr>
                      <w:rFonts w:hint="eastAsia" w:ascii="宋体" w:hAnsi="宋体" w:eastAsia="宋体" w:cs="宋体"/>
                      <w:sz w:val="21"/>
                      <w:szCs w:val="21"/>
                    </w:rPr>
                  </w:pPr>
                  <w:r>
                    <w:rPr>
                      <w:rFonts w:hint="eastAsia" w:ascii="宋体" w:hAnsi="宋体" w:eastAsia="宋体" w:cs="宋体"/>
                      <w:sz w:val="21"/>
                      <w:szCs w:val="21"/>
                    </w:rPr>
                    <w:t>基准价（元）</w:t>
                  </w:r>
                </w:p>
              </w:tc>
              <w:tc>
                <w:tcPr>
                  <w:tcW w:w="3325" w:type="dxa"/>
                  <w:noWrap w:val="0"/>
                  <w:vAlign w:val="center"/>
                </w:tcPr>
                <w:p w14:paraId="0176D125">
                  <w:pPr>
                    <w:pStyle w:val="2"/>
                    <w:jc w:val="center"/>
                    <w:rPr>
                      <w:rFonts w:hint="eastAsia" w:ascii="宋体" w:hAnsi="宋体" w:eastAsia="宋体" w:cs="宋体"/>
                      <w:sz w:val="21"/>
                      <w:szCs w:val="21"/>
                    </w:rPr>
                  </w:pPr>
                  <w:r>
                    <w:rPr>
                      <w:rFonts w:hint="eastAsia" w:ascii="宋体" w:hAnsi="宋体" w:eastAsia="宋体" w:cs="宋体"/>
                      <w:sz w:val="21"/>
                      <w:szCs w:val="21"/>
                    </w:rPr>
                    <w:t>释义</w:t>
                  </w:r>
                </w:p>
              </w:tc>
            </w:tr>
            <w:tr w14:paraId="30E1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41FFA3E6">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1250" w:type="dxa"/>
                  <w:noWrap w:val="0"/>
                  <w:vAlign w:val="center"/>
                </w:tcPr>
                <w:p w14:paraId="24BCDE5A">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早期尸表</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检验</w:t>
                  </w:r>
                </w:p>
              </w:tc>
              <w:tc>
                <w:tcPr>
                  <w:tcW w:w="813" w:type="dxa"/>
                  <w:noWrap w:val="0"/>
                  <w:vAlign w:val="center"/>
                </w:tcPr>
                <w:p w14:paraId="68035A87">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具</w:t>
                  </w:r>
                </w:p>
              </w:tc>
              <w:tc>
                <w:tcPr>
                  <w:tcW w:w="1550" w:type="dxa"/>
                  <w:noWrap w:val="0"/>
                  <w:vAlign w:val="center"/>
                </w:tcPr>
                <w:p w14:paraId="33D6CF10">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500</w:t>
                  </w:r>
                </w:p>
              </w:tc>
              <w:tc>
                <w:tcPr>
                  <w:tcW w:w="3325" w:type="dxa"/>
                  <w:noWrap w:val="0"/>
                  <w:vAlign w:val="center"/>
                </w:tcPr>
                <w:p w14:paraId="457F4072">
                  <w:pPr>
                    <w:adjustRightInd w:val="0"/>
                    <w:snapToGrid w:val="0"/>
                    <w:spacing w:line="400" w:lineRule="exact"/>
                    <w:rPr>
                      <w:rFonts w:hint="eastAsia" w:ascii="宋体" w:hAnsi="宋体" w:eastAsia="宋体" w:cs="宋体"/>
                      <w:sz w:val="21"/>
                      <w:szCs w:val="21"/>
                    </w:rPr>
                  </w:pPr>
                  <w:r>
                    <w:rPr>
                      <w:rFonts w:hint="eastAsia" w:ascii="宋体" w:hAnsi="宋体" w:eastAsia="宋体" w:cs="宋体"/>
                      <w:color w:val="000000"/>
                      <w:sz w:val="21"/>
                      <w:szCs w:val="21"/>
                    </w:rPr>
                    <w:t>对死亡24小时以内的尸体进行法医学尸体外表检验，</w:t>
                  </w:r>
                  <w:r>
                    <w:rPr>
                      <w:rFonts w:hint="eastAsia" w:ascii="宋体" w:hAnsi="宋体" w:eastAsia="宋体" w:cs="宋体"/>
                      <w:sz w:val="21"/>
                      <w:szCs w:val="21"/>
                    </w:rPr>
                    <w:t>3个工作日内完成并出具鉴定报告</w:t>
                  </w:r>
                </w:p>
              </w:tc>
            </w:tr>
            <w:tr w14:paraId="2BC3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1745A328">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2</w:t>
                  </w:r>
                </w:p>
              </w:tc>
              <w:tc>
                <w:tcPr>
                  <w:tcW w:w="1250" w:type="dxa"/>
                  <w:noWrap w:val="0"/>
                  <w:vAlign w:val="center"/>
                </w:tcPr>
                <w:p w14:paraId="24061A58">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晚期尸表</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检验</w:t>
                  </w:r>
                </w:p>
              </w:tc>
              <w:tc>
                <w:tcPr>
                  <w:tcW w:w="813" w:type="dxa"/>
                  <w:noWrap w:val="0"/>
                  <w:vAlign w:val="center"/>
                </w:tcPr>
                <w:p w14:paraId="6E4EEB66">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具</w:t>
                  </w:r>
                </w:p>
              </w:tc>
              <w:tc>
                <w:tcPr>
                  <w:tcW w:w="1550" w:type="dxa"/>
                  <w:noWrap w:val="0"/>
                  <w:vAlign w:val="center"/>
                </w:tcPr>
                <w:p w14:paraId="3654D6BC">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1000</w:t>
                  </w:r>
                </w:p>
              </w:tc>
              <w:tc>
                <w:tcPr>
                  <w:tcW w:w="3325" w:type="dxa"/>
                  <w:noWrap w:val="0"/>
                  <w:vAlign w:val="center"/>
                </w:tcPr>
                <w:p w14:paraId="2D2F4B5A">
                  <w:pPr>
                    <w:adjustRightInd w:val="0"/>
                    <w:snapToGrid w:val="0"/>
                    <w:spacing w:line="400" w:lineRule="exact"/>
                    <w:rPr>
                      <w:rFonts w:hint="eastAsia" w:ascii="宋体" w:hAnsi="宋体" w:eastAsia="宋体" w:cs="宋体"/>
                      <w:sz w:val="21"/>
                      <w:szCs w:val="21"/>
                    </w:rPr>
                  </w:pPr>
                  <w:r>
                    <w:rPr>
                      <w:rFonts w:hint="eastAsia" w:ascii="宋体" w:hAnsi="宋体" w:eastAsia="宋体" w:cs="宋体"/>
                      <w:color w:val="000000"/>
                      <w:sz w:val="21"/>
                      <w:szCs w:val="21"/>
                    </w:rPr>
                    <w:t>对死亡24小时以外的尸体进行法医学尸体外表检验，</w:t>
                  </w:r>
                  <w:r>
                    <w:rPr>
                      <w:rFonts w:hint="eastAsia" w:ascii="宋体" w:hAnsi="宋体" w:eastAsia="宋体" w:cs="宋体"/>
                      <w:sz w:val="21"/>
                      <w:szCs w:val="21"/>
                    </w:rPr>
                    <w:t>3个工作日内完成并出具鉴定报告</w:t>
                  </w:r>
                </w:p>
              </w:tc>
            </w:tr>
            <w:tr w14:paraId="20C9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44A9329C">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3</w:t>
                  </w:r>
                </w:p>
              </w:tc>
              <w:tc>
                <w:tcPr>
                  <w:tcW w:w="1250" w:type="dxa"/>
                  <w:noWrap w:val="0"/>
                  <w:vAlign w:val="center"/>
                </w:tcPr>
                <w:p w14:paraId="377F77AD">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早期尸体常规解剖</w:t>
                  </w:r>
                </w:p>
              </w:tc>
              <w:tc>
                <w:tcPr>
                  <w:tcW w:w="813" w:type="dxa"/>
                  <w:noWrap w:val="0"/>
                  <w:vAlign w:val="center"/>
                </w:tcPr>
                <w:p w14:paraId="6D1664C5">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具</w:t>
                  </w:r>
                </w:p>
              </w:tc>
              <w:tc>
                <w:tcPr>
                  <w:tcW w:w="1550" w:type="dxa"/>
                  <w:noWrap w:val="0"/>
                  <w:vAlign w:val="center"/>
                </w:tcPr>
                <w:p w14:paraId="5EAB431A">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2500</w:t>
                  </w:r>
                </w:p>
              </w:tc>
              <w:tc>
                <w:tcPr>
                  <w:tcW w:w="3325" w:type="dxa"/>
                  <w:noWrap w:val="0"/>
                  <w:vAlign w:val="center"/>
                </w:tcPr>
                <w:p w14:paraId="53D7463D">
                  <w:pPr>
                    <w:adjustRightInd w:val="0"/>
                    <w:snapToGrid w:val="0"/>
                    <w:spacing w:line="400" w:lineRule="exact"/>
                    <w:rPr>
                      <w:rFonts w:hint="eastAsia" w:ascii="宋体" w:hAnsi="宋体" w:eastAsia="宋体" w:cs="宋体"/>
                      <w:sz w:val="21"/>
                      <w:szCs w:val="21"/>
                    </w:rPr>
                  </w:pPr>
                  <w:r>
                    <w:rPr>
                      <w:rFonts w:hint="eastAsia" w:ascii="宋体" w:hAnsi="宋体" w:eastAsia="宋体" w:cs="宋体"/>
                      <w:color w:val="000000"/>
                      <w:sz w:val="21"/>
                      <w:szCs w:val="21"/>
                    </w:rPr>
                    <w:t>对死亡24小时以内的尸体进行常规法医学尸体解剖检验。尸体常规解剖的主要内容包括尸表检验，颅腔、胸腔、腹腔剖验，根据案件需要提取常规毒化检材等，</w:t>
                  </w:r>
                  <w:r>
                    <w:rPr>
                      <w:rFonts w:hint="eastAsia" w:ascii="宋体" w:hAnsi="宋体" w:eastAsia="宋体" w:cs="宋体"/>
                      <w:sz w:val="21"/>
                      <w:szCs w:val="21"/>
                    </w:rPr>
                    <w:t>10个工作日内完成并出具鉴定报告</w:t>
                  </w:r>
                </w:p>
              </w:tc>
            </w:tr>
            <w:tr w14:paraId="5B6B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19B530B9">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4</w:t>
                  </w:r>
                </w:p>
              </w:tc>
              <w:tc>
                <w:tcPr>
                  <w:tcW w:w="1250" w:type="dxa"/>
                  <w:noWrap w:val="0"/>
                  <w:vAlign w:val="center"/>
                </w:tcPr>
                <w:p w14:paraId="1F3D1873">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晚期尸体常规解剖</w:t>
                  </w:r>
                </w:p>
              </w:tc>
              <w:tc>
                <w:tcPr>
                  <w:tcW w:w="813" w:type="dxa"/>
                  <w:noWrap w:val="0"/>
                  <w:vAlign w:val="center"/>
                </w:tcPr>
                <w:p w14:paraId="3DD36B2D">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具</w:t>
                  </w:r>
                </w:p>
              </w:tc>
              <w:tc>
                <w:tcPr>
                  <w:tcW w:w="1550" w:type="dxa"/>
                  <w:noWrap w:val="0"/>
                  <w:vAlign w:val="center"/>
                </w:tcPr>
                <w:p w14:paraId="4D9A8B86">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4800</w:t>
                  </w:r>
                </w:p>
              </w:tc>
              <w:tc>
                <w:tcPr>
                  <w:tcW w:w="3325" w:type="dxa"/>
                  <w:noWrap w:val="0"/>
                  <w:vAlign w:val="center"/>
                </w:tcPr>
                <w:p w14:paraId="4BFA6372">
                  <w:pPr>
                    <w:adjustRightInd w:val="0"/>
                    <w:snapToGrid w:val="0"/>
                    <w:spacing w:line="400" w:lineRule="exact"/>
                    <w:rPr>
                      <w:rFonts w:hint="eastAsia" w:ascii="宋体" w:hAnsi="宋体" w:eastAsia="宋体" w:cs="宋体"/>
                      <w:sz w:val="21"/>
                      <w:szCs w:val="21"/>
                    </w:rPr>
                  </w:pPr>
                  <w:r>
                    <w:rPr>
                      <w:rFonts w:hint="eastAsia" w:ascii="宋体" w:hAnsi="宋体" w:eastAsia="宋体" w:cs="宋体"/>
                      <w:color w:val="000000"/>
                      <w:sz w:val="21"/>
                      <w:szCs w:val="21"/>
                    </w:rPr>
                    <w:t>对死亡24小时以外的尸体进行常规法医学尸体解剖检验。尸体常规解剖的主要内容包括尸表检验，颅腔、胸腔、腹腔剖验，根据案件需要提取常规毒化检材等，</w:t>
                  </w:r>
                  <w:r>
                    <w:rPr>
                      <w:rFonts w:hint="eastAsia" w:ascii="宋体" w:hAnsi="宋体" w:eastAsia="宋体" w:cs="宋体"/>
                      <w:sz w:val="21"/>
                      <w:szCs w:val="21"/>
                    </w:rPr>
                    <w:t>10个工作日内完成并出具鉴定报告</w:t>
                  </w:r>
                </w:p>
              </w:tc>
            </w:tr>
            <w:tr w14:paraId="557B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381FD125">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5</w:t>
                  </w:r>
                </w:p>
              </w:tc>
              <w:tc>
                <w:tcPr>
                  <w:tcW w:w="1250" w:type="dxa"/>
                  <w:noWrap w:val="0"/>
                  <w:vAlign w:val="center"/>
                </w:tcPr>
                <w:p w14:paraId="6CEEEA9B">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特殊尸体</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解剖</w:t>
                  </w:r>
                </w:p>
              </w:tc>
              <w:tc>
                <w:tcPr>
                  <w:tcW w:w="813" w:type="dxa"/>
                  <w:noWrap w:val="0"/>
                  <w:vAlign w:val="center"/>
                </w:tcPr>
                <w:p w14:paraId="0A53B9F7">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具</w:t>
                  </w:r>
                </w:p>
              </w:tc>
              <w:tc>
                <w:tcPr>
                  <w:tcW w:w="1550" w:type="dxa"/>
                  <w:noWrap w:val="0"/>
                  <w:vAlign w:val="center"/>
                </w:tcPr>
                <w:p w14:paraId="7EA3739E">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5800</w:t>
                  </w:r>
                </w:p>
              </w:tc>
              <w:tc>
                <w:tcPr>
                  <w:tcW w:w="3325" w:type="dxa"/>
                  <w:noWrap w:val="0"/>
                  <w:vAlign w:val="center"/>
                </w:tcPr>
                <w:p w14:paraId="00663FB1">
                  <w:pPr>
                    <w:adjustRightInd w:val="0"/>
                    <w:snapToGrid w:val="0"/>
                    <w:spacing w:line="400" w:lineRule="exact"/>
                    <w:rPr>
                      <w:rFonts w:hint="eastAsia" w:ascii="宋体" w:hAnsi="宋体" w:eastAsia="宋体" w:cs="宋体"/>
                      <w:sz w:val="21"/>
                      <w:szCs w:val="21"/>
                    </w:rPr>
                  </w:pPr>
                  <w:r>
                    <w:rPr>
                      <w:rFonts w:hint="eastAsia" w:ascii="宋体" w:hAnsi="宋体" w:eastAsia="宋体" w:cs="宋体"/>
                      <w:color w:val="000000"/>
                      <w:sz w:val="21"/>
                      <w:szCs w:val="21"/>
                    </w:rPr>
                    <w:t>对特殊尸体进行法医学尸体解剖检验。特殊尸体包括高度腐败尸体、尸体发掘、碎尸等，</w:t>
                  </w:r>
                  <w:r>
                    <w:rPr>
                      <w:rFonts w:hint="eastAsia" w:ascii="宋体" w:hAnsi="宋体" w:eastAsia="宋体" w:cs="宋体"/>
                      <w:sz w:val="21"/>
                      <w:szCs w:val="21"/>
                    </w:rPr>
                    <w:t>10个工作日内完成并出具鉴定报告</w:t>
                  </w:r>
                </w:p>
              </w:tc>
            </w:tr>
            <w:tr w14:paraId="3908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103405F7">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6</w:t>
                  </w:r>
                </w:p>
              </w:tc>
              <w:tc>
                <w:tcPr>
                  <w:tcW w:w="1250" w:type="dxa"/>
                  <w:noWrap w:val="0"/>
                  <w:vAlign w:val="center"/>
                </w:tcPr>
                <w:p w14:paraId="3674ED9E">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乙类传染病尸体解剖</w:t>
                  </w:r>
                </w:p>
              </w:tc>
              <w:tc>
                <w:tcPr>
                  <w:tcW w:w="813" w:type="dxa"/>
                  <w:noWrap w:val="0"/>
                  <w:vAlign w:val="center"/>
                </w:tcPr>
                <w:p w14:paraId="519B9188">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具</w:t>
                  </w:r>
                </w:p>
              </w:tc>
              <w:tc>
                <w:tcPr>
                  <w:tcW w:w="1550" w:type="dxa"/>
                  <w:noWrap w:val="0"/>
                  <w:vAlign w:val="center"/>
                </w:tcPr>
                <w:p w14:paraId="38C3B69A">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7500</w:t>
                  </w:r>
                </w:p>
              </w:tc>
              <w:tc>
                <w:tcPr>
                  <w:tcW w:w="3325" w:type="dxa"/>
                  <w:noWrap w:val="0"/>
                  <w:vAlign w:val="center"/>
                </w:tcPr>
                <w:p w14:paraId="2EC5DCE6">
                  <w:pPr>
                    <w:adjustRightInd w:val="0"/>
                    <w:snapToGrid w:val="0"/>
                    <w:spacing w:line="400" w:lineRule="exact"/>
                    <w:rPr>
                      <w:rFonts w:hint="eastAsia" w:ascii="宋体" w:hAnsi="宋体" w:eastAsia="宋体" w:cs="宋体"/>
                      <w:sz w:val="21"/>
                      <w:szCs w:val="21"/>
                    </w:rPr>
                  </w:pPr>
                  <w:r>
                    <w:rPr>
                      <w:rFonts w:hint="eastAsia" w:ascii="宋体" w:hAnsi="宋体" w:eastAsia="宋体" w:cs="宋体"/>
                      <w:color w:val="000000"/>
                      <w:sz w:val="21"/>
                      <w:szCs w:val="21"/>
                    </w:rPr>
                    <w:t>对乙类传染病尸体进行常规法医学尸体解剖检验。乙类传染病是指《传染病防治法》规定的乙类传染病种类，</w:t>
                  </w:r>
                  <w:r>
                    <w:rPr>
                      <w:rFonts w:hint="eastAsia" w:ascii="宋体" w:hAnsi="宋体" w:eastAsia="宋体" w:cs="宋体"/>
                      <w:sz w:val="21"/>
                      <w:szCs w:val="21"/>
                    </w:rPr>
                    <w:t>10个工作日内完成并出具鉴定报告</w:t>
                  </w:r>
                </w:p>
              </w:tc>
            </w:tr>
            <w:tr w14:paraId="7BD9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40C69F3B">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7</w:t>
                  </w:r>
                </w:p>
              </w:tc>
              <w:tc>
                <w:tcPr>
                  <w:tcW w:w="1250" w:type="dxa"/>
                  <w:noWrap w:val="0"/>
                  <w:vAlign w:val="center"/>
                </w:tcPr>
                <w:p w14:paraId="06E8F66D">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尸体脊髓腔解剖</w:t>
                  </w:r>
                </w:p>
              </w:tc>
              <w:tc>
                <w:tcPr>
                  <w:tcW w:w="813" w:type="dxa"/>
                  <w:noWrap w:val="0"/>
                  <w:vAlign w:val="center"/>
                </w:tcPr>
                <w:p w14:paraId="0CE4AA9E">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例</w:t>
                  </w:r>
                </w:p>
              </w:tc>
              <w:tc>
                <w:tcPr>
                  <w:tcW w:w="1550" w:type="dxa"/>
                  <w:noWrap w:val="0"/>
                  <w:vAlign w:val="center"/>
                </w:tcPr>
                <w:p w14:paraId="50A4EA56">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950</w:t>
                  </w:r>
                </w:p>
              </w:tc>
              <w:tc>
                <w:tcPr>
                  <w:tcW w:w="3325" w:type="dxa"/>
                  <w:noWrap w:val="0"/>
                  <w:vAlign w:val="center"/>
                </w:tcPr>
                <w:p w14:paraId="7020A811">
                  <w:pPr>
                    <w:adjustRightInd w:val="0"/>
                    <w:snapToGrid w:val="0"/>
                    <w:spacing w:line="400" w:lineRule="exact"/>
                    <w:rPr>
                      <w:rFonts w:hint="eastAsia" w:ascii="宋体" w:hAnsi="宋体" w:eastAsia="宋体" w:cs="宋体"/>
                      <w:sz w:val="21"/>
                      <w:szCs w:val="21"/>
                    </w:rPr>
                  </w:pPr>
                  <w:r>
                    <w:rPr>
                      <w:rFonts w:hint="eastAsia" w:ascii="宋体" w:hAnsi="宋体" w:eastAsia="宋体" w:cs="宋体"/>
                      <w:color w:val="000000"/>
                      <w:sz w:val="21"/>
                      <w:szCs w:val="21"/>
                    </w:rPr>
                    <w:t>对尸体脊髓腔部位进行解剖检验，</w:t>
                  </w:r>
                  <w:r>
                    <w:rPr>
                      <w:rFonts w:hint="eastAsia" w:ascii="宋体" w:hAnsi="宋体" w:eastAsia="宋体" w:cs="宋体"/>
                      <w:sz w:val="21"/>
                      <w:szCs w:val="21"/>
                    </w:rPr>
                    <w:t>10个工作日内完成并出具鉴定报告</w:t>
                  </w:r>
                </w:p>
              </w:tc>
            </w:tr>
            <w:tr w14:paraId="00FF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666F0154">
                  <w:pPr>
                    <w:adjustRightInd w:val="0"/>
                    <w:snapToGrid w:val="0"/>
                    <w:spacing w:line="386" w:lineRule="exact"/>
                    <w:jc w:val="center"/>
                    <w:rPr>
                      <w:rFonts w:hint="eastAsia" w:ascii="宋体" w:hAnsi="宋体" w:eastAsia="宋体" w:cs="宋体"/>
                      <w:sz w:val="21"/>
                      <w:szCs w:val="21"/>
                    </w:rPr>
                  </w:pPr>
                  <w:r>
                    <w:rPr>
                      <w:rFonts w:hint="eastAsia" w:ascii="宋体" w:hAnsi="宋体" w:eastAsia="宋体" w:cs="宋体"/>
                      <w:color w:val="000000"/>
                      <w:sz w:val="21"/>
                      <w:szCs w:val="21"/>
                    </w:rPr>
                    <w:t>8</w:t>
                  </w:r>
                </w:p>
              </w:tc>
              <w:tc>
                <w:tcPr>
                  <w:tcW w:w="1250" w:type="dxa"/>
                  <w:noWrap w:val="0"/>
                  <w:vAlign w:val="center"/>
                </w:tcPr>
                <w:p w14:paraId="653637E5">
                  <w:pPr>
                    <w:adjustRightInd w:val="0"/>
                    <w:snapToGrid w:val="0"/>
                    <w:spacing w:line="386" w:lineRule="exact"/>
                    <w:jc w:val="center"/>
                    <w:rPr>
                      <w:rFonts w:hint="eastAsia" w:ascii="宋体" w:hAnsi="宋体" w:eastAsia="宋体" w:cs="宋体"/>
                      <w:sz w:val="21"/>
                      <w:szCs w:val="21"/>
                    </w:rPr>
                  </w:pPr>
                  <w:r>
                    <w:rPr>
                      <w:rFonts w:hint="eastAsia" w:ascii="宋体" w:hAnsi="宋体" w:eastAsia="宋体" w:cs="宋体"/>
                      <w:color w:val="000000"/>
                      <w:sz w:val="21"/>
                      <w:szCs w:val="21"/>
                    </w:rPr>
                    <w:t>硅藻检查</w:t>
                  </w:r>
                </w:p>
              </w:tc>
              <w:tc>
                <w:tcPr>
                  <w:tcW w:w="813" w:type="dxa"/>
                  <w:noWrap w:val="0"/>
                  <w:vAlign w:val="center"/>
                </w:tcPr>
                <w:p w14:paraId="78551CCF">
                  <w:pPr>
                    <w:adjustRightInd w:val="0"/>
                    <w:snapToGrid w:val="0"/>
                    <w:spacing w:line="386" w:lineRule="exact"/>
                    <w:jc w:val="center"/>
                    <w:rPr>
                      <w:rFonts w:hint="eastAsia" w:ascii="宋体" w:hAnsi="宋体" w:eastAsia="宋体" w:cs="宋体"/>
                      <w:sz w:val="21"/>
                      <w:szCs w:val="21"/>
                    </w:rPr>
                  </w:pPr>
                  <w:r>
                    <w:rPr>
                      <w:rFonts w:hint="eastAsia" w:ascii="宋体" w:hAnsi="宋体" w:eastAsia="宋体" w:cs="宋体"/>
                      <w:color w:val="000000"/>
                      <w:sz w:val="21"/>
                      <w:szCs w:val="21"/>
                    </w:rPr>
                    <w:t>例</w:t>
                  </w:r>
                </w:p>
              </w:tc>
              <w:tc>
                <w:tcPr>
                  <w:tcW w:w="1550" w:type="dxa"/>
                  <w:noWrap w:val="0"/>
                  <w:vAlign w:val="center"/>
                </w:tcPr>
                <w:p w14:paraId="62A2DD09">
                  <w:pPr>
                    <w:adjustRightInd w:val="0"/>
                    <w:snapToGrid w:val="0"/>
                    <w:spacing w:line="386" w:lineRule="exact"/>
                    <w:jc w:val="center"/>
                    <w:rPr>
                      <w:rFonts w:hint="eastAsia" w:ascii="宋体" w:hAnsi="宋体" w:eastAsia="宋体" w:cs="宋体"/>
                      <w:sz w:val="21"/>
                      <w:szCs w:val="21"/>
                    </w:rPr>
                  </w:pPr>
                  <w:r>
                    <w:rPr>
                      <w:rFonts w:hint="eastAsia" w:ascii="宋体" w:hAnsi="宋体" w:eastAsia="宋体" w:cs="宋体"/>
                      <w:color w:val="000000"/>
                      <w:sz w:val="21"/>
                      <w:szCs w:val="21"/>
                    </w:rPr>
                    <w:t>600</w:t>
                  </w:r>
                </w:p>
              </w:tc>
              <w:tc>
                <w:tcPr>
                  <w:tcW w:w="3325" w:type="dxa"/>
                  <w:noWrap w:val="0"/>
                  <w:vAlign w:val="center"/>
                </w:tcPr>
                <w:p w14:paraId="6F30B23E">
                  <w:pPr>
                    <w:adjustRightInd w:val="0"/>
                    <w:snapToGrid w:val="0"/>
                    <w:spacing w:line="386" w:lineRule="exact"/>
                    <w:rPr>
                      <w:rFonts w:hint="eastAsia" w:ascii="宋体" w:hAnsi="宋体" w:eastAsia="宋体" w:cs="宋体"/>
                      <w:sz w:val="21"/>
                      <w:szCs w:val="21"/>
                    </w:rPr>
                  </w:pPr>
                  <w:r>
                    <w:rPr>
                      <w:rFonts w:hint="eastAsia" w:ascii="宋体" w:hAnsi="宋体" w:eastAsia="宋体" w:cs="宋体"/>
                      <w:color w:val="000000"/>
                      <w:sz w:val="21"/>
                      <w:szCs w:val="21"/>
                    </w:rPr>
                    <w:t>对尸体的肺、肝、肾、长骨及牙齿等器官</w:t>
                  </w:r>
                  <w:r>
                    <w:rPr>
                      <w:rFonts w:hint="eastAsia" w:ascii="宋体" w:hAnsi="宋体" w:eastAsia="宋体" w:cs="宋体"/>
                      <w:color w:val="000000"/>
                      <w:spacing w:val="-6"/>
                      <w:sz w:val="21"/>
                      <w:szCs w:val="21"/>
                    </w:rPr>
                    <w:t>组织进行硅藻检查。一具尸体的一种器官组织（肺、肝、肾、长骨及牙齿等）为一例</w:t>
                  </w:r>
                </w:p>
              </w:tc>
            </w:tr>
            <w:tr w14:paraId="72D6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723C0C25">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9</w:t>
                  </w:r>
                </w:p>
              </w:tc>
              <w:tc>
                <w:tcPr>
                  <w:tcW w:w="1250" w:type="dxa"/>
                  <w:noWrap w:val="0"/>
                  <w:vAlign w:val="center"/>
                </w:tcPr>
                <w:p w14:paraId="1E8356C5">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法医现场</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勘查</w:t>
                  </w:r>
                </w:p>
              </w:tc>
              <w:tc>
                <w:tcPr>
                  <w:tcW w:w="813" w:type="dxa"/>
                  <w:noWrap w:val="0"/>
                  <w:vAlign w:val="center"/>
                </w:tcPr>
                <w:p w14:paraId="65979ADC">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例</w:t>
                  </w:r>
                </w:p>
              </w:tc>
              <w:tc>
                <w:tcPr>
                  <w:tcW w:w="1550" w:type="dxa"/>
                  <w:noWrap w:val="0"/>
                  <w:vAlign w:val="center"/>
                </w:tcPr>
                <w:p w14:paraId="7F0D3BEC">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1000</w:t>
                  </w:r>
                </w:p>
              </w:tc>
              <w:tc>
                <w:tcPr>
                  <w:tcW w:w="3325" w:type="dxa"/>
                  <w:noWrap w:val="0"/>
                  <w:vAlign w:val="center"/>
                </w:tcPr>
                <w:p w14:paraId="5A8DC4C4">
                  <w:pPr>
                    <w:adjustRightInd w:val="0"/>
                    <w:snapToGrid w:val="0"/>
                    <w:spacing w:line="400" w:lineRule="exact"/>
                    <w:rPr>
                      <w:rFonts w:hint="eastAsia" w:ascii="宋体" w:hAnsi="宋体" w:eastAsia="宋体" w:cs="宋体"/>
                      <w:sz w:val="21"/>
                      <w:szCs w:val="21"/>
                    </w:rPr>
                  </w:pPr>
                  <w:r>
                    <w:rPr>
                      <w:rFonts w:hint="eastAsia" w:ascii="宋体" w:hAnsi="宋体" w:eastAsia="宋体" w:cs="宋体"/>
                      <w:color w:val="000000"/>
                      <w:sz w:val="21"/>
                      <w:szCs w:val="21"/>
                    </w:rPr>
                    <w:t>法医到案件现场进行勘查，</w:t>
                  </w:r>
                  <w:r>
                    <w:rPr>
                      <w:rFonts w:hint="eastAsia" w:ascii="宋体" w:hAnsi="宋体" w:eastAsia="宋体" w:cs="宋体"/>
                      <w:sz w:val="21"/>
                      <w:szCs w:val="21"/>
                    </w:rPr>
                    <w:t>3个工作日内完成并出具鉴定报告</w:t>
                  </w:r>
                </w:p>
              </w:tc>
            </w:tr>
            <w:tr w14:paraId="709B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7DCFB222">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10</w:t>
                  </w:r>
                </w:p>
              </w:tc>
              <w:tc>
                <w:tcPr>
                  <w:tcW w:w="1250" w:type="dxa"/>
                  <w:noWrap w:val="0"/>
                  <w:vAlign w:val="center"/>
                </w:tcPr>
                <w:p w14:paraId="1390D362">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法医病理</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诊断</w:t>
                  </w:r>
                </w:p>
              </w:tc>
              <w:tc>
                <w:tcPr>
                  <w:tcW w:w="813" w:type="dxa"/>
                  <w:noWrap w:val="0"/>
                  <w:vAlign w:val="center"/>
                </w:tcPr>
                <w:p w14:paraId="0E0F8298">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例</w:t>
                  </w:r>
                </w:p>
              </w:tc>
              <w:tc>
                <w:tcPr>
                  <w:tcW w:w="1550" w:type="dxa"/>
                  <w:noWrap w:val="0"/>
                  <w:vAlign w:val="center"/>
                </w:tcPr>
                <w:p w14:paraId="401E7BF4">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1400</w:t>
                  </w:r>
                </w:p>
              </w:tc>
              <w:tc>
                <w:tcPr>
                  <w:tcW w:w="3325" w:type="dxa"/>
                  <w:noWrap w:val="0"/>
                  <w:vAlign w:val="center"/>
                </w:tcPr>
                <w:p w14:paraId="54DFB49E">
                  <w:pPr>
                    <w:adjustRightInd w:val="0"/>
                    <w:snapToGrid w:val="0"/>
                    <w:spacing w:line="400" w:lineRule="exact"/>
                    <w:rPr>
                      <w:rFonts w:hint="eastAsia" w:ascii="宋体" w:hAnsi="宋体" w:eastAsia="宋体" w:cs="宋体"/>
                      <w:sz w:val="21"/>
                      <w:szCs w:val="21"/>
                    </w:rPr>
                  </w:pPr>
                  <w:r>
                    <w:rPr>
                      <w:rFonts w:hint="eastAsia" w:ascii="宋体" w:hAnsi="宋体" w:eastAsia="宋体" w:cs="宋体"/>
                      <w:color w:val="000000"/>
                      <w:sz w:val="21"/>
                      <w:szCs w:val="21"/>
                    </w:rPr>
                    <w:t>运用法医学的理论知识和技术，综合分析尸表检查、尸体剖验、组织切片观察、毒物分析等检查结果，结合书证审查，作出法医病理诊断，</w:t>
                  </w:r>
                  <w:r>
                    <w:rPr>
                      <w:rFonts w:hint="eastAsia" w:ascii="宋体" w:hAnsi="宋体" w:eastAsia="宋体" w:cs="宋体"/>
                      <w:sz w:val="21"/>
                      <w:szCs w:val="21"/>
                    </w:rPr>
                    <w:t>3个工作日内完成并出具鉴定报告</w:t>
                  </w:r>
                </w:p>
              </w:tc>
            </w:tr>
            <w:tr w14:paraId="2C83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27980A77">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11</w:t>
                  </w:r>
                </w:p>
              </w:tc>
              <w:tc>
                <w:tcPr>
                  <w:tcW w:w="1250" w:type="dxa"/>
                  <w:noWrap w:val="0"/>
                  <w:vAlign w:val="center"/>
                </w:tcPr>
                <w:p w14:paraId="212FBCD2">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死亡原因</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分析</w:t>
                  </w:r>
                </w:p>
              </w:tc>
              <w:tc>
                <w:tcPr>
                  <w:tcW w:w="813" w:type="dxa"/>
                  <w:noWrap w:val="0"/>
                  <w:vAlign w:val="center"/>
                </w:tcPr>
                <w:p w14:paraId="2A566BE9">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例</w:t>
                  </w:r>
                </w:p>
              </w:tc>
              <w:tc>
                <w:tcPr>
                  <w:tcW w:w="1550" w:type="dxa"/>
                  <w:noWrap w:val="0"/>
                  <w:vAlign w:val="center"/>
                </w:tcPr>
                <w:p w14:paraId="268A98C5">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1800</w:t>
                  </w:r>
                </w:p>
              </w:tc>
              <w:tc>
                <w:tcPr>
                  <w:tcW w:w="3325" w:type="dxa"/>
                  <w:noWrap w:val="0"/>
                  <w:vAlign w:val="center"/>
                </w:tcPr>
                <w:p w14:paraId="2011FF9C">
                  <w:pPr>
                    <w:adjustRightInd w:val="0"/>
                    <w:snapToGrid w:val="0"/>
                    <w:spacing w:line="400" w:lineRule="exact"/>
                    <w:rPr>
                      <w:rFonts w:hint="eastAsia" w:ascii="宋体" w:hAnsi="宋体" w:eastAsia="宋体" w:cs="宋体"/>
                      <w:sz w:val="21"/>
                      <w:szCs w:val="21"/>
                    </w:rPr>
                  </w:pPr>
                  <w:r>
                    <w:rPr>
                      <w:rFonts w:hint="eastAsia" w:ascii="宋体" w:hAnsi="宋体" w:eastAsia="宋体" w:cs="宋体"/>
                      <w:color w:val="000000"/>
                      <w:sz w:val="21"/>
                      <w:szCs w:val="21"/>
                    </w:rPr>
                    <w:t>运用法医学的理论知识和技术，综合分析尸表检查、尸体剖验、组织切片观察、毒物分析等检查结果，结合书证审查，确定死亡原因；或仅依靠对尸检照片、尸检记录、病史等资料的书证审查，推测或判断死亡原因，</w:t>
                  </w:r>
                  <w:r>
                    <w:rPr>
                      <w:rFonts w:hint="eastAsia" w:ascii="宋体" w:hAnsi="宋体" w:eastAsia="宋体" w:cs="宋体"/>
                      <w:sz w:val="21"/>
                      <w:szCs w:val="21"/>
                    </w:rPr>
                    <w:t>3个工作日内完成并出具鉴定报告</w:t>
                  </w:r>
                </w:p>
              </w:tc>
            </w:tr>
            <w:tr w14:paraId="4988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32B3779B">
                  <w:pPr>
                    <w:pStyle w:val="2"/>
                    <w:jc w:val="center"/>
                    <w:rPr>
                      <w:rFonts w:hint="eastAsia" w:ascii="宋体" w:hAnsi="宋体" w:eastAsia="宋体" w:cs="宋体"/>
                      <w:sz w:val="21"/>
                      <w:szCs w:val="21"/>
                    </w:rPr>
                  </w:pPr>
                  <w:r>
                    <w:rPr>
                      <w:rFonts w:hint="eastAsia" w:ascii="宋体" w:hAnsi="宋体" w:eastAsia="宋体" w:cs="宋体"/>
                      <w:sz w:val="21"/>
                      <w:szCs w:val="21"/>
                    </w:rPr>
                    <w:t>12</w:t>
                  </w:r>
                </w:p>
              </w:tc>
              <w:tc>
                <w:tcPr>
                  <w:tcW w:w="1250" w:type="dxa"/>
                  <w:noWrap w:val="0"/>
                  <w:vAlign w:val="center"/>
                </w:tcPr>
                <w:p w14:paraId="38480C15">
                  <w:pPr>
                    <w:adjustRightInd w:val="0"/>
                    <w:snapToGrid w:val="0"/>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生前伤死后伤鉴别</w:t>
                  </w:r>
                </w:p>
              </w:tc>
              <w:tc>
                <w:tcPr>
                  <w:tcW w:w="813" w:type="dxa"/>
                  <w:noWrap w:val="0"/>
                  <w:vAlign w:val="center"/>
                </w:tcPr>
                <w:p w14:paraId="6C8B695A">
                  <w:pPr>
                    <w:adjustRightInd w:val="0"/>
                    <w:snapToGrid w:val="0"/>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例</w:t>
                  </w:r>
                </w:p>
              </w:tc>
              <w:tc>
                <w:tcPr>
                  <w:tcW w:w="1550" w:type="dxa"/>
                  <w:noWrap w:val="0"/>
                  <w:vAlign w:val="center"/>
                </w:tcPr>
                <w:p w14:paraId="02B0A792">
                  <w:pPr>
                    <w:adjustRightInd w:val="0"/>
                    <w:snapToGrid w:val="0"/>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w:t>
                  </w:r>
                </w:p>
              </w:tc>
              <w:tc>
                <w:tcPr>
                  <w:tcW w:w="3325" w:type="dxa"/>
                  <w:noWrap w:val="0"/>
                  <w:vAlign w:val="center"/>
                </w:tcPr>
                <w:p w14:paraId="78D7C6C0">
                  <w:pPr>
                    <w:adjustRightInd w:val="0"/>
                    <w:snapToGrid w:val="0"/>
                    <w:spacing w:line="4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运用法医病理学的理论知识和技术，综合 分析现场勘查、尸体检验结果、组织切片 检查结果等，鉴别死者损伤是生前还是死后形成，</w:t>
                  </w:r>
                  <w:r>
                    <w:rPr>
                      <w:rFonts w:hint="eastAsia" w:ascii="宋体" w:hAnsi="宋体" w:eastAsia="宋体" w:cs="宋体"/>
                      <w:sz w:val="21"/>
                      <w:szCs w:val="21"/>
                    </w:rPr>
                    <w:t>3个工作日内完成并出具鉴定报告</w:t>
                  </w:r>
                </w:p>
              </w:tc>
            </w:tr>
            <w:tr w14:paraId="224A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7A93BB83">
                  <w:pPr>
                    <w:pStyle w:val="2"/>
                    <w:jc w:val="center"/>
                    <w:rPr>
                      <w:rFonts w:hint="eastAsia" w:ascii="宋体" w:hAnsi="宋体" w:eastAsia="宋体" w:cs="宋体"/>
                      <w:sz w:val="21"/>
                      <w:szCs w:val="21"/>
                    </w:rPr>
                  </w:pPr>
                  <w:r>
                    <w:rPr>
                      <w:rFonts w:hint="eastAsia" w:ascii="宋体" w:hAnsi="宋体" w:eastAsia="宋体" w:cs="宋体"/>
                      <w:sz w:val="21"/>
                      <w:szCs w:val="21"/>
                    </w:rPr>
                    <w:t>13</w:t>
                  </w:r>
                </w:p>
              </w:tc>
              <w:tc>
                <w:tcPr>
                  <w:tcW w:w="1250" w:type="dxa"/>
                  <w:noWrap w:val="0"/>
                  <w:vAlign w:val="center"/>
                </w:tcPr>
                <w:p w14:paraId="3701EF66">
                  <w:pPr>
                    <w:adjustRightInd w:val="0"/>
                    <w:snapToGrid w:val="0"/>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死亡方式</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判断</w:t>
                  </w:r>
                </w:p>
              </w:tc>
              <w:tc>
                <w:tcPr>
                  <w:tcW w:w="813" w:type="dxa"/>
                  <w:noWrap w:val="0"/>
                  <w:vAlign w:val="center"/>
                </w:tcPr>
                <w:p w14:paraId="027CC786">
                  <w:pPr>
                    <w:adjustRightInd w:val="0"/>
                    <w:snapToGrid w:val="0"/>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例</w:t>
                  </w:r>
                </w:p>
              </w:tc>
              <w:tc>
                <w:tcPr>
                  <w:tcW w:w="1550" w:type="dxa"/>
                  <w:noWrap w:val="0"/>
                  <w:vAlign w:val="center"/>
                </w:tcPr>
                <w:p w14:paraId="6168D4DC">
                  <w:pPr>
                    <w:adjustRightInd w:val="0"/>
                    <w:snapToGrid w:val="0"/>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900</w:t>
                  </w:r>
                </w:p>
              </w:tc>
              <w:tc>
                <w:tcPr>
                  <w:tcW w:w="3325" w:type="dxa"/>
                  <w:noWrap w:val="0"/>
                  <w:vAlign w:val="center"/>
                </w:tcPr>
                <w:p w14:paraId="70E1976A">
                  <w:pPr>
                    <w:adjustRightInd w:val="0"/>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运用法医学的理论知识和技术，综合分析尸表检查、尸体剖验、组织切片观察、毒物分析等检查结果，根据现场勘查和案情调查，结合书证审查，判定致死方式，</w:t>
                  </w:r>
                  <w:r>
                    <w:rPr>
                      <w:rFonts w:hint="eastAsia" w:ascii="宋体" w:hAnsi="宋体" w:eastAsia="宋体" w:cs="宋体"/>
                      <w:sz w:val="21"/>
                      <w:szCs w:val="21"/>
                    </w:rPr>
                    <w:t>3个工作日内完成并出具鉴定报告</w:t>
                  </w:r>
                </w:p>
              </w:tc>
            </w:tr>
          </w:tbl>
          <w:p w14:paraId="729699EB">
            <w:pPr>
              <w:pStyle w:val="2"/>
              <w:rPr>
                <w:rFonts w:hint="eastAsia" w:ascii="宋体" w:hAnsi="宋体" w:eastAsia="宋体" w:cs="宋体"/>
                <w:sz w:val="21"/>
                <w:szCs w:val="21"/>
              </w:rPr>
            </w:pPr>
          </w:p>
          <w:p w14:paraId="6AE300FD">
            <w:pPr>
              <w:pStyle w:val="2"/>
              <w:numPr>
                <w:ilvl w:val="0"/>
                <w:numId w:val="1"/>
              </w:numPr>
              <w:rPr>
                <w:rFonts w:hint="eastAsia" w:ascii="宋体" w:hAnsi="宋体" w:eastAsia="宋体" w:cs="宋体"/>
                <w:sz w:val="21"/>
                <w:szCs w:val="21"/>
              </w:rPr>
            </w:pPr>
            <w:r>
              <w:rPr>
                <w:rFonts w:hint="eastAsia" w:ascii="宋体" w:hAnsi="宋体" w:eastAsia="宋体" w:cs="宋体"/>
                <w:sz w:val="21"/>
                <w:szCs w:val="21"/>
              </w:rPr>
              <w:t>法医临床鉴定</w:t>
            </w:r>
          </w:p>
          <w:tbl>
            <w:tblPr>
              <w:tblStyle w:val="29"/>
              <w:tblW w:w="7761"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262"/>
              <w:gridCol w:w="825"/>
              <w:gridCol w:w="1562"/>
              <w:gridCol w:w="3311"/>
            </w:tblGrid>
            <w:tr w14:paraId="5379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01" w:type="dxa"/>
                  <w:noWrap w:val="0"/>
                  <w:vAlign w:val="bottom"/>
                </w:tcPr>
                <w:p w14:paraId="3AE30DF9">
                  <w:pPr>
                    <w:pStyle w:val="2"/>
                    <w:jc w:val="center"/>
                    <w:rPr>
                      <w:rFonts w:hint="eastAsia" w:ascii="宋体" w:hAnsi="宋体" w:eastAsia="宋体" w:cs="宋体"/>
                      <w:sz w:val="21"/>
                      <w:szCs w:val="21"/>
                    </w:rPr>
                  </w:pPr>
                  <w:r>
                    <w:rPr>
                      <w:rFonts w:hint="eastAsia" w:ascii="宋体" w:hAnsi="宋体" w:eastAsia="宋体" w:cs="宋体"/>
                      <w:sz w:val="21"/>
                      <w:szCs w:val="21"/>
                    </w:rPr>
                    <w:t>序号</w:t>
                  </w:r>
                </w:p>
              </w:tc>
              <w:tc>
                <w:tcPr>
                  <w:tcW w:w="1262" w:type="dxa"/>
                  <w:noWrap w:val="0"/>
                  <w:vAlign w:val="bottom"/>
                </w:tcPr>
                <w:p w14:paraId="75E7B70E">
                  <w:pPr>
                    <w:pStyle w:val="2"/>
                    <w:jc w:val="center"/>
                    <w:rPr>
                      <w:rFonts w:hint="eastAsia" w:ascii="宋体" w:hAnsi="宋体" w:eastAsia="宋体" w:cs="宋体"/>
                      <w:sz w:val="21"/>
                      <w:szCs w:val="21"/>
                    </w:rPr>
                  </w:pPr>
                  <w:r>
                    <w:rPr>
                      <w:rFonts w:hint="eastAsia" w:ascii="宋体" w:hAnsi="宋体" w:eastAsia="宋体" w:cs="宋体"/>
                      <w:sz w:val="21"/>
                      <w:szCs w:val="21"/>
                    </w:rPr>
                    <w:t>项目</w:t>
                  </w:r>
                </w:p>
              </w:tc>
              <w:tc>
                <w:tcPr>
                  <w:tcW w:w="825" w:type="dxa"/>
                  <w:noWrap w:val="0"/>
                  <w:vAlign w:val="bottom"/>
                </w:tcPr>
                <w:p w14:paraId="0F7E6047">
                  <w:pPr>
                    <w:pStyle w:val="2"/>
                    <w:jc w:val="center"/>
                    <w:rPr>
                      <w:rFonts w:hint="eastAsia" w:ascii="宋体" w:hAnsi="宋体" w:eastAsia="宋体" w:cs="宋体"/>
                      <w:sz w:val="21"/>
                      <w:szCs w:val="21"/>
                    </w:rPr>
                  </w:pPr>
                  <w:r>
                    <w:rPr>
                      <w:rFonts w:hint="eastAsia" w:ascii="宋体" w:hAnsi="宋体" w:eastAsia="宋体" w:cs="宋体"/>
                      <w:sz w:val="21"/>
                      <w:szCs w:val="21"/>
                    </w:rPr>
                    <w:t>单位</w:t>
                  </w:r>
                </w:p>
              </w:tc>
              <w:tc>
                <w:tcPr>
                  <w:tcW w:w="1562" w:type="dxa"/>
                  <w:noWrap w:val="0"/>
                  <w:vAlign w:val="bottom"/>
                </w:tcPr>
                <w:p w14:paraId="74D5CB86">
                  <w:pPr>
                    <w:pStyle w:val="2"/>
                    <w:jc w:val="center"/>
                    <w:rPr>
                      <w:rFonts w:hint="eastAsia" w:ascii="宋体" w:hAnsi="宋体" w:eastAsia="宋体" w:cs="宋体"/>
                      <w:sz w:val="21"/>
                      <w:szCs w:val="21"/>
                    </w:rPr>
                  </w:pPr>
                  <w:r>
                    <w:rPr>
                      <w:rFonts w:hint="eastAsia" w:ascii="宋体" w:hAnsi="宋体" w:eastAsia="宋体" w:cs="宋体"/>
                      <w:sz w:val="21"/>
                      <w:szCs w:val="21"/>
                    </w:rPr>
                    <w:t>基准价（元）</w:t>
                  </w:r>
                </w:p>
              </w:tc>
              <w:tc>
                <w:tcPr>
                  <w:tcW w:w="3311" w:type="dxa"/>
                  <w:noWrap w:val="0"/>
                  <w:vAlign w:val="bottom"/>
                </w:tcPr>
                <w:p w14:paraId="7DA586C7">
                  <w:pPr>
                    <w:pStyle w:val="2"/>
                    <w:jc w:val="center"/>
                    <w:rPr>
                      <w:rFonts w:hint="eastAsia" w:ascii="宋体" w:hAnsi="宋体" w:eastAsia="宋体" w:cs="宋体"/>
                      <w:sz w:val="21"/>
                      <w:szCs w:val="21"/>
                    </w:rPr>
                  </w:pPr>
                  <w:r>
                    <w:rPr>
                      <w:rFonts w:hint="eastAsia" w:ascii="宋体" w:hAnsi="宋体" w:eastAsia="宋体" w:cs="宋体"/>
                      <w:sz w:val="21"/>
                      <w:szCs w:val="21"/>
                    </w:rPr>
                    <w:t>释义</w:t>
                  </w:r>
                </w:p>
              </w:tc>
            </w:tr>
            <w:tr w14:paraId="51F3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14:paraId="239BC343">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1262" w:type="dxa"/>
                  <w:noWrap w:val="0"/>
                  <w:vAlign w:val="center"/>
                </w:tcPr>
                <w:p w14:paraId="5D1924FE">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损伤程度鉴定</w:t>
                  </w:r>
                </w:p>
              </w:tc>
              <w:tc>
                <w:tcPr>
                  <w:tcW w:w="825" w:type="dxa"/>
                  <w:noWrap w:val="0"/>
                  <w:vAlign w:val="center"/>
                </w:tcPr>
                <w:p w14:paraId="7607CA8A">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例</w:t>
                  </w:r>
                </w:p>
              </w:tc>
              <w:tc>
                <w:tcPr>
                  <w:tcW w:w="1562" w:type="dxa"/>
                  <w:noWrap w:val="0"/>
                  <w:vAlign w:val="center"/>
                </w:tcPr>
                <w:p w14:paraId="591004DE">
                  <w:pPr>
                    <w:adjustRightInd w:val="0"/>
                    <w:snapToGrid w:val="0"/>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w:t>
                  </w:r>
                </w:p>
                <w:p w14:paraId="3619724E">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/800</w:t>
                  </w:r>
                </w:p>
              </w:tc>
              <w:tc>
                <w:tcPr>
                  <w:tcW w:w="3311" w:type="dxa"/>
                  <w:noWrap w:val="0"/>
                  <w:vAlign w:val="center"/>
                </w:tcPr>
                <w:p w14:paraId="0A44C6B4">
                  <w:pPr>
                    <w:adjustRightInd w:val="0"/>
                    <w:snapToGrid w:val="0"/>
                    <w:spacing w:line="400" w:lineRule="exact"/>
                    <w:rPr>
                      <w:rFonts w:hint="eastAsia" w:ascii="宋体" w:hAnsi="宋体" w:eastAsia="宋体" w:cs="宋体"/>
                      <w:sz w:val="21"/>
                      <w:szCs w:val="21"/>
                    </w:rPr>
                  </w:pPr>
                  <w:r>
                    <w:rPr>
                      <w:rFonts w:hint="eastAsia" w:ascii="宋体" w:hAnsi="宋体" w:eastAsia="宋体" w:cs="宋体"/>
                      <w:color w:val="000000"/>
                      <w:sz w:val="21"/>
                      <w:szCs w:val="21"/>
                    </w:rPr>
                    <w:t>鉴定人体损伤的程度，即伤情评定（不包括精神损伤程度鉴定），每例最高收费800元。仅对体表损伤程度进行鉴定的，每例300元。</w:t>
                  </w:r>
                  <w:r>
                    <w:rPr>
                      <w:rFonts w:hint="eastAsia" w:ascii="宋体" w:hAnsi="宋体" w:eastAsia="宋体" w:cs="宋体"/>
                      <w:sz w:val="21"/>
                      <w:szCs w:val="21"/>
                    </w:rPr>
                    <w:t>3个工作日内完成并出具鉴定报告</w:t>
                  </w:r>
                </w:p>
              </w:tc>
            </w:tr>
            <w:tr w14:paraId="7C827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14:paraId="79B2F19E">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2</w:t>
                  </w:r>
                </w:p>
              </w:tc>
              <w:tc>
                <w:tcPr>
                  <w:tcW w:w="1262" w:type="dxa"/>
                  <w:noWrap w:val="0"/>
                  <w:vAlign w:val="center"/>
                </w:tcPr>
                <w:p w14:paraId="29630C3A">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伤残程度评定</w:t>
                  </w:r>
                </w:p>
              </w:tc>
              <w:tc>
                <w:tcPr>
                  <w:tcW w:w="825" w:type="dxa"/>
                  <w:noWrap w:val="0"/>
                  <w:vAlign w:val="center"/>
                </w:tcPr>
                <w:p w14:paraId="586A6A7A">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例</w:t>
                  </w:r>
                </w:p>
              </w:tc>
              <w:tc>
                <w:tcPr>
                  <w:tcW w:w="1562" w:type="dxa"/>
                  <w:noWrap w:val="0"/>
                  <w:vAlign w:val="center"/>
                </w:tcPr>
                <w:p w14:paraId="28712BDE">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700</w:t>
                  </w:r>
                </w:p>
              </w:tc>
              <w:tc>
                <w:tcPr>
                  <w:tcW w:w="3311" w:type="dxa"/>
                  <w:noWrap w:val="0"/>
                  <w:vAlign w:val="center"/>
                </w:tcPr>
                <w:p w14:paraId="57D25904">
                  <w:pPr>
                    <w:adjustRightInd w:val="0"/>
                    <w:snapToGrid w:val="0"/>
                    <w:spacing w:line="400" w:lineRule="exact"/>
                    <w:rPr>
                      <w:rFonts w:hint="eastAsia" w:ascii="宋体" w:hAnsi="宋体" w:eastAsia="宋体" w:cs="宋体"/>
                      <w:sz w:val="21"/>
                      <w:szCs w:val="21"/>
                    </w:rPr>
                  </w:pPr>
                  <w:r>
                    <w:rPr>
                      <w:rFonts w:hint="eastAsia" w:ascii="宋体" w:hAnsi="宋体" w:eastAsia="宋体" w:cs="宋体"/>
                      <w:color w:val="000000"/>
                      <w:sz w:val="21"/>
                      <w:szCs w:val="21"/>
                    </w:rPr>
                    <w:t>评定因人体损伤导致的残疾程度（不包括精神伤残程度评定），</w:t>
                  </w:r>
                  <w:r>
                    <w:rPr>
                      <w:rFonts w:hint="eastAsia" w:ascii="宋体" w:hAnsi="宋体" w:eastAsia="宋体" w:cs="宋体"/>
                      <w:sz w:val="21"/>
                      <w:szCs w:val="21"/>
                    </w:rPr>
                    <w:t>3个工作日内完成并出具鉴定报告</w:t>
                  </w:r>
                </w:p>
              </w:tc>
            </w:tr>
            <w:tr w14:paraId="41B7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14:paraId="66776E4E">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3</w:t>
                  </w:r>
                </w:p>
              </w:tc>
              <w:tc>
                <w:tcPr>
                  <w:tcW w:w="1262" w:type="dxa"/>
                  <w:noWrap w:val="0"/>
                  <w:vAlign w:val="center"/>
                </w:tcPr>
                <w:p w14:paraId="6323167F">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伤病关系鉴定</w:t>
                  </w:r>
                </w:p>
              </w:tc>
              <w:tc>
                <w:tcPr>
                  <w:tcW w:w="825" w:type="dxa"/>
                  <w:noWrap w:val="0"/>
                  <w:vAlign w:val="center"/>
                </w:tcPr>
                <w:p w14:paraId="0EB417F1">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例</w:t>
                  </w:r>
                </w:p>
              </w:tc>
              <w:tc>
                <w:tcPr>
                  <w:tcW w:w="1562" w:type="dxa"/>
                  <w:noWrap w:val="0"/>
                  <w:vAlign w:val="center"/>
                </w:tcPr>
                <w:p w14:paraId="47C386C2">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1000</w:t>
                  </w:r>
                </w:p>
              </w:tc>
              <w:tc>
                <w:tcPr>
                  <w:tcW w:w="3311" w:type="dxa"/>
                  <w:noWrap w:val="0"/>
                  <w:vAlign w:val="center"/>
                </w:tcPr>
                <w:p w14:paraId="5216D674">
                  <w:pPr>
                    <w:adjustRightInd w:val="0"/>
                    <w:snapToGrid w:val="0"/>
                    <w:spacing w:line="400" w:lineRule="exact"/>
                    <w:rPr>
                      <w:rFonts w:hint="eastAsia" w:ascii="宋体" w:hAnsi="宋体" w:eastAsia="宋体" w:cs="宋体"/>
                      <w:sz w:val="21"/>
                      <w:szCs w:val="21"/>
                    </w:rPr>
                  </w:pPr>
                  <w:r>
                    <w:rPr>
                      <w:rFonts w:hint="eastAsia" w:ascii="宋体" w:hAnsi="宋体" w:eastAsia="宋体" w:cs="宋体"/>
                      <w:color w:val="000000"/>
                      <w:sz w:val="21"/>
                      <w:szCs w:val="21"/>
                    </w:rPr>
                    <w:t>评定损伤与疾病的因果关系及其程度，或损伤与疾病在人身损害后果中的原因力大小（精神科除外），</w:t>
                  </w:r>
                  <w:r>
                    <w:rPr>
                      <w:rFonts w:hint="eastAsia" w:ascii="宋体" w:hAnsi="宋体" w:eastAsia="宋体" w:cs="宋体"/>
                      <w:sz w:val="21"/>
                      <w:szCs w:val="21"/>
                    </w:rPr>
                    <w:t>3个工作日内完成并出具鉴定报告</w:t>
                  </w:r>
                </w:p>
              </w:tc>
            </w:tr>
          </w:tbl>
          <w:p w14:paraId="65F047CA">
            <w:pPr>
              <w:rPr>
                <w:rFonts w:hint="eastAsia" w:ascii="宋体" w:hAnsi="宋体" w:eastAsia="宋体" w:cs="宋体"/>
                <w:sz w:val="21"/>
                <w:szCs w:val="21"/>
              </w:rPr>
            </w:pPr>
          </w:p>
          <w:p w14:paraId="515D11DB">
            <w:pPr>
              <w:pStyle w:val="2"/>
              <w:numPr>
                <w:ilvl w:val="0"/>
                <w:numId w:val="1"/>
              </w:numPr>
              <w:rPr>
                <w:rFonts w:hint="eastAsia" w:ascii="宋体" w:hAnsi="宋体" w:eastAsia="宋体" w:cs="宋体"/>
                <w:sz w:val="21"/>
                <w:szCs w:val="21"/>
              </w:rPr>
            </w:pPr>
            <w:r>
              <w:rPr>
                <w:rFonts w:hint="eastAsia" w:ascii="宋体" w:hAnsi="宋体" w:eastAsia="宋体" w:cs="宋体"/>
                <w:sz w:val="21"/>
                <w:szCs w:val="21"/>
              </w:rPr>
              <w:t>法医毒物鉴定</w:t>
            </w:r>
          </w:p>
          <w:tbl>
            <w:tblPr>
              <w:tblStyle w:val="29"/>
              <w:tblW w:w="7760" w:type="dxa"/>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275"/>
              <w:gridCol w:w="838"/>
              <w:gridCol w:w="1550"/>
              <w:gridCol w:w="3335"/>
            </w:tblGrid>
            <w:tr w14:paraId="6704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138ADEC7">
                  <w:pPr>
                    <w:pStyle w:val="2"/>
                    <w:jc w:val="center"/>
                    <w:rPr>
                      <w:rFonts w:hint="eastAsia" w:ascii="宋体" w:hAnsi="宋体" w:eastAsia="宋体" w:cs="宋体"/>
                      <w:sz w:val="21"/>
                      <w:szCs w:val="21"/>
                    </w:rPr>
                  </w:pPr>
                  <w:r>
                    <w:rPr>
                      <w:rFonts w:hint="eastAsia" w:ascii="宋体" w:hAnsi="宋体" w:eastAsia="宋体" w:cs="宋体"/>
                      <w:sz w:val="21"/>
                      <w:szCs w:val="21"/>
                    </w:rPr>
                    <w:t>序号</w:t>
                  </w:r>
                </w:p>
              </w:tc>
              <w:tc>
                <w:tcPr>
                  <w:tcW w:w="1275" w:type="dxa"/>
                  <w:noWrap w:val="0"/>
                  <w:vAlign w:val="center"/>
                </w:tcPr>
                <w:p w14:paraId="6F784F26">
                  <w:pPr>
                    <w:pStyle w:val="2"/>
                    <w:jc w:val="center"/>
                    <w:rPr>
                      <w:rFonts w:hint="eastAsia" w:ascii="宋体" w:hAnsi="宋体" w:eastAsia="宋体" w:cs="宋体"/>
                      <w:sz w:val="21"/>
                      <w:szCs w:val="21"/>
                    </w:rPr>
                  </w:pPr>
                  <w:r>
                    <w:rPr>
                      <w:rFonts w:hint="eastAsia" w:ascii="宋体" w:hAnsi="宋体" w:eastAsia="宋体" w:cs="宋体"/>
                      <w:sz w:val="21"/>
                      <w:szCs w:val="21"/>
                    </w:rPr>
                    <w:t>项目</w:t>
                  </w:r>
                </w:p>
              </w:tc>
              <w:tc>
                <w:tcPr>
                  <w:tcW w:w="838" w:type="dxa"/>
                  <w:noWrap w:val="0"/>
                  <w:vAlign w:val="center"/>
                </w:tcPr>
                <w:p w14:paraId="05C0CC41">
                  <w:pPr>
                    <w:pStyle w:val="2"/>
                    <w:jc w:val="center"/>
                    <w:rPr>
                      <w:rFonts w:hint="eastAsia" w:ascii="宋体" w:hAnsi="宋体" w:eastAsia="宋体" w:cs="宋体"/>
                      <w:sz w:val="21"/>
                      <w:szCs w:val="21"/>
                    </w:rPr>
                  </w:pPr>
                  <w:r>
                    <w:rPr>
                      <w:rFonts w:hint="eastAsia" w:ascii="宋体" w:hAnsi="宋体" w:eastAsia="宋体" w:cs="宋体"/>
                      <w:sz w:val="21"/>
                      <w:szCs w:val="21"/>
                    </w:rPr>
                    <w:t>单位</w:t>
                  </w:r>
                </w:p>
              </w:tc>
              <w:tc>
                <w:tcPr>
                  <w:tcW w:w="1550" w:type="dxa"/>
                  <w:noWrap w:val="0"/>
                  <w:vAlign w:val="center"/>
                </w:tcPr>
                <w:p w14:paraId="616A4966">
                  <w:pPr>
                    <w:pStyle w:val="2"/>
                    <w:jc w:val="center"/>
                    <w:rPr>
                      <w:rFonts w:hint="eastAsia" w:ascii="宋体" w:hAnsi="宋体" w:eastAsia="宋体" w:cs="宋体"/>
                      <w:sz w:val="21"/>
                      <w:szCs w:val="21"/>
                    </w:rPr>
                  </w:pPr>
                  <w:r>
                    <w:rPr>
                      <w:rFonts w:hint="eastAsia" w:ascii="宋体" w:hAnsi="宋体" w:eastAsia="宋体" w:cs="宋体"/>
                      <w:sz w:val="21"/>
                      <w:szCs w:val="21"/>
                    </w:rPr>
                    <w:t>基准价（元）</w:t>
                  </w:r>
                </w:p>
              </w:tc>
              <w:tc>
                <w:tcPr>
                  <w:tcW w:w="3335" w:type="dxa"/>
                  <w:noWrap w:val="0"/>
                  <w:vAlign w:val="center"/>
                </w:tcPr>
                <w:p w14:paraId="4C36D6F3">
                  <w:pPr>
                    <w:pStyle w:val="2"/>
                    <w:jc w:val="center"/>
                    <w:rPr>
                      <w:rFonts w:hint="eastAsia" w:ascii="宋体" w:hAnsi="宋体" w:eastAsia="宋体" w:cs="宋体"/>
                      <w:sz w:val="21"/>
                      <w:szCs w:val="21"/>
                    </w:rPr>
                  </w:pPr>
                  <w:r>
                    <w:rPr>
                      <w:rFonts w:hint="eastAsia" w:ascii="宋体" w:hAnsi="宋体" w:eastAsia="宋体" w:cs="宋体"/>
                      <w:sz w:val="21"/>
                      <w:szCs w:val="21"/>
                    </w:rPr>
                    <w:t>释义</w:t>
                  </w:r>
                </w:p>
              </w:tc>
            </w:tr>
            <w:tr w14:paraId="48F01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065478C9">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1275" w:type="dxa"/>
                  <w:noWrap w:val="0"/>
                  <w:vAlign w:val="center"/>
                </w:tcPr>
                <w:p w14:paraId="4362FD01">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人体体液中乙醇定性定量分析</w:t>
                  </w:r>
                </w:p>
              </w:tc>
              <w:tc>
                <w:tcPr>
                  <w:tcW w:w="838" w:type="dxa"/>
                  <w:noWrap w:val="0"/>
                  <w:vAlign w:val="center"/>
                </w:tcPr>
                <w:p w14:paraId="03CD41B0">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样品</w:t>
                  </w:r>
                </w:p>
              </w:tc>
              <w:tc>
                <w:tcPr>
                  <w:tcW w:w="1550" w:type="dxa"/>
                  <w:noWrap w:val="0"/>
                  <w:vAlign w:val="center"/>
                </w:tcPr>
                <w:p w14:paraId="7B6A172E">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350</w:t>
                  </w:r>
                </w:p>
              </w:tc>
              <w:tc>
                <w:tcPr>
                  <w:tcW w:w="3335" w:type="dxa"/>
                  <w:noWrap w:val="0"/>
                  <w:vAlign w:val="center"/>
                </w:tcPr>
                <w:p w14:paraId="4A21701A">
                  <w:pPr>
                    <w:adjustRightInd w:val="0"/>
                    <w:snapToGrid w:val="0"/>
                    <w:spacing w:line="400" w:lineRule="exact"/>
                    <w:rPr>
                      <w:rFonts w:hint="eastAsia" w:ascii="宋体" w:hAnsi="宋体" w:eastAsia="宋体" w:cs="宋体"/>
                      <w:sz w:val="21"/>
                      <w:szCs w:val="21"/>
                    </w:rPr>
                  </w:pPr>
                  <w:r>
                    <w:rPr>
                      <w:rFonts w:hint="eastAsia" w:ascii="宋体" w:hAnsi="宋体" w:eastAsia="宋体" w:cs="宋体"/>
                      <w:color w:val="000000"/>
                      <w:sz w:val="21"/>
                      <w:szCs w:val="21"/>
                    </w:rPr>
                    <w:t>检测人体体液中是否含有乙醇，测定人体体液中的乙醇浓度。</w:t>
                  </w:r>
                  <w:r>
                    <w:rPr>
                      <w:rFonts w:hint="eastAsia" w:ascii="宋体" w:hAnsi="宋体" w:eastAsia="宋体" w:cs="宋体"/>
                      <w:sz w:val="21"/>
                      <w:szCs w:val="21"/>
                    </w:rPr>
                    <w:t>3个工作日内完成并出具鉴定报告</w:t>
                  </w:r>
                </w:p>
              </w:tc>
            </w:tr>
          </w:tbl>
          <w:p w14:paraId="1955E949">
            <w:pPr>
              <w:rPr>
                <w:rFonts w:hint="eastAsia" w:ascii="宋体" w:hAnsi="宋体" w:eastAsia="宋体" w:cs="宋体"/>
                <w:sz w:val="21"/>
                <w:szCs w:val="21"/>
              </w:rPr>
            </w:pPr>
          </w:p>
          <w:p w14:paraId="0089362F">
            <w:pPr>
              <w:spacing w:line="360" w:lineRule="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w:t>
            </w:r>
            <w:r>
              <w:rPr>
                <w:rFonts w:hint="eastAsia" w:ascii="宋体" w:hAnsi="宋体" w:eastAsia="宋体" w:cs="宋体"/>
                <w:sz w:val="21"/>
                <w:szCs w:val="21"/>
              </w:rPr>
              <w:t>报价必须包含供应商完成本项目服务所有内容及相关其他相关服务的成本、利润、税金、 人员差旅费用、交通费用、住宿费用、检测方法、技术措施费、检测费、鉴定费等费用及其他所有可能发生的一切费用。除签订的合同价款外，采购人不再支付任何额外费用。</w:t>
            </w:r>
          </w:p>
          <w:p w14:paraId="511A39B1">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3</w:t>
            </w:r>
            <w:r>
              <w:rPr>
                <w:rFonts w:hint="eastAsia" w:ascii="宋体" w:hAnsi="宋体" w:cs="宋体"/>
                <w:sz w:val="21"/>
                <w:szCs w:val="21"/>
                <w:lang w:val="en-US" w:eastAsia="zh-CN"/>
              </w:rPr>
              <w:t>.</w:t>
            </w:r>
            <w:r>
              <w:rPr>
                <w:rFonts w:hint="eastAsia" w:ascii="宋体" w:hAnsi="宋体" w:eastAsia="宋体" w:cs="宋体"/>
                <w:sz w:val="21"/>
                <w:szCs w:val="21"/>
              </w:rPr>
              <w:t>上表没详细列明项目和基准价，均按照广西壮族自治区物价局、广西壮族自治区司法厅</w:t>
            </w:r>
            <w:r>
              <w:rPr>
                <w:rFonts w:hint="eastAsia" w:ascii="宋体" w:hAnsi="宋体" w:eastAsia="宋体" w:cs="宋体"/>
                <w:sz w:val="21"/>
                <w:szCs w:val="21"/>
                <w:lang w:eastAsia="zh-CN"/>
              </w:rPr>
              <w:t>印发的</w:t>
            </w:r>
            <w:r>
              <w:rPr>
                <w:rFonts w:hint="eastAsia" w:ascii="宋体" w:hAnsi="宋体" w:eastAsia="宋体" w:cs="宋体"/>
                <w:sz w:val="21"/>
                <w:szCs w:val="21"/>
              </w:rPr>
              <w:t>《广西壮族自治区司法鉴定收费管理办法》桂发改收费规[2023]1185号</w:t>
            </w:r>
            <w:r>
              <w:rPr>
                <w:rFonts w:hint="eastAsia" w:ascii="宋体" w:hAnsi="宋体" w:eastAsia="宋体" w:cs="宋体"/>
                <w:sz w:val="21"/>
                <w:szCs w:val="21"/>
                <w:lang w:eastAsia="zh-CN"/>
              </w:rPr>
              <w:t>文件为</w:t>
            </w:r>
            <w:r>
              <w:rPr>
                <w:rFonts w:hint="eastAsia" w:ascii="宋体" w:hAnsi="宋体" w:eastAsia="宋体" w:cs="宋体"/>
                <w:sz w:val="21"/>
                <w:szCs w:val="21"/>
              </w:rPr>
              <w:t>标准计价，不列入 《广西壮族自治区司法鉴定收费管理办法》的鉴定项目实行市场调节价，由</w:t>
            </w:r>
            <w:r>
              <w:rPr>
                <w:rFonts w:hint="eastAsia" w:ascii="宋体" w:hAnsi="宋体" w:eastAsia="宋体" w:cs="宋体"/>
                <w:sz w:val="21"/>
                <w:szCs w:val="21"/>
                <w:lang w:eastAsia="zh-CN"/>
              </w:rPr>
              <w:t>成交供应商</w:t>
            </w:r>
            <w:r>
              <w:rPr>
                <w:rFonts w:hint="eastAsia" w:ascii="宋体" w:hAnsi="宋体" w:eastAsia="宋体" w:cs="宋体"/>
                <w:sz w:val="21"/>
                <w:szCs w:val="21"/>
              </w:rPr>
              <w:t>与</w:t>
            </w:r>
            <w:r>
              <w:rPr>
                <w:rFonts w:hint="eastAsia" w:ascii="宋体" w:hAnsi="宋体" w:eastAsia="宋体" w:cs="宋体"/>
                <w:sz w:val="21"/>
                <w:szCs w:val="21"/>
                <w:lang w:eastAsia="zh-CN"/>
              </w:rPr>
              <w:t>采购人</w:t>
            </w:r>
            <w:r>
              <w:rPr>
                <w:rFonts w:hint="eastAsia" w:ascii="宋体" w:hAnsi="宋体" w:eastAsia="宋体" w:cs="宋体"/>
                <w:sz w:val="21"/>
                <w:szCs w:val="21"/>
              </w:rPr>
              <w:t>协商确定具体收费项目</w:t>
            </w:r>
            <w:r>
              <w:rPr>
                <w:rFonts w:hint="eastAsia" w:ascii="宋体" w:hAnsi="宋体" w:eastAsia="宋体" w:cs="宋体"/>
                <w:sz w:val="21"/>
                <w:szCs w:val="21"/>
                <w:lang w:eastAsia="zh-CN"/>
              </w:rPr>
              <w:t>。</w:t>
            </w:r>
          </w:p>
          <w:p w14:paraId="5D2E16BD">
            <w:pPr>
              <w:spacing w:line="360" w:lineRule="auto"/>
              <w:rPr>
                <w:rFonts w:hint="eastAsia" w:ascii="宋体" w:hAnsi="宋体" w:eastAsia="宋体" w:cs="宋体"/>
                <w:szCs w:val="21"/>
              </w:rPr>
            </w:pPr>
            <w:r>
              <w:rPr>
                <w:rFonts w:hint="eastAsia" w:ascii="宋体" w:hAnsi="宋体" w:eastAsia="宋体" w:cs="宋体"/>
                <w:sz w:val="21"/>
                <w:szCs w:val="21"/>
              </w:rPr>
              <w:t>4</w:t>
            </w:r>
            <w:r>
              <w:rPr>
                <w:rFonts w:hint="eastAsia" w:ascii="宋体" w:hAnsi="宋体" w:cs="宋体"/>
                <w:sz w:val="21"/>
                <w:szCs w:val="21"/>
                <w:lang w:val="en-US" w:eastAsia="zh-CN"/>
              </w:rPr>
              <w:t>.</w:t>
            </w:r>
            <w:r>
              <w:rPr>
                <w:rFonts w:hint="eastAsia" w:ascii="宋体" w:hAnsi="宋体" w:cs="宋体"/>
                <w:sz w:val="21"/>
                <w:szCs w:val="21"/>
                <w:lang w:eastAsia="zh-CN"/>
              </w:rPr>
              <w:t>折扣</w:t>
            </w:r>
            <w:r>
              <w:rPr>
                <w:rFonts w:hint="eastAsia" w:ascii="宋体" w:hAnsi="宋体" w:eastAsia="宋体" w:cs="宋体"/>
                <w:sz w:val="21"/>
                <w:szCs w:val="21"/>
              </w:rPr>
              <w:t>以百分比表示，范围在0%～100%之间。报价</w:t>
            </w:r>
            <w:r>
              <w:rPr>
                <w:rFonts w:hint="eastAsia" w:ascii="宋体" w:hAnsi="宋体" w:cs="宋体"/>
                <w:sz w:val="21"/>
                <w:szCs w:val="21"/>
                <w:lang w:eastAsia="zh-CN"/>
              </w:rPr>
              <w:t>折扣</w:t>
            </w:r>
            <w:r>
              <w:rPr>
                <w:rFonts w:hint="eastAsia" w:ascii="宋体" w:hAnsi="宋体" w:eastAsia="宋体" w:cs="宋体"/>
                <w:sz w:val="21"/>
                <w:szCs w:val="21"/>
              </w:rPr>
              <w:t>必须为正数报价，不得存在区间值（例如：</w:t>
            </w:r>
            <w:r>
              <w:rPr>
                <w:rFonts w:hint="eastAsia" w:ascii="宋体" w:hAnsi="宋体" w:cs="宋体"/>
                <w:sz w:val="21"/>
                <w:szCs w:val="21"/>
                <w:lang w:eastAsia="zh-CN"/>
              </w:rPr>
              <w:t>折扣</w:t>
            </w:r>
            <w:r>
              <w:rPr>
                <w:rFonts w:hint="eastAsia" w:ascii="宋体" w:hAnsi="宋体" w:eastAsia="宋体" w:cs="宋体"/>
                <w:sz w:val="21"/>
                <w:szCs w:val="21"/>
              </w:rPr>
              <w:t>95%～98%）。如出现超出报价</w:t>
            </w:r>
            <w:r>
              <w:rPr>
                <w:rFonts w:hint="eastAsia" w:ascii="宋体" w:hAnsi="宋体" w:cs="宋体"/>
                <w:sz w:val="21"/>
                <w:szCs w:val="21"/>
                <w:lang w:eastAsia="zh-CN"/>
              </w:rPr>
              <w:t>折扣</w:t>
            </w:r>
            <w:r>
              <w:rPr>
                <w:rFonts w:hint="eastAsia" w:ascii="宋体" w:hAnsi="宋体" w:eastAsia="宋体" w:cs="宋体"/>
                <w:sz w:val="21"/>
                <w:szCs w:val="21"/>
              </w:rPr>
              <w:t>范围、</w:t>
            </w:r>
            <w:r>
              <w:rPr>
                <w:rFonts w:hint="eastAsia" w:ascii="宋体" w:hAnsi="宋体" w:cs="宋体"/>
                <w:sz w:val="21"/>
                <w:szCs w:val="21"/>
                <w:lang w:eastAsia="zh-CN"/>
              </w:rPr>
              <w:t>折扣</w:t>
            </w:r>
            <w:r>
              <w:rPr>
                <w:rFonts w:hint="eastAsia" w:ascii="宋体" w:hAnsi="宋体" w:eastAsia="宋体" w:cs="宋体"/>
                <w:sz w:val="21"/>
                <w:szCs w:val="21"/>
              </w:rPr>
              <w:t>为负数、</w:t>
            </w:r>
            <w:r>
              <w:rPr>
                <w:rFonts w:hint="eastAsia" w:ascii="宋体" w:hAnsi="宋体" w:cs="宋体"/>
                <w:sz w:val="21"/>
                <w:szCs w:val="21"/>
                <w:lang w:eastAsia="zh-CN"/>
              </w:rPr>
              <w:t>折扣</w:t>
            </w:r>
            <w:r>
              <w:rPr>
                <w:rFonts w:hint="eastAsia" w:ascii="宋体" w:hAnsi="宋体" w:eastAsia="宋体" w:cs="宋体"/>
                <w:sz w:val="21"/>
                <w:szCs w:val="21"/>
              </w:rPr>
              <w:t>存在区间值，则认定为报价无效，</w:t>
            </w:r>
            <w:r>
              <w:rPr>
                <w:rFonts w:hint="eastAsia" w:ascii="宋体" w:hAnsi="宋体" w:eastAsia="宋体" w:cs="宋体"/>
                <w:b/>
                <w:sz w:val="21"/>
                <w:szCs w:val="21"/>
              </w:rPr>
              <w:t>响应文件按无效响应处理。</w:t>
            </w:r>
          </w:p>
        </w:tc>
      </w:tr>
      <w:tr w14:paraId="6BB0A5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04" w:type="dxa"/>
            <w:gridSpan w:val="2"/>
            <w:tcBorders>
              <w:top w:val="single" w:color="auto" w:sz="4" w:space="0"/>
              <w:left w:val="single" w:color="auto" w:sz="4" w:space="0"/>
              <w:bottom w:val="single" w:color="auto" w:sz="4" w:space="0"/>
              <w:right w:val="single" w:color="auto" w:sz="4" w:space="0"/>
            </w:tcBorders>
            <w:noWrap w:val="0"/>
            <w:vAlign w:val="center"/>
          </w:tcPr>
          <w:p w14:paraId="0ADB7CC2">
            <w:pPr>
              <w:snapToGrid w:val="0"/>
              <w:spacing w:line="360" w:lineRule="auto"/>
              <w:jc w:val="center"/>
              <w:rPr>
                <w:rFonts w:hint="eastAsia" w:ascii="宋体" w:hAnsi="宋体" w:eastAsia="宋体" w:cs="宋体"/>
                <w:b/>
                <w:szCs w:val="21"/>
              </w:rPr>
            </w:pPr>
            <w:r>
              <w:rPr>
                <w:rFonts w:hint="eastAsia" w:ascii="宋体" w:hAnsi="宋体" w:eastAsia="宋体" w:cs="宋体"/>
                <w:b/>
                <w:szCs w:val="21"/>
              </w:rPr>
              <w:t>售后服务</w:t>
            </w:r>
          </w:p>
        </w:tc>
        <w:tc>
          <w:tcPr>
            <w:tcW w:w="8195" w:type="dxa"/>
            <w:gridSpan w:val="3"/>
            <w:tcBorders>
              <w:top w:val="single" w:color="auto" w:sz="4" w:space="0"/>
              <w:left w:val="single" w:color="auto" w:sz="4" w:space="0"/>
              <w:bottom w:val="single" w:color="auto" w:sz="4" w:space="0"/>
              <w:right w:val="single" w:color="auto" w:sz="4" w:space="0"/>
            </w:tcBorders>
            <w:noWrap w:val="0"/>
            <w:vAlign w:val="center"/>
          </w:tcPr>
          <w:p w14:paraId="58E69654">
            <w:pPr>
              <w:widowControl/>
              <w:spacing w:line="360" w:lineRule="auto"/>
              <w:jc w:val="left"/>
              <w:rPr>
                <w:rFonts w:hint="eastAsia" w:ascii="宋体" w:hAnsi="宋体" w:eastAsia="宋体" w:cs="宋体"/>
                <w:b/>
                <w:bCs/>
                <w:szCs w:val="22"/>
              </w:rPr>
            </w:pPr>
            <w:r>
              <w:rPr>
                <w:rFonts w:hint="eastAsia" w:ascii="宋体" w:hAnsi="宋体" w:cs="宋体"/>
                <w:sz w:val="21"/>
                <w:szCs w:val="21"/>
              </w:rPr>
              <w:t>售后服务响应时间：接到采购人通知后，必须需即时响应。如需现场处理，</w:t>
            </w:r>
            <w:r>
              <w:rPr>
                <w:rFonts w:hint="eastAsia"/>
                <w:lang w:eastAsia="zh-CN"/>
              </w:rPr>
              <w:t>岑溪</w:t>
            </w:r>
            <w:r>
              <w:rPr>
                <w:rFonts w:hint="eastAsia" w:ascii="宋体" w:hAnsi="宋体" w:cs="宋体"/>
                <w:sz w:val="21"/>
                <w:szCs w:val="21"/>
              </w:rPr>
              <w:t>市区</w:t>
            </w:r>
            <w:r>
              <w:rPr>
                <w:rFonts w:ascii="宋体" w:hAnsi="宋体" w:cs="宋体"/>
                <w:sz w:val="21"/>
                <w:szCs w:val="21"/>
              </w:rPr>
              <w:t>范围内3</w:t>
            </w:r>
            <w:r>
              <w:rPr>
                <w:rFonts w:hint="eastAsia" w:ascii="宋体" w:hAnsi="宋体" w:cs="宋体"/>
                <w:sz w:val="21"/>
                <w:szCs w:val="21"/>
              </w:rPr>
              <w:t>小时</w:t>
            </w:r>
            <w:r>
              <w:rPr>
                <w:rFonts w:ascii="宋体" w:hAnsi="宋体" w:cs="宋体"/>
                <w:sz w:val="21"/>
                <w:szCs w:val="21"/>
              </w:rPr>
              <w:t>内</w:t>
            </w:r>
            <w:r>
              <w:rPr>
                <w:rFonts w:hint="eastAsia" w:ascii="宋体" w:hAnsi="宋体" w:cs="宋体"/>
                <w:sz w:val="21"/>
                <w:szCs w:val="21"/>
              </w:rPr>
              <w:t>派专员抵达现场处理。</w:t>
            </w:r>
            <w:r>
              <w:rPr>
                <w:rFonts w:hint="eastAsia"/>
                <w:lang w:eastAsia="zh-CN"/>
              </w:rPr>
              <w:t>岑溪市</w:t>
            </w:r>
            <w:r>
              <w:rPr>
                <w:rFonts w:hint="eastAsia" w:ascii="宋体" w:hAnsi="宋体" w:cs="宋体"/>
                <w:sz w:val="21"/>
                <w:szCs w:val="21"/>
              </w:rPr>
              <w:t>各</w:t>
            </w:r>
            <w:r>
              <w:rPr>
                <w:rFonts w:ascii="宋体" w:hAnsi="宋体" w:cs="宋体"/>
                <w:sz w:val="21"/>
                <w:szCs w:val="21"/>
              </w:rPr>
              <w:t>乡镇范围5</w:t>
            </w:r>
            <w:r>
              <w:rPr>
                <w:rFonts w:hint="eastAsia" w:ascii="宋体" w:hAnsi="宋体" w:cs="宋体"/>
                <w:sz w:val="21"/>
                <w:szCs w:val="21"/>
              </w:rPr>
              <w:t>小时内派员抵达现场处理。</w:t>
            </w:r>
          </w:p>
        </w:tc>
      </w:tr>
      <w:tr w14:paraId="7250EF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04" w:type="dxa"/>
            <w:gridSpan w:val="2"/>
            <w:tcBorders>
              <w:top w:val="single" w:color="auto" w:sz="4" w:space="0"/>
              <w:left w:val="single" w:color="auto" w:sz="4" w:space="0"/>
              <w:bottom w:val="single" w:color="auto" w:sz="4" w:space="0"/>
              <w:right w:val="single" w:color="auto" w:sz="4" w:space="0"/>
            </w:tcBorders>
            <w:noWrap w:val="0"/>
            <w:vAlign w:val="center"/>
          </w:tcPr>
          <w:p w14:paraId="64B399BC">
            <w:pPr>
              <w:pStyle w:val="2"/>
              <w:spacing w:line="360" w:lineRule="auto"/>
              <w:jc w:val="center"/>
              <w:rPr>
                <w:rFonts w:hint="eastAsia" w:ascii="宋体" w:hAnsi="宋体" w:eastAsia="宋体" w:cs="宋体"/>
                <w:szCs w:val="21"/>
              </w:rPr>
            </w:pPr>
            <w:r>
              <w:rPr>
                <w:rFonts w:hint="eastAsia" w:ascii="宋体" w:hAnsi="宋体" w:eastAsia="宋体" w:cs="宋体"/>
                <w:b/>
                <w:szCs w:val="21"/>
              </w:rPr>
              <w:t>其他要求</w:t>
            </w:r>
          </w:p>
        </w:tc>
        <w:tc>
          <w:tcPr>
            <w:tcW w:w="8195" w:type="dxa"/>
            <w:gridSpan w:val="3"/>
            <w:tcBorders>
              <w:top w:val="single" w:color="auto" w:sz="4" w:space="0"/>
              <w:left w:val="single" w:color="auto" w:sz="4" w:space="0"/>
              <w:bottom w:val="single" w:color="auto" w:sz="4" w:space="0"/>
              <w:right w:val="single" w:color="auto" w:sz="4" w:space="0"/>
            </w:tcBorders>
            <w:noWrap w:val="0"/>
            <w:vAlign w:val="center"/>
          </w:tcPr>
          <w:p w14:paraId="0C07BABC">
            <w:pPr>
              <w:rPr>
                <w:rFonts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鉴定报告鉴定结论累计出现2次错误的，</w:t>
            </w:r>
            <w:r>
              <w:rPr>
                <w:rFonts w:hint="eastAsia" w:ascii="宋体" w:hAnsi="宋体" w:cs="宋体"/>
                <w:sz w:val="21"/>
                <w:szCs w:val="21"/>
                <w:lang w:eastAsia="zh-CN"/>
              </w:rPr>
              <w:t>处以</w:t>
            </w:r>
            <w:r>
              <w:rPr>
                <w:rFonts w:hint="eastAsia" w:ascii="宋体" w:hAnsi="宋体" w:cs="宋体"/>
                <w:sz w:val="21"/>
                <w:szCs w:val="21"/>
                <w:lang w:val="en-US" w:eastAsia="zh-CN"/>
              </w:rPr>
              <w:t>1000元人民币</w:t>
            </w:r>
            <w:r>
              <w:rPr>
                <w:rFonts w:hint="eastAsia" w:ascii="宋体" w:hAnsi="宋体" w:cs="宋体"/>
                <w:sz w:val="21"/>
                <w:szCs w:val="21"/>
              </w:rPr>
              <w:t>的违约金。</w:t>
            </w:r>
          </w:p>
          <w:p w14:paraId="1FF4DC21">
            <w:pPr>
              <w:pStyle w:val="2"/>
              <w:numPr>
                <w:ilvl w:val="0"/>
                <w:numId w:val="0"/>
              </w:numPr>
              <w:spacing w:after="0" w:line="360" w:lineRule="auto"/>
              <w:rPr>
                <w:rFonts w:hint="eastAsia" w:ascii="宋体" w:hAnsi="宋体" w:eastAsia="宋体" w:cs="宋体"/>
                <w:szCs w:val="21"/>
              </w:rPr>
            </w:pPr>
            <w:r>
              <w:rPr>
                <w:rFonts w:hint="eastAsia" w:ascii="宋体" w:hAnsi="宋体" w:cs="宋体"/>
                <w:sz w:val="21"/>
                <w:szCs w:val="21"/>
                <w:lang w:val="en-US" w:eastAsia="zh-CN"/>
              </w:rPr>
              <w:t>2.</w:t>
            </w:r>
            <w:r>
              <w:rPr>
                <w:rFonts w:hint="eastAsia" w:ascii="宋体" w:hAnsi="宋体" w:cs="宋体"/>
                <w:sz w:val="21"/>
                <w:szCs w:val="21"/>
              </w:rPr>
              <w:t>除采购人在</w:t>
            </w:r>
            <w:r>
              <w:rPr>
                <w:rFonts w:hint="eastAsia"/>
                <w:lang w:eastAsia="zh-CN"/>
              </w:rPr>
              <w:t>竞争性</w:t>
            </w:r>
            <w:r>
              <w:rPr>
                <w:rFonts w:hint="eastAsia" w:ascii="宋体" w:hAnsi="宋体" w:cs="宋体"/>
                <w:sz w:val="21"/>
                <w:szCs w:val="21"/>
              </w:rPr>
              <w:t>磋商文件中明确外，</w:t>
            </w:r>
            <w:r>
              <w:rPr>
                <w:rFonts w:hint="eastAsia" w:ascii="宋体" w:hAnsi="宋体" w:cs="宋体"/>
                <w:sz w:val="21"/>
                <w:szCs w:val="21"/>
                <w:lang w:eastAsia="zh-CN"/>
              </w:rPr>
              <w:t>供应商</w:t>
            </w:r>
            <w:r>
              <w:rPr>
                <w:rFonts w:hint="eastAsia" w:ascii="宋体" w:hAnsi="宋体" w:cs="宋体"/>
                <w:sz w:val="21"/>
                <w:szCs w:val="21"/>
              </w:rPr>
              <w:t>不得以任何方式转包、分包或挂靠本项目。如发现</w:t>
            </w:r>
            <w:r>
              <w:rPr>
                <w:rFonts w:hint="eastAsia" w:ascii="宋体" w:hAnsi="宋体" w:cs="宋体"/>
                <w:sz w:val="21"/>
                <w:szCs w:val="21"/>
                <w:lang w:eastAsia="zh-CN"/>
              </w:rPr>
              <w:t>供应商</w:t>
            </w:r>
            <w:r>
              <w:rPr>
                <w:rFonts w:hint="eastAsia" w:ascii="宋体" w:hAnsi="宋体" w:cs="宋体"/>
                <w:sz w:val="21"/>
                <w:szCs w:val="21"/>
              </w:rPr>
              <w:t>以转包、分包或挂靠的方式谋取成交，采购人有权</w:t>
            </w:r>
            <w:r>
              <w:rPr>
                <w:rFonts w:hint="eastAsia" w:ascii="宋体" w:hAnsi="宋体" w:cs="宋体"/>
                <w:sz w:val="21"/>
                <w:szCs w:val="21"/>
                <w:lang w:val="en-US" w:eastAsia="zh-CN"/>
              </w:rPr>
              <w:t>依法</w:t>
            </w:r>
            <w:r>
              <w:rPr>
                <w:rFonts w:hint="eastAsia" w:ascii="宋体" w:hAnsi="宋体" w:cs="宋体"/>
                <w:sz w:val="21"/>
                <w:szCs w:val="21"/>
              </w:rPr>
              <w:t>解除合同</w:t>
            </w:r>
            <w:r>
              <w:rPr>
                <w:rFonts w:hint="eastAsia" w:ascii="宋体" w:hAnsi="宋体" w:cs="宋体"/>
                <w:sz w:val="21"/>
                <w:szCs w:val="21"/>
                <w:lang w:eastAsia="zh-CN"/>
              </w:rPr>
              <w:t>供应商</w:t>
            </w:r>
            <w:r>
              <w:rPr>
                <w:rFonts w:hint="eastAsia" w:ascii="宋体" w:hAnsi="宋体" w:cs="宋体"/>
                <w:sz w:val="21"/>
                <w:szCs w:val="21"/>
              </w:rPr>
              <w:t>应向采购人支付</w:t>
            </w:r>
            <w:r>
              <w:rPr>
                <w:rFonts w:hint="eastAsia" w:ascii="宋体" w:hAnsi="宋体" w:cs="宋体"/>
                <w:sz w:val="21"/>
                <w:szCs w:val="21"/>
                <w:lang w:val="en-US" w:eastAsia="zh-CN"/>
              </w:rPr>
              <w:t>10000元人民币</w:t>
            </w:r>
            <w:r>
              <w:rPr>
                <w:rFonts w:hint="eastAsia" w:ascii="宋体" w:hAnsi="宋体" w:cs="宋体"/>
                <w:sz w:val="21"/>
                <w:szCs w:val="21"/>
              </w:rPr>
              <w:t>违约金，造成一切损失由</w:t>
            </w:r>
            <w:r>
              <w:rPr>
                <w:rFonts w:hint="eastAsia" w:ascii="宋体" w:hAnsi="宋体" w:cs="宋体"/>
                <w:sz w:val="21"/>
                <w:szCs w:val="21"/>
                <w:lang w:eastAsia="zh-CN"/>
              </w:rPr>
              <w:t>供应商</w:t>
            </w:r>
            <w:r>
              <w:rPr>
                <w:rFonts w:hint="eastAsia" w:ascii="宋体" w:hAnsi="宋体" w:cs="宋体"/>
                <w:sz w:val="21"/>
                <w:szCs w:val="21"/>
              </w:rPr>
              <w:t>承担。</w:t>
            </w:r>
          </w:p>
        </w:tc>
      </w:tr>
      <w:tr w14:paraId="296D86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04" w:type="dxa"/>
            <w:gridSpan w:val="2"/>
            <w:tcBorders>
              <w:top w:val="single" w:color="auto" w:sz="4" w:space="0"/>
              <w:left w:val="single" w:color="auto" w:sz="4" w:space="0"/>
              <w:bottom w:val="single" w:color="auto" w:sz="4" w:space="0"/>
              <w:right w:val="single" w:color="auto" w:sz="4" w:space="0"/>
            </w:tcBorders>
            <w:noWrap w:val="0"/>
            <w:vAlign w:val="center"/>
          </w:tcPr>
          <w:p w14:paraId="6EC10618">
            <w:pPr>
              <w:spacing w:line="360" w:lineRule="auto"/>
              <w:jc w:val="center"/>
              <w:rPr>
                <w:rFonts w:hint="eastAsia" w:ascii="宋体" w:hAnsi="宋体" w:eastAsia="宋体" w:cs="宋体"/>
                <w:b/>
                <w:bCs/>
                <w:szCs w:val="21"/>
              </w:rPr>
            </w:pPr>
            <w:r>
              <w:rPr>
                <w:rFonts w:hint="eastAsia" w:ascii="宋体" w:hAnsi="宋体" w:eastAsia="宋体" w:cs="宋体"/>
                <w:b/>
                <w:bCs/>
                <w:szCs w:val="21"/>
              </w:rPr>
              <w:t>管理体系要求</w:t>
            </w:r>
          </w:p>
        </w:tc>
        <w:tc>
          <w:tcPr>
            <w:tcW w:w="8195" w:type="dxa"/>
            <w:gridSpan w:val="3"/>
            <w:tcBorders>
              <w:top w:val="single" w:color="auto" w:sz="4" w:space="0"/>
              <w:left w:val="single" w:color="auto" w:sz="4" w:space="0"/>
              <w:bottom w:val="single" w:color="auto" w:sz="4" w:space="0"/>
              <w:right w:val="single" w:color="auto" w:sz="4" w:space="0"/>
            </w:tcBorders>
            <w:noWrap w:val="0"/>
            <w:vAlign w:val="center"/>
          </w:tcPr>
          <w:p w14:paraId="760563F1">
            <w:pPr>
              <w:spacing w:line="360" w:lineRule="auto"/>
              <w:rPr>
                <w:rFonts w:hint="eastAsia" w:ascii="宋体" w:hAnsi="宋体" w:eastAsia="宋体" w:cs="宋体"/>
                <w:szCs w:val="21"/>
              </w:rPr>
            </w:pPr>
            <w:r>
              <w:rPr>
                <w:rFonts w:hint="eastAsia" w:ascii="宋体" w:hAnsi="宋体" w:eastAsia="宋体" w:cs="宋体"/>
                <w:szCs w:val="21"/>
              </w:rPr>
              <w:t>具体见本竞争性磋商文件第二章“供应商须知”，以及第四章“评审程序、评审方法和评审标准”。</w:t>
            </w:r>
          </w:p>
        </w:tc>
      </w:tr>
      <w:tr w14:paraId="226E54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04" w:type="dxa"/>
            <w:gridSpan w:val="2"/>
            <w:tcBorders>
              <w:top w:val="single" w:color="auto" w:sz="4" w:space="0"/>
              <w:left w:val="single" w:color="auto" w:sz="4" w:space="0"/>
              <w:bottom w:val="single" w:color="auto" w:sz="4" w:space="0"/>
              <w:right w:val="single" w:color="auto" w:sz="4" w:space="0"/>
            </w:tcBorders>
            <w:noWrap w:val="0"/>
            <w:vAlign w:val="center"/>
          </w:tcPr>
          <w:p w14:paraId="0736FCB8">
            <w:pPr>
              <w:spacing w:line="360" w:lineRule="auto"/>
              <w:jc w:val="center"/>
              <w:rPr>
                <w:rFonts w:hint="eastAsia" w:ascii="宋体" w:hAnsi="宋体" w:eastAsia="宋体" w:cs="宋体"/>
                <w:b/>
                <w:bCs/>
                <w:szCs w:val="21"/>
              </w:rPr>
            </w:pPr>
            <w:r>
              <w:rPr>
                <w:rFonts w:hint="eastAsia" w:ascii="宋体" w:hAnsi="宋体" w:eastAsia="宋体" w:cs="宋体"/>
                <w:b/>
                <w:bCs/>
                <w:szCs w:val="21"/>
              </w:rPr>
              <w:t>业绩要求</w:t>
            </w:r>
          </w:p>
        </w:tc>
        <w:tc>
          <w:tcPr>
            <w:tcW w:w="8195" w:type="dxa"/>
            <w:gridSpan w:val="3"/>
            <w:tcBorders>
              <w:top w:val="single" w:color="auto" w:sz="4" w:space="0"/>
              <w:left w:val="single" w:color="auto" w:sz="4" w:space="0"/>
              <w:bottom w:val="single" w:color="auto" w:sz="4" w:space="0"/>
              <w:right w:val="single" w:color="auto" w:sz="4" w:space="0"/>
            </w:tcBorders>
            <w:noWrap w:val="0"/>
            <w:vAlign w:val="center"/>
          </w:tcPr>
          <w:p w14:paraId="43C6FDB5">
            <w:pPr>
              <w:spacing w:line="360" w:lineRule="auto"/>
              <w:rPr>
                <w:rFonts w:hint="eastAsia" w:ascii="宋体" w:hAnsi="宋体" w:eastAsia="宋体" w:cs="宋体"/>
                <w:szCs w:val="21"/>
              </w:rPr>
            </w:pPr>
            <w:r>
              <w:rPr>
                <w:rFonts w:hint="eastAsia" w:ascii="宋体" w:hAnsi="宋体" w:eastAsia="宋体" w:cs="宋体"/>
                <w:szCs w:val="21"/>
              </w:rPr>
              <w:t>具体见本竞争性磋商文件第二章“供应商须知”，以及第四章“评审程序、评审方法和评审标准”。</w:t>
            </w:r>
          </w:p>
        </w:tc>
      </w:tr>
      <w:tr w14:paraId="3EA59B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04" w:type="dxa"/>
            <w:gridSpan w:val="2"/>
            <w:tcBorders>
              <w:top w:val="single" w:color="auto" w:sz="4" w:space="0"/>
              <w:left w:val="single" w:color="auto" w:sz="4" w:space="0"/>
              <w:bottom w:val="single" w:color="auto" w:sz="4" w:space="0"/>
              <w:right w:val="single" w:color="auto" w:sz="4" w:space="0"/>
            </w:tcBorders>
            <w:noWrap w:val="0"/>
            <w:vAlign w:val="center"/>
          </w:tcPr>
          <w:p w14:paraId="0FFAC716">
            <w:pPr>
              <w:spacing w:line="360" w:lineRule="auto"/>
              <w:jc w:val="center"/>
              <w:rPr>
                <w:rFonts w:hint="eastAsia" w:ascii="宋体" w:hAnsi="宋体" w:eastAsia="宋体" w:cs="宋体"/>
                <w:b/>
                <w:bCs/>
                <w:szCs w:val="21"/>
              </w:rPr>
            </w:pPr>
            <w:r>
              <w:rPr>
                <w:rFonts w:hint="eastAsia" w:ascii="宋体" w:hAnsi="宋体" w:eastAsia="宋体" w:cs="宋体"/>
                <w:b/>
                <w:bCs/>
                <w:szCs w:val="21"/>
              </w:rPr>
              <w:t>验收办法</w:t>
            </w:r>
          </w:p>
        </w:tc>
        <w:tc>
          <w:tcPr>
            <w:tcW w:w="8195" w:type="dxa"/>
            <w:gridSpan w:val="3"/>
            <w:tcBorders>
              <w:top w:val="single" w:color="auto" w:sz="4" w:space="0"/>
              <w:left w:val="single" w:color="auto" w:sz="4" w:space="0"/>
              <w:bottom w:val="single" w:color="auto" w:sz="4" w:space="0"/>
              <w:right w:val="single" w:color="auto" w:sz="4" w:space="0"/>
            </w:tcBorders>
            <w:noWrap w:val="0"/>
            <w:vAlign w:val="center"/>
          </w:tcPr>
          <w:p w14:paraId="196AE675">
            <w:pPr>
              <w:tabs>
                <w:tab w:val="left" w:pos="180"/>
                <w:tab w:val="left" w:pos="1620"/>
              </w:tabs>
              <w:spacing w:line="360" w:lineRule="auto"/>
              <w:rPr>
                <w:rFonts w:hint="eastAsia" w:ascii="宋体" w:hAnsi="宋体" w:eastAsia="宋体" w:cs="宋体"/>
                <w:szCs w:val="21"/>
              </w:rPr>
            </w:pPr>
            <w:r>
              <w:rPr>
                <w:rFonts w:hint="eastAsia" w:ascii="宋体" w:hAnsi="宋体" w:eastAsia="宋体" w:cs="宋体"/>
                <w:szCs w:val="21"/>
              </w:rPr>
              <w:t>1.符合国家相关标准、行业标准、地方标准或者其他标准、规范的，应执行相应的标准、规范。如具体采购需求与标准、规范不一致的，高于标准、规范的按具体采购需求执行，低于标准、规范的按标准、规范执行。</w:t>
            </w:r>
          </w:p>
          <w:p w14:paraId="272D5EA1">
            <w:pPr>
              <w:tabs>
                <w:tab w:val="left" w:pos="180"/>
                <w:tab w:val="left" w:pos="1620"/>
              </w:tabs>
              <w:spacing w:line="360" w:lineRule="auto"/>
              <w:rPr>
                <w:rFonts w:hint="eastAsia" w:ascii="宋体" w:hAnsi="宋体" w:eastAsia="宋体" w:cs="宋体"/>
                <w:szCs w:val="21"/>
              </w:rPr>
            </w:pPr>
            <w:r>
              <w:rPr>
                <w:rFonts w:hint="eastAsia" w:ascii="宋体" w:hAnsi="宋体" w:eastAsia="宋体" w:cs="宋体"/>
                <w:szCs w:val="21"/>
              </w:rPr>
              <w:t>2.未尽事宜按照《关于印发广西壮族自治区政府采购项目履约验收管理办法的通知》[桂财采〔2015〕22号]以及《财政部关于进一步加强政府采购需求和履约验收管理的指导意见》[财库〔2016〕205号]规定执行。</w:t>
            </w:r>
          </w:p>
        </w:tc>
      </w:tr>
      <w:tr w14:paraId="2096B9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99" w:type="dxa"/>
            <w:gridSpan w:val="5"/>
            <w:tcBorders>
              <w:top w:val="single" w:color="auto" w:sz="4" w:space="0"/>
              <w:left w:val="single" w:color="auto" w:sz="4" w:space="0"/>
              <w:bottom w:val="single" w:color="auto" w:sz="4" w:space="0"/>
              <w:right w:val="single" w:color="auto" w:sz="4" w:space="0"/>
            </w:tcBorders>
            <w:noWrap w:val="0"/>
            <w:vAlign w:val="center"/>
          </w:tcPr>
          <w:p w14:paraId="37AAC8CB">
            <w:pPr>
              <w:spacing w:line="360" w:lineRule="auto"/>
              <w:rPr>
                <w:rFonts w:hint="eastAsia" w:ascii="宋体" w:hAnsi="宋体" w:eastAsia="宋体" w:cs="宋体"/>
              </w:rPr>
            </w:pPr>
            <w:r>
              <w:rPr>
                <w:rFonts w:hint="eastAsia" w:ascii="宋体" w:hAnsi="宋体" w:eastAsia="宋体" w:cs="宋体"/>
                <w:b/>
                <w:bCs/>
                <w:lang w:eastAsia="zh-CN"/>
              </w:rPr>
              <w:t>二</w:t>
            </w:r>
            <w:r>
              <w:rPr>
                <w:rFonts w:hint="eastAsia" w:ascii="宋体" w:hAnsi="宋体" w:eastAsia="宋体" w:cs="宋体"/>
                <w:b/>
                <w:bCs/>
              </w:rPr>
              <w:t>、</w:t>
            </w:r>
            <w:r>
              <w:rPr>
                <w:rFonts w:hint="eastAsia" w:ascii="宋体" w:hAnsi="宋体" w:eastAsia="宋体" w:cs="宋体"/>
                <w:b/>
                <w:bCs/>
                <w:szCs w:val="21"/>
              </w:rPr>
              <w:t>服务方案</w:t>
            </w:r>
          </w:p>
        </w:tc>
      </w:tr>
      <w:tr w14:paraId="657D8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99" w:type="dxa"/>
            <w:gridSpan w:val="5"/>
            <w:tcBorders>
              <w:top w:val="single" w:color="auto" w:sz="4" w:space="0"/>
              <w:left w:val="single" w:color="auto" w:sz="4" w:space="0"/>
              <w:bottom w:val="single" w:color="auto" w:sz="4" w:space="0"/>
              <w:right w:val="single" w:color="auto" w:sz="4" w:space="0"/>
            </w:tcBorders>
            <w:noWrap w:val="0"/>
            <w:vAlign w:val="center"/>
          </w:tcPr>
          <w:p w14:paraId="5D941DAF">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供应商可根据自身情况编制项目服务方案，内容可包括但不限于</w:t>
            </w:r>
            <w:r>
              <w:rPr>
                <w:rFonts w:hint="eastAsia" w:ascii="宋体" w:hAnsi="宋体" w:cs="宋体"/>
                <w:color w:val="auto"/>
                <w:sz w:val="21"/>
                <w:szCs w:val="21"/>
                <w:highlight w:val="none"/>
                <w:lang w:val="en-US" w:eastAsia="zh-CN"/>
              </w:rPr>
              <w:t>以下内容：</w:t>
            </w:r>
          </w:p>
          <w:p w14:paraId="23464FC0">
            <w:pPr>
              <w:spacing w:line="360" w:lineRule="auto"/>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w:t>
            </w:r>
            <w:r>
              <w:rPr>
                <w:rFonts w:hint="eastAsia" w:ascii="宋体" w:hAnsi="宋体" w:eastAsia="宋体" w:cs="宋体"/>
                <w:b/>
                <w:bCs/>
                <w:kern w:val="0"/>
                <w:sz w:val="21"/>
                <w:szCs w:val="21"/>
                <w:highlight w:val="none"/>
                <w14:ligatures w14:val="none"/>
              </w:rPr>
              <w:t>项目实施方案</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结合本项目采购需求</w:t>
            </w:r>
            <w:r>
              <w:rPr>
                <w:rFonts w:hint="eastAsia" w:ascii="宋体" w:hAnsi="宋体" w:cs="宋体"/>
                <w:color w:val="auto"/>
                <w:kern w:val="0"/>
                <w:szCs w:val="21"/>
                <w:highlight w:val="none"/>
                <w:lang w:val="en-US" w:eastAsia="zh-CN" w:bidi="ar"/>
              </w:rPr>
              <w:t>及</w:t>
            </w:r>
            <w:r>
              <w:rPr>
                <w:rFonts w:hint="eastAsia" w:ascii="宋体" w:hAnsi="宋体" w:cs="宋体"/>
                <w:color w:val="auto"/>
                <w:kern w:val="0"/>
                <w:szCs w:val="21"/>
                <w:highlight w:val="none"/>
                <w:lang w:eastAsia="zh-CN" w:bidi="ar"/>
              </w:rPr>
              <w:t>评审方法</w:t>
            </w:r>
            <w:r>
              <w:rPr>
                <w:rFonts w:hint="eastAsia" w:ascii="宋体" w:hAnsi="宋体" w:cs="宋体"/>
                <w:color w:val="auto"/>
                <w:kern w:val="0"/>
                <w:szCs w:val="21"/>
                <w:highlight w:val="none"/>
                <w:lang w:bidi="ar"/>
              </w:rPr>
              <w:t>及供应商自身情况，提供</w:t>
            </w:r>
            <w:r>
              <w:rPr>
                <w:rFonts w:hint="eastAsia" w:hAnsi="宋体" w:cs="微软雅黑"/>
                <w:bCs/>
                <w:sz w:val="21"/>
                <w:szCs w:val="21"/>
              </w:rPr>
              <w:t>对本项目正确</w:t>
            </w:r>
            <w:r>
              <w:rPr>
                <w:rFonts w:hint="eastAsia" w:hAnsi="宋体" w:cs="微软雅黑"/>
                <w:bCs/>
                <w:sz w:val="21"/>
                <w:szCs w:val="21"/>
                <w:lang w:eastAsia="zh-CN"/>
              </w:rPr>
              <w:t>的</w:t>
            </w:r>
            <w:r>
              <w:rPr>
                <w:rFonts w:hint="eastAsia" w:hAnsi="宋体" w:cs="微软雅黑"/>
                <w:bCs/>
                <w:sz w:val="21"/>
                <w:szCs w:val="21"/>
              </w:rPr>
              <w:t>理解与认识</w:t>
            </w:r>
            <w:r>
              <w:rPr>
                <w:rFonts w:hint="eastAsia" w:hAnsi="宋体" w:cs="微软雅黑"/>
                <w:bCs/>
                <w:sz w:val="21"/>
                <w:szCs w:val="21"/>
                <w:lang w:eastAsia="zh-CN"/>
              </w:rPr>
              <w:t>、</w:t>
            </w:r>
            <w:r>
              <w:rPr>
                <w:rFonts w:hint="eastAsia" w:hAnsi="宋体" w:cs="微软雅黑"/>
                <w:bCs/>
                <w:sz w:val="21"/>
                <w:szCs w:val="21"/>
              </w:rPr>
              <w:t>业务特点、业务目标、业务范围</w:t>
            </w:r>
            <w:r>
              <w:rPr>
                <w:rFonts w:hint="eastAsia" w:hAnsi="宋体" w:cs="微软雅黑"/>
                <w:bCs/>
                <w:sz w:val="21"/>
                <w:szCs w:val="21"/>
                <w:lang w:eastAsia="zh-CN"/>
              </w:rPr>
              <w:t>；</w:t>
            </w:r>
            <w:r>
              <w:rPr>
                <w:rFonts w:hint="eastAsia" w:hAnsi="宋体" w:cs="微软雅黑"/>
                <w:bCs/>
                <w:sz w:val="21"/>
                <w:szCs w:val="21"/>
              </w:rPr>
              <w:t>技术重点、难点和要点分析</w:t>
            </w:r>
            <w:r>
              <w:rPr>
                <w:rFonts w:hint="eastAsia" w:hAnsi="宋体" w:cs="微软雅黑"/>
                <w:bCs/>
                <w:sz w:val="21"/>
                <w:szCs w:val="21"/>
                <w:lang w:eastAsia="zh-CN"/>
              </w:rPr>
              <w:t>；</w:t>
            </w:r>
            <w:r>
              <w:rPr>
                <w:rFonts w:hint="eastAsia" w:hAnsi="宋体" w:cs="微软雅黑"/>
                <w:bCs/>
                <w:sz w:val="21"/>
                <w:szCs w:val="21"/>
              </w:rPr>
              <w:t>提出的服务方案、进度控制和后续服务措施</w:t>
            </w:r>
            <w:r>
              <w:rPr>
                <w:rFonts w:hint="eastAsia" w:ascii="宋体" w:hAnsi="宋体" w:cs="宋体"/>
                <w:color w:val="auto"/>
                <w:kern w:val="0"/>
                <w:szCs w:val="21"/>
                <w:highlight w:val="none"/>
                <w:lang w:val="en-US" w:eastAsia="zh-CN" w:bidi="ar"/>
              </w:rPr>
              <w:t>等内容。</w:t>
            </w:r>
          </w:p>
          <w:p w14:paraId="3713892E">
            <w:pPr>
              <w:spacing w:line="360" w:lineRule="auto"/>
              <w:rPr>
                <w:rFonts w:hint="eastAsia" w:ascii="宋体" w:hAnsi="宋体" w:eastAsia="宋体" w:cs="宋体"/>
                <w:szCs w:val="21"/>
              </w:rPr>
            </w:pPr>
            <w:r>
              <w:rPr>
                <w:rFonts w:hint="eastAsia" w:ascii="宋体" w:hAnsi="宋体" w:cs="宋体"/>
                <w:color w:val="auto"/>
                <w:kern w:val="0"/>
                <w:szCs w:val="21"/>
                <w:highlight w:val="none"/>
                <w:lang w:val="en-US" w:eastAsia="zh-CN" w:bidi="ar"/>
              </w:rPr>
              <w:t>2.</w:t>
            </w:r>
            <w:r>
              <w:rPr>
                <w:rFonts w:hint="eastAsia" w:ascii="宋体" w:hAnsi="宋体" w:cs="宋体"/>
                <w:b/>
                <w:bCs/>
                <w:sz w:val="21"/>
                <w:szCs w:val="21"/>
              </w:rPr>
              <w:t>质量保障方案</w:t>
            </w:r>
            <w:r>
              <w:rPr>
                <w:rFonts w:hint="eastAsia"/>
                <w:b/>
                <w:bCs/>
                <w:color w:val="auto"/>
                <w:highlight w:val="none"/>
                <w:lang w:eastAsia="zh-CN"/>
              </w:rPr>
              <w:t>：</w:t>
            </w:r>
            <w:r>
              <w:rPr>
                <w:rFonts w:hint="eastAsia" w:ascii="宋体" w:hAnsi="宋体" w:cs="宋体"/>
                <w:color w:val="auto"/>
                <w:kern w:val="0"/>
                <w:szCs w:val="21"/>
                <w:highlight w:val="none"/>
                <w:lang w:bidi="ar"/>
              </w:rPr>
              <w:t>结合本项目采购需求</w:t>
            </w:r>
            <w:r>
              <w:rPr>
                <w:rFonts w:hint="eastAsia" w:ascii="宋体" w:hAnsi="宋体" w:cs="宋体"/>
                <w:color w:val="auto"/>
                <w:kern w:val="0"/>
                <w:szCs w:val="21"/>
                <w:highlight w:val="none"/>
                <w:lang w:val="en-US" w:eastAsia="zh-CN" w:bidi="ar"/>
              </w:rPr>
              <w:t>及</w:t>
            </w:r>
            <w:r>
              <w:rPr>
                <w:rFonts w:hint="eastAsia" w:ascii="宋体" w:hAnsi="宋体" w:cs="宋体"/>
                <w:color w:val="auto"/>
                <w:kern w:val="0"/>
                <w:szCs w:val="21"/>
                <w:highlight w:val="none"/>
                <w:lang w:eastAsia="zh-CN" w:bidi="ar"/>
              </w:rPr>
              <w:t>评审方法</w:t>
            </w:r>
            <w:r>
              <w:rPr>
                <w:rFonts w:hint="eastAsia" w:ascii="宋体" w:hAnsi="宋体" w:cs="宋体"/>
                <w:color w:val="auto"/>
                <w:kern w:val="0"/>
                <w:szCs w:val="21"/>
                <w:highlight w:val="none"/>
                <w:lang w:bidi="ar"/>
              </w:rPr>
              <w:t>及供应商自身情况，</w:t>
            </w:r>
            <w:r>
              <w:rPr>
                <w:rFonts w:hint="eastAsia" w:ascii="宋体" w:hAnsi="宋体" w:cs="宋体"/>
                <w:bCs/>
                <w:sz w:val="21"/>
                <w:szCs w:val="21"/>
              </w:rPr>
              <w:t>组织协调方案</w:t>
            </w:r>
            <w:r>
              <w:rPr>
                <w:rFonts w:hint="eastAsia" w:ascii="宋体" w:hAnsi="宋体" w:cs="宋体"/>
                <w:bCs/>
                <w:sz w:val="21"/>
                <w:szCs w:val="21"/>
                <w:lang w:eastAsia="zh-CN"/>
              </w:rPr>
              <w:t>、</w:t>
            </w:r>
            <w:r>
              <w:rPr>
                <w:rFonts w:hint="eastAsia" w:hAnsi="宋体" w:cs="微软雅黑"/>
                <w:bCs/>
                <w:sz w:val="21"/>
                <w:szCs w:val="21"/>
              </w:rPr>
              <w:t>质量保证方法措施</w:t>
            </w:r>
            <w:r>
              <w:rPr>
                <w:rFonts w:hint="eastAsia" w:hAnsi="宋体" w:cs="微软雅黑"/>
                <w:bCs/>
                <w:sz w:val="21"/>
                <w:szCs w:val="21"/>
                <w:lang w:eastAsia="zh-CN"/>
              </w:rPr>
              <w:t>；</w:t>
            </w:r>
            <w:r>
              <w:rPr>
                <w:rFonts w:hint="eastAsia" w:ascii="宋体" w:hAnsi="宋体" w:cs="宋体"/>
                <w:bCs/>
                <w:sz w:val="21"/>
                <w:szCs w:val="21"/>
              </w:rPr>
              <w:t>管理组织机构图</w:t>
            </w:r>
            <w:r>
              <w:rPr>
                <w:rFonts w:hint="eastAsia" w:ascii="宋体" w:hAnsi="宋体" w:cs="宋体"/>
                <w:bCs/>
                <w:sz w:val="21"/>
                <w:szCs w:val="21"/>
                <w:lang w:eastAsia="zh-CN"/>
              </w:rPr>
              <w:t>、</w:t>
            </w:r>
            <w:r>
              <w:rPr>
                <w:rFonts w:hint="eastAsia" w:ascii="宋体" w:hAnsi="宋体" w:cs="宋体"/>
                <w:bCs/>
                <w:sz w:val="21"/>
                <w:szCs w:val="21"/>
              </w:rPr>
              <w:t>人员安排及服务进度安排</w:t>
            </w:r>
            <w:r>
              <w:rPr>
                <w:rFonts w:hint="eastAsia" w:ascii="宋体" w:hAnsi="宋体" w:cs="宋体"/>
                <w:bCs/>
                <w:sz w:val="21"/>
                <w:szCs w:val="21"/>
                <w:lang w:eastAsia="zh-CN"/>
              </w:rPr>
              <w:t>；</w:t>
            </w:r>
            <w:r>
              <w:rPr>
                <w:rFonts w:hint="eastAsia" w:hAnsi="宋体" w:cs="微软雅黑"/>
                <w:bCs/>
                <w:sz w:val="21"/>
                <w:szCs w:val="21"/>
              </w:rPr>
              <w:t>项目质量总目标、实现质量目标的内容、措施、办法、鉴定报告质量保证</w:t>
            </w:r>
            <w:r>
              <w:rPr>
                <w:rFonts w:hint="eastAsia" w:hAnsi="宋体" w:cs="微软雅黑"/>
                <w:bCs/>
                <w:sz w:val="21"/>
                <w:szCs w:val="21"/>
                <w:lang w:eastAsia="zh-CN"/>
              </w:rPr>
              <w:t>；</w:t>
            </w:r>
            <w:r>
              <w:rPr>
                <w:rFonts w:hint="eastAsia" w:hAnsi="宋体" w:cs="微软雅黑"/>
                <w:bCs/>
                <w:sz w:val="21"/>
                <w:szCs w:val="21"/>
              </w:rPr>
              <w:t>采样、分析、数据审核等方面进行把控</w:t>
            </w:r>
            <w:r>
              <w:rPr>
                <w:rFonts w:hint="eastAsia" w:ascii="宋体" w:hAnsi="宋体" w:cs="宋体"/>
                <w:color w:val="auto"/>
                <w:kern w:val="0"/>
                <w:szCs w:val="21"/>
                <w:highlight w:val="none"/>
                <w:lang w:val="en-US" w:eastAsia="zh-CN" w:bidi="ar"/>
              </w:rPr>
              <w:t>等内容。</w:t>
            </w:r>
          </w:p>
        </w:tc>
      </w:tr>
      <w:tr w14:paraId="6167E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99" w:type="dxa"/>
            <w:gridSpan w:val="5"/>
            <w:tcBorders>
              <w:top w:val="single" w:color="auto" w:sz="4" w:space="0"/>
              <w:left w:val="single" w:color="auto" w:sz="4" w:space="0"/>
              <w:bottom w:val="single" w:color="auto" w:sz="4" w:space="0"/>
              <w:right w:val="single" w:color="auto" w:sz="4" w:space="0"/>
            </w:tcBorders>
            <w:noWrap w:val="0"/>
            <w:vAlign w:val="center"/>
          </w:tcPr>
          <w:p w14:paraId="5E8F0714">
            <w:pPr>
              <w:spacing w:line="360" w:lineRule="auto"/>
              <w:rPr>
                <w:rFonts w:hint="eastAsia" w:ascii="宋体" w:hAnsi="宋体" w:eastAsia="宋体" w:cs="宋体"/>
                <w:szCs w:val="21"/>
              </w:rPr>
            </w:pPr>
            <w:r>
              <w:rPr>
                <w:rFonts w:hint="eastAsia" w:ascii="宋体" w:hAnsi="宋体" w:eastAsia="宋体" w:cs="宋体"/>
                <w:b/>
                <w:bCs/>
                <w:szCs w:val="21"/>
                <w:lang w:eastAsia="zh-CN"/>
              </w:rPr>
              <w:t>三</w:t>
            </w:r>
            <w:r>
              <w:rPr>
                <w:rFonts w:hint="eastAsia" w:ascii="宋体" w:hAnsi="宋体" w:eastAsia="宋体" w:cs="宋体"/>
                <w:b/>
                <w:bCs/>
                <w:szCs w:val="21"/>
              </w:rPr>
              <w:t>、核心产品</w:t>
            </w:r>
          </w:p>
        </w:tc>
      </w:tr>
      <w:tr w14:paraId="6AE196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99" w:type="dxa"/>
            <w:gridSpan w:val="5"/>
            <w:tcBorders>
              <w:top w:val="single" w:color="auto" w:sz="4" w:space="0"/>
              <w:left w:val="single" w:color="auto" w:sz="4" w:space="0"/>
              <w:bottom w:val="single" w:color="auto" w:sz="4" w:space="0"/>
              <w:right w:val="single" w:color="auto" w:sz="4" w:space="0"/>
            </w:tcBorders>
            <w:noWrap w:val="0"/>
            <w:vAlign w:val="center"/>
          </w:tcPr>
          <w:p w14:paraId="08C716DE">
            <w:pPr>
              <w:spacing w:line="360" w:lineRule="auto"/>
              <w:rPr>
                <w:rFonts w:hint="eastAsia" w:ascii="宋体" w:hAnsi="宋体" w:eastAsia="宋体" w:cs="宋体"/>
                <w:szCs w:val="21"/>
              </w:rPr>
            </w:pPr>
            <w:r>
              <w:rPr>
                <w:rFonts w:hint="eastAsia" w:ascii="宋体" w:hAnsi="宋体" w:eastAsia="宋体" w:cs="宋体"/>
              </w:rPr>
              <w:t>本项目为服务项目，无核心产品。</w:t>
            </w:r>
          </w:p>
        </w:tc>
      </w:tr>
    </w:tbl>
    <w:p w14:paraId="385B80EA">
      <w:pP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14:paraId="6ED49113">
      <w:pPr>
        <w:pStyle w:val="7"/>
        <w:spacing w:line="360" w:lineRule="auto"/>
        <w:ind w:firstLine="0"/>
        <w:rPr>
          <w:rFonts w:ascii="宋体" w:hAnsi="宋体" w:cs="宋体"/>
          <w:color w:val="auto"/>
          <w:sz w:val="32"/>
          <w:szCs w:val="32"/>
          <w:highlight w:val="none"/>
        </w:rPr>
      </w:pPr>
      <w:r>
        <w:rPr>
          <w:rFonts w:hint="eastAsia" w:ascii="宋体" w:hAnsi="宋体" w:cs="宋体"/>
          <w:color w:val="auto"/>
          <w:sz w:val="28"/>
          <w:szCs w:val="28"/>
          <w:highlight w:val="none"/>
        </w:rPr>
        <w:t>附件</w:t>
      </w:r>
      <w:r>
        <w:rPr>
          <w:rFonts w:hint="eastAsia" w:ascii="宋体" w:hAnsi="宋体" w:cs="宋体"/>
          <w:color w:val="auto"/>
          <w:sz w:val="32"/>
          <w:szCs w:val="32"/>
          <w:highlight w:val="none"/>
        </w:rPr>
        <w:t>：</w:t>
      </w:r>
    </w:p>
    <w:p w14:paraId="1A2E9BC5">
      <w:pPr>
        <w:pStyle w:val="2"/>
        <w:jc w:val="center"/>
        <w:rPr>
          <w:rFonts w:hint="eastAsia"/>
          <w:b/>
          <w:sz w:val="28"/>
          <w:szCs w:val="28"/>
          <w:highlight w:val="none"/>
        </w:rPr>
      </w:pPr>
      <w:r>
        <w:rPr>
          <w:rFonts w:hint="eastAsia"/>
          <w:b/>
          <w:sz w:val="28"/>
          <w:szCs w:val="28"/>
          <w:highlight w:val="none"/>
        </w:rPr>
        <w:t>中小企业划型标准规定</w:t>
      </w:r>
    </w:p>
    <w:p w14:paraId="622D51C8">
      <w:pPr>
        <w:pStyle w:val="2"/>
        <w:jc w:val="center"/>
        <w:rPr>
          <w:rFonts w:ascii="宋体" w:hAnsi="宋体"/>
          <w:szCs w:val="21"/>
          <w:highlight w:val="none"/>
        </w:rPr>
      </w:pPr>
      <w:r>
        <w:rPr>
          <w:rFonts w:hint="eastAsia" w:ascii="宋体" w:hAnsi="宋体"/>
          <w:szCs w:val="21"/>
          <w:highlight w:val="none"/>
        </w:rPr>
        <w:t>工信部联企</w:t>
      </w:r>
      <w:r>
        <w:rPr>
          <w:rFonts w:hint="eastAsia" w:ascii="宋体" w:hAnsi="宋体"/>
          <w:color w:val="auto"/>
          <w:szCs w:val="21"/>
          <w:highlight w:val="none"/>
        </w:rPr>
        <w:t>业</w:t>
      </w:r>
      <w:r>
        <w:rPr>
          <w:rFonts w:hint="eastAsia" w:ascii="宋体" w:hAnsi="宋体"/>
          <w:color w:val="auto"/>
          <w:szCs w:val="21"/>
          <w:highlight w:val="none"/>
          <w:lang w:eastAsia="zh-CN"/>
        </w:rPr>
        <w:t>〔2011〕</w:t>
      </w:r>
      <w:r>
        <w:rPr>
          <w:rFonts w:hint="eastAsia" w:ascii="宋体" w:hAnsi="宋体"/>
          <w:szCs w:val="21"/>
          <w:highlight w:val="none"/>
          <w:lang w:eastAsia="zh-CN"/>
        </w:rPr>
        <w:t>300号</w:t>
      </w:r>
    </w:p>
    <w:p w14:paraId="2FBFBDAD">
      <w:pPr>
        <w:pStyle w:val="2"/>
        <w:rPr>
          <w:rFonts w:hint="eastAsia"/>
          <w:sz w:val="24"/>
          <w:szCs w:val="21"/>
          <w:highlight w:val="none"/>
        </w:rPr>
      </w:pPr>
    </w:p>
    <w:p w14:paraId="08D2465B">
      <w:pPr>
        <w:pStyle w:val="2"/>
        <w:rPr>
          <w:szCs w:val="21"/>
          <w:highlight w:val="none"/>
        </w:rPr>
      </w:pPr>
      <w:r>
        <w:rPr>
          <w:rFonts w:hint="eastAsia"/>
          <w:szCs w:val="21"/>
          <w:highlight w:val="none"/>
        </w:rPr>
        <w:t>　　一、根据《中华人民共和国中小企业促进法》和《国务院关于进一步促进中小企业发展的若干意见》</w:t>
      </w:r>
      <w:r>
        <w:rPr>
          <w:szCs w:val="21"/>
          <w:highlight w:val="none"/>
        </w:rPr>
        <w:t>(</w:t>
      </w:r>
      <w:r>
        <w:rPr>
          <w:rFonts w:hint="eastAsia"/>
          <w:szCs w:val="21"/>
          <w:highlight w:val="none"/>
        </w:rPr>
        <w:t>国发</w:t>
      </w:r>
      <w:r>
        <w:rPr>
          <w:rFonts w:hint="eastAsia" w:ascii="宋体" w:hAnsi="宋体"/>
          <w:color w:val="auto"/>
          <w:szCs w:val="21"/>
          <w:highlight w:val="none"/>
          <w:lang w:eastAsia="zh-CN"/>
        </w:rPr>
        <w:t>〔20</w:t>
      </w:r>
      <w:r>
        <w:rPr>
          <w:rFonts w:hint="eastAsia" w:ascii="宋体" w:hAnsi="宋体"/>
          <w:color w:val="auto"/>
          <w:szCs w:val="21"/>
          <w:highlight w:val="none"/>
        </w:rPr>
        <w:t>09</w:t>
      </w:r>
      <w:r>
        <w:rPr>
          <w:rFonts w:hint="eastAsia" w:ascii="宋体" w:hAnsi="宋体"/>
          <w:color w:val="auto"/>
          <w:szCs w:val="21"/>
          <w:highlight w:val="none"/>
          <w:lang w:eastAsia="zh-CN"/>
        </w:rPr>
        <w:t>〕</w:t>
      </w:r>
      <w:r>
        <w:rPr>
          <w:rFonts w:hint="eastAsia" w:ascii="宋体" w:hAnsi="宋体"/>
          <w:color w:val="auto"/>
          <w:szCs w:val="21"/>
          <w:highlight w:val="none"/>
        </w:rPr>
        <w:t>36</w:t>
      </w:r>
      <w:r>
        <w:rPr>
          <w:rFonts w:hint="eastAsia" w:ascii="宋体" w:hAnsi="宋体"/>
          <w:color w:val="auto"/>
          <w:szCs w:val="21"/>
          <w:highlight w:val="none"/>
          <w:lang w:eastAsia="zh-CN"/>
        </w:rPr>
        <w:t>号</w:t>
      </w:r>
      <w:r>
        <w:rPr>
          <w:color w:val="auto"/>
          <w:szCs w:val="21"/>
          <w:highlight w:val="none"/>
        </w:rPr>
        <w:t>)</w:t>
      </w:r>
      <w:r>
        <w:rPr>
          <w:rFonts w:hint="eastAsia"/>
          <w:color w:val="auto"/>
          <w:szCs w:val="21"/>
          <w:highlight w:val="none"/>
        </w:rPr>
        <w:t>，制定本</w:t>
      </w:r>
      <w:r>
        <w:rPr>
          <w:rFonts w:hint="eastAsia"/>
          <w:szCs w:val="21"/>
          <w:highlight w:val="none"/>
        </w:rPr>
        <w:t>规定。</w:t>
      </w:r>
    </w:p>
    <w:p w14:paraId="706BD771">
      <w:pPr>
        <w:pStyle w:val="2"/>
        <w:rPr>
          <w:szCs w:val="21"/>
          <w:highlight w:val="none"/>
        </w:rPr>
      </w:pPr>
      <w:r>
        <w:rPr>
          <w:rFonts w:hint="eastAsia"/>
          <w:szCs w:val="21"/>
          <w:highlight w:val="none"/>
        </w:rPr>
        <w:t>　　二、中小企业划分为中型、小型、微型三种类型，具体标准根据企业从业人员、营业收入、资产总额等指标，结合行业特点制定。</w:t>
      </w:r>
    </w:p>
    <w:p w14:paraId="2F1F38D8">
      <w:pPr>
        <w:pStyle w:val="2"/>
        <w:rPr>
          <w:szCs w:val="21"/>
          <w:highlight w:val="none"/>
        </w:rPr>
      </w:pPr>
      <w:r>
        <w:rPr>
          <w:rFonts w:hint="eastAsia"/>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8400888">
      <w:pPr>
        <w:pStyle w:val="2"/>
        <w:rPr>
          <w:szCs w:val="21"/>
          <w:highlight w:val="none"/>
        </w:rPr>
      </w:pPr>
      <w:r>
        <w:rPr>
          <w:rFonts w:hint="eastAsia"/>
          <w:szCs w:val="21"/>
          <w:highlight w:val="none"/>
        </w:rPr>
        <w:t>　　四、各行业划型标准为：</w:t>
      </w:r>
    </w:p>
    <w:p w14:paraId="24EB39EA">
      <w:pPr>
        <w:pStyle w:val="2"/>
        <w:rPr>
          <w:szCs w:val="21"/>
          <w:highlight w:val="none"/>
        </w:rPr>
      </w:pPr>
      <w:r>
        <w:rPr>
          <w:rFonts w:hint="eastAsia"/>
          <w:szCs w:val="21"/>
          <w:highlight w:val="none"/>
        </w:rPr>
        <w:t>　　（一）农、林、牧、渔业。营业收入</w:t>
      </w:r>
      <w:r>
        <w:rPr>
          <w:szCs w:val="21"/>
          <w:highlight w:val="none"/>
        </w:rPr>
        <w:t>20000</w:t>
      </w:r>
      <w:r>
        <w:rPr>
          <w:rFonts w:hint="eastAsia"/>
          <w:szCs w:val="21"/>
          <w:highlight w:val="none"/>
        </w:rPr>
        <w:t>万元以下的为中小微型企业。其中，营业收入</w:t>
      </w:r>
      <w:r>
        <w:rPr>
          <w:szCs w:val="21"/>
          <w:highlight w:val="none"/>
        </w:rPr>
        <w:t>500</w:t>
      </w:r>
      <w:r>
        <w:rPr>
          <w:rFonts w:hint="eastAsia"/>
          <w:szCs w:val="21"/>
          <w:highlight w:val="none"/>
        </w:rPr>
        <w:t>万元及以上的为中型企业，营业收入</w:t>
      </w:r>
      <w:r>
        <w:rPr>
          <w:szCs w:val="21"/>
          <w:highlight w:val="none"/>
        </w:rPr>
        <w:t>50</w:t>
      </w:r>
      <w:r>
        <w:rPr>
          <w:rFonts w:hint="eastAsia"/>
          <w:szCs w:val="21"/>
          <w:highlight w:val="none"/>
        </w:rPr>
        <w:t>万元及以上的为小型企业，营业收入</w:t>
      </w:r>
      <w:r>
        <w:rPr>
          <w:szCs w:val="21"/>
          <w:highlight w:val="none"/>
        </w:rPr>
        <w:t>50</w:t>
      </w:r>
      <w:r>
        <w:rPr>
          <w:rFonts w:hint="eastAsia"/>
          <w:szCs w:val="21"/>
          <w:highlight w:val="none"/>
        </w:rPr>
        <w:t>万元以下的为微型企业。</w:t>
      </w:r>
    </w:p>
    <w:p w14:paraId="640E2D2F">
      <w:pPr>
        <w:pStyle w:val="2"/>
        <w:rPr>
          <w:szCs w:val="21"/>
          <w:highlight w:val="none"/>
        </w:rPr>
      </w:pPr>
      <w:r>
        <w:rPr>
          <w:rFonts w:hint="eastAsia"/>
          <w:szCs w:val="21"/>
          <w:highlight w:val="none"/>
        </w:rPr>
        <w:t>　　（二）工业。从业人员</w:t>
      </w:r>
      <w:r>
        <w:rPr>
          <w:szCs w:val="21"/>
          <w:highlight w:val="none"/>
        </w:rPr>
        <w:t>1000</w:t>
      </w:r>
      <w:r>
        <w:rPr>
          <w:rFonts w:hint="eastAsia"/>
          <w:szCs w:val="21"/>
          <w:highlight w:val="none"/>
        </w:rPr>
        <w:t>人以下或营业收入</w:t>
      </w:r>
      <w:r>
        <w:rPr>
          <w:szCs w:val="21"/>
          <w:highlight w:val="none"/>
        </w:rPr>
        <w:t>40000</w:t>
      </w:r>
      <w:r>
        <w:rPr>
          <w:rFonts w:hint="eastAsia"/>
          <w:szCs w:val="21"/>
          <w:highlight w:val="none"/>
        </w:rPr>
        <w:t>万元以下的为中小微型企业。其中，从业人员</w:t>
      </w:r>
      <w:r>
        <w:rPr>
          <w:szCs w:val="21"/>
          <w:highlight w:val="none"/>
        </w:rPr>
        <w:t>300</w:t>
      </w:r>
      <w:r>
        <w:rPr>
          <w:rFonts w:hint="eastAsia"/>
          <w:szCs w:val="21"/>
          <w:highlight w:val="none"/>
        </w:rPr>
        <w:t>人及以上，且营业收入</w:t>
      </w:r>
      <w:r>
        <w:rPr>
          <w:szCs w:val="21"/>
          <w:highlight w:val="none"/>
        </w:rPr>
        <w:t>2000</w:t>
      </w:r>
      <w:r>
        <w:rPr>
          <w:rFonts w:hint="eastAsia"/>
          <w:szCs w:val="21"/>
          <w:highlight w:val="none"/>
        </w:rPr>
        <w:t>万元及以上的为中型企业；从业人员</w:t>
      </w:r>
      <w:r>
        <w:rPr>
          <w:szCs w:val="21"/>
          <w:highlight w:val="none"/>
        </w:rPr>
        <w:t>20</w:t>
      </w:r>
      <w:r>
        <w:rPr>
          <w:rFonts w:hint="eastAsia"/>
          <w:szCs w:val="21"/>
          <w:highlight w:val="none"/>
        </w:rPr>
        <w:t>人及以上，且营业收入</w:t>
      </w:r>
      <w:r>
        <w:rPr>
          <w:szCs w:val="21"/>
          <w:highlight w:val="none"/>
        </w:rPr>
        <w:t>300</w:t>
      </w:r>
      <w:r>
        <w:rPr>
          <w:rFonts w:hint="eastAsia"/>
          <w:szCs w:val="21"/>
          <w:highlight w:val="none"/>
        </w:rPr>
        <w:t>万元及以上的为小型企业；从业人员</w:t>
      </w:r>
      <w:r>
        <w:rPr>
          <w:szCs w:val="21"/>
          <w:highlight w:val="none"/>
        </w:rPr>
        <w:t>20</w:t>
      </w:r>
      <w:r>
        <w:rPr>
          <w:rFonts w:hint="eastAsia"/>
          <w:szCs w:val="21"/>
          <w:highlight w:val="none"/>
        </w:rPr>
        <w:t>人以下或营业收入</w:t>
      </w:r>
      <w:r>
        <w:rPr>
          <w:szCs w:val="21"/>
          <w:highlight w:val="none"/>
        </w:rPr>
        <w:t>300</w:t>
      </w:r>
      <w:r>
        <w:rPr>
          <w:rFonts w:hint="eastAsia"/>
          <w:szCs w:val="21"/>
          <w:highlight w:val="none"/>
        </w:rPr>
        <w:t>万元以下的为微型企业。</w:t>
      </w:r>
    </w:p>
    <w:p w14:paraId="43D7C337">
      <w:pPr>
        <w:pStyle w:val="2"/>
        <w:rPr>
          <w:szCs w:val="21"/>
          <w:highlight w:val="none"/>
        </w:rPr>
      </w:pPr>
      <w:r>
        <w:rPr>
          <w:rFonts w:hint="eastAsia"/>
          <w:szCs w:val="21"/>
          <w:highlight w:val="none"/>
        </w:rPr>
        <w:t>　　（三）建筑业。营业收入</w:t>
      </w:r>
      <w:r>
        <w:rPr>
          <w:szCs w:val="21"/>
          <w:highlight w:val="none"/>
        </w:rPr>
        <w:t>80000</w:t>
      </w:r>
      <w:r>
        <w:rPr>
          <w:rFonts w:hint="eastAsia"/>
          <w:szCs w:val="21"/>
          <w:highlight w:val="none"/>
        </w:rPr>
        <w:t>万元以下或资产总额</w:t>
      </w:r>
      <w:r>
        <w:rPr>
          <w:szCs w:val="21"/>
          <w:highlight w:val="none"/>
        </w:rPr>
        <w:t>80000</w:t>
      </w:r>
      <w:r>
        <w:rPr>
          <w:rFonts w:hint="eastAsia"/>
          <w:szCs w:val="21"/>
          <w:highlight w:val="none"/>
        </w:rPr>
        <w:t>万元以下的为中小微型企业。其中，营业收入</w:t>
      </w:r>
      <w:r>
        <w:rPr>
          <w:szCs w:val="21"/>
          <w:highlight w:val="none"/>
        </w:rPr>
        <w:t>6000</w:t>
      </w:r>
      <w:r>
        <w:rPr>
          <w:rFonts w:hint="eastAsia"/>
          <w:szCs w:val="21"/>
          <w:highlight w:val="none"/>
        </w:rPr>
        <w:t>万元及以上，且资产总额</w:t>
      </w:r>
      <w:r>
        <w:rPr>
          <w:szCs w:val="21"/>
          <w:highlight w:val="none"/>
        </w:rPr>
        <w:t>5000</w:t>
      </w:r>
      <w:r>
        <w:rPr>
          <w:rFonts w:hint="eastAsia"/>
          <w:szCs w:val="21"/>
          <w:highlight w:val="none"/>
        </w:rPr>
        <w:t>万元及以上的为中型企业；营业收入</w:t>
      </w:r>
      <w:r>
        <w:rPr>
          <w:szCs w:val="21"/>
          <w:highlight w:val="none"/>
        </w:rPr>
        <w:t>300</w:t>
      </w:r>
      <w:r>
        <w:rPr>
          <w:rFonts w:hint="eastAsia"/>
          <w:szCs w:val="21"/>
          <w:highlight w:val="none"/>
        </w:rPr>
        <w:t>万元及以上，且资产总额</w:t>
      </w:r>
      <w:r>
        <w:rPr>
          <w:szCs w:val="21"/>
          <w:highlight w:val="none"/>
        </w:rPr>
        <w:t>300</w:t>
      </w:r>
      <w:r>
        <w:rPr>
          <w:rFonts w:hint="eastAsia"/>
          <w:szCs w:val="21"/>
          <w:highlight w:val="none"/>
        </w:rPr>
        <w:t>万元及以上的为小型企业；营业收入</w:t>
      </w:r>
      <w:r>
        <w:rPr>
          <w:szCs w:val="21"/>
          <w:highlight w:val="none"/>
        </w:rPr>
        <w:t>300</w:t>
      </w:r>
      <w:r>
        <w:rPr>
          <w:rFonts w:hint="eastAsia"/>
          <w:szCs w:val="21"/>
          <w:highlight w:val="none"/>
        </w:rPr>
        <w:t>万元以下或资产总额</w:t>
      </w:r>
      <w:r>
        <w:rPr>
          <w:szCs w:val="21"/>
          <w:highlight w:val="none"/>
        </w:rPr>
        <w:t>300</w:t>
      </w:r>
      <w:r>
        <w:rPr>
          <w:rFonts w:hint="eastAsia"/>
          <w:szCs w:val="21"/>
          <w:highlight w:val="none"/>
        </w:rPr>
        <w:t>万元以下的为微型企业。</w:t>
      </w:r>
    </w:p>
    <w:p w14:paraId="34274BDB">
      <w:pPr>
        <w:pStyle w:val="2"/>
        <w:rPr>
          <w:szCs w:val="21"/>
          <w:highlight w:val="none"/>
        </w:rPr>
      </w:pPr>
      <w:r>
        <w:rPr>
          <w:rFonts w:hint="eastAsia"/>
          <w:szCs w:val="21"/>
          <w:highlight w:val="none"/>
        </w:rPr>
        <w:t>　　（四）批发业。从业人员</w:t>
      </w:r>
      <w:r>
        <w:rPr>
          <w:szCs w:val="21"/>
          <w:highlight w:val="none"/>
        </w:rPr>
        <w:t>200</w:t>
      </w:r>
      <w:r>
        <w:rPr>
          <w:rFonts w:hint="eastAsia"/>
          <w:szCs w:val="21"/>
          <w:highlight w:val="none"/>
        </w:rPr>
        <w:t>人以下或营业收入</w:t>
      </w:r>
      <w:r>
        <w:rPr>
          <w:szCs w:val="21"/>
          <w:highlight w:val="none"/>
        </w:rPr>
        <w:t>40000</w:t>
      </w:r>
      <w:r>
        <w:rPr>
          <w:rFonts w:hint="eastAsia"/>
          <w:szCs w:val="21"/>
          <w:highlight w:val="none"/>
        </w:rPr>
        <w:t>万元以下的为中小微型企业。其中，从业人员</w:t>
      </w:r>
      <w:r>
        <w:rPr>
          <w:szCs w:val="21"/>
          <w:highlight w:val="none"/>
        </w:rPr>
        <w:t>20</w:t>
      </w:r>
      <w:r>
        <w:rPr>
          <w:rFonts w:hint="eastAsia"/>
          <w:szCs w:val="21"/>
          <w:highlight w:val="none"/>
        </w:rPr>
        <w:t>人及以上，且营业收入</w:t>
      </w:r>
      <w:r>
        <w:rPr>
          <w:szCs w:val="21"/>
          <w:highlight w:val="none"/>
        </w:rPr>
        <w:t>5000</w:t>
      </w:r>
      <w:r>
        <w:rPr>
          <w:rFonts w:hint="eastAsia"/>
          <w:szCs w:val="21"/>
          <w:highlight w:val="none"/>
        </w:rPr>
        <w:t>万元及以上的为中型企业；从业人员</w:t>
      </w:r>
      <w:r>
        <w:rPr>
          <w:szCs w:val="21"/>
          <w:highlight w:val="none"/>
        </w:rPr>
        <w:t>5</w:t>
      </w:r>
      <w:r>
        <w:rPr>
          <w:rFonts w:hint="eastAsia"/>
          <w:szCs w:val="21"/>
          <w:highlight w:val="none"/>
        </w:rPr>
        <w:t>人及以上，且营业收入</w:t>
      </w:r>
      <w:r>
        <w:rPr>
          <w:szCs w:val="21"/>
          <w:highlight w:val="none"/>
        </w:rPr>
        <w:t>1000</w:t>
      </w:r>
      <w:r>
        <w:rPr>
          <w:rFonts w:hint="eastAsia"/>
          <w:szCs w:val="21"/>
          <w:highlight w:val="none"/>
        </w:rPr>
        <w:t>万元及以上的为小型企业；从业人员</w:t>
      </w:r>
      <w:r>
        <w:rPr>
          <w:szCs w:val="21"/>
          <w:highlight w:val="none"/>
        </w:rPr>
        <w:t>5</w:t>
      </w:r>
      <w:r>
        <w:rPr>
          <w:rFonts w:hint="eastAsia"/>
          <w:szCs w:val="21"/>
          <w:highlight w:val="none"/>
        </w:rPr>
        <w:t>人以下或营业收入</w:t>
      </w:r>
      <w:r>
        <w:rPr>
          <w:szCs w:val="21"/>
          <w:highlight w:val="none"/>
        </w:rPr>
        <w:t>1000</w:t>
      </w:r>
      <w:r>
        <w:rPr>
          <w:rFonts w:hint="eastAsia"/>
          <w:szCs w:val="21"/>
          <w:highlight w:val="none"/>
        </w:rPr>
        <w:t>万元以下的为微型企业。</w:t>
      </w:r>
    </w:p>
    <w:p w14:paraId="6DBE7A69">
      <w:pPr>
        <w:pStyle w:val="2"/>
        <w:rPr>
          <w:szCs w:val="21"/>
          <w:highlight w:val="none"/>
        </w:rPr>
      </w:pPr>
      <w:r>
        <w:rPr>
          <w:rFonts w:hint="eastAsia"/>
          <w:szCs w:val="21"/>
          <w:highlight w:val="none"/>
        </w:rPr>
        <w:t>　　（五）零售业。从业人员</w:t>
      </w:r>
      <w:r>
        <w:rPr>
          <w:szCs w:val="21"/>
          <w:highlight w:val="none"/>
        </w:rPr>
        <w:t>300</w:t>
      </w:r>
      <w:r>
        <w:rPr>
          <w:rFonts w:hint="eastAsia"/>
          <w:szCs w:val="21"/>
          <w:highlight w:val="none"/>
        </w:rPr>
        <w:t>人以下或营业收入</w:t>
      </w:r>
      <w:r>
        <w:rPr>
          <w:szCs w:val="21"/>
          <w:highlight w:val="none"/>
        </w:rPr>
        <w:t>20000</w:t>
      </w:r>
      <w:r>
        <w:rPr>
          <w:rFonts w:hint="eastAsia"/>
          <w:szCs w:val="21"/>
          <w:highlight w:val="none"/>
        </w:rPr>
        <w:t>万元以下的为中小微型企业。其中，从业人员</w:t>
      </w:r>
      <w:r>
        <w:rPr>
          <w:szCs w:val="21"/>
          <w:highlight w:val="none"/>
        </w:rPr>
        <w:t>50</w:t>
      </w:r>
      <w:r>
        <w:rPr>
          <w:rFonts w:hint="eastAsia"/>
          <w:szCs w:val="21"/>
          <w:highlight w:val="none"/>
        </w:rPr>
        <w:t>人及以上，且营业收入</w:t>
      </w:r>
      <w:r>
        <w:rPr>
          <w:szCs w:val="21"/>
          <w:highlight w:val="none"/>
        </w:rPr>
        <w:t>500</w:t>
      </w:r>
      <w:r>
        <w:rPr>
          <w:rFonts w:hint="eastAsia"/>
          <w:szCs w:val="21"/>
          <w:highlight w:val="none"/>
        </w:rPr>
        <w:t>万元及以上的为中型企业；从业人员</w:t>
      </w:r>
      <w:r>
        <w:rPr>
          <w:szCs w:val="21"/>
          <w:highlight w:val="none"/>
        </w:rPr>
        <w:t>10</w:t>
      </w:r>
      <w:r>
        <w:rPr>
          <w:rFonts w:hint="eastAsia"/>
          <w:szCs w:val="21"/>
          <w:highlight w:val="none"/>
        </w:rPr>
        <w:t>人及以上，且营业收入</w:t>
      </w:r>
      <w:r>
        <w:rPr>
          <w:szCs w:val="21"/>
          <w:highlight w:val="none"/>
        </w:rPr>
        <w:t>100</w:t>
      </w:r>
      <w:r>
        <w:rPr>
          <w:rFonts w:hint="eastAsia"/>
          <w:szCs w:val="21"/>
          <w:highlight w:val="none"/>
        </w:rPr>
        <w:t>万元及以上的为小型企业；从业人员</w:t>
      </w:r>
      <w:r>
        <w:rPr>
          <w:szCs w:val="21"/>
          <w:highlight w:val="none"/>
        </w:rPr>
        <w:t>10</w:t>
      </w:r>
      <w:r>
        <w:rPr>
          <w:rFonts w:hint="eastAsia"/>
          <w:szCs w:val="21"/>
          <w:highlight w:val="none"/>
        </w:rPr>
        <w:t>人以下或营业收入</w:t>
      </w:r>
      <w:r>
        <w:rPr>
          <w:szCs w:val="21"/>
          <w:highlight w:val="none"/>
        </w:rPr>
        <w:t>100</w:t>
      </w:r>
      <w:r>
        <w:rPr>
          <w:rFonts w:hint="eastAsia"/>
          <w:szCs w:val="21"/>
          <w:highlight w:val="none"/>
        </w:rPr>
        <w:t>万元以下的为微型企业。</w:t>
      </w:r>
    </w:p>
    <w:p w14:paraId="78D416FE">
      <w:pPr>
        <w:pStyle w:val="2"/>
        <w:rPr>
          <w:szCs w:val="21"/>
          <w:highlight w:val="none"/>
        </w:rPr>
      </w:pPr>
      <w:r>
        <w:rPr>
          <w:rFonts w:hint="eastAsia"/>
          <w:szCs w:val="21"/>
          <w:highlight w:val="none"/>
        </w:rPr>
        <w:t>　　（六）交通运输业。从业人员</w:t>
      </w:r>
      <w:r>
        <w:rPr>
          <w:szCs w:val="21"/>
          <w:highlight w:val="none"/>
        </w:rPr>
        <w:t>1000</w:t>
      </w:r>
      <w:r>
        <w:rPr>
          <w:rFonts w:hint="eastAsia"/>
          <w:szCs w:val="21"/>
          <w:highlight w:val="none"/>
        </w:rPr>
        <w:t>人以下或营业收入</w:t>
      </w:r>
      <w:r>
        <w:rPr>
          <w:szCs w:val="21"/>
          <w:highlight w:val="none"/>
        </w:rPr>
        <w:t>30000</w:t>
      </w:r>
      <w:r>
        <w:rPr>
          <w:rFonts w:hint="eastAsia"/>
          <w:szCs w:val="21"/>
          <w:highlight w:val="none"/>
        </w:rPr>
        <w:t>万元以下的为中小微型企业。其中，从业人员</w:t>
      </w:r>
      <w:r>
        <w:rPr>
          <w:szCs w:val="21"/>
          <w:highlight w:val="none"/>
        </w:rPr>
        <w:t>300</w:t>
      </w:r>
      <w:r>
        <w:rPr>
          <w:rFonts w:hint="eastAsia"/>
          <w:szCs w:val="21"/>
          <w:highlight w:val="none"/>
        </w:rPr>
        <w:t>人及以上，且营业收入</w:t>
      </w:r>
      <w:r>
        <w:rPr>
          <w:szCs w:val="21"/>
          <w:highlight w:val="none"/>
        </w:rPr>
        <w:t>3000</w:t>
      </w:r>
      <w:r>
        <w:rPr>
          <w:rFonts w:hint="eastAsia"/>
          <w:szCs w:val="21"/>
          <w:highlight w:val="none"/>
        </w:rPr>
        <w:t>万元及以上的为中型企业；从业人员</w:t>
      </w:r>
      <w:r>
        <w:rPr>
          <w:szCs w:val="21"/>
          <w:highlight w:val="none"/>
        </w:rPr>
        <w:t>20</w:t>
      </w:r>
      <w:r>
        <w:rPr>
          <w:rFonts w:hint="eastAsia"/>
          <w:szCs w:val="21"/>
          <w:highlight w:val="none"/>
        </w:rPr>
        <w:t>人及以上，且营业收入</w:t>
      </w:r>
      <w:r>
        <w:rPr>
          <w:szCs w:val="21"/>
          <w:highlight w:val="none"/>
        </w:rPr>
        <w:t>200</w:t>
      </w:r>
      <w:r>
        <w:rPr>
          <w:rFonts w:hint="eastAsia"/>
          <w:szCs w:val="21"/>
          <w:highlight w:val="none"/>
        </w:rPr>
        <w:t>万元及以上的为小型企业；从业人员</w:t>
      </w:r>
      <w:r>
        <w:rPr>
          <w:szCs w:val="21"/>
          <w:highlight w:val="none"/>
        </w:rPr>
        <w:t>20</w:t>
      </w:r>
      <w:r>
        <w:rPr>
          <w:rFonts w:hint="eastAsia"/>
          <w:szCs w:val="21"/>
          <w:highlight w:val="none"/>
        </w:rPr>
        <w:t>人以下或营业收入</w:t>
      </w:r>
      <w:r>
        <w:rPr>
          <w:szCs w:val="21"/>
          <w:highlight w:val="none"/>
        </w:rPr>
        <w:t>200</w:t>
      </w:r>
      <w:r>
        <w:rPr>
          <w:rFonts w:hint="eastAsia"/>
          <w:szCs w:val="21"/>
          <w:highlight w:val="none"/>
        </w:rPr>
        <w:t>万元以下的为微型企业。</w:t>
      </w:r>
    </w:p>
    <w:p w14:paraId="0C9DFD55">
      <w:pPr>
        <w:pStyle w:val="2"/>
        <w:rPr>
          <w:szCs w:val="21"/>
          <w:highlight w:val="none"/>
        </w:rPr>
      </w:pPr>
      <w:r>
        <w:rPr>
          <w:rFonts w:hint="eastAsia"/>
          <w:szCs w:val="21"/>
          <w:highlight w:val="none"/>
        </w:rPr>
        <w:t>　　（七）仓储业。从业人员</w:t>
      </w:r>
      <w:r>
        <w:rPr>
          <w:szCs w:val="21"/>
          <w:highlight w:val="none"/>
        </w:rPr>
        <w:t>200</w:t>
      </w:r>
      <w:r>
        <w:rPr>
          <w:rFonts w:hint="eastAsia"/>
          <w:szCs w:val="21"/>
          <w:highlight w:val="none"/>
        </w:rPr>
        <w:t>人以下或营业收入</w:t>
      </w:r>
      <w:r>
        <w:rPr>
          <w:szCs w:val="21"/>
          <w:highlight w:val="none"/>
        </w:rPr>
        <w:t>30000</w:t>
      </w:r>
      <w:r>
        <w:rPr>
          <w:rFonts w:hint="eastAsia"/>
          <w:szCs w:val="21"/>
          <w:highlight w:val="none"/>
        </w:rPr>
        <w:t>万元以下的为中小微型企业。其中，从业人员</w:t>
      </w:r>
      <w:r>
        <w:rPr>
          <w:szCs w:val="21"/>
          <w:highlight w:val="none"/>
        </w:rPr>
        <w:t>100</w:t>
      </w:r>
      <w:r>
        <w:rPr>
          <w:rFonts w:hint="eastAsia"/>
          <w:szCs w:val="21"/>
          <w:highlight w:val="none"/>
        </w:rPr>
        <w:t>人及以上，且营业收入</w:t>
      </w:r>
      <w:r>
        <w:rPr>
          <w:szCs w:val="21"/>
          <w:highlight w:val="none"/>
        </w:rPr>
        <w:t>1000</w:t>
      </w:r>
      <w:r>
        <w:rPr>
          <w:rFonts w:hint="eastAsia"/>
          <w:szCs w:val="21"/>
          <w:highlight w:val="none"/>
        </w:rPr>
        <w:t>万元及以上的为中型企业；从业人员</w:t>
      </w:r>
      <w:r>
        <w:rPr>
          <w:szCs w:val="21"/>
          <w:highlight w:val="none"/>
        </w:rPr>
        <w:t>20</w:t>
      </w:r>
      <w:r>
        <w:rPr>
          <w:rFonts w:hint="eastAsia"/>
          <w:szCs w:val="21"/>
          <w:highlight w:val="none"/>
        </w:rPr>
        <w:t>人及以上，且营业收入</w:t>
      </w:r>
      <w:r>
        <w:rPr>
          <w:szCs w:val="21"/>
          <w:highlight w:val="none"/>
        </w:rPr>
        <w:t>100</w:t>
      </w:r>
      <w:r>
        <w:rPr>
          <w:rFonts w:hint="eastAsia"/>
          <w:szCs w:val="21"/>
          <w:highlight w:val="none"/>
        </w:rPr>
        <w:t>万元及以上的为小型企业；从业人员</w:t>
      </w:r>
      <w:r>
        <w:rPr>
          <w:szCs w:val="21"/>
          <w:highlight w:val="none"/>
        </w:rPr>
        <w:t>20</w:t>
      </w:r>
      <w:r>
        <w:rPr>
          <w:rFonts w:hint="eastAsia"/>
          <w:szCs w:val="21"/>
          <w:highlight w:val="none"/>
        </w:rPr>
        <w:t>人以下或营业收入</w:t>
      </w:r>
      <w:r>
        <w:rPr>
          <w:szCs w:val="21"/>
          <w:highlight w:val="none"/>
        </w:rPr>
        <w:t>100</w:t>
      </w:r>
      <w:r>
        <w:rPr>
          <w:rFonts w:hint="eastAsia"/>
          <w:szCs w:val="21"/>
          <w:highlight w:val="none"/>
        </w:rPr>
        <w:t>万元以下的为微型企业。</w:t>
      </w:r>
    </w:p>
    <w:p w14:paraId="1C7752AB">
      <w:pPr>
        <w:pStyle w:val="2"/>
        <w:rPr>
          <w:szCs w:val="21"/>
          <w:highlight w:val="none"/>
        </w:rPr>
      </w:pPr>
      <w:r>
        <w:rPr>
          <w:rFonts w:hint="eastAsia"/>
          <w:szCs w:val="21"/>
          <w:highlight w:val="none"/>
        </w:rPr>
        <w:t>　　（八）邮政业。从业人员</w:t>
      </w:r>
      <w:r>
        <w:rPr>
          <w:szCs w:val="21"/>
          <w:highlight w:val="none"/>
        </w:rPr>
        <w:t>1000</w:t>
      </w:r>
      <w:r>
        <w:rPr>
          <w:rFonts w:hint="eastAsia"/>
          <w:szCs w:val="21"/>
          <w:highlight w:val="none"/>
        </w:rPr>
        <w:t>人以下或营业收入</w:t>
      </w:r>
      <w:r>
        <w:rPr>
          <w:szCs w:val="21"/>
          <w:highlight w:val="none"/>
        </w:rPr>
        <w:t>30000</w:t>
      </w:r>
      <w:r>
        <w:rPr>
          <w:rFonts w:hint="eastAsia"/>
          <w:szCs w:val="21"/>
          <w:highlight w:val="none"/>
        </w:rPr>
        <w:t>万元以下的为中小微型企业。其中，从业人员</w:t>
      </w:r>
      <w:r>
        <w:rPr>
          <w:szCs w:val="21"/>
          <w:highlight w:val="none"/>
        </w:rPr>
        <w:t>300</w:t>
      </w:r>
      <w:r>
        <w:rPr>
          <w:rFonts w:hint="eastAsia"/>
          <w:szCs w:val="21"/>
          <w:highlight w:val="none"/>
        </w:rPr>
        <w:t>人及以上，且营业收入</w:t>
      </w:r>
      <w:r>
        <w:rPr>
          <w:szCs w:val="21"/>
          <w:highlight w:val="none"/>
        </w:rPr>
        <w:t>2000</w:t>
      </w:r>
      <w:r>
        <w:rPr>
          <w:rFonts w:hint="eastAsia"/>
          <w:szCs w:val="21"/>
          <w:highlight w:val="none"/>
        </w:rPr>
        <w:t>万元及以上的为中型企业；从业人员</w:t>
      </w:r>
      <w:r>
        <w:rPr>
          <w:szCs w:val="21"/>
          <w:highlight w:val="none"/>
        </w:rPr>
        <w:t>20</w:t>
      </w:r>
      <w:r>
        <w:rPr>
          <w:rFonts w:hint="eastAsia"/>
          <w:szCs w:val="21"/>
          <w:highlight w:val="none"/>
        </w:rPr>
        <w:t>人及以上，且营业收入</w:t>
      </w:r>
      <w:r>
        <w:rPr>
          <w:szCs w:val="21"/>
          <w:highlight w:val="none"/>
        </w:rPr>
        <w:t>100</w:t>
      </w:r>
      <w:r>
        <w:rPr>
          <w:rFonts w:hint="eastAsia"/>
          <w:szCs w:val="21"/>
          <w:highlight w:val="none"/>
        </w:rPr>
        <w:t>万元及以上的为小型企业；从业人员</w:t>
      </w:r>
      <w:r>
        <w:rPr>
          <w:szCs w:val="21"/>
          <w:highlight w:val="none"/>
        </w:rPr>
        <w:t>20</w:t>
      </w:r>
      <w:r>
        <w:rPr>
          <w:rFonts w:hint="eastAsia"/>
          <w:szCs w:val="21"/>
          <w:highlight w:val="none"/>
        </w:rPr>
        <w:t>人以下或营业收入</w:t>
      </w:r>
      <w:r>
        <w:rPr>
          <w:szCs w:val="21"/>
          <w:highlight w:val="none"/>
        </w:rPr>
        <w:t>100</w:t>
      </w:r>
      <w:r>
        <w:rPr>
          <w:rFonts w:hint="eastAsia"/>
          <w:szCs w:val="21"/>
          <w:highlight w:val="none"/>
        </w:rPr>
        <w:t>万元以下的为微型企业。</w:t>
      </w:r>
    </w:p>
    <w:p w14:paraId="7C2ECBE2">
      <w:pPr>
        <w:pStyle w:val="2"/>
        <w:rPr>
          <w:szCs w:val="21"/>
          <w:highlight w:val="none"/>
        </w:rPr>
      </w:pPr>
      <w:r>
        <w:rPr>
          <w:rFonts w:hint="eastAsia"/>
          <w:szCs w:val="21"/>
          <w:highlight w:val="none"/>
        </w:rPr>
        <w:t>　　（九）住宿业。从业人员</w:t>
      </w:r>
      <w:r>
        <w:rPr>
          <w:szCs w:val="21"/>
          <w:highlight w:val="none"/>
        </w:rPr>
        <w:t>300</w:t>
      </w:r>
      <w:r>
        <w:rPr>
          <w:rFonts w:hint="eastAsia"/>
          <w:szCs w:val="21"/>
          <w:highlight w:val="none"/>
        </w:rPr>
        <w:t>人以下或营业收入</w:t>
      </w:r>
      <w:r>
        <w:rPr>
          <w:szCs w:val="21"/>
          <w:highlight w:val="none"/>
        </w:rPr>
        <w:t>10000</w:t>
      </w:r>
      <w:r>
        <w:rPr>
          <w:rFonts w:hint="eastAsia"/>
          <w:szCs w:val="21"/>
          <w:highlight w:val="none"/>
        </w:rPr>
        <w:t>万元以下的为中小微型企业。其中，从业人员</w:t>
      </w:r>
      <w:r>
        <w:rPr>
          <w:szCs w:val="21"/>
          <w:highlight w:val="none"/>
        </w:rPr>
        <w:t>100</w:t>
      </w:r>
      <w:r>
        <w:rPr>
          <w:rFonts w:hint="eastAsia"/>
          <w:szCs w:val="21"/>
          <w:highlight w:val="none"/>
        </w:rPr>
        <w:t>人及以上，且营业收入</w:t>
      </w:r>
      <w:r>
        <w:rPr>
          <w:szCs w:val="21"/>
          <w:highlight w:val="none"/>
        </w:rPr>
        <w:t>2000</w:t>
      </w:r>
      <w:r>
        <w:rPr>
          <w:rFonts w:hint="eastAsia"/>
          <w:szCs w:val="21"/>
          <w:highlight w:val="none"/>
        </w:rPr>
        <w:t>万元及以上的为中型企业；从业人员</w:t>
      </w:r>
      <w:r>
        <w:rPr>
          <w:szCs w:val="21"/>
          <w:highlight w:val="none"/>
        </w:rPr>
        <w:t>10</w:t>
      </w:r>
      <w:r>
        <w:rPr>
          <w:rFonts w:hint="eastAsia"/>
          <w:szCs w:val="21"/>
          <w:highlight w:val="none"/>
        </w:rPr>
        <w:t>人及以上，且营业收入</w:t>
      </w:r>
      <w:r>
        <w:rPr>
          <w:szCs w:val="21"/>
          <w:highlight w:val="none"/>
        </w:rPr>
        <w:t>100</w:t>
      </w:r>
      <w:r>
        <w:rPr>
          <w:rFonts w:hint="eastAsia"/>
          <w:szCs w:val="21"/>
          <w:highlight w:val="none"/>
        </w:rPr>
        <w:t>万元及以上的为小型企业；从业人员</w:t>
      </w:r>
      <w:r>
        <w:rPr>
          <w:szCs w:val="21"/>
          <w:highlight w:val="none"/>
        </w:rPr>
        <w:t>10</w:t>
      </w:r>
      <w:r>
        <w:rPr>
          <w:rFonts w:hint="eastAsia"/>
          <w:szCs w:val="21"/>
          <w:highlight w:val="none"/>
        </w:rPr>
        <w:t>人以下或营业收入</w:t>
      </w:r>
      <w:r>
        <w:rPr>
          <w:szCs w:val="21"/>
          <w:highlight w:val="none"/>
        </w:rPr>
        <w:t>100</w:t>
      </w:r>
      <w:r>
        <w:rPr>
          <w:rFonts w:hint="eastAsia"/>
          <w:szCs w:val="21"/>
          <w:highlight w:val="none"/>
        </w:rPr>
        <w:t>万元以下的为微型企业。</w:t>
      </w:r>
    </w:p>
    <w:p w14:paraId="26981CE0">
      <w:pPr>
        <w:pStyle w:val="2"/>
        <w:rPr>
          <w:szCs w:val="21"/>
          <w:highlight w:val="none"/>
        </w:rPr>
      </w:pPr>
      <w:r>
        <w:rPr>
          <w:rFonts w:hint="eastAsia"/>
          <w:szCs w:val="21"/>
          <w:highlight w:val="none"/>
        </w:rPr>
        <w:t>　　（十）餐饮业。从业人员</w:t>
      </w:r>
      <w:r>
        <w:rPr>
          <w:szCs w:val="21"/>
          <w:highlight w:val="none"/>
        </w:rPr>
        <w:t>300</w:t>
      </w:r>
      <w:r>
        <w:rPr>
          <w:rFonts w:hint="eastAsia"/>
          <w:szCs w:val="21"/>
          <w:highlight w:val="none"/>
        </w:rPr>
        <w:t>人以下或营业收入</w:t>
      </w:r>
      <w:r>
        <w:rPr>
          <w:szCs w:val="21"/>
          <w:highlight w:val="none"/>
        </w:rPr>
        <w:t>10000</w:t>
      </w:r>
      <w:r>
        <w:rPr>
          <w:rFonts w:hint="eastAsia"/>
          <w:szCs w:val="21"/>
          <w:highlight w:val="none"/>
        </w:rPr>
        <w:t>万元以下的为中小微型企业。其中，从业人员</w:t>
      </w:r>
      <w:r>
        <w:rPr>
          <w:szCs w:val="21"/>
          <w:highlight w:val="none"/>
        </w:rPr>
        <w:t>100</w:t>
      </w:r>
      <w:r>
        <w:rPr>
          <w:rFonts w:hint="eastAsia"/>
          <w:szCs w:val="21"/>
          <w:highlight w:val="none"/>
        </w:rPr>
        <w:t>人及以上，且营业收入</w:t>
      </w:r>
      <w:r>
        <w:rPr>
          <w:szCs w:val="21"/>
          <w:highlight w:val="none"/>
        </w:rPr>
        <w:t>2000</w:t>
      </w:r>
      <w:r>
        <w:rPr>
          <w:rFonts w:hint="eastAsia"/>
          <w:szCs w:val="21"/>
          <w:highlight w:val="none"/>
        </w:rPr>
        <w:t>万元及以上的为中型企业；从业人员</w:t>
      </w:r>
      <w:r>
        <w:rPr>
          <w:szCs w:val="21"/>
          <w:highlight w:val="none"/>
        </w:rPr>
        <w:t>10</w:t>
      </w:r>
      <w:r>
        <w:rPr>
          <w:rFonts w:hint="eastAsia"/>
          <w:szCs w:val="21"/>
          <w:highlight w:val="none"/>
        </w:rPr>
        <w:t>人及以上，且营业收入</w:t>
      </w:r>
      <w:r>
        <w:rPr>
          <w:szCs w:val="21"/>
          <w:highlight w:val="none"/>
        </w:rPr>
        <w:t>100</w:t>
      </w:r>
      <w:r>
        <w:rPr>
          <w:rFonts w:hint="eastAsia"/>
          <w:szCs w:val="21"/>
          <w:highlight w:val="none"/>
        </w:rPr>
        <w:t>万元及以上的为小型企业；从业人员</w:t>
      </w:r>
      <w:r>
        <w:rPr>
          <w:szCs w:val="21"/>
          <w:highlight w:val="none"/>
        </w:rPr>
        <w:t>10</w:t>
      </w:r>
      <w:r>
        <w:rPr>
          <w:rFonts w:hint="eastAsia"/>
          <w:szCs w:val="21"/>
          <w:highlight w:val="none"/>
        </w:rPr>
        <w:t>人以下或营业收入</w:t>
      </w:r>
      <w:r>
        <w:rPr>
          <w:szCs w:val="21"/>
          <w:highlight w:val="none"/>
        </w:rPr>
        <w:t>100</w:t>
      </w:r>
      <w:r>
        <w:rPr>
          <w:rFonts w:hint="eastAsia"/>
          <w:szCs w:val="21"/>
          <w:highlight w:val="none"/>
        </w:rPr>
        <w:t>万元以下的为微型企业。</w:t>
      </w:r>
    </w:p>
    <w:p w14:paraId="44306807">
      <w:pPr>
        <w:pStyle w:val="2"/>
        <w:rPr>
          <w:szCs w:val="21"/>
          <w:highlight w:val="none"/>
        </w:rPr>
      </w:pPr>
      <w:r>
        <w:rPr>
          <w:rFonts w:hint="eastAsia"/>
          <w:szCs w:val="21"/>
          <w:highlight w:val="none"/>
        </w:rPr>
        <w:t>　　（十一）信息传输业。从业人员</w:t>
      </w:r>
      <w:r>
        <w:rPr>
          <w:szCs w:val="21"/>
          <w:highlight w:val="none"/>
        </w:rPr>
        <w:t>2000</w:t>
      </w:r>
      <w:r>
        <w:rPr>
          <w:rFonts w:hint="eastAsia"/>
          <w:szCs w:val="21"/>
          <w:highlight w:val="none"/>
        </w:rPr>
        <w:t>人以下或营业收入</w:t>
      </w:r>
      <w:r>
        <w:rPr>
          <w:szCs w:val="21"/>
          <w:highlight w:val="none"/>
        </w:rPr>
        <w:t>100000</w:t>
      </w:r>
      <w:r>
        <w:rPr>
          <w:rFonts w:hint="eastAsia"/>
          <w:szCs w:val="21"/>
          <w:highlight w:val="none"/>
        </w:rPr>
        <w:t>万元以下的为中小微型企业。其中，从业人员</w:t>
      </w:r>
      <w:r>
        <w:rPr>
          <w:szCs w:val="21"/>
          <w:highlight w:val="none"/>
        </w:rPr>
        <w:t>100</w:t>
      </w:r>
      <w:r>
        <w:rPr>
          <w:rFonts w:hint="eastAsia"/>
          <w:szCs w:val="21"/>
          <w:highlight w:val="none"/>
        </w:rPr>
        <w:t>人及以上，且营业收入</w:t>
      </w:r>
      <w:r>
        <w:rPr>
          <w:szCs w:val="21"/>
          <w:highlight w:val="none"/>
        </w:rPr>
        <w:t>1000</w:t>
      </w:r>
      <w:r>
        <w:rPr>
          <w:rFonts w:hint="eastAsia"/>
          <w:szCs w:val="21"/>
          <w:highlight w:val="none"/>
        </w:rPr>
        <w:t>万元及以上的为中型企业；从业人员</w:t>
      </w:r>
      <w:r>
        <w:rPr>
          <w:szCs w:val="21"/>
          <w:highlight w:val="none"/>
        </w:rPr>
        <w:t>10</w:t>
      </w:r>
      <w:r>
        <w:rPr>
          <w:rFonts w:hint="eastAsia"/>
          <w:szCs w:val="21"/>
          <w:highlight w:val="none"/>
        </w:rPr>
        <w:t>人及以上，且营业收入</w:t>
      </w:r>
      <w:r>
        <w:rPr>
          <w:szCs w:val="21"/>
          <w:highlight w:val="none"/>
        </w:rPr>
        <w:t>100</w:t>
      </w:r>
      <w:r>
        <w:rPr>
          <w:rFonts w:hint="eastAsia"/>
          <w:szCs w:val="21"/>
          <w:highlight w:val="none"/>
        </w:rPr>
        <w:t>万元及以上的为小型企业；从业人员</w:t>
      </w:r>
      <w:r>
        <w:rPr>
          <w:szCs w:val="21"/>
          <w:highlight w:val="none"/>
        </w:rPr>
        <w:t>10</w:t>
      </w:r>
      <w:r>
        <w:rPr>
          <w:rFonts w:hint="eastAsia"/>
          <w:szCs w:val="21"/>
          <w:highlight w:val="none"/>
        </w:rPr>
        <w:t>人以下或营业收入</w:t>
      </w:r>
      <w:r>
        <w:rPr>
          <w:szCs w:val="21"/>
          <w:highlight w:val="none"/>
        </w:rPr>
        <w:t>100</w:t>
      </w:r>
      <w:r>
        <w:rPr>
          <w:rFonts w:hint="eastAsia"/>
          <w:szCs w:val="21"/>
          <w:highlight w:val="none"/>
        </w:rPr>
        <w:t>万元以下的为微型企业。</w:t>
      </w:r>
    </w:p>
    <w:p w14:paraId="71ECDF09">
      <w:pPr>
        <w:pStyle w:val="2"/>
        <w:rPr>
          <w:szCs w:val="21"/>
          <w:highlight w:val="none"/>
        </w:rPr>
      </w:pPr>
      <w:r>
        <w:rPr>
          <w:rFonts w:hint="eastAsia"/>
          <w:szCs w:val="21"/>
          <w:highlight w:val="none"/>
        </w:rPr>
        <w:t>　　（十二）软件和信息技术服务业。从业人员</w:t>
      </w:r>
      <w:r>
        <w:rPr>
          <w:szCs w:val="21"/>
          <w:highlight w:val="none"/>
        </w:rPr>
        <w:t>300</w:t>
      </w:r>
      <w:r>
        <w:rPr>
          <w:rFonts w:hint="eastAsia"/>
          <w:szCs w:val="21"/>
          <w:highlight w:val="none"/>
        </w:rPr>
        <w:t>人以下或营业收入</w:t>
      </w:r>
      <w:r>
        <w:rPr>
          <w:szCs w:val="21"/>
          <w:highlight w:val="none"/>
        </w:rPr>
        <w:t>10000</w:t>
      </w:r>
      <w:r>
        <w:rPr>
          <w:rFonts w:hint="eastAsia"/>
          <w:szCs w:val="21"/>
          <w:highlight w:val="none"/>
        </w:rPr>
        <w:t>万元以下的为中小微型企业。其中，从业人员</w:t>
      </w:r>
      <w:r>
        <w:rPr>
          <w:szCs w:val="21"/>
          <w:highlight w:val="none"/>
        </w:rPr>
        <w:t>100</w:t>
      </w:r>
      <w:r>
        <w:rPr>
          <w:rFonts w:hint="eastAsia"/>
          <w:szCs w:val="21"/>
          <w:highlight w:val="none"/>
        </w:rPr>
        <w:t>人及以上，且营业收入</w:t>
      </w:r>
      <w:r>
        <w:rPr>
          <w:szCs w:val="21"/>
          <w:highlight w:val="none"/>
        </w:rPr>
        <w:t>1000</w:t>
      </w:r>
      <w:r>
        <w:rPr>
          <w:rFonts w:hint="eastAsia"/>
          <w:szCs w:val="21"/>
          <w:highlight w:val="none"/>
        </w:rPr>
        <w:t>万元及以上的为中型企业；从业人员</w:t>
      </w:r>
      <w:r>
        <w:rPr>
          <w:szCs w:val="21"/>
          <w:highlight w:val="none"/>
        </w:rPr>
        <w:t>10</w:t>
      </w:r>
      <w:r>
        <w:rPr>
          <w:rFonts w:hint="eastAsia"/>
          <w:szCs w:val="21"/>
          <w:highlight w:val="none"/>
        </w:rPr>
        <w:t>人及以上，且营业收入</w:t>
      </w:r>
      <w:r>
        <w:rPr>
          <w:szCs w:val="21"/>
          <w:highlight w:val="none"/>
        </w:rPr>
        <w:t>50</w:t>
      </w:r>
      <w:r>
        <w:rPr>
          <w:rFonts w:hint="eastAsia"/>
          <w:szCs w:val="21"/>
          <w:highlight w:val="none"/>
        </w:rPr>
        <w:t>万元及以上的为小型企业；从业人员</w:t>
      </w:r>
      <w:r>
        <w:rPr>
          <w:szCs w:val="21"/>
          <w:highlight w:val="none"/>
        </w:rPr>
        <w:t>10</w:t>
      </w:r>
      <w:r>
        <w:rPr>
          <w:rFonts w:hint="eastAsia"/>
          <w:szCs w:val="21"/>
          <w:highlight w:val="none"/>
        </w:rPr>
        <w:t>人以下或营业收入</w:t>
      </w:r>
      <w:r>
        <w:rPr>
          <w:szCs w:val="21"/>
          <w:highlight w:val="none"/>
        </w:rPr>
        <w:t>50</w:t>
      </w:r>
      <w:r>
        <w:rPr>
          <w:rFonts w:hint="eastAsia"/>
          <w:szCs w:val="21"/>
          <w:highlight w:val="none"/>
        </w:rPr>
        <w:t>万元以下的为微型企业。</w:t>
      </w:r>
    </w:p>
    <w:p w14:paraId="7CA065B6">
      <w:pPr>
        <w:pStyle w:val="2"/>
        <w:rPr>
          <w:szCs w:val="21"/>
          <w:highlight w:val="none"/>
        </w:rPr>
      </w:pPr>
      <w:r>
        <w:rPr>
          <w:rFonts w:hint="eastAsia"/>
          <w:szCs w:val="21"/>
          <w:highlight w:val="none"/>
        </w:rPr>
        <w:t>　　（十三）房地产开发经营。营业收入</w:t>
      </w:r>
      <w:r>
        <w:rPr>
          <w:szCs w:val="21"/>
          <w:highlight w:val="none"/>
        </w:rPr>
        <w:t>200000</w:t>
      </w:r>
      <w:r>
        <w:rPr>
          <w:rFonts w:hint="eastAsia"/>
          <w:szCs w:val="21"/>
          <w:highlight w:val="none"/>
        </w:rPr>
        <w:t>万元以下或资产总额</w:t>
      </w:r>
      <w:r>
        <w:rPr>
          <w:szCs w:val="21"/>
          <w:highlight w:val="none"/>
        </w:rPr>
        <w:t>10000</w:t>
      </w:r>
      <w:r>
        <w:rPr>
          <w:rFonts w:hint="eastAsia"/>
          <w:szCs w:val="21"/>
          <w:highlight w:val="none"/>
        </w:rPr>
        <w:t>万元以下的为中小微型企业。其中，营业收入</w:t>
      </w:r>
      <w:r>
        <w:rPr>
          <w:szCs w:val="21"/>
          <w:highlight w:val="none"/>
        </w:rPr>
        <w:t>1000</w:t>
      </w:r>
      <w:r>
        <w:rPr>
          <w:rFonts w:hint="eastAsia"/>
          <w:szCs w:val="21"/>
          <w:highlight w:val="none"/>
        </w:rPr>
        <w:t>万元及以上，且资产总额</w:t>
      </w:r>
      <w:r>
        <w:rPr>
          <w:szCs w:val="21"/>
          <w:highlight w:val="none"/>
        </w:rPr>
        <w:t>5000</w:t>
      </w:r>
      <w:r>
        <w:rPr>
          <w:rFonts w:hint="eastAsia"/>
          <w:szCs w:val="21"/>
          <w:highlight w:val="none"/>
        </w:rPr>
        <w:t>万元及以上的为中型企业；营业收入</w:t>
      </w:r>
      <w:r>
        <w:rPr>
          <w:szCs w:val="21"/>
          <w:highlight w:val="none"/>
        </w:rPr>
        <w:t>100</w:t>
      </w:r>
      <w:r>
        <w:rPr>
          <w:rFonts w:hint="eastAsia"/>
          <w:szCs w:val="21"/>
          <w:highlight w:val="none"/>
        </w:rPr>
        <w:t>万元及以上，且资产总额</w:t>
      </w:r>
      <w:r>
        <w:rPr>
          <w:szCs w:val="21"/>
          <w:highlight w:val="none"/>
        </w:rPr>
        <w:t>2000</w:t>
      </w:r>
      <w:r>
        <w:rPr>
          <w:rFonts w:hint="eastAsia"/>
          <w:szCs w:val="21"/>
          <w:highlight w:val="none"/>
        </w:rPr>
        <w:t>万元及以上的为小型企业；营业收入</w:t>
      </w:r>
      <w:r>
        <w:rPr>
          <w:szCs w:val="21"/>
          <w:highlight w:val="none"/>
        </w:rPr>
        <w:t>100</w:t>
      </w:r>
      <w:r>
        <w:rPr>
          <w:rFonts w:hint="eastAsia"/>
          <w:szCs w:val="21"/>
          <w:highlight w:val="none"/>
        </w:rPr>
        <w:t>万元以下或资产总额</w:t>
      </w:r>
      <w:r>
        <w:rPr>
          <w:szCs w:val="21"/>
          <w:highlight w:val="none"/>
        </w:rPr>
        <w:t>2000</w:t>
      </w:r>
      <w:r>
        <w:rPr>
          <w:rFonts w:hint="eastAsia"/>
          <w:szCs w:val="21"/>
          <w:highlight w:val="none"/>
        </w:rPr>
        <w:t>万元以下的为微型企业。</w:t>
      </w:r>
    </w:p>
    <w:p w14:paraId="47962D67">
      <w:pPr>
        <w:pStyle w:val="2"/>
        <w:rPr>
          <w:szCs w:val="21"/>
          <w:highlight w:val="none"/>
        </w:rPr>
      </w:pPr>
      <w:r>
        <w:rPr>
          <w:rFonts w:hint="eastAsia"/>
          <w:szCs w:val="21"/>
          <w:highlight w:val="none"/>
        </w:rPr>
        <w:t>　　（十四）物业管理。从业人员</w:t>
      </w:r>
      <w:r>
        <w:rPr>
          <w:szCs w:val="21"/>
          <w:highlight w:val="none"/>
        </w:rPr>
        <w:t>1000</w:t>
      </w:r>
      <w:r>
        <w:rPr>
          <w:rFonts w:hint="eastAsia"/>
          <w:szCs w:val="21"/>
          <w:highlight w:val="none"/>
        </w:rPr>
        <w:t>人以下或营业收入</w:t>
      </w:r>
      <w:r>
        <w:rPr>
          <w:szCs w:val="21"/>
          <w:highlight w:val="none"/>
        </w:rPr>
        <w:t>5000</w:t>
      </w:r>
      <w:r>
        <w:rPr>
          <w:rFonts w:hint="eastAsia"/>
          <w:szCs w:val="21"/>
          <w:highlight w:val="none"/>
        </w:rPr>
        <w:t>万元以下的为中小微型企业。其中，从业人员</w:t>
      </w:r>
      <w:r>
        <w:rPr>
          <w:szCs w:val="21"/>
          <w:highlight w:val="none"/>
        </w:rPr>
        <w:t>300</w:t>
      </w:r>
      <w:r>
        <w:rPr>
          <w:rFonts w:hint="eastAsia"/>
          <w:szCs w:val="21"/>
          <w:highlight w:val="none"/>
        </w:rPr>
        <w:t>人及以上，且营业收入</w:t>
      </w:r>
      <w:r>
        <w:rPr>
          <w:szCs w:val="21"/>
          <w:highlight w:val="none"/>
        </w:rPr>
        <w:t>1000</w:t>
      </w:r>
      <w:r>
        <w:rPr>
          <w:rFonts w:hint="eastAsia"/>
          <w:szCs w:val="21"/>
          <w:highlight w:val="none"/>
        </w:rPr>
        <w:t>万元及以上的为中型企业；从业人员</w:t>
      </w:r>
      <w:r>
        <w:rPr>
          <w:szCs w:val="21"/>
          <w:highlight w:val="none"/>
        </w:rPr>
        <w:t>100</w:t>
      </w:r>
      <w:r>
        <w:rPr>
          <w:rFonts w:hint="eastAsia"/>
          <w:szCs w:val="21"/>
          <w:highlight w:val="none"/>
        </w:rPr>
        <w:t>人及以上，且营业收入</w:t>
      </w:r>
      <w:r>
        <w:rPr>
          <w:szCs w:val="21"/>
          <w:highlight w:val="none"/>
        </w:rPr>
        <w:t>500</w:t>
      </w:r>
      <w:r>
        <w:rPr>
          <w:rFonts w:hint="eastAsia"/>
          <w:szCs w:val="21"/>
          <w:highlight w:val="none"/>
        </w:rPr>
        <w:t>万元及以上的为小型企业；从业人员</w:t>
      </w:r>
      <w:r>
        <w:rPr>
          <w:szCs w:val="21"/>
          <w:highlight w:val="none"/>
        </w:rPr>
        <w:t>100</w:t>
      </w:r>
      <w:r>
        <w:rPr>
          <w:rFonts w:hint="eastAsia"/>
          <w:szCs w:val="21"/>
          <w:highlight w:val="none"/>
        </w:rPr>
        <w:t>人以下或营业收入</w:t>
      </w:r>
      <w:r>
        <w:rPr>
          <w:szCs w:val="21"/>
          <w:highlight w:val="none"/>
        </w:rPr>
        <w:t>500</w:t>
      </w:r>
      <w:r>
        <w:rPr>
          <w:rFonts w:hint="eastAsia"/>
          <w:szCs w:val="21"/>
          <w:highlight w:val="none"/>
        </w:rPr>
        <w:t>万元以下的为微型企业。</w:t>
      </w:r>
    </w:p>
    <w:p w14:paraId="6E8F603C">
      <w:pPr>
        <w:pStyle w:val="2"/>
        <w:rPr>
          <w:szCs w:val="21"/>
          <w:highlight w:val="none"/>
        </w:rPr>
      </w:pPr>
      <w:r>
        <w:rPr>
          <w:rFonts w:hint="eastAsia"/>
          <w:szCs w:val="21"/>
          <w:highlight w:val="none"/>
        </w:rPr>
        <w:t>　　（十五）租赁和商务服务业。从业人员</w:t>
      </w:r>
      <w:r>
        <w:rPr>
          <w:szCs w:val="21"/>
          <w:highlight w:val="none"/>
        </w:rPr>
        <w:t>300</w:t>
      </w:r>
      <w:r>
        <w:rPr>
          <w:rFonts w:hint="eastAsia"/>
          <w:szCs w:val="21"/>
          <w:highlight w:val="none"/>
        </w:rPr>
        <w:t>人以下或资产总额</w:t>
      </w:r>
      <w:r>
        <w:rPr>
          <w:szCs w:val="21"/>
          <w:highlight w:val="none"/>
        </w:rPr>
        <w:t>120000</w:t>
      </w:r>
      <w:r>
        <w:rPr>
          <w:rFonts w:hint="eastAsia"/>
          <w:szCs w:val="21"/>
          <w:highlight w:val="none"/>
        </w:rPr>
        <w:t>万元以下的为中小微型企业。其中，从业人员</w:t>
      </w:r>
      <w:r>
        <w:rPr>
          <w:szCs w:val="21"/>
          <w:highlight w:val="none"/>
        </w:rPr>
        <w:t>100</w:t>
      </w:r>
      <w:r>
        <w:rPr>
          <w:rFonts w:hint="eastAsia"/>
          <w:szCs w:val="21"/>
          <w:highlight w:val="none"/>
        </w:rPr>
        <w:t>人及以上，且资产总额</w:t>
      </w:r>
      <w:r>
        <w:rPr>
          <w:szCs w:val="21"/>
          <w:highlight w:val="none"/>
        </w:rPr>
        <w:t>8000</w:t>
      </w:r>
      <w:r>
        <w:rPr>
          <w:rFonts w:hint="eastAsia"/>
          <w:szCs w:val="21"/>
          <w:highlight w:val="none"/>
        </w:rPr>
        <w:t>万元及以上的为中型企业；从业人员</w:t>
      </w:r>
      <w:r>
        <w:rPr>
          <w:szCs w:val="21"/>
          <w:highlight w:val="none"/>
        </w:rPr>
        <w:t>10</w:t>
      </w:r>
      <w:r>
        <w:rPr>
          <w:rFonts w:hint="eastAsia"/>
          <w:szCs w:val="21"/>
          <w:highlight w:val="none"/>
        </w:rPr>
        <w:t>人及以上，且资产总额</w:t>
      </w:r>
      <w:r>
        <w:rPr>
          <w:szCs w:val="21"/>
          <w:highlight w:val="none"/>
        </w:rPr>
        <w:t>100</w:t>
      </w:r>
      <w:r>
        <w:rPr>
          <w:rFonts w:hint="eastAsia"/>
          <w:szCs w:val="21"/>
          <w:highlight w:val="none"/>
        </w:rPr>
        <w:t>万元及以上的为小型企业；从业人员</w:t>
      </w:r>
      <w:r>
        <w:rPr>
          <w:szCs w:val="21"/>
          <w:highlight w:val="none"/>
        </w:rPr>
        <w:t>10</w:t>
      </w:r>
      <w:r>
        <w:rPr>
          <w:rFonts w:hint="eastAsia"/>
          <w:szCs w:val="21"/>
          <w:highlight w:val="none"/>
        </w:rPr>
        <w:t>人以下或资产总额</w:t>
      </w:r>
      <w:r>
        <w:rPr>
          <w:szCs w:val="21"/>
          <w:highlight w:val="none"/>
        </w:rPr>
        <w:t>100</w:t>
      </w:r>
      <w:r>
        <w:rPr>
          <w:rFonts w:hint="eastAsia"/>
          <w:szCs w:val="21"/>
          <w:highlight w:val="none"/>
        </w:rPr>
        <w:t>万元以下的为微型企业。</w:t>
      </w:r>
    </w:p>
    <w:p w14:paraId="68805F99">
      <w:pPr>
        <w:pStyle w:val="2"/>
        <w:rPr>
          <w:szCs w:val="21"/>
          <w:highlight w:val="none"/>
        </w:rPr>
      </w:pPr>
      <w:r>
        <w:rPr>
          <w:rFonts w:hint="eastAsia"/>
          <w:szCs w:val="21"/>
          <w:highlight w:val="none"/>
        </w:rPr>
        <w:t>　　（十六）其他未列明行业。从业人员</w:t>
      </w:r>
      <w:r>
        <w:rPr>
          <w:szCs w:val="21"/>
          <w:highlight w:val="none"/>
        </w:rPr>
        <w:t>300</w:t>
      </w:r>
      <w:r>
        <w:rPr>
          <w:rFonts w:hint="eastAsia"/>
          <w:szCs w:val="21"/>
          <w:highlight w:val="none"/>
        </w:rPr>
        <w:t>人以下的为中小微型企业。其中，从业人员</w:t>
      </w:r>
      <w:r>
        <w:rPr>
          <w:szCs w:val="21"/>
          <w:highlight w:val="none"/>
        </w:rPr>
        <w:t>100</w:t>
      </w:r>
      <w:r>
        <w:rPr>
          <w:rFonts w:hint="eastAsia"/>
          <w:szCs w:val="21"/>
          <w:highlight w:val="none"/>
        </w:rPr>
        <w:t>人及以上的为中型企业；从业人员</w:t>
      </w:r>
      <w:r>
        <w:rPr>
          <w:szCs w:val="21"/>
          <w:highlight w:val="none"/>
        </w:rPr>
        <w:t>10</w:t>
      </w:r>
      <w:r>
        <w:rPr>
          <w:rFonts w:hint="eastAsia"/>
          <w:szCs w:val="21"/>
          <w:highlight w:val="none"/>
        </w:rPr>
        <w:t>人及以上的为小型企业；从业人员</w:t>
      </w:r>
      <w:r>
        <w:rPr>
          <w:szCs w:val="21"/>
          <w:highlight w:val="none"/>
        </w:rPr>
        <w:t>10</w:t>
      </w:r>
      <w:r>
        <w:rPr>
          <w:rFonts w:hint="eastAsia"/>
          <w:szCs w:val="21"/>
          <w:highlight w:val="none"/>
        </w:rPr>
        <w:t>人以下的为微型企业。</w:t>
      </w:r>
    </w:p>
    <w:p w14:paraId="5C757007">
      <w:pPr>
        <w:pStyle w:val="2"/>
        <w:rPr>
          <w:szCs w:val="21"/>
          <w:highlight w:val="none"/>
        </w:rPr>
      </w:pPr>
      <w:r>
        <w:rPr>
          <w:rFonts w:hint="eastAsia"/>
          <w:szCs w:val="21"/>
          <w:highlight w:val="none"/>
        </w:rPr>
        <w:t>　　五、企业类型的划分以统计部门的统计数据为依据。</w:t>
      </w:r>
    </w:p>
    <w:p w14:paraId="6AD33C66">
      <w:pPr>
        <w:pStyle w:val="2"/>
        <w:rPr>
          <w:szCs w:val="21"/>
          <w:highlight w:val="none"/>
        </w:rPr>
      </w:pPr>
      <w:r>
        <w:rPr>
          <w:rFonts w:hint="eastAsia"/>
          <w:szCs w:val="21"/>
          <w:highlight w:val="none"/>
        </w:rPr>
        <w:t>　　六、本规定适用于在中华人民共和国境内依法设立的各类所有制和各种组织形式的企业。个体工商户和本规定以外的行业，参照本规定进行划型。</w:t>
      </w:r>
    </w:p>
    <w:p w14:paraId="522F24D6">
      <w:pPr>
        <w:pStyle w:val="2"/>
        <w:rPr>
          <w:szCs w:val="21"/>
          <w:highlight w:val="none"/>
        </w:rPr>
      </w:pPr>
      <w:r>
        <w:rPr>
          <w:rFonts w:hint="eastAsia"/>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459F37B2">
      <w:pPr>
        <w:pStyle w:val="2"/>
        <w:rPr>
          <w:szCs w:val="21"/>
          <w:highlight w:val="none"/>
        </w:rPr>
      </w:pPr>
      <w:r>
        <w:rPr>
          <w:rFonts w:hint="eastAsia"/>
          <w:szCs w:val="21"/>
          <w:highlight w:val="none"/>
        </w:rPr>
        <w:t>　　八、本规定由工业和信息化部、国家统计局会同有关部门根据《国民经济行业分类》修订情况和企业发展变化情况适时修订。</w:t>
      </w:r>
    </w:p>
    <w:p w14:paraId="23A71DA8">
      <w:pPr>
        <w:pStyle w:val="2"/>
        <w:rPr>
          <w:szCs w:val="21"/>
          <w:highlight w:val="none"/>
        </w:rPr>
      </w:pPr>
      <w:r>
        <w:rPr>
          <w:rFonts w:hint="eastAsia"/>
          <w:szCs w:val="21"/>
          <w:highlight w:val="none"/>
        </w:rPr>
        <w:t>　　九、本规定由工业和信息化部、国家统计局会同有关部门负责解释。</w:t>
      </w:r>
    </w:p>
    <w:p w14:paraId="5B5BD36E">
      <w:pPr>
        <w:tabs>
          <w:tab w:val="left" w:pos="180"/>
          <w:tab w:val="left" w:pos="1620"/>
        </w:tabs>
        <w:spacing w:line="360" w:lineRule="auto"/>
        <w:ind w:firstLine="420" w:firstLineChars="200"/>
        <w:rPr>
          <w:rFonts w:ascii="宋体" w:hAnsi="宋体" w:cs="宋体"/>
          <w:b/>
          <w:bCs/>
          <w:color w:val="auto"/>
          <w:szCs w:val="21"/>
          <w:highlight w:val="none"/>
        </w:rPr>
      </w:pPr>
      <w:r>
        <w:rPr>
          <w:rFonts w:hint="eastAsia"/>
          <w:szCs w:val="21"/>
          <w:highlight w:val="none"/>
        </w:rPr>
        <w:t>十、本规定自发布之日起执行，原国家经贸委、原国家计委、财政部和国家统计局</w:t>
      </w:r>
      <w:r>
        <w:rPr>
          <w:szCs w:val="21"/>
          <w:highlight w:val="none"/>
        </w:rPr>
        <w:t>2003</w:t>
      </w:r>
      <w:r>
        <w:rPr>
          <w:rFonts w:hint="eastAsia"/>
          <w:szCs w:val="21"/>
          <w:highlight w:val="none"/>
        </w:rPr>
        <w:t>年颁布的《中小企业标准暂行规定》同时废止。</w:t>
      </w:r>
    </w:p>
    <w:p w14:paraId="34157212">
      <w:pPr>
        <w:tabs>
          <w:tab w:val="left" w:pos="180"/>
          <w:tab w:val="left" w:pos="1620"/>
        </w:tabs>
        <w:spacing w:line="360" w:lineRule="auto"/>
        <w:ind w:firstLine="422" w:firstLineChars="200"/>
        <w:rPr>
          <w:rFonts w:ascii="宋体" w:hAnsi="宋体" w:cs="宋体"/>
          <w:b/>
          <w:bCs/>
          <w:color w:val="auto"/>
          <w:szCs w:val="21"/>
          <w:highlight w:val="none"/>
        </w:rPr>
      </w:pPr>
    </w:p>
    <w:p w14:paraId="26CD6255">
      <w:pPr>
        <w:tabs>
          <w:tab w:val="left" w:pos="180"/>
          <w:tab w:val="left" w:pos="1620"/>
        </w:tabs>
        <w:spacing w:line="360" w:lineRule="auto"/>
        <w:ind w:firstLine="422" w:firstLineChars="200"/>
        <w:rPr>
          <w:rFonts w:ascii="宋体" w:hAnsi="宋体" w:cs="宋体"/>
          <w:b/>
          <w:bCs/>
          <w:color w:val="auto"/>
          <w:szCs w:val="21"/>
          <w:highlight w:val="none"/>
        </w:rPr>
      </w:pPr>
    </w:p>
    <w:p w14:paraId="0B1B52C7">
      <w:pPr>
        <w:tabs>
          <w:tab w:val="left" w:pos="180"/>
          <w:tab w:val="left" w:pos="1620"/>
        </w:tabs>
        <w:spacing w:line="360" w:lineRule="auto"/>
        <w:ind w:firstLine="422" w:firstLineChars="200"/>
        <w:rPr>
          <w:rFonts w:ascii="宋体" w:hAnsi="宋体" w:cs="宋体"/>
          <w:b/>
          <w:bCs/>
          <w:color w:val="auto"/>
          <w:szCs w:val="21"/>
          <w:highlight w:val="none"/>
        </w:rPr>
      </w:pPr>
    </w:p>
    <w:p w14:paraId="5468051F">
      <w:pPr>
        <w:tabs>
          <w:tab w:val="left" w:pos="180"/>
          <w:tab w:val="left" w:pos="1620"/>
        </w:tabs>
        <w:spacing w:line="360" w:lineRule="auto"/>
        <w:ind w:firstLine="422" w:firstLineChars="200"/>
        <w:rPr>
          <w:rFonts w:ascii="宋体" w:hAnsi="宋体" w:cs="宋体"/>
          <w:b/>
          <w:bCs/>
          <w:color w:val="auto"/>
          <w:szCs w:val="21"/>
          <w:highlight w:val="none"/>
        </w:rPr>
      </w:pPr>
    </w:p>
    <w:p w14:paraId="44B0832E">
      <w:pPr>
        <w:pStyle w:val="3"/>
        <w:jc w:val="center"/>
        <w:rPr>
          <w:rFonts w:ascii="宋体" w:hAnsi="宋体" w:cs="宋体"/>
          <w:color w:val="auto"/>
          <w:highlight w:val="none"/>
        </w:rPr>
      </w:pPr>
      <w:r>
        <w:rPr>
          <w:rFonts w:hint="eastAsia" w:ascii="宋体" w:hAnsi="宋体" w:cs="宋体"/>
          <w:color w:val="auto"/>
          <w:sz w:val="20"/>
          <w:szCs w:val="20"/>
          <w:highlight w:val="none"/>
        </w:rPr>
        <w:br w:type="page"/>
      </w:r>
      <w:bookmarkStart w:id="78" w:name="_Toc74323459"/>
      <w:r>
        <w:rPr>
          <w:rFonts w:hint="eastAsia" w:ascii="宋体" w:hAnsi="宋体" w:cs="宋体"/>
          <w:color w:val="auto"/>
          <w:highlight w:val="none"/>
        </w:rPr>
        <w:t>第四章  评审程序、评审方法和评审标准</w:t>
      </w:r>
      <w:bookmarkEnd w:id="78"/>
    </w:p>
    <w:p w14:paraId="58848B62">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一、评审程序和评审方法</w:t>
      </w:r>
    </w:p>
    <w:p w14:paraId="5CCDFC3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1.资格审查</w:t>
      </w:r>
    </w:p>
    <w:p w14:paraId="45FCFF7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1.1响应文件开启后，磋商小组依法对供应商的资格证明文件进行审查。</w:t>
      </w:r>
    </w:p>
    <w:p w14:paraId="4A76752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highlight w:val="none"/>
        </w:rPr>
        <w:t>磋商小组</w:t>
      </w:r>
      <w:r>
        <w:rPr>
          <w:rFonts w:hint="eastAsia" w:ascii="宋体" w:hAnsi="宋体" w:cs="宋体"/>
          <w:color w:val="auto"/>
          <w:szCs w:val="21"/>
          <w:highlight w:val="none"/>
        </w:rPr>
        <w:t>在资格审查结束前，对供应商进行信用查询。</w:t>
      </w:r>
    </w:p>
    <w:p w14:paraId="2B2E37B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（1）查询渠道：“信用中国”网站(www.creditchina.gov.cn)、中国政府采购网(www.ccgp.gov.cn)。</w:t>
      </w:r>
    </w:p>
    <w:p w14:paraId="25827D5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777BC3B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7E31FFC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43109A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0384B3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1.3供应商有下列情形之一的，资格审查不通过，其响应文件按无效响应处理：</w:t>
      </w:r>
    </w:p>
    <w:p w14:paraId="5A9C20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2C587F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53A03C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（3）响应文件的资格证明文件缺少任一项“供应商须知前附表”资格证明文件规定的“必须提供”的文件资料的；</w:t>
      </w:r>
    </w:p>
    <w:p w14:paraId="116034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（4）响应文件中的资格证明文件出现任一项不符合“供应商须知前附表”资格证明文件规定的“必须提供”的文件资料要求或者无效的；</w:t>
      </w:r>
    </w:p>
    <w:p w14:paraId="4120AF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（5）同一合同项下的不同供应商，单位负责人为同一人或者存在直接控股、管理关系的；为本项目提供过整体设计、规范编制或者项目管理、监理、检测等服务的供应商，</w:t>
      </w:r>
      <w:r>
        <w:rPr>
          <w:rFonts w:hint="eastAsia" w:ascii="宋体" w:hAnsi="宋体" w:cs="宋体"/>
          <w:color w:val="auto"/>
          <w:szCs w:val="21"/>
          <w:highlight w:val="none"/>
          <w:lang w:eastAsia="zh-CN"/>
        </w:rPr>
        <w:t>不</w:t>
      </w:r>
      <w:r>
        <w:rPr>
          <w:rFonts w:hint="eastAsia" w:ascii="宋体" w:hAnsi="宋体" w:cs="宋体"/>
          <w:color w:val="auto"/>
          <w:szCs w:val="21"/>
          <w:highlight w:val="none"/>
        </w:rPr>
        <w:t>再参加该采购项目的其他采购活动的。</w:t>
      </w:r>
    </w:p>
    <w:p w14:paraId="2ADBD5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1.4通过资格审查的合格供应商不足3家的，不得进入符合性审查环节，采购人或者采购代理机构应当重新开展采购活动。</w:t>
      </w:r>
    </w:p>
    <w:p w14:paraId="4C85457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2.符合性审查</w:t>
      </w:r>
    </w:p>
    <w:p w14:paraId="0083B9C7">
      <w:pPr>
        <w:spacing w:line="360" w:lineRule="auto"/>
        <w:ind w:firstLine="420" w:firstLineChars="200"/>
        <w:rPr>
          <w:rFonts w:ascii="宋体" w:hAnsi="宋体" w:cs="宋体"/>
          <w:color w:val="auto"/>
          <w:szCs w:val="21"/>
          <w:highlight w:val="none"/>
        </w:rPr>
      </w:pPr>
      <w:bookmarkStart w:id="79" w:name="_Hlk42528882"/>
      <w:r>
        <w:rPr>
          <w:rFonts w:hint="eastAsia" w:ascii="宋体" w:hAnsi="宋体" w:cs="宋体"/>
          <w:color w:val="auto"/>
          <w:szCs w:val="21"/>
          <w:highlight w:val="none"/>
        </w:rPr>
        <w:t>2.1由磋商小组对通过资格审查的合格供应商的响应文件的竞标报价、商务、技术等实质性要求进行符合性审查，以确定其是否满足磋商文件的实质性要求。</w:t>
      </w:r>
    </w:p>
    <w:bookmarkEnd w:id="79"/>
    <w:p w14:paraId="75D233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1065EE3">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宋体" w:hAnsi="宋体" w:cs="宋体"/>
          <w:color w:val="auto"/>
          <w:highlight w:val="none"/>
        </w:rPr>
        <w:t>签章</w:t>
      </w:r>
      <w:r>
        <w:rPr>
          <w:rFonts w:hint="eastAsia" w:ascii="宋体" w:hAnsi="宋体" w:cs="宋体"/>
          <w:color w:val="auto"/>
          <w:spacing w:val="-6"/>
          <w:szCs w:val="21"/>
          <w:highlight w:val="none"/>
        </w:rPr>
        <w:t>。</w:t>
      </w:r>
    </w:p>
    <w:p w14:paraId="0A8EE0E8">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0F109120">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29EF66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582658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20D2E0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22FC67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67BFB3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15DD6D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2.5商务技术报价评审</w:t>
      </w:r>
    </w:p>
    <w:p w14:paraId="560014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4A9071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4BBA2E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20C34E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619C31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2D8CBE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EFBAA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w:t>
      </w:r>
      <w:r>
        <w:rPr>
          <w:rFonts w:hint="eastAsia" w:ascii="宋体" w:hAnsi="宋体" w:cs="宋体"/>
          <w:color w:val="auto"/>
          <w:szCs w:val="21"/>
          <w:highlight w:val="none"/>
          <w:lang w:val="en-US" w:eastAsia="zh-CN"/>
        </w:rPr>
        <w:t>条款</w:t>
      </w:r>
      <w:r>
        <w:rPr>
          <w:rFonts w:hint="eastAsia" w:ascii="宋体" w:hAnsi="宋体" w:cs="宋体"/>
          <w:color w:val="auto"/>
          <w:szCs w:val="21"/>
          <w:highlight w:val="none"/>
        </w:rPr>
        <w:t>允许负偏离的条款数超过“供应商须知前附表”规定项数的；</w:t>
      </w:r>
    </w:p>
    <w:p w14:paraId="6284F5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485E5F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4AB5CD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3761A0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4C5C15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10）属于“供应商须知正文”第7.5条情形；</w:t>
      </w:r>
    </w:p>
    <w:p w14:paraId="57C1CA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11）技术要求允许负偏离的条款数超过“供应商须知前附表”规定项数；</w:t>
      </w:r>
    </w:p>
    <w:p w14:paraId="59B677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12）虚假竞标，或者出现其他情形而导致被磋商小组认定无效；</w:t>
      </w:r>
    </w:p>
    <w:p w14:paraId="7530AD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w:t>
      </w:r>
      <w:bookmarkStart w:id="80"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80"/>
    </w:p>
    <w:p w14:paraId="4BF1F7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14）响应文件标注的项目名称或者项目编号与磋商文件标注的项目名称或者项目编号不一致的；</w:t>
      </w:r>
    </w:p>
    <w:p w14:paraId="76BC69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b/>
          <w:color w:val="auto"/>
          <w:szCs w:val="21"/>
          <w:highlight w:val="none"/>
        </w:rPr>
        <w:t>竞争性磋商文件明确不允许分包，响应文件拟分包的；</w:t>
      </w:r>
    </w:p>
    <w:p w14:paraId="00A04B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16）未响应磋商文件实质性要求；</w:t>
      </w:r>
    </w:p>
    <w:p w14:paraId="6006C6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17）法律、法规和磋商文件规定的其他无效情形。</w:t>
      </w:r>
    </w:p>
    <w:p w14:paraId="36F564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72CA04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报价文件中规定的“竞标报价表”；</w:t>
      </w:r>
    </w:p>
    <w:p w14:paraId="2E2C64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016456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2EF9D6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81" w:name="_Hlk42596405"/>
      <w:r>
        <w:rPr>
          <w:rFonts w:hint="eastAsia" w:ascii="宋体" w:hAnsi="宋体" w:cs="宋体"/>
          <w:color w:val="auto"/>
          <w:szCs w:val="21"/>
          <w:highlight w:val="none"/>
        </w:rPr>
        <w:t>竞标报价（包含首次报价、最后报价）</w:t>
      </w:r>
      <w:bookmarkEnd w:id="81"/>
      <w:bookmarkStart w:id="82" w:name="_Hlk42596276"/>
      <w:r>
        <w:rPr>
          <w:rFonts w:hint="eastAsia" w:ascii="宋体" w:hAnsi="宋体" w:cs="宋体"/>
          <w:color w:val="auto"/>
          <w:szCs w:val="21"/>
          <w:highlight w:val="none"/>
        </w:rPr>
        <w:t>超过磋商文件分项采购预算金额或者最高限价的</w:t>
      </w:r>
      <w:bookmarkEnd w:id="82"/>
      <w:r>
        <w:rPr>
          <w:rFonts w:hint="eastAsia" w:ascii="宋体" w:hAnsi="宋体" w:cs="宋体"/>
          <w:color w:val="auto"/>
          <w:szCs w:val="21"/>
          <w:highlight w:val="none"/>
        </w:rPr>
        <w:t>（如本项目公布了最高限价）；</w:t>
      </w:r>
    </w:p>
    <w:p w14:paraId="2B9BC0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69A0C5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3CFC5D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58E763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2.7通过符合性审查的合格供应商不足3家的，不得进入磋商环节，采购人或者采购代理机构应当重新开展采购活动。</w:t>
      </w:r>
    </w:p>
    <w:p w14:paraId="64559C2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3.磋商程序</w:t>
      </w:r>
    </w:p>
    <w:p w14:paraId="5E51357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3.1磋商小组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在规定时间内在广西政府采购云平台上参加磋商，未在规定时间内参加磋商的视同放弃参加磋商权利，其响应文件按无效响应处理。</w:t>
      </w:r>
    </w:p>
    <w:p w14:paraId="0683FE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8D59E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3.3对磋商文件作出的实质性变动是磋商文件的有效组成部分，由磋商小组及时以电子澄清函形式同时通知所有参加磋商的供应商。</w:t>
      </w:r>
    </w:p>
    <w:p w14:paraId="5A786E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44E445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3.5磋商中，</w:t>
      </w:r>
      <w:r>
        <w:rPr>
          <w:rFonts w:hint="eastAsia" w:ascii="宋体" w:hAnsi="宋体" w:cs="宋体"/>
          <w:color w:val="auto"/>
          <w:spacing w:val="-6"/>
          <w:szCs w:val="21"/>
          <w:highlight w:val="none"/>
        </w:rPr>
        <w:t>磋商的任何一方不得透露与磋商有关的其他供应商的技术资料、价格和其他信息。</w:t>
      </w:r>
    </w:p>
    <w:p w14:paraId="518049D9">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3.6采购代理机构对磋商过程和重要磋商内容进行记录。</w:t>
      </w:r>
    </w:p>
    <w:p w14:paraId="245D75CD">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3.7</w:t>
      </w:r>
      <w:r>
        <w:rPr>
          <w:rFonts w:hint="eastAsia" w:ascii="宋体" w:hAnsi="宋体" w:cs="宋体"/>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3F5683A">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3.8除</w:t>
      </w:r>
      <w:r>
        <w:rPr>
          <w:rFonts w:hint="eastAsia" w:ascii="宋体" w:hAnsi="宋体" w:cs="宋体"/>
          <w:color w:val="auto"/>
          <w:highlight w:val="none"/>
        </w:rPr>
        <w:t>本章第3.7条情形外，</w:t>
      </w:r>
      <w:r>
        <w:rPr>
          <w:rFonts w:hint="eastAsia" w:ascii="宋体" w:hAnsi="宋体" w:cs="宋体"/>
          <w:color w:val="auto"/>
          <w:szCs w:val="21"/>
          <w:highlight w:val="none"/>
        </w:rPr>
        <w:t>对磋商过程提交的响应文件进行有效性、完整性和响应程度审查，通过审查的合格供应商不足3家的，采购人或者采购代理机构应当重新开展采购活动。</w:t>
      </w:r>
    </w:p>
    <w:p w14:paraId="563B4B3A">
      <w:pPr>
        <w:spacing w:line="360" w:lineRule="auto"/>
        <w:ind w:firstLine="482" w:firstLineChars="200"/>
        <w:rPr>
          <w:rFonts w:ascii="宋体" w:hAnsi="宋体" w:cs="宋体"/>
          <w:color w:val="auto"/>
          <w:szCs w:val="21"/>
          <w:highlight w:val="none"/>
        </w:rPr>
      </w:pPr>
      <w:r>
        <w:rPr>
          <w:rFonts w:hint="eastAsia" w:ascii="宋体" w:hAnsi="宋体" w:cs="宋体"/>
          <w:b/>
          <w:bCs/>
          <w:color w:val="auto"/>
          <w:sz w:val="24"/>
          <w:highlight w:val="none"/>
        </w:rPr>
        <w:t>4. 最后报价</w:t>
      </w:r>
    </w:p>
    <w:p w14:paraId="65E1D2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磋商文件能够详细列明采购标的的技术、服务要求的，磋商结束后，磋商小组应当要求所有继续参加磋商的供应商在规定时间内在广西政府采购云平台开标大厅提交最后报价，除本章第4.3条外，提交最后报价的供应商不得少于3家，否则必须重新采购。</w:t>
      </w:r>
    </w:p>
    <w:p w14:paraId="19CA68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025C99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宋体" w:hAnsi="宋体" w:cs="宋体"/>
          <w:color w:val="auto"/>
          <w:highlight w:val="none"/>
        </w:rPr>
        <w:t>本章第3.7条情形的，</w:t>
      </w:r>
      <w:r>
        <w:rPr>
          <w:rFonts w:hint="eastAsia" w:ascii="宋体" w:hAnsi="宋体" w:cs="宋体"/>
          <w:color w:val="auto"/>
          <w:szCs w:val="21"/>
          <w:highlight w:val="none"/>
        </w:rPr>
        <w:t>提交最后报价的供应商可以为2家。</w:t>
      </w:r>
    </w:p>
    <w:p w14:paraId="53D384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30AFA8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4.5供应商未在规定时间内提交最后报价的，视同退出磋商，其响应文件按无效处理。</w:t>
      </w:r>
    </w:p>
    <w:p w14:paraId="05617F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4.6最后报价统一开启后，磋商小组对最后报价进行有效性、完整性和响应程度的审查。</w:t>
      </w:r>
    </w:p>
    <w:p w14:paraId="460739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4.7最后报价出现前后不一致的，按照本章第2.4条的规定修正。 </w:t>
      </w:r>
    </w:p>
    <w:p w14:paraId="631241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4.8修正后的报价出现下列情形的，按无效响应处理：</w:t>
      </w:r>
    </w:p>
    <w:p w14:paraId="1D7566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w:t>
      </w:r>
      <w:r>
        <w:rPr>
          <w:rFonts w:hint="eastAsia" w:ascii="宋体" w:hAnsi="宋体" w:cs="宋体"/>
          <w:color w:val="auto"/>
          <w:szCs w:val="21"/>
          <w:highlight w:val="none"/>
          <w:lang w:val="en-US" w:eastAsia="zh-CN"/>
        </w:rPr>
        <w:t>审</w:t>
      </w:r>
      <w:r>
        <w:rPr>
          <w:rFonts w:hint="eastAsia" w:ascii="宋体" w:hAnsi="宋体" w:cs="宋体"/>
          <w:color w:val="auto"/>
          <w:szCs w:val="21"/>
          <w:highlight w:val="none"/>
        </w:rPr>
        <w:t>采取在线确认）；</w:t>
      </w:r>
    </w:p>
    <w:p w14:paraId="53760C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1D69E8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01B12B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4.9经供应商确认修正后的最后报价作为评审及签订合同的依据。</w:t>
      </w:r>
    </w:p>
    <w:p w14:paraId="7463D9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2C8508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4.11最后报价结束后，磋商小组不得再与供应商进行任何形式的商谈。</w:t>
      </w:r>
    </w:p>
    <w:p w14:paraId="4C00200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5.比较与评价</w:t>
      </w:r>
    </w:p>
    <w:p w14:paraId="74F88F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5.1评审方法：综合评分法。</w:t>
      </w:r>
    </w:p>
    <w:p w14:paraId="1A3912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3DF0DB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5.3评审时，磋商小组各成员应当独立对每个有效响应的文件进行评价、打分，然后汇总每个供应商每项评分因素的得分。</w:t>
      </w:r>
    </w:p>
    <w:p w14:paraId="55C6C8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5BEE16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70586B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119B6C07">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5.5由磋商小组根据综合评分情况，按照评审得分由高到低顺序推荐3名以上成交候选供应商，并编写评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DB14DD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B755055">
      <w:pPr>
        <w:pStyle w:val="2"/>
        <w:rPr>
          <w:color w:val="auto"/>
          <w:highlight w:val="none"/>
        </w:rPr>
      </w:pPr>
    </w:p>
    <w:p w14:paraId="02B422A0">
      <w:pPr>
        <w:numPr>
          <w:ilvl w:val="0"/>
          <w:numId w:val="2"/>
        </w:num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评审标准</w:t>
      </w:r>
    </w:p>
    <w:p w14:paraId="17F830E6">
      <w:pPr>
        <w:spacing w:line="360" w:lineRule="auto"/>
        <w:ind w:firstLine="420" w:firstLineChars="200"/>
        <w:rPr>
          <w:rFonts w:hint="eastAsia" w:ascii="宋体" w:hAnsi="宋体" w:cs="宋体"/>
          <w:b/>
          <w:color w:val="auto"/>
          <w:sz w:val="32"/>
          <w:szCs w:val="32"/>
          <w:highlight w:val="none"/>
        </w:rPr>
      </w:pPr>
      <w:r>
        <w:rPr>
          <w:rFonts w:hint="eastAsia" w:ascii="宋体" w:hAnsi="宋体" w:cs="宋体"/>
          <w:bCs/>
          <w:color w:val="auto"/>
          <w:szCs w:val="21"/>
          <w:highlight w:val="none"/>
        </w:rPr>
        <w:t>6.评审依据：磋商小组将以磋商响应文件为评审依据，对供应商的报价、技术、商务等方面内容按百分制打分。（计分方法按四舍五入取至百分位）</w:t>
      </w:r>
    </w:p>
    <w:tbl>
      <w:tblPr>
        <w:tblStyle w:val="29"/>
        <w:tblpPr w:leftFromText="180" w:rightFromText="180" w:vertAnchor="text" w:horzAnchor="page" w:tblpX="1575" w:tblpY="924"/>
        <w:tblOverlap w:val="never"/>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184"/>
        <w:gridCol w:w="6438"/>
        <w:gridCol w:w="935"/>
      </w:tblGrid>
      <w:tr w14:paraId="6F81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33" w:type="dxa"/>
            <w:noWrap w:val="0"/>
            <w:vAlign w:val="center"/>
          </w:tcPr>
          <w:p w14:paraId="062DC441">
            <w:pPr>
              <w:widowControl/>
              <w:spacing w:line="360" w:lineRule="auto"/>
              <w:jc w:val="center"/>
              <w:rPr>
                <w:rFonts w:hint="eastAsia" w:ascii="宋体" w:hAnsi="宋体" w:cs="宋体"/>
                <w:b/>
                <w:bCs/>
                <w:kern w:val="0"/>
                <w:szCs w:val="21"/>
              </w:rPr>
            </w:pPr>
            <w:r>
              <w:rPr>
                <w:rFonts w:hint="eastAsia" w:ascii="宋体" w:hAnsi="宋体" w:cs="宋体"/>
                <w:b/>
                <w:bCs/>
                <w:kern w:val="0"/>
                <w:szCs w:val="21"/>
              </w:rPr>
              <w:t>序号</w:t>
            </w:r>
          </w:p>
        </w:tc>
        <w:tc>
          <w:tcPr>
            <w:tcW w:w="1184" w:type="dxa"/>
            <w:noWrap w:val="0"/>
            <w:vAlign w:val="center"/>
          </w:tcPr>
          <w:p w14:paraId="5E7A566C">
            <w:pPr>
              <w:widowControl/>
              <w:spacing w:line="360" w:lineRule="auto"/>
              <w:jc w:val="center"/>
              <w:rPr>
                <w:rFonts w:hint="eastAsia" w:ascii="宋体" w:hAnsi="宋体" w:cs="宋体"/>
                <w:b/>
                <w:bCs/>
                <w:kern w:val="0"/>
                <w:szCs w:val="21"/>
              </w:rPr>
            </w:pPr>
            <w:r>
              <w:rPr>
                <w:rFonts w:hint="eastAsia" w:ascii="宋体" w:hAnsi="宋体" w:cs="宋体"/>
                <w:b/>
                <w:bCs/>
                <w:kern w:val="0"/>
                <w:szCs w:val="21"/>
              </w:rPr>
              <w:t>评审因素</w:t>
            </w:r>
          </w:p>
        </w:tc>
        <w:tc>
          <w:tcPr>
            <w:tcW w:w="6438" w:type="dxa"/>
            <w:noWrap w:val="0"/>
            <w:vAlign w:val="center"/>
          </w:tcPr>
          <w:p w14:paraId="3FFF19C1">
            <w:pPr>
              <w:widowControl/>
              <w:spacing w:line="360" w:lineRule="auto"/>
              <w:jc w:val="center"/>
              <w:rPr>
                <w:rFonts w:hint="eastAsia" w:ascii="宋体" w:hAnsi="宋体" w:cs="宋体"/>
                <w:b/>
                <w:bCs/>
                <w:kern w:val="0"/>
                <w:szCs w:val="21"/>
              </w:rPr>
            </w:pPr>
            <w:r>
              <w:rPr>
                <w:rFonts w:hint="eastAsia" w:ascii="宋体" w:hAnsi="宋体" w:cs="宋体"/>
                <w:b/>
                <w:bCs/>
                <w:kern w:val="0"/>
                <w:szCs w:val="21"/>
              </w:rPr>
              <w:t>评审因素具体内容</w:t>
            </w:r>
          </w:p>
        </w:tc>
        <w:tc>
          <w:tcPr>
            <w:tcW w:w="935" w:type="dxa"/>
            <w:noWrap w:val="0"/>
            <w:vAlign w:val="center"/>
          </w:tcPr>
          <w:p w14:paraId="7F0C9048">
            <w:pPr>
              <w:widowControl/>
              <w:spacing w:line="360" w:lineRule="auto"/>
              <w:jc w:val="center"/>
              <w:rPr>
                <w:rFonts w:hint="eastAsia" w:ascii="宋体" w:hAnsi="宋体" w:cs="宋体"/>
                <w:b/>
                <w:bCs/>
                <w:kern w:val="0"/>
                <w:szCs w:val="21"/>
              </w:rPr>
            </w:pPr>
            <w:r>
              <w:rPr>
                <w:rFonts w:hint="eastAsia" w:ascii="宋体" w:hAnsi="宋体" w:cs="宋体"/>
                <w:b/>
                <w:bCs/>
                <w:kern w:val="0"/>
                <w:szCs w:val="21"/>
              </w:rPr>
              <w:t>分值</w:t>
            </w:r>
          </w:p>
        </w:tc>
      </w:tr>
      <w:tr w14:paraId="6457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trPr>
        <w:tc>
          <w:tcPr>
            <w:tcW w:w="533" w:type="dxa"/>
            <w:noWrap w:val="0"/>
            <w:vAlign w:val="center"/>
          </w:tcPr>
          <w:p w14:paraId="7A9C96A7">
            <w:pPr>
              <w:widowControl/>
              <w:spacing w:line="360" w:lineRule="auto"/>
              <w:jc w:val="center"/>
              <w:rPr>
                <w:rFonts w:hint="eastAsia" w:ascii="宋体" w:hAnsi="宋体" w:cs="宋体"/>
                <w:kern w:val="0"/>
                <w:szCs w:val="21"/>
              </w:rPr>
            </w:pPr>
            <w:r>
              <w:rPr>
                <w:rFonts w:hint="eastAsia" w:ascii="宋体" w:hAnsi="宋体" w:cs="宋体"/>
                <w:kern w:val="0"/>
                <w:szCs w:val="21"/>
              </w:rPr>
              <w:t>1</w:t>
            </w:r>
          </w:p>
        </w:tc>
        <w:tc>
          <w:tcPr>
            <w:tcW w:w="1184" w:type="dxa"/>
            <w:noWrap w:val="0"/>
            <w:vAlign w:val="center"/>
          </w:tcPr>
          <w:p w14:paraId="0345F371">
            <w:pPr>
              <w:widowControl/>
              <w:spacing w:line="360" w:lineRule="auto"/>
              <w:jc w:val="center"/>
              <w:rPr>
                <w:rFonts w:hint="eastAsia" w:ascii="宋体" w:hAnsi="宋体" w:cs="宋体"/>
                <w:kern w:val="0"/>
                <w:szCs w:val="21"/>
              </w:rPr>
            </w:pPr>
            <w:r>
              <w:rPr>
                <w:rFonts w:hint="eastAsia" w:ascii="宋体" w:hAnsi="宋体" w:cs="宋体"/>
                <w:kern w:val="0"/>
                <w:szCs w:val="21"/>
              </w:rPr>
              <w:t>价格分（满分</w:t>
            </w:r>
            <w:r>
              <w:rPr>
                <w:rFonts w:hint="eastAsia" w:ascii="宋体" w:hAnsi="宋体" w:cs="宋体"/>
                <w:kern w:val="0"/>
                <w:szCs w:val="21"/>
                <w:lang w:val="en-US" w:eastAsia="zh-CN"/>
              </w:rPr>
              <w:t>3</w:t>
            </w:r>
            <w:r>
              <w:rPr>
                <w:rFonts w:hint="eastAsia" w:ascii="宋体" w:hAnsi="宋体" w:cs="宋体"/>
                <w:kern w:val="0"/>
                <w:szCs w:val="21"/>
              </w:rPr>
              <w:t>0分）</w:t>
            </w:r>
          </w:p>
        </w:tc>
        <w:tc>
          <w:tcPr>
            <w:tcW w:w="6438" w:type="dxa"/>
            <w:noWrap w:val="0"/>
            <w:vAlign w:val="top"/>
          </w:tcPr>
          <w:p w14:paraId="0E2A4E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14B27A9B">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highlight w:val="none"/>
              </w:rPr>
              <w:t>政策性扣除计算方法。</w:t>
            </w:r>
          </w:p>
          <w:p w14:paraId="1C7B454D">
            <w:pPr>
              <w:spacing w:line="360" w:lineRule="auto"/>
              <w:ind w:firstLine="369" w:firstLineChars="176"/>
              <w:rPr>
                <w:rFonts w:hint="eastAsia" w:ascii="宋体" w:hAnsi="宋体" w:cs="宋体"/>
                <w:color w:val="auto"/>
                <w:highlight w:val="none"/>
              </w:rPr>
            </w:pPr>
            <w:r>
              <w:rPr>
                <w:rFonts w:hint="eastAsia" w:ascii="宋体" w:hAnsi="宋体" w:cs="宋体"/>
                <w:color w:val="auto"/>
                <w:szCs w:val="21"/>
                <w:highlight w:val="none"/>
              </w:rPr>
              <w:t>根据《政府采购促进中小企业发展管理办法》（财库〔2020〕46号）及</w:t>
            </w:r>
            <w:r>
              <w:rPr>
                <w:rFonts w:hint="eastAsia" w:ascii="宋体" w:hAnsi="宋体"/>
                <w:szCs w:val="21"/>
              </w:rPr>
              <w:t>桂财采〔2024〕55号《广西壮族自治区财政厅关于持续优化政府采购营商环境推动高质量发展的通知》</w:t>
            </w:r>
            <w:r>
              <w:rPr>
                <w:rFonts w:hint="eastAsia" w:ascii="宋体" w:hAnsi="宋体" w:cs="宋体"/>
                <w:color w:val="auto"/>
                <w:szCs w:val="21"/>
                <w:highlight w:val="none"/>
              </w:rPr>
              <w:t>的规定，供应商在其响应文件中提供《中小企业声明函》，</w:t>
            </w:r>
            <w:r>
              <w:rPr>
                <w:rFonts w:hint="eastAsia" w:ascii="宋体" w:hAnsi="宋体"/>
                <w:bCs/>
                <w:color w:val="auto"/>
                <w:szCs w:val="21"/>
                <w:highlight w:val="none"/>
              </w:rPr>
              <w:t>且</w:t>
            </w:r>
            <w:r>
              <w:rPr>
                <w:rFonts w:hint="eastAsia" w:ascii="宋体" w:hAnsi="宋体"/>
                <w:bCs/>
                <w:color w:val="auto"/>
                <w:szCs w:val="21"/>
                <w:highlight w:val="none"/>
                <w:lang w:eastAsia="zh-CN"/>
              </w:rPr>
              <w:t>服务全部</w:t>
            </w:r>
            <w:r>
              <w:rPr>
                <w:rFonts w:hint="eastAsia" w:ascii="宋体" w:hAnsi="宋体"/>
                <w:bCs/>
                <w:color w:val="auto"/>
                <w:szCs w:val="21"/>
                <w:highlight w:val="none"/>
              </w:rPr>
              <w:t>由小微企业</w:t>
            </w:r>
            <w:r>
              <w:rPr>
                <w:rFonts w:hint="eastAsia" w:ascii="宋体" w:hAnsi="宋体"/>
                <w:bCs/>
                <w:color w:val="auto"/>
                <w:szCs w:val="21"/>
                <w:highlight w:val="none"/>
                <w:lang w:eastAsia="zh-CN"/>
              </w:rPr>
              <w:t>承接</w:t>
            </w:r>
            <w:r>
              <w:rPr>
                <w:rFonts w:hint="eastAsia" w:ascii="宋体" w:hAnsi="宋体"/>
                <w:bCs/>
                <w:color w:val="auto"/>
                <w:szCs w:val="21"/>
                <w:highlight w:val="none"/>
              </w:rPr>
              <w:t>的</w:t>
            </w:r>
            <w:r>
              <w:rPr>
                <w:rFonts w:hint="eastAsia" w:ascii="宋体" w:hAnsi="宋体" w:cs="宋体"/>
                <w:color w:val="auto"/>
                <w:szCs w:val="21"/>
                <w:highlight w:val="none"/>
              </w:rPr>
              <w:t>，</w:t>
            </w:r>
            <w:r>
              <w:rPr>
                <w:rFonts w:hint="eastAsia" w:ascii="宋体" w:hAnsi="宋体"/>
                <w:bCs/>
                <w:color w:val="auto"/>
                <w:szCs w:val="21"/>
                <w:highlight w:val="none"/>
              </w:rPr>
              <w:t>对供应商的竞标报价给予20%的扣除，扣除后的价格为评审价，即评审价=竞标报价×（1-2</w:t>
            </w:r>
            <w:r>
              <w:rPr>
                <w:rFonts w:ascii="宋体" w:hAnsi="宋体"/>
                <w:bCs/>
                <w:color w:val="auto"/>
                <w:szCs w:val="21"/>
                <w:highlight w:val="none"/>
              </w:rPr>
              <w:t>0</w:t>
            </w:r>
            <w:r>
              <w:rPr>
                <w:rFonts w:hint="eastAsia" w:ascii="宋体" w:hAnsi="宋体"/>
                <w:bCs/>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bCs/>
                <w:color w:val="auto"/>
                <w:szCs w:val="21"/>
                <w:highlight w:val="none"/>
                <w:u w:val="single"/>
              </w:rPr>
              <w:t>4%</w:t>
            </w:r>
            <w:r>
              <w:rPr>
                <w:rFonts w:hint="eastAsia" w:ascii="宋体" w:hAnsi="宋体"/>
                <w:bCs/>
                <w:color w:val="auto"/>
                <w:szCs w:val="21"/>
                <w:highlight w:val="none"/>
              </w:rPr>
              <w:t xml:space="preserve"> 的扣除，用扣除后的价格参加评审，扣除后的价格为评审价，即评审价=竞标报价×（1-</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rPr>
              <w:t>%）。</w:t>
            </w:r>
          </w:p>
          <w:p w14:paraId="3193D9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监狱企业属于小型、微型企业的，</w:t>
            </w:r>
            <w:r>
              <w:rPr>
                <w:rFonts w:hint="eastAsia" w:ascii="宋体" w:hAnsi="宋体" w:cs="宋体"/>
                <w:color w:val="auto"/>
                <w:szCs w:val="21"/>
                <w:highlight w:val="none"/>
              </w:rPr>
              <w:t>不重复享受政策。</w:t>
            </w:r>
          </w:p>
          <w:p w14:paraId="70474026">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按照《关于促进残疾人就业政府采购政策的通知》（财库〔2017〕141号）的规定，残疾人福利性单位视同小型、微型企业，享受预留份额、评审中价格扣除等</w:t>
            </w:r>
            <w:r>
              <w:rPr>
                <w:rFonts w:hint="eastAsia" w:ascii="宋体" w:hAnsi="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FDFF17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）以进入比较与评价环节的最低的评审价为基准价，基准价得分为</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lang w:eastAsia="zh-CN"/>
              </w:rPr>
              <w:t>分。</w:t>
            </w:r>
          </w:p>
          <w:p w14:paraId="362E4BD4">
            <w:pPr>
              <w:pStyle w:val="76"/>
              <w:widowControl/>
              <w:snapToGrid w:val="0"/>
              <w:spacing w:line="360" w:lineRule="auto"/>
              <w:ind w:right="105" w:rightChars="50" w:firstLine="0" w:firstLineChars="0"/>
              <w:rPr>
                <w:rFonts w:hint="eastAsia" w:ascii="宋体" w:hAnsi="宋体" w:cs="宋体"/>
                <w:szCs w:val="21"/>
              </w:rPr>
            </w:pPr>
            <w:r>
              <w:rPr>
                <w:rFonts w:hint="eastAsia" w:ascii="宋体" w:hAnsi="宋体" w:cs="宋体"/>
                <w:szCs w:val="21"/>
              </w:rPr>
              <w:t xml:space="preserve">（3）价格分计算公式：        </w:t>
            </w:r>
          </w:p>
          <w:p w14:paraId="5D539B3A">
            <w:pPr>
              <w:pStyle w:val="76"/>
              <w:widowControl/>
              <w:snapToGrid w:val="0"/>
              <w:spacing w:line="360" w:lineRule="auto"/>
              <w:ind w:right="105" w:rightChars="50" w:firstLine="0" w:firstLineChars="0"/>
              <w:rPr>
                <w:rFonts w:hint="eastAsia" w:ascii="宋体" w:hAnsi="宋体" w:cs="宋体"/>
                <w:bCs/>
                <w:szCs w:val="21"/>
              </w:rPr>
            </w:pPr>
            <w:r>
              <w:rPr>
                <w:rFonts w:hint="eastAsia" w:ascii="宋体" w:hAnsi="宋体" w:cs="宋体"/>
                <w:szCs w:val="21"/>
              </w:rPr>
              <w:t>价格分=</w:t>
            </w:r>
            <w:r>
              <w:rPr>
                <w:rFonts w:hint="eastAsia" w:ascii="宋体" w:hAnsi="宋体" w:cs="Courier New"/>
                <w:bCs/>
                <w:color w:val="auto"/>
                <w:szCs w:val="21"/>
                <w:highlight w:val="none"/>
                <w:lang w:val="en-US" w:eastAsia="zh-CN"/>
              </w:rPr>
              <w:t>【</w:t>
            </w:r>
            <w:r>
              <w:rPr>
                <w:rFonts w:hint="eastAsia" w:ascii="宋体" w:hAnsi="宋体" w:cs="Courier New"/>
                <w:bCs/>
                <w:color w:val="auto"/>
                <w:szCs w:val="21"/>
                <w:highlight w:val="none"/>
              </w:rPr>
              <w:t>评</w:t>
            </w:r>
            <w:r>
              <w:rPr>
                <w:rFonts w:hint="eastAsia" w:ascii="宋体" w:hAnsi="宋体" w:cs="Courier New"/>
                <w:bCs/>
                <w:color w:val="auto"/>
                <w:szCs w:val="21"/>
                <w:highlight w:val="none"/>
                <w:lang w:val="en-US" w:eastAsia="zh-CN"/>
              </w:rPr>
              <w:t>审</w:t>
            </w:r>
            <w:r>
              <w:rPr>
                <w:rFonts w:hint="eastAsia" w:ascii="宋体" w:hAnsi="宋体" w:cs="Courier New"/>
                <w:bCs/>
                <w:color w:val="auto"/>
                <w:szCs w:val="21"/>
                <w:highlight w:val="none"/>
              </w:rPr>
              <w:t>基准价</w:t>
            </w:r>
            <w:r>
              <w:rPr>
                <w:rFonts w:hint="eastAsia" w:ascii="宋体" w:hAnsi="宋体" w:cs="Courier New"/>
                <w:bCs/>
                <w:color w:val="auto"/>
                <w:szCs w:val="21"/>
                <w:highlight w:val="none"/>
                <w:lang w:eastAsia="zh-CN"/>
              </w:rPr>
              <w:t>（折扣）</w:t>
            </w:r>
            <w:r>
              <w:rPr>
                <w:rFonts w:hint="eastAsia" w:ascii="宋体" w:hAnsi="宋体" w:cs="Courier New"/>
                <w:bCs/>
                <w:color w:val="auto"/>
                <w:szCs w:val="21"/>
                <w:highlight w:val="none"/>
              </w:rPr>
              <w:t>／</w:t>
            </w:r>
            <w:r>
              <w:rPr>
                <w:rFonts w:hint="eastAsia" w:ascii="宋体" w:hAnsi="宋体" w:cs="Courier New"/>
                <w:bCs/>
                <w:color w:val="auto"/>
                <w:szCs w:val="21"/>
                <w:highlight w:val="none"/>
                <w:lang w:eastAsia="zh-CN"/>
              </w:rPr>
              <w:t>评审价（折扣）</w:t>
            </w:r>
            <w:r>
              <w:rPr>
                <w:rFonts w:hint="eastAsia" w:ascii="宋体" w:hAnsi="宋体" w:cs="Courier New"/>
                <w:bCs/>
                <w:color w:val="auto"/>
                <w:szCs w:val="21"/>
                <w:highlight w:val="none"/>
                <w:lang w:val="en-US" w:eastAsia="zh-CN"/>
              </w:rPr>
              <w:t>】</w:t>
            </w:r>
            <w:r>
              <w:rPr>
                <w:rFonts w:hint="eastAsia" w:ascii="宋体" w:hAnsi="宋体" w:cs="Courier New"/>
                <w:bCs/>
                <w:color w:val="auto"/>
                <w:szCs w:val="21"/>
                <w:highlight w:val="none"/>
              </w:rPr>
              <w:t>×</w:t>
            </w:r>
            <w:r>
              <w:rPr>
                <w:rFonts w:hint="eastAsia" w:ascii="宋体" w:hAnsi="宋体"/>
                <w:bCs/>
                <w:color w:val="auto"/>
                <w:szCs w:val="21"/>
                <w:highlight w:val="none"/>
                <w:u w:val="single"/>
                <w:lang w:val="en-US" w:eastAsia="zh-CN"/>
              </w:rPr>
              <w:t>30</w:t>
            </w:r>
            <w:r>
              <w:rPr>
                <w:rFonts w:hint="eastAsia" w:ascii="宋体" w:hAnsi="宋体" w:cs="Courier New"/>
                <w:bCs/>
                <w:color w:val="auto"/>
                <w:szCs w:val="21"/>
                <w:highlight w:val="none"/>
              </w:rPr>
              <w:t>分</w:t>
            </w:r>
          </w:p>
        </w:tc>
        <w:tc>
          <w:tcPr>
            <w:tcW w:w="935" w:type="dxa"/>
            <w:noWrap w:val="0"/>
            <w:vAlign w:val="center"/>
          </w:tcPr>
          <w:p w14:paraId="325A7DB5">
            <w:pPr>
              <w:widowControl/>
              <w:spacing w:line="360" w:lineRule="auto"/>
              <w:jc w:val="center"/>
              <w:rPr>
                <w:rFonts w:hint="eastAsia"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0分</w:t>
            </w:r>
          </w:p>
        </w:tc>
      </w:tr>
      <w:tr w14:paraId="5EFA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33" w:type="dxa"/>
            <w:noWrap w:val="0"/>
            <w:vAlign w:val="center"/>
          </w:tcPr>
          <w:p w14:paraId="5ECAEEFF">
            <w:pPr>
              <w:widowControl/>
              <w:spacing w:line="360" w:lineRule="auto"/>
              <w:jc w:val="center"/>
              <w:rPr>
                <w:rFonts w:hint="eastAsia" w:ascii="宋体" w:hAnsi="宋体" w:cs="宋体"/>
                <w:kern w:val="0"/>
                <w:szCs w:val="21"/>
              </w:rPr>
            </w:pPr>
            <w:r>
              <w:rPr>
                <w:rFonts w:hint="eastAsia" w:ascii="宋体" w:hAnsi="宋体" w:cs="宋体"/>
                <w:bCs/>
                <w:kern w:val="0"/>
                <w:szCs w:val="21"/>
              </w:rPr>
              <w:t>2</w:t>
            </w:r>
          </w:p>
        </w:tc>
        <w:tc>
          <w:tcPr>
            <w:tcW w:w="1184" w:type="dxa"/>
            <w:noWrap w:val="0"/>
            <w:vAlign w:val="center"/>
          </w:tcPr>
          <w:p w14:paraId="417B5AAC">
            <w:pPr>
              <w:widowControl/>
              <w:spacing w:line="360" w:lineRule="auto"/>
              <w:jc w:val="center"/>
              <w:rPr>
                <w:rFonts w:hint="eastAsia" w:ascii="宋体" w:hAnsi="宋体" w:cs="宋体"/>
                <w:kern w:val="0"/>
                <w:szCs w:val="21"/>
              </w:rPr>
            </w:pPr>
            <w:r>
              <w:rPr>
                <w:rFonts w:hint="eastAsia" w:ascii="宋体" w:hAnsi="宋体" w:cs="宋体"/>
                <w:bCs/>
                <w:kern w:val="0"/>
                <w:szCs w:val="21"/>
              </w:rPr>
              <w:t>技术分</w:t>
            </w:r>
          </w:p>
        </w:tc>
        <w:tc>
          <w:tcPr>
            <w:tcW w:w="7373" w:type="dxa"/>
            <w:gridSpan w:val="2"/>
            <w:noWrap w:val="0"/>
            <w:vAlign w:val="center"/>
          </w:tcPr>
          <w:p w14:paraId="4F19EF45">
            <w:pPr>
              <w:widowControl/>
              <w:spacing w:line="360" w:lineRule="auto"/>
              <w:jc w:val="center"/>
              <w:rPr>
                <w:rFonts w:hint="eastAsia" w:ascii="宋体" w:hAnsi="宋体" w:cs="宋体"/>
                <w:kern w:val="0"/>
                <w:szCs w:val="21"/>
              </w:rPr>
            </w:pPr>
            <w:r>
              <w:rPr>
                <w:rFonts w:hint="eastAsia" w:ascii="宋体" w:hAnsi="宋体" w:cs="宋体"/>
                <w:kern w:val="0"/>
                <w:szCs w:val="21"/>
              </w:rPr>
              <w:t>评审因素</w:t>
            </w:r>
          </w:p>
        </w:tc>
      </w:tr>
      <w:tr w14:paraId="524D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3" w:type="dxa"/>
            <w:vMerge w:val="restart"/>
            <w:noWrap w:val="0"/>
            <w:vAlign w:val="center"/>
          </w:tcPr>
          <w:p w14:paraId="7C72FC49">
            <w:pPr>
              <w:adjustRightInd w:val="0"/>
              <w:spacing w:line="360" w:lineRule="auto"/>
              <w:ind w:left="-105" w:leftChars="-50" w:right="-105" w:rightChars="-50"/>
              <w:jc w:val="center"/>
              <w:textAlignment w:val="baseline"/>
              <w:rPr>
                <w:rFonts w:hint="eastAsia" w:ascii="宋体" w:hAnsi="宋体" w:cs="宋体"/>
                <w:bCs/>
                <w:kern w:val="0"/>
                <w:szCs w:val="21"/>
              </w:rPr>
            </w:pPr>
          </w:p>
          <w:p w14:paraId="26FDF491">
            <w:pPr>
              <w:adjustRightInd w:val="0"/>
              <w:spacing w:line="360" w:lineRule="auto"/>
              <w:ind w:left="-105" w:leftChars="-50" w:right="-105" w:rightChars="-50"/>
              <w:jc w:val="center"/>
              <w:textAlignment w:val="baseline"/>
              <w:rPr>
                <w:rFonts w:hint="eastAsia" w:ascii="宋体" w:hAnsi="宋体" w:cs="宋体"/>
                <w:bCs/>
                <w:kern w:val="0"/>
                <w:szCs w:val="21"/>
              </w:rPr>
            </w:pPr>
          </w:p>
          <w:p w14:paraId="309BE974">
            <w:pPr>
              <w:adjustRightInd w:val="0"/>
              <w:spacing w:line="360" w:lineRule="auto"/>
              <w:ind w:left="-105" w:leftChars="-50" w:right="-105" w:rightChars="-50"/>
              <w:jc w:val="center"/>
              <w:textAlignment w:val="baseline"/>
              <w:rPr>
                <w:rFonts w:hint="eastAsia" w:ascii="宋体" w:hAnsi="宋体" w:cs="宋体"/>
                <w:bCs/>
                <w:kern w:val="0"/>
                <w:szCs w:val="21"/>
              </w:rPr>
            </w:pPr>
          </w:p>
          <w:p w14:paraId="4CC04E04">
            <w:pPr>
              <w:adjustRightInd w:val="0"/>
              <w:spacing w:line="360" w:lineRule="auto"/>
              <w:ind w:left="-105" w:leftChars="-50" w:right="-105" w:rightChars="-50"/>
              <w:jc w:val="center"/>
              <w:textAlignment w:val="baseline"/>
              <w:rPr>
                <w:rFonts w:hint="eastAsia" w:ascii="宋体" w:hAnsi="宋体" w:cs="宋体"/>
                <w:bCs/>
                <w:kern w:val="0"/>
                <w:szCs w:val="21"/>
              </w:rPr>
            </w:pPr>
          </w:p>
          <w:p w14:paraId="12A30CA3">
            <w:pPr>
              <w:adjustRightInd w:val="0"/>
              <w:spacing w:line="360" w:lineRule="auto"/>
              <w:ind w:left="-105" w:leftChars="-50" w:right="-105" w:rightChars="-50"/>
              <w:jc w:val="center"/>
              <w:textAlignment w:val="baseline"/>
              <w:rPr>
                <w:rFonts w:hint="eastAsia" w:ascii="宋体" w:hAnsi="宋体" w:cs="宋体"/>
                <w:bCs/>
                <w:kern w:val="0"/>
                <w:szCs w:val="21"/>
              </w:rPr>
            </w:pPr>
          </w:p>
          <w:p w14:paraId="5471ACE1">
            <w:pPr>
              <w:adjustRightInd w:val="0"/>
              <w:spacing w:line="360" w:lineRule="auto"/>
              <w:ind w:left="-105" w:leftChars="-50" w:right="-105" w:rightChars="-50"/>
              <w:jc w:val="center"/>
              <w:textAlignment w:val="baseline"/>
              <w:rPr>
                <w:rFonts w:hint="eastAsia" w:ascii="宋体" w:hAnsi="宋体" w:cs="宋体"/>
                <w:bCs/>
                <w:kern w:val="0"/>
                <w:szCs w:val="21"/>
              </w:rPr>
            </w:pPr>
          </w:p>
          <w:p w14:paraId="349A25D2">
            <w:pPr>
              <w:adjustRightInd w:val="0"/>
              <w:spacing w:line="360" w:lineRule="auto"/>
              <w:ind w:left="-105" w:leftChars="-50" w:right="-105" w:rightChars="-50"/>
              <w:jc w:val="center"/>
              <w:textAlignment w:val="baseline"/>
              <w:rPr>
                <w:rFonts w:hint="eastAsia" w:ascii="宋体" w:hAnsi="宋体" w:cs="宋体"/>
                <w:bCs/>
                <w:kern w:val="0"/>
                <w:szCs w:val="21"/>
              </w:rPr>
            </w:pPr>
            <w:r>
              <w:rPr>
                <w:rFonts w:hint="eastAsia" w:ascii="宋体" w:hAnsi="宋体" w:cs="宋体"/>
                <w:bCs/>
                <w:kern w:val="0"/>
                <w:szCs w:val="21"/>
              </w:rPr>
              <w:t>2.1</w:t>
            </w:r>
          </w:p>
        </w:tc>
        <w:tc>
          <w:tcPr>
            <w:tcW w:w="1184" w:type="dxa"/>
            <w:noWrap w:val="0"/>
            <w:vAlign w:val="center"/>
          </w:tcPr>
          <w:p w14:paraId="00ADA9C9">
            <w:pPr>
              <w:adjustRightInd w:val="0"/>
              <w:spacing w:line="360" w:lineRule="auto"/>
              <w:ind w:left="-105" w:leftChars="-50" w:right="-105" w:rightChars="-50"/>
              <w:jc w:val="center"/>
              <w:textAlignment w:val="baseline"/>
              <w:rPr>
                <w:rFonts w:hint="eastAsia" w:ascii="宋体" w:hAnsi="宋体" w:cs="宋体"/>
                <w:bCs/>
                <w:kern w:val="0"/>
                <w:szCs w:val="21"/>
              </w:rPr>
            </w:pPr>
            <w:r>
              <w:rPr>
                <w:rFonts w:hint="eastAsia" w:ascii="宋体" w:hAnsi="宋体" w:cs="宋体"/>
                <w:b/>
                <w:bCs/>
                <w:sz w:val="21"/>
                <w:szCs w:val="21"/>
                <w:lang w:val="en-US" w:eastAsia="zh-CN"/>
              </w:rPr>
              <w:t>项目</w:t>
            </w:r>
            <w:r>
              <w:rPr>
                <w:rFonts w:hint="eastAsia" w:ascii="宋体" w:hAnsi="宋体" w:cs="宋体"/>
                <w:b/>
                <w:bCs/>
                <w:sz w:val="21"/>
                <w:szCs w:val="21"/>
              </w:rPr>
              <w:t>实施</w:t>
            </w:r>
            <w:r>
              <w:rPr>
                <w:rFonts w:ascii="宋体" w:hAnsi="宋体" w:cs="宋体"/>
                <w:b/>
                <w:bCs/>
                <w:sz w:val="21"/>
                <w:szCs w:val="21"/>
              </w:rPr>
              <w:t>方案分</w:t>
            </w:r>
            <w:r>
              <w:rPr>
                <w:rFonts w:hint="eastAsia" w:ascii="宋体" w:hAnsi="宋体" w:cs="宋体"/>
                <w:b/>
                <w:bCs/>
                <w:sz w:val="21"/>
                <w:szCs w:val="21"/>
              </w:rPr>
              <w:t>（满分</w:t>
            </w:r>
            <w:r>
              <w:rPr>
                <w:rFonts w:ascii="宋体" w:hAnsi="宋体" w:cs="宋体"/>
                <w:b/>
                <w:bCs/>
                <w:sz w:val="21"/>
                <w:szCs w:val="21"/>
              </w:rPr>
              <w:t>15</w:t>
            </w:r>
            <w:r>
              <w:rPr>
                <w:rFonts w:hint="eastAsia" w:ascii="宋体" w:hAnsi="宋体" w:cs="宋体"/>
                <w:b/>
                <w:bCs/>
                <w:sz w:val="21"/>
                <w:szCs w:val="21"/>
              </w:rPr>
              <w:t>分）</w:t>
            </w:r>
          </w:p>
        </w:tc>
        <w:tc>
          <w:tcPr>
            <w:tcW w:w="6438" w:type="dxa"/>
            <w:noWrap w:val="0"/>
            <w:vAlign w:val="center"/>
          </w:tcPr>
          <w:p w14:paraId="653ED683">
            <w:pPr>
              <w:spacing w:line="360" w:lineRule="auto"/>
              <w:rPr>
                <w:rFonts w:hint="eastAsia" w:hAnsi="宋体" w:cs="微软雅黑"/>
                <w:bCs/>
                <w:sz w:val="21"/>
                <w:szCs w:val="21"/>
              </w:rPr>
            </w:pPr>
            <w:r>
              <w:rPr>
                <w:rFonts w:hint="eastAsia" w:hAnsi="宋体" w:cs="微软雅黑"/>
                <w:bCs/>
                <w:sz w:val="21"/>
                <w:szCs w:val="21"/>
              </w:rPr>
              <w:t>按</w:t>
            </w:r>
            <w:r>
              <w:rPr>
                <w:rFonts w:hint="eastAsia" w:hAnsi="宋体" w:cs="微软雅黑"/>
                <w:bCs/>
                <w:sz w:val="21"/>
                <w:szCs w:val="21"/>
                <w:lang w:eastAsia="zh-CN"/>
              </w:rPr>
              <w:t>供应商</w:t>
            </w:r>
            <w:r>
              <w:rPr>
                <w:rFonts w:hint="eastAsia" w:hAnsi="宋体" w:cs="微软雅黑"/>
                <w:bCs/>
                <w:sz w:val="21"/>
                <w:szCs w:val="21"/>
              </w:rPr>
              <w:t xml:space="preserve">提供的实施方案的详尽程度、针对性、适用性、合理性等方面，由各评委独立打分。 </w:t>
            </w:r>
          </w:p>
          <w:p w14:paraId="6CCE4DF4">
            <w:pPr>
              <w:spacing w:line="360" w:lineRule="auto"/>
              <w:rPr>
                <w:rFonts w:hint="eastAsia" w:hAnsi="宋体" w:cs="微软雅黑"/>
                <w:bCs/>
                <w:sz w:val="21"/>
                <w:szCs w:val="21"/>
              </w:rPr>
            </w:pPr>
            <w:r>
              <w:rPr>
                <w:rFonts w:hint="eastAsia" w:hAnsi="宋体" w:cs="微软雅黑"/>
                <w:bCs/>
                <w:sz w:val="21"/>
                <w:szCs w:val="21"/>
              </w:rPr>
              <w:t>一档（5分）：项目实施方案中表述对本项目正确</w:t>
            </w:r>
            <w:r>
              <w:rPr>
                <w:rFonts w:hint="eastAsia" w:hAnsi="宋体" w:cs="微软雅黑"/>
                <w:bCs/>
                <w:sz w:val="21"/>
                <w:szCs w:val="21"/>
                <w:lang w:eastAsia="zh-CN"/>
              </w:rPr>
              <w:t>的</w:t>
            </w:r>
            <w:r>
              <w:rPr>
                <w:rFonts w:hint="eastAsia" w:hAnsi="宋体" w:cs="微软雅黑"/>
                <w:bCs/>
                <w:sz w:val="21"/>
                <w:szCs w:val="21"/>
              </w:rPr>
              <w:t xml:space="preserve">理解与认识、有完全针对项目需求作出响应。 </w:t>
            </w:r>
          </w:p>
          <w:p w14:paraId="1C1A25D7">
            <w:pPr>
              <w:spacing w:line="360" w:lineRule="auto"/>
              <w:rPr>
                <w:rFonts w:hint="eastAsia" w:hAnsi="宋体" w:cs="微软雅黑"/>
                <w:bCs/>
                <w:sz w:val="21"/>
                <w:szCs w:val="21"/>
              </w:rPr>
            </w:pPr>
            <w:r>
              <w:rPr>
                <w:rFonts w:hint="eastAsia" w:hAnsi="宋体" w:cs="微软雅黑"/>
                <w:bCs/>
                <w:sz w:val="21"/>
                <w:szCs w:val="21"/>
              </w:rPr>
              <w:t>二档（10分）：项目实施方案表述有对本项目正确</w:t>
            </w:r>
            <w:r>
              <w:rPr>
                <w:rFonts w:hint="eastAsia" w:hAnsi="宋体" w:cs="微软雅黑"/>
                <w:bCs/>
                <w:sz w:val="21"/>
                <w:szCs w:val="21"/>
                <w:lang w:eastAsia="zh-CN"/>
              </w:rPr>
              <w:t>的</w:t>
            </w:r>
            <w:r>
              <w:rPr>
                <w:rFonts w:hint="eastAsia" w:hAnsi="宋体" w:cs="微软雅黑"/>
                <w:bCs/>
                <w:sz w:val="21"/>
                <w:szCs w:val="21"/>
              </w:rPr>
              <w:t>理解业务特点、业务目标、业务范围。</w:t>
            </w:r>
          </w:p>
          <w:p w14:paraId="4ACC8534">
            <w:pPr>
              <w:spacing w:line="360" w:lineRule="auto"/>
              <w:jc w:val="left"/>
              <w:rPr>
                <w:rFonts w:hint="eastAsia" w:ascii="宋体" w:hAnsi="宋体" w:cs="宋体"/>
                <w:kern w:val="0"/>
                <w:szCs w:val="21"/>
              </w:rPr>
            </w:pPr>
            <w:r>
              <w:rPr>
                <w:rFonts w:hint="eastAsia" w:hAnsi="宋体" w:cs="微软雅黑"/>
                <w:bCs/>
                <w:sz w:val="21"/>
                <w:szCs w:val="21"/>
              </w:rPr>
              <w:t>三档（15分）：项目实施方案表述准确地把握本项目的业务特点、业务目标、业务范围</w:t>
            </w:r>
            <w:r>
              <w:rPr>
                <w:rFonts w:hint="eastAsia" w:hAnsi="宋体" w:cs="微软雅黑"/>
                <w:bCs/>
                <w:sz w:val="21"/>
                <w:szCs w:val="21"/>
                <w:lang w:eastAsia="zh-CN"/>
              </w:rPr>
              <w:t>及</w:t>
            </w:r>
            <w:r>
              <w:rPr>
                <w:rFonts w:hint="eastAsia" w:hAnsi="宋体" w:cs="微软雅黑"/>
                <w:bCs/>
                <w:sz w:val="21"/>
                <w:szCs w:val="21"/>
              </w:rPr>
              <w:t>针对本项目的技术重点、难点和要点分析，能针对项目需求提出的服务方案、进度控制和后续服务措施。</w:t>
            </w:r>
          </w:p>
        </w:tc>
        <w:tc>
          <w:tcPr>
            <w:tcW w:w="935" w:type="dxa"/>
            <w:vMerge w:val="restart"/>
            <w:noWrap w:val="0"/>
            <w:vAlign w:val="center"/>
          </w:tcPr>
          <w:p w14:paraId="47687D10">
            <w:pPr>
              <w:widowControl/>
              <w:spacing w:line="360" w:lineRule="auto"/>
              <w:jc w:val="center"/>
              <w:rPr>
                <w:rFonts w:hint="eastAsia" w:ascii="宋体" w:hAnsi="宋体" w:cs="宋体"/>
                <w:kern w:val="0"/>
                <w:szCs w:val="21"/>
              </w:rPr>
            </w:pPr>
            <w:r>
              <w:rPr>
                <w:rFonts w:hint="eastAsia" w:ascii="宋体" w:hAnsi="宋体" w:cs="宋体"/>
                <w:kern w:val="0"/>
                <w:szCs w:val="21"/>
                <w:lang w:val="en-US" w:eastAsia="zh-CN"/>
              </w:rPr>
              <w:t>30</w:t>
            </w:r>
            <w:r>
              <w:rPr>
                <w:rFonts w:hint="eastAsia" w:ascii="宋体" w:hAnsi="宋体" w:cs="宋体"/>
                <w:kern w:val="0"/>
                <w:szCs w:val="21"/>
              </w:rPr>
              <w:t>分</w:t>
            </w:r>
          </w:p>
          <w:p w14:paraId="00405C6A">
            <w:pPr>
              <w:widowControl/>
              <w:spacing w:line="360" w:lineRule="auto"/>
              <w:jc w:val="center"/>
              <w:rPr>
                <w:rFonts w:ascii="宋体" w:hAnsi="宋体" w:cs="宋体"/>
                <w:kern w:val="0"/>
                <w:szCs w:val="21"/>
              </w:rPr>
            </w:pPr>
          </w:p>
        </w:tc>
      </w:tr>
      <w:tr w14:paraId="7BD7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3" w:type="dxa"/>
            <w:vMerge w:val="continue"/>
            <w:noWrap w:val="0"/>
            <w:vAlign w:val="center"/>
          </w:tcPr>
          <w:p w14:paraId="54BED4C2">
            <w:pPr>
              <w:adjustRightInd w:val="0"/>
              <w:spacing w:line="360" w:lineRule="auto"/>
              <w:ind w:left="-105" w:leftChars="-50" w:right="-105" w:rightChars="-50"/>
              <w:jc w:val="center"/>
              <w:textAlignment w:val="baseline"/>
              <w:rPr>
                <w:rFonts w:hint="eastAsia" w:ascii="宋体" w:hAnsi="宋体" w:cs="宋体"/>
                <w:bCs/>
                <w:kern w:val="0"/>
                <w:szCs w:val="21"/>
              </w:rPr>
            </w:pPr>
          </w:p>
        </w:tc>
        <w:tc>
          <w:tcPr>
            <w:tcW w:w="1184" w:type="dxa"/>
            <w:noWrap w:val="0"/>
            <w:vAlign w:val="center"/>
          </w:tcPr>
          <w:p w14:paraId="0160E0D6">
            <w:pPr>
              <w:adjustRightInd w:val="0"/>
              <w:spacing w:line="360" w:lineRule="auto"/>
              <w:ind w:left="-105" w:leftChars="-50" w:right="-105" w:rightChars="-50"/>
              <w:jc w:val="center"/>
              <w:textAlignment w:val="baseline"/>
              <w:rPr>
                <w:rFonts w:hint="eastAsia" w:ascii="宋体" w:hAnsi="宋体" w:cs="宋体"/>
                <w:b/>
                <w:kern w:val="0"/>
                <w:szCs w:val="21"/>
              </w:rPr>
            </w:pPr>
            <w:r>
              <w:rPr>
                <w:rFonts w:hint="eastAsia" w:ascii="宋体" w:hAnsi="宋体" w:cs="宋体"/>
                <w:b/>
                <w:bCs/>
                <w:sz w:val="21"/>
                <w:szCs w:val="21"/>
              </w:rPr>
              <w:t>质量保障方案分（满分</w:t>
            </w:r>
            <w:r>
              <w:rPr>
                <w:rFonts w:ascii="宋体" w:hAnsi="宋体" w:cs="宋体"/>
                <w:b/>
                <w:bCs/>
                <w:sz w:val="21"/>
                <w:szCs w:val="21"/>
              </w:rPr>
              <w:t>15</w:t>
            </w:r>
            <w:r>
              <w:rPr>
                <w:rFonts w:hint="eastAsia" w:ascii="宋体" w:hAnsi="宋体" w:cs="宋体"/>
                <w:b/>
                <w:bCs/>
                <w:sz w:val="21"/>
                <w:szCs w:val="21"/>
              </w:rPr>
              <w:t>分</w:t>
            </w:r>
            <w:r>
              <w:rPr>
                <w:rFonts w:hint="eastAsia" w:ascii="宋体" w:hAnsi="宋体" w:cs="宋体"/>
                <w:sz w:val="21"/>
                <w:szCs w:val="21"/>
              </w:rPr>
              <w:t>）</w:t>
            </w:r>
          </w:p>
        </w:tc>
        <w:tc>
          <w:tcPr>
            <w:tcW w:w="6438" w:type="dxa"/>
            <w:noWrap w:val="0"/>
            <w:vAlign w:val="center"/>
          </w:tcPr>
          <w:p w14:paraId="582BBD01">
            <w:pPr>
              <w:spacing w:line="360" w:lineRule="auto"/>
              <w:rPr>
                <w:rFonts w:hint="eastAsia" w:hAnsi="宋体" w:cs="微软雅黑"/>
                <w:bCs/>
                <w:sz w:val="21"/>
                <w:szCs w:val="21"/>
              </w:rPr>
            </w:pPr>
            <w:r>
              <w:rPr>
                <w:rFonts w:hint="eastAsia" w:hAnsi="宋体" w:cs="微软雅黑"/>
                <w:bCs/>
                <w:sz w:val="21"/>
                <w:szCs w:val="21"/>
              </w:rPr>
              <w:t>根据各</w:t>
            </w:r>
            <w:r>
              <w:rPr>
                <w:rFonts w:hint="eastAsia" w:hAnsi="宋体" w:cs="微软雅黑"/>
                <w:bCs/>
                <w:sz w:val="21"/>
                <w:szCs w:val="21"/>
                <w:lang w:eastAsia="zh-CN"/>
              </w:rPr>
              <w:t>供应商</w:t>
            </w:r>
            <w:r>
              <w:rPr>
                <w:rFonts w:hint="eastAsia" w:hAnsi="宋体" w:cs="微软雅黑"/>
                <w:bCs/>
                <w:sz w:val="21"/>
                <w:szCs w:val="21"/>
              </w:rPr>
              <w:t xml:space="preserve">提供的针对本项目的质量保障，提出项目质量总目标、实现质量目标的内容、措施、办法、鉴定报告质量保证及其他考查项进行综合评定，由各评委独立打分。 </w:t>
            </w:r>
          </w:p>
          <w:p w14:paraId="3B9B561F">
            <w:pPr>
              <w:spacing w:line="360" w:lineRule="auto"/>
              <w:rPr>
                <w:rFonts w:hint="eastAsia" w:hAnsi="宋体" w:cs="微软雅黑"/>
                <w:bCs/>
                <w:sz w:val="21"/>
                <w:szCs w:val="21"/>
              </w:rPr>
            </w:pPr>
            <w:r>
              <w:rPr>
                <w:rFonts w:hint="eastAsia" w:hAnsi="宋体" w:cs="微软雅黑"/>
                <w:bCs/>
                <w:sz w:val="21"/>
                <w:szCs w:val="21"/>
              </w:rPr>
              <w:t>一档（5分）：供应商做出的质量保障方案阐述，提出符合本项目需求的</w:t>
            </w:r>
            <w:r>
              <w:rPr>
                <w:rFonts w:hint="eastAsia" w:ascii="宋体" w:hAnsi="宋体" w:cs="宋体"/>
                <w:bCs/>
                <w:sz w:val="21"/>
                <w:szCs w:val="21"/>
              </w:rPr>
              <w:t>组织协调方案和</w:t>
            </w:r>
            <w:r>
              <w:rPr>
                <w:rFonts w:hint="eastAsia" w:hAnsi="宋体" w:cs="微软雅黑"/>
                <w:bCs/>
                <w:sz w:val="21"/>
                <w:szCs w:val="21"/>
              </w:rPr>
              <w:t>质量保证方法措施。</w:t>
            </w:r>
          </w:p>
          <w:p w14:paraId="6913A693">
            <w:pPr>
              <w:spacing w:line="360" w:lineRule="auto"/>
              <w:rPr>
                <w:rFonts w:hint="eastAsia" w:ascii="宋体" w:hAnsi="宋体" w:cs="宋体"/>
                <w:bCs/>
                <w:sz w:val="21"/>
                <w:szCs w:val="21"/>
              </w:rPr>
            </w:pPr>
            <w:r>
              <w:rPr>
                <w:rFonts w:hint="eastAsia" w:hAnsi="宋体" w:cs="微软雅黑"/>
                <w:bCs/>
                <w:sz w:val="21"/>
                <w:szCs w:val="21"/>
              </w:rPr>
              <w:t>二档（10分）：在提出的</w:t>
            </w:r>
            <w:r>
              <w:rPr>
                <w:rFonts w:hint="eastAsia" w:ascii="宋体" w:hAnsi="宋体" w:cs="宋体"/>
                <w:bCs/>
                <w:sz w:val="21"/>
                <w:szCs w:val="21"/>
              </w:rPr>
              <w:t>组织协调方案中</w:t>
            </w:r>
            <w:r>
              <w:rPr>
                <w:rFonts w:hint="eastAsia" w:hAnsi="宋体" w:cs="微软雅黑"/>
                <w:bCs/>
                <w:sz w:val="21"/>
                <w:szCs w:val="21"/>
              </w:rPr>
              <w:t>，</w:t>
            </w:r>
            <w:r>
              <w:rPr>
                <w:rFonts w:hint="eastAsia" w:ascii="宋体" w:hAnsi="宋体" w:cs="宋体"/>
                <w:bCs/>
                <w:sz w:val="21"/>
                <w:szCs w:val="21"/>
              </w:rPr>
              <w:t>加入项目管理组织机构图，机构图能</w:t>
            </w:r>
            <w:r>
              <w:rPr>
                <w:rFonts w:ascii="宋体" w:hAnsi="宋体" w:cs="宋体"/>
                <w:bCs/>
                <w:sz w:val="21"/>
                <w:szCs w:val="21"/>
              </w:rPr>
              <w:t>体现</w:t>
            </w:r>
            <w:r>
              <w:rPr>
                <w:rFonts w:hint="eastAsia" w:ascii="宋体" w:hAnsi="宋体" w:cs="宋体"/>
                <w:bCs/>
                <w:sz w:val="21"/>
                <w:szCs w:val="21"/>
              </w:rPr>
              <w:t>人员安排及服务进度安排。投入该项目的项目实施人员优于采购文件服务要求。</w:t>
            </w:r>
          </w:p>
          <w:p w14:paraId="2339A448">
            <w:pPr>
              <w:spacing w:line="360" w:lineRule="auto"/>
              <w:jc w:val="left"/>
              <w:rPr>
                <w:rFonts w:hint="eastAsia" w:eastAsia="宋体"/>
                <w:lang w:eastAsia="zh-CN"/>
              </w:rPr>
            </w:pPr>
            <w:r>
              <w:rPr>
                <w:rFonts w:hint="eastAsia" w:hAnsi="宋体" w:cs="微软雅黑"/>
                <w:bCs/>
                <w:sz w:val="21"/>
                <w:szCs w:val="21"/>
              </w:rPr>
              <w:t xml:space="preserve">三档（15分）：在第二档的基础提出项目质量总目标、实现质量目标的内容、措施、办法、鉴定报告质量保证及其他考查项进行综合评定上，针对本项目的特殊性，在采样、分析、数据审核等方面进行把控，符合质量保证方法措施的要求。 </w:t>
            </w:r>
          </w:p>
        </w:tc>
        <w:tc>
          <w:tcPr>
            <w:tcW w:w="935" w:type="dxa"/>
            <w:vMerge w:val="continue"/>
            <w:noWrap w:val="0"/>
            <w:vAlign w:val="center"/>
          </w:tcPr>
          <w:p w14:paraId="6EEA1547">
            <w:pPr>
              <w:widowControl/>
              <w:spacing w:line="360" w:lineRule="auto"/>
              <w:jc w:val="center"/>
              <w:rPr>
                <w:rFonts w:ascii="宋体" w:hAnsi="宋体" w:cs="宋体"/>
                <w:kern w:val="0"/>
                <w:szCs w:val="21"/>
              </w:rPr>
            </w:pPr>
          </w:p>
        </w:tc>
      </w:tr>
      <w:tr w14:paraId="16E5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3" w:type="dxa"/>
            <w:noWrap w:val="0"/>
            <w:vAlign w:val="center"/>
          </w:tcPr>
          <w:p w14:paraId="573886AA">
            <w:pPr>
              <w:widowControl/>
              <w:spacing w:line="360" w:lineRule="auto"/>
              <w:jc w:val="center"/>
              <w:rPr>
                <w:rFonts w:hint="eastAsia" w:ascii="宋体" w:hAnsi="宋体" w:cs="宋体"/>
                <w:kern w:val="0"/>
                <w:szCs w:val="21"/>
              </w:rPr>
            </w:pPr>
            <w:r>
              <w:rPr>
                <w:rFonts w:hint="eastAsia" w:ascii="宋体" w:hAnsi="宋体" w:cs="宋体"/>
                <w:kern w:val="0"/>
                <w:szCs w:val="21"/>
              </w:rPr>
              <w:t>3</w:t>
            </w:r>
          </w:p>
        </w:tc>
        <w:tc>
          <w:tcPr>
            <w:tcW w:w="1184" w:type="dxa"/>
            <w:noWrap w:val="0"/>
            <w:vAlign w:val="center"/>
          </w:tcPr>
          <w:p w14:paraId="6F8236EC">
            <w:pPr>
              <w:widowControl/>
              <w:spacing w:line="360" w:lineRule="auto"/>
              <w:jc w:val="center"/>
              <w:rPr>
                <w:rFonts w:hint="eastAsia" w:ascii="宋体" w:hAnsi="宋体" w:cs="宋体"/>
                <w:bCs/>
                <w:szCs w:val="21"/>
              </w:rPr>
            </w:pPr>
            <w:r>
              <w:rPr>
                <w:rFonts w:hint="eastAsia" w:ascii="宋体" w:hAnsi="宋体" w:cs="宋体"/>
                <w:bCs/>
                <w:szCs w:val="21"/>
              </w:rPr>
              <w:t>商务分</w:t>
            </w:r>
          </w:p>
        </w:tc>
        <w:tc>
          <w:tcPr>
            <w:tcW w:w="7373" w:type="dxa"/>
            <w:gridSpan w:val="2"/>
            <w:noWrap w:val="0"/>
            <w:vAlign w:val="center"/>
          </w:tcPr>
          <w:p w14:paraId="15FCD75D">
            <w:pPr>
              <w:widowControl/>
              <w:spacing w:line="360" w:lineRule="auto"/>
              <w:jc w:val="center"/>
              <w:rPr>
                <w:rFonts w:hint="eastAsia" w:ascii="宋体" w:hAnsi="宋体" w:cs="宋体"/>
                <w:kern w:val="0"/>
                <w:szCs w:val="21"/>
              </w:rPr>
            </w:pPr>
            <w:r>
              <w:rPr>
                <w:rFonts w:hint="eastAsia" w:ascii="宋体" w:hAnsi="宋体" w:cs="宋体"/>
                <w:kern w:val="0"/>
                <w:szCs w:val="21"/>
              </w:rPr>
              <w:t>评审因素</w:t>
            </w:r>
          </w:p>
        </w:tc>
      </w:tr>
      <w:tr w14:paraId="2222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3" w:type="dxa"/>
            <w:noWrap w:val="0"/>
            <w:vAlign w:val="center"/>
          </w:tcPr>
          <w:p w14:paraId="65C248E4">
            <w:pPr>
              <w:widowControl/>
              <w:spacing w:line="360" w:lineRule="auto"/>
              <w:jc w:val="center"/>
              <w:rPr>
                <w:rFonts w:hint="eastAsia" w:ascii="宋体" w:hAnsi="宋体" w:cs="宋体"/>
                <w:kern w:val="0"/>
                <w:szCs w:val="21"/>
              </w:rPr>
            </w:pPr>
            <w:r>
              <w:rPr>
                <w:rFonts w:hint="eastAsia" w:ascii="宋体" w:hAnsi="宋体" w:cs="宋体"/>
                <w:kern w:val="0"/>
                <w:szCs w:val="21"/>
              </w:rPr>
              <w:t>3.1</w:t>
            </w:r>
          </w:p>
        </w:tc>
        <w:tc>
          <w:tcPr>
            <w:tcW w:w="1184" w:type="dxa"/>
            <w:noWrap w:val="0"/>
            <w:vAlign w:val="center"/>
          </w:tcPr>
          <w:p w14:paraId="2B1E0EC3">
            <w:pPr>
              <w:adjustRightInd w:val="0"/>
              <w:spacing w:line="360" w:lineRule="auto"/>
              <w:ind w:left="-105" w:leftChars="-50" w:right="-105" w:rightChars="-50"/>
              <w:jc w:val="center"/>
              <w:textAlignment w:val="baseline"/>
              <w:rPr>
                <w:rFonts w:hint="eastAsia" w:ascii="宋体" w:hAnsi="宋体" w:cs="宋体"/>
                <w:kern w:val="0"/>
                <w:szCs w:val="21"/>
              </w:rPr>
            </w:pPr>
            <w:r>
              <w:rPr>
                <w:rFonts w:hint="eastAsia" w:ascii="宋体" w:hAnsi="宋体" w:cs="宋体"/>
                <w:b/>
                <w:bCs/>
                <w:sz w:val="21"/>
                <w:szCs w:val="21"/>
              </w:rPr>
              <w:t>拟投入技术力量分（满分</w:t>
            </w:r>
            <w:r>
              <w:rPr>
                <w:rFonts w:hint="eastAsia" w:ascii="宋体" w:hAnsi="宋体" w:cs="宋体"/>
                <w:b/>
                <w:bCs/>
                <w:sz w:val="21"/>
                <w:szCs w:val="21"/>
                <w:lang w:val="en-US" w:eastAsia="zh-CN"/>
              </w:rPr>
              <w:t>30</w:t>
            </w:r>
            <w:r>
              <w:rPr>
                <w:rFonts w:hint="eastAsia" w:ascii="宋体" w:hAnsi="宋体" w:cs="宋体"/>
                <w:b/>
                <w:bCs/>
                <w:sz w:val="21"/>
                <w:szCs w:val="21"/>
              </w:rPr>
              <w:t>分）</w:t>
            </w:r>
          </w:p>
        </w:tc>
        <w:tc>
          <w:tcPr>
            <w:tcW w:w="6438" w:type="dxa"/>
            <w:noWrap w:val="0"/>
            <w:vAlign w:val="center"/>
          </w:tcPr>
          <w:p w14:paraId="224B1A9F">
            <w:pPr>
              <w:numPr>
                <w:ilvl w:val="0"/>
                <w:numId w:val="0"/>
              </w:numPr>
              <w:spacing w:line="360" w:lineRule="auto"/>
              <w:rPr>
                <w:rFonts w:hint="eastAsia" w:hAnsi="宋体" w:cs="微软雅黑"/>
                <w:bCs/>
                <w:sz w:val="21"/>
                <w:szCs w:val="21"/>
              </w:rPr>
            </w:pPr>
            <w:r>
              <w:rPr>
                <w:rFonts w:ascii="宋体" w:hAnsi="宋体" w:cs="宋体"/>
                <w:b/>
                <w:bCs w:val="0"/>
                <w:sz w:val="21"/>
                <w:szCs w:val="21"/>
              </w:rPr>
              <w:t>拟投入项目实施人员配置情况</w:t>
            </w:r>
            <w:r>
              <w:rPr>
                <w:rFonts w:hint="eastAsia" w:ascii="宋体" w:hAnsi="宋体" w:cs="宋体"/>
                <w:b/>
                <w:bCs w:val="0"/>
                <w:sz w:val="21"/>
                <w:szCs w:val="21"/>
              </w:rPr>
              <w:t>（满分</w:t>
            </w:r>
            <w:r>
              <w:rPr>
                <w:rFonts w:hint="eastAsia" w:ascii="宋体" w:hAnsi="宋体" w:cs="宋体"/>
                <w:b/>
                <w:bCs w:val="0"/>
                <w:sz w:val="21"/>
                <w:szCs w:val="21"/>
                <w:lang w:val="en-US" w:eastAsia="zh-CN"/>
              </w:rPr>
              <w:t>30</w:t>
            </w:r>
            <w:r>
              <w:rPr>
                <w:rFonts w:hint="eastAsia" w:ascii="宋体" w:hAnsi="宋体" w:cs="宋体"/>
                <w:b/>
                <w:bCs w:val="0"/>
                <w:sz w:val="21"/>
                <w:szCs w:val="21"/>
              </w:rPr>
              <w:t>分）</w:t>
            </w:r>
            <w:r>
              <w:rPr>
                <w:rFonts w:ascii="宋体" w:hAnsi="宋体" w:cs="宋体"/>
                <w:sz w:val="21"/>
                <w:szCs w:val="21"/>
              </w:rPr>
              <w:t xml:space="preserve"> </w:t>
            </w:r>
          </w:p>
          <w:p w14:paraId="7119F90B">
            <w:pPr>
              <w:spacing w:line="360" w:lineRule="auto"/>
              <w:jc w:val="left"/>
              <w:rPr>
                <w:rFonts w:hint="eastAsia" w:ascii="宋体" w:hAnsi="宋体" w:cs="宋体"/>
                <w:color w:val="auto"/>
                <w:sz w:val="21"/>
                <w:szCs w:val="21"/>
                <w:lang w:val="en-US" w:eastAsia="zh-CN"/>
              </w:rPr>
            </w:pPr>
            <w:r>
              <w:rPr>
                <w:rFonts w:hint="eastAsia" w:ascii="宋体" w:hAnsi="宋体" w:cs="宋体"/>
                <w:sz w:val="21"/>
                <w:szCs w:val="21"/>
              </w:rPr>
              <w:t>①</w:t>
            </w:r>
            <w:r>
              <w:rPr>
                <w:rFonts w:hint="eastAsia" w:ascii="宋体" w:hAnsi="宋体" w:cs="宋体"/>
                <w:sz w:val="21"/>
                <w:szCs w:val="21"/>
                <w:lang w:eastAsia="zh-CN"/>
              </w:rPr>
              <w:t>投入</w:t>
            </w:r>
            <w:r>
              <w:rPr>
                <w:rFonts w:hint="eastAsia" w:ascii="宋体" w:hAnsi="宋体" w:cs="宋体"/>
                <w:sz w:val="21"/>
                <w:szCs w:val="21"/>
              </w:rPr>
              <w:t>本</w:t>
            </w:r>
            <w:r>
              <w:rPr>
                <w:rFonts w:hint="eastAsia" w:ascii="宋体" w:hAnsi="宋体" w:cs="宋体"/>
                <w:color w:val="auto"/>
                <w:sz w:val="21"/>
                <w:szCs w:val="21"/>
              </w:rPr>
              <w:t>项目具备有效的</w:t>
            </w:r>
            <w:r>
              <w:rPr>
                <w:rFonts w:ascii="宋体" w:hAnsi="宋体" w:cs="宋体"/>
                <w:color w:val="auto"/>
                <w:sz w:val="21"/>
                <w:szCs w:val="21"/>
              </w:rPr>
              <w:t>司法部或司法厅颁发的《司法鉴定人执业证》鉴定</w:t>
            </w:r>
            <w:r>
              <w:rPr>
                <w:rFonts w:hint="eastAsia" w:ascii="宋体" w:hAnsi="宋体" w:cs="宋体"/>
                <w:color w:val="auto"/>
                <w:sz w:val="21"/>
                <w:szCs w:val="21"/>
              </w:rPr>
              <w:t>的人员</w:t>
            </w:r>
            <w:r>
              <w:rPr>
                <w:rFonts w:hint="eastAsia" w:ascii="宋体" w:hAnsi="宋体" w:cs="宋体"/>
                <w:color w:val="auto"/>
                <w:sz w:val="21"/>
                <w:szCs w:val="21"/>
                <w:lang w:eastAsia="zh-CN"/>
              </w:rPr>
              <w:t>每个单项服务（解释：即法医病理、法医临床、法医毒物）</w:t>
            </w:r>
            <w:r>
              <w:rPr>
                <w:rFonts w:hint="eastAsia" w:ascii="宋体" w:hAnsi="宋体" w:cs="宋体"/>
                <w:color w:val="auto"/>
                <w:sz w:val="21"/>
                <w:szCs w:val="21"/>
                <w:lang w:val="en-US" w:eastAsia="zh-CN"/>
              </w:rPr>
              <w:t>3人以上，得15分。</w:t>
            </w:r>
            <w:r>
              <w:rPr>
                <w:rFonts w:hint="eastAsia" w:hAnsi="宋体" w:cs="微软雅黑"/>
                <w:b/>
                <w:bCs/>
                <w:color w:val="auto"/>
                <w:sz w:val="21"/>
                <w:szCs w:val="21"/>
              </w:rPr>
              <w:t>（提供司法部或司法厅颁发的《司法鉴定人执业证》执业证件复印件</w:t>
            </w:r>
            <w:r>
              <w:rPr>
                <w:rFonts w:hAnsi="宋体" w:cs="微软雅黑"/>
                <w:b/>
                <w:bCs/>
                <w:color w:val="auto"/>
                <w:sz w:val="21"/>
                <w:szCs w:val="21"/>
              </w:rPr>
              <w:t>、劳动合同复印件、</w:t>
            </w:r>
            <w:r>
              <w:rPr>
                <w:rFonts w:hint="eastAsia" w:hAnsi="宋体" w:cs="微软雅黑"/>
                <w:b/>
                <w:bCs/>
                <w:color w:val="auto"/>
                <w:sz w:val="21"/>
                <w:szCs w:val="21"/>
              </w:rPr>
              <w:t>身份证复印件并</w:t>
            </w:r>
            <w:r>
              <w:rPr>
                <w:rFonts w:hint="eastAsia" w:ascii="宋体" w:hAnsi="宋体" w:cs="宋体"/>
                <w:b/>
                <w:bCs/>
                <w:color w:val="auto"/>
                <w:sz w:val="21"/>
                <w:szCs w:val="21"/>
                <w:lang w:eastAsia="zh-CN"/>
              </w:rPr>
              <w:t>加盖供应商电子签章</w:t>
            </w:r>
            <w:r>
              <w:rPr>
                <w:rFonts w:hint="eastAsia" w:hAnsi="宋体" w:cs="微软雅黑"/>
                <w:b/>
                <w:bCs/>
                <w:color w:val="auto"/>
                <w:sz w:val="21"/>
                <w:szCs w:val="21"/>
              </w:rPr>
              <w:t>，否则不予计分。）</w:t>
            </w:r>
          </w:p>
          <w:p w14:paraId="5867D935">
            <w:pPr>
              <w:spacing w:line="360" w:lineRule="auto"/>
              <w:jc w:val="left"/>
              <w:rPr>
                <w:rFonts w:hint="eastAsia" w:hAnsi="宋体" w:cs="宋体"/>
                <w:sz w:val="21"/>
              </w:rPr>
            </w:pPr>
            <w:r>
              <w:rPr>
                <w:rFonts w:hint="eastAsia" w:ascii="宋体" w:hAnsi="宋体" w:cs="宋体"/>
                <w:color w:val="auto"/>
                <w:sz w:val="21"/>
                <w:szCs w:val="21"/>
              </w:rPr>
              <w:t>②投入</w:t>
            </w:r>
            <w:r>
              <w:rPr>
                <w:rFonts w:hint="eastAsia" w:ascii="Times New Roman" w:hAnsi="宋体" w:eastAsia="宋体" w:cs="微软雅黑"/>
                <w:bCs/>
                <w:color w:val="auto"/>
                <w:sz w:val="21"/>
                <w:szCs w:val="21"/>
              </w:rPr>
              <w:t>本项目</w:t>
            </w:r>
            <w:r>
              <w:rPr>
                <w:rFonts w:hint="eastAsia" w:ascii="Times New Roman" w:hAnsi="宋体" w:eastAsia="宋体" w:cs="微软雅黑"/>
                <w:bCs/>
                <w:color w:val="auto"/>
                <w:sz w:val="21"/>
                <w:szCs w:val="21"/>
                <w:lang w:eastAsia="zh-CN"/>
              </w:rPr>
              <w:t>人员具备与本项目服务内容相关专业的正高级职称鉴定</w:t>
            </w:r>
            <w:r>
              <w:rPr>
                <w:rFonts w:hint="eastAsia" w:ascii="Times New Roman" w:hAnsi="宋体" w:eastAsia="宋体" w:cs="微软雅黑"/>
                <w:bCs/>
                <w:color w:val="auto"/>
                <w:sz w:val="21"/>
                <w:szCs w:val="21"/>
              </w:rPr>
              <w:t>人</w:t>
            </w:r>
            <w:r>
              <w:rPr>
                <w:rFonts w:hint="eastAsia" w:ascii="Times New Roman" w:hAnsi="宋体" w:eastAsia="宋体" w:cs="微软雅黑"/>
                <w:bCs/>
                <w:color w:val="auto"/>
                <w:sz w:val="21"/>
                <w:szCs w:val="21"/>
                <w:lang w:eastAsia="zh-CN"/>
              </w:rPr>
              <w:t>，每投</w:t>
            </w:r>
            <w:r>
              <w:rPr>
                <w:rFonts w:hint="eastAsia" w:ascii="宋体" w:hAnsi="宋体" w:eastAsia="宋体" w:cs="宋体"/>
                <w:bCs/>
                <w:color w:val="auto"/>
                <w:sz w:val="21"/>
                <w:szCs w:val="21"/>
                <w:lang w:eastAsia="zh-CN"/>
              </w:rPr>
              <w:t>入</w:t>
            </w:r>
            <w:r>
              <w:rPr>
                <w:rFonts w:hint="eastAsia" w:ascii="宋体" w:hAnsi="宋体" w:eastAsia="宋体" w:cs="宋体"/>
                <w:bCs/>
                <w:color w:val="auto"/>
                <w:sz w:val="21"/>
                <w:szCs w:val="21"/>
                <w:lang w:val="en-US" w:eastAsia="zh-CN"/>
              </w:rPr>
              <w:t>1人，</w:t>
            </w:r>
            <w:r>
              <w:rPr>
                <w:rFonts w:hint="eastAsia" w:ascii="宋体" w:hAnsi="宋体" w:eastAsia="宋体" w:cs="宋体"/>
                <w:bCs/>
                <w:color w:val="auto"/>
                <w:sz w:val="21"/>
                <w:szCs w:val="21"/>
              </w:rPr>
              <w:t>得</w:t>
            </w:r>
            <w:r>
              <w:rPr>
                <w:rFonts w:hint="eastAsia" w:ascii="宋体" w:hAnsi="宋体" w:eastAsia="宋体" w:cs="宋体"/>
                <w:bCs/>
                <w:color w:val="auto"/>
                <w:sz w:val="21"/>
                <w:szCs w:val="21"/>
                <w:lang w:val="en-US" w:eastAsia="zh-CN"/>
              </w:rPr>
              <w:t>3分；</w:t>
            </w:r>
            <w:r>
              <w:rPr>
                <w:rFonts w:hint="eastAsia" w:ascii="宋体" w:hAnsi="宋体" w:eastAsia="宋体" w:cs="宋体"/>
                <w:bCs/>
                <w:color w:val="auto"/>
                <w:sz w:val="21"/>
                <w:szCs w:val="21"/>
                <w:lang w:eastAsia="zh-CN"/>
              </w:rPr>
              <w:t>具备与本项目服务内容相关专业的</w:t>
            </w:r>
            <w:r>
              <w:rPr>
                <w:rFonts w:hint="eastAsia" w:ascii="宋体" w:hAnsi="宋体" w:eastAsia="宋体" w:cs="宋体"/>
                <w:bCs/>
                <w:color w:val="auto"/>
                <w:sz w:val="21"/>
                <w:szCs w:val="21"/>
                <w:lang w:val="en-US" w:eastAsia="zh-CN"/>
              </w:rPr>
              <w:t>副高级职称得2分，</w:t>
            </w:r>
            <w:r>
              <w:rPr>
                <w:rFonts w:hint="eastAsia" w:ascii="宋体" w:hAnsi="宋体" w:eastAsia="宋体" w:cs="宋体"/>
                <w:bCs/>
                <w:color w:val="auto"/>
                <w:sz w:val="21"/>
                <w:szCs w:val="21"/>
              </w:rPr>
              <w:t>满分</w:t>
            </w:r>
            <w:r>
              <w:rPr>
                <w:rFonts w:hint="eastAsia" w:ascii="宋体" w:hAnsi="宋体" w:eastAsia="宋体" w:cs="宋体"/>
                <w:bCs/>
                <w:color w:val="auto"/>
                <w:sz w:val="21"/>
                <w:szCs w:val="21"/>
                <w:lang w:val="en-US" w:eastAsia="zh-CN"/>
              </w:rPr>
              <w:t>15</w:t>
            </w:r>
            <w:r>
              <w:rPr>
                <w:rFonts w:hint="eastAsia" w:ascii="Times New Roman" w:hAnsi="宋体" w:eastAsia="宋体" w:cs="微软雅黑"/>
                <w:bCs/>
                <w:color w:val="auto"/>
                <w:sz w:val="21"/>
                <w:szCs w:val="21"/>
              </w:rPr>
              <w:t>分</w:t>
            </w:r>
            <w:r>
              <w:rPr>
                <w:rFonts w:hint="eastAsia" w:hAnsi="宋体" w:cs="微软雅黑"/>
                <w:bCs/>
                <w:color w:val="auto"/>
                <w:sz w:val="21"/>
                <w:szCs w:val="21"/>
              </w:rPr>
              <w:t>。</w:t>
            </w:r>
            <w:r>
              <w:rPr>
                <w:rFonts w:hint="eastAsia" w:hAnsi="宋体" w:cs="微软雅黑"/>
                <w:b/>
                <w:bCs/>
                <w:color w:val="auto"/>
                <w:sz w:val="21"/>
                <w:szCs w:val="21"/>
              </w:rPr>
              <w:t>（提供</w:t>
            </w:r>
            <w:r>
              <w:rPr>
                <w:rFonts w:hint="eastAsia" w:hAnsi="宋体" w:cs="微软雅黑"/>
                <w:b/>
                <w:bCs/>
                <w:color w:val="auto"/>
                <w:sz w:val="21"/>
                <w:szCs w:val="21"/>
                <w:lang w:eastAsia="zh-CN"/>
              </w:rPr>
              <w:t>职称证明</w:t>
            </w:r>
            <w:r>
              <w:rPr>
                <w:rFonts w:hint="eastAsia" w:hAnsi="宋体" w:cs="微软雅黑"/>
                <w:b/>
                <w:bCs/>
                <w:color w:val="auto"/>
                <w:sz w:val="21"/>
                <w:szCs w:val="21"/>
              </w:rPr>
              <w:t>复印件</w:t>
            </w:r>
            <w:r>
              <w:rPr>
                <w:rFonts w:hAnsi="宋体" w:cs="微软雅黑"/>
                <w:b/>
                <w:bCs/>
                <w:color w:val="auto"/>
                <w:sz w:val="21"/>
                <w:szCs w:val="21"/>
              </w:rPr>
              <w:t>、劳动合同复印件</w:t>
            </w:r>
            <w:r>
              <w:rPr>
                <w:rFonts w:hint="eastAsia" w:hAnsi="宋体" w:cs="微软雅黑"/>
                <w:b/>
                <w:bCs/>
                <w:sz w:val="21"/>
                <w:szCs w:val="21"/>
              </w:rPr>
              <w:t>并</w:t>
            </w:r>
            <w:r>
              <w:rPr>
                <w:rFonts w:hint="eastAsia" w:ascii="宋体" w:hAnsi="宋体" w:cs="宋体"/>
                <w:b/>
                <w:bCs/>
                <w:sz w:val="21"/>
                <w:szCs w:val="21"/>
                <w:lang w:eastAsia="zh-CN"/>
              </w:rPr>
              <w:t>加盖供应商电子签章</w:t>
            </w:r>
            <w:r>
              <w:rPr>
                <w:rFonts w:hint="eastAsia" w:hAnsi="宋体" w:cs="微软雅黑"/>
                <w:b/>
                <w:bCs/>
                <w:sz w:val="21"/>
                <w:szCs w:val="21"/>
              </w:rPr>
              <w:t>，否则不予计分。）</w:t>
            </w:r>
          </w:p>
        </w:tc>
        <w:tc>
          <w:tcPr>
            <w:tcW w:w="935" w:type="dxa"/>
            <w:vMerge w:val="restart"/>
            <w:noWrap w:val="0"/>
            <w:vAlign w:val="center"/>
          </w:tcPr>
          <w:p w14:paraId="3657E5A0">
            <w:pPr>
              <w:widowControl/>
              <w:spacing w:line="360" w:lineRule="auto"/>
              <w:jc w:val="center"/>
              <w:rPr>
                <w:rFonts w:hint="eastAsia" w:ascii="宋体" w:hAnsi="宋体" w:cs="宋体"/>
                <w:kern w:val="0"/>
                <w:szCs w:val="21"/>
                <w:lang w:val="en-US" w:eastAsia="zh-CN"/>
              </w:rPr>
            </w:pPr>
          </w:p>
          <w:p w14:paraId="164086A3">
            <w:pPr>
              <w:widowControl/>
              <w:spacing w:line="360" w:lineRule="auto"/>
              <w:jc w:val="center"/>
              <w:rPr>
                <w:rFonts w:hint="eastAsia" w:ascii="宋体" w:hAnsi="宋体" w:cs="宋体"/>
                <w:kern w:val="0"/>
                <w:szCs w:val="21"/>
                <w:lang w:val="en-US" w:eastAsia="zh-CN"/>
              </w:rPr>
            </w:pPr>
          </w:p>
          <w:p w14:paraId="220F0442">
            <w:pPr>
              <w:widowControl/>
              <w:spacing w:line="360" w:lineRule="auto"/>
              <w:jc w:val="center"/>
              <w:rPr>
                <w:rFonts w:hint="eastAsia" w:ascii="宋体" w:hAnsi="宋体" w:cs="宋体"/>
                <w:kern w:val="0"/>
                <w:szCs w:val="21"/>
                <w:lang w:val="en-US" w:eastAsia="zh-CN"/>
              </w:rPr>
            </w:pPr>
          </w:p>
          <w:p w14:paraId="2BF4A87C">
            <w:pPr>
              <w:widowControl/>
              <w:spacing w:line="360" w:lineRule="auto"/>
              <w:jc w:val="center"/>
              <w:rPr>
                <w:rFonts w:hint="eastAsia" w:ascii="宋体" w:hAnsi="宋体" w:cs="宋体"/>
                <w:kern w:val="0"/>
                <w:szCs w:val="21"/>
                <w:lang w:val="en-US" w:eastAsia="zh-CN"/>
              </w:rPr>
            </w:pPr>
          </w:p>
          <w:p w14:paraId="4C3D7A1B">
            <w:pPr>
              <w:widowControl/>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40分</w:t>
            </w:r>
          </w:p>
        </w:tc>
      </w:tr>
      <w:tr w14:paraId="6200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3" w:type="dxa"/>
            <w:noWrap w:val="0"/>
            <w:vAlign w:val="center"/>
          </w:tcPr>
          <w:p w14:paraId="619702C2">
            <w:pPr>
              <w:widowControl/>
              <w:spacing w:line="360" w:lineRule="auto"/>
              <w:jc w:val="center"/>
              <w:rPr>
                <w:rFonts w:hint="eastAsia" w:ascii="宋体" w:hAnsi="宋体" w:cs="宋体"/>
                <w:kern w:val="0"/>
                <w:szCs w:val="21"/>
              </w:rPr>
            </w:pPr>
            <w:r>
              <w:rPr>
                <w:rFonts w:hint="eastAsia" w:ascii="宋体" w:hAnsi="宋体" w:cs="宋体"/>
                <w:kern w:val="0"/>
                <w:szCs w:val="21"/>
              </w:rPr>
              <w:t>3.3</w:t>
            </w:r>
          </w:p>
        </w:tc>
        <w:tc>
          <w:tcPr>
            <w:tcW w:w="1184" w:type="dxa"/>
            <w:noWrap w:val="0"/>
            <w:vAlign w:val="center"/>
          </w:tcPr>
          <w:p w14:paraId="7BFD05D6">
            <w:pPr>
              <w:adjustRightInd w:val="0"/>
              <w:spacing w:line="360" w:lineRule="auto"/>
              <w:ind w:left="-105" w:leftChars="-50" w:right="-105" w:rightChars="-50"/>
              <w:jc w:val="center"/>
              <w:textAlignment w:val="baseline"/>
              <w:rPr>
                <w:rFonts w:hint="eastAsia" w:ascii="宋体" w:hAnsi="宋体" w:cs="宋体"/>
                <w:kern w:val="0"/>
                <w:szCs w:val="21"/>
              </w:rPr>
            </w:pPr>
            <w:r>
              <w:rPr>
                <w:rFonts w:hint="eastAsia" w:ascii="宋体" w:hAnsi="宋体" w:cs="宋体"/>
                <w:b/>
                <w:bCs w:val="0"/>
                <w:sz w:val="21"/>
                <w:szCs w:val="21"/>
                <w:lang w:eastAsia="zh-CN"/>
              </w:rPr>
              <w:t>业绩分（满分</w:t>
            </w:r>
            <w:r>
              <w:rPr>
                <w:rFonts w:hint="eastAsia" w:ascii="宋体" w:hAnsi="宋体" w:cs="宋体"/>
                <w:b/>
                <w:bCs w:val="0"/>
                <w:sz w:val="21"/>
                <w:szCs w:val="21"/>
                <w:lang w:val="en-US" w:eastAsia="zh-CN"/>
              </w:rPr>
              <w:t>10分</w:t>
            </w:r>
            <w:r>
              <w:rPr>
                <w:rFonts w:hint="eastAsia" w:ascii="宋体" w:hAnsi="宋体" w:cs="宋体"/>
                <w:b/>
                <w:bCs w:val="0"/>
                <w:sz w:val="21"/>
                <w:szCs w:val="21"/>
                <w:lang w:eastAsia="zh-CN"/>
              </w:rPr>
              <w:t>）</w:t>
            </w:r>
          </w:p>
        </w:tc>
        <w:tc>
          <w:tcPr>
            <w:tcW w:w="6438" w:type="dxa"/>
            <w:noWrap w:val="0"/>
            <w:vAlign w:val="center"/>
          </w:tcPr>
          <w:p w14:paraId="7FD3F05E">
            <w:pPr>
              <w:adjustRightInd w:val="0"/>
              <w:spacing w:line="360" w:lineRule="auto"/>
              <w:textAlignment w:val="baseline"/>
              <w:rPr>
                <w:rFonts w:ascii="宋体" w:hAnsi="宋体" w:cs="宋体"/>
                <w:b/>
                <w:bCs/>
                <w:sz w:val="21"/>
                <w:szCs w:val="21"/>
              </w:rPr>
            </w:pPr>
            <w:r>
              <w:rPr>
                <w:rFonts w:hint="eastAsia" w:ascii="宋体" w:hAnsi="宋体" w:cs="宋体"/>
                <w:b/>
                <w:bCs/>
                <w:sz w:val="21"/>
                <w:szCs w:val="21"/>
              </w:rPr>
              <w:t>业绩分（满分1</w:t>
            </w:r>
            <w:r>
              <w:rPr>
                <w:rFonts w:hint="eastAsia" w:ascii="宋体" w:hAnsi="宋体" w:cs="宋体"/>
                <w:b/>
                <w:bCs/>
                <w:sz w:val="21"/>
                <w:szCs w:val="21"/>
                <w:lang w:val="en-US" w:eastAsia="zh-CN"/>
              </w:rPr>
              <w:t>0</w:t>
            </w:r>
            <w:r>
              <w:rPr>
                <w:rFonts w:hint="eastAsia" w:ascii="宋体" w:hAnsi="宋体" w:cs="宋体"/>
                <w:b/>
                <w:bCs/>
                <w:sz w:val="21"/>
                <w:szCs w:val="21"/>
              </w:rPr>
              <w:t>分）</w:t>
            </w:r>
          </w:p>
          <w:p w14:paraId="5A5A3DBD">
            <w:pPr>
              <w:widowControl/>
              <w:tabs>
                <w:tab w:val="left" w:pos="1890"/>
              </w:tabs>
              <w:spacing w:line="360" w:lineRule="auto"/>
              <w:jc w:val="left"/>
              <w:rPr>
                <w:rFonts w:hint="eastAsia" w:ascii="宋体" w:hAnsi="宋体" w:cs="宋体"/>
                <w:szCs w:val="21"/>
              </w:rPr>
            </w:pPr>
            <w:r>
              <w:rPr>
                <w:rFonts w:hint="eastAsia" w:ascii="宋体" w:hAnsi="宋体" w:cs="宋体"/>
                <w:bCs/>
                <w:sz w:val="21"/>
                <w:szCs w:val="21"/>
              </w:rPr>
              <w:t>供应商从20</w:t>
            </w:r>
            <w:r>
              <w:rPr>
                <w:rFonts w:hint="eastAsia" w:ascii="宋体" w:hAnsi="宋体" w:cs="宋体"/>
                <w:bCs/>
                <w:sz w:val="21"/>
                <w:szCs w:val="21"/>
                <w:lang w:val="en-US" w:eastAsia="zh-CN"/>
              </w:rPr>
              <w:t>21</w:t>
            </w:r>
            <w:r>
              <w:rPr>
                <w:rFonts w:hint="eastAsia" w:ascii="宋体" w:hAnsi="宋体" w:cs="宋体"/>
                <w:bCs/>
                <w:sz w:val="21"/>
                <w:szCs w:val="21"/>
              </w:rPr>
              <w:t>年1月1日起至递交响应文件截止之日止，承接过同类</w:t>
            </w:r>
            <w:r>
              <w:rPr>
                <w:rFonts w:ascii="宋体" w:hAnsi="宋体" w:cs="宋体"/>
                <w:sz w:val="21"/>
                <w:szCs w:val="21"/>
              </w:rPr>
              <w:t>鉴定检验服务项目</w:t>
            </w:r>
            <w:r>
              <w:rPr>
                <w:rFonts w:hint="eastAsia" w:ascii="宋体" w:hAnsi="宋体" w:cs="宋体"/>
                <w:bCs/>
                <w:sz w:val="21"/>
                <w:szCs w:val="21"/>
              </w:rPr>
              <w:t>的，每个项目</w:t>
            </w:r>
            <w:r>
              <w:rPr>
                <w:rFonts w:ascii="宋体" w:hAnsi="宋体" w:cs="宋体"/>
                <w:bCs/>
                <w:sz w:val="21"/>
                <w:szCs w:val="21"/>
              </w:rPr>
              <w:t>得</w:t>
            </w:r>
            <w:r>
              <w:rPr>
                <w:rFonts w:hint="eastAsia" w:ascii="宋体" w:hAnsi="宋体" w:cs="宋体"/>
                <w:bCs/>
                <w:sz w:val="21"/>
                <w:szCs w:val="21"/>
                <w:lang w:val="en-US" w:eastAsia="zh-CN"/>
              </w:rPr>
              <w:t>2</w:t>
            </w:r>
            <w:r>
              <w:rPr>
                <w:rFonts w:hint="eastAsia" w:ascii="宋体" w:hAnsi="宋体" w:cs="宋体"/>
                <w:bCs/>
                <w:sz w:val="21"/>
                <w:szCs w:val="21"/>
              </w:rPr>
              <w:t>分</w:t>
            </w:r>
            <w:r>
              <w:rPr>
                <w:rFonts w:ascii="宋体" w:hAnsi="宋体" w:cs="宋体"/>
                <w:bCs/>
                <w:sz w:val="21"/>
                <w:szCs w:val="21"/>
              </w:rPr>
              <w:t>，</w:t>
            </w:r>
            <w:r>
              <w:rPr>
                <w:rFonts w:hint="eastAsia" w:ascii="宋体" w:hAnsi="宋体" w:cs="宋体"/>
                <w:b/>
                <w:sz w:val="21"/>
                <w:szCs w:val="21"/>
              </w:rPr>
              <w:t>（以中标、成交通知书或签订的服务合同为准，并加盖供应商</w:t>
            </w:r>
            <w:r>
              <w:rPr>
                <w:rFonts w:hint="eastAsia" w:ascii="宋体" w:hAnsi="宋体" w:cs="宋体"/>
                <w:b/>
                <w:bCs/>
                <w:color w:val="auto"/>
                <w:sz w:val="21"/>
                <w:szCs w:val="21"/>
                <w:lang w:eastAsia="zh-CN"/>
              </w:rPr>
              <w:t>电子签章</w:t>
            </w:r>
            <w:r>
              <w:rPr>
                <w:rFonts w:hint="eastAsia" w:ascii="宋体" w:hAnsi="宋体" w:cs="宋体"/>
                <w:b/>
                <w:sz w:val="21"/>
                <w:szCs w:val="21"/>
              </w:rPr>
              <w:t>）</w:t>
            </w:r>
            <w:r>
              <w:rPr>
                <w:rFonts w:hint="eastAsia" w:ascii="宋体" w:hAnsi="宋体" w:cs="宋体"/>
                <w:bCs/>
                <w:sz w:val="21"/>
                <w:szCs w:val="21"/>
              </w:rPr>
              <w:t>满分1</w:t>
            </w:r>
            <w:r>
              <w:rPr>
                <w:rFonts w:hint="eastAsia" w:ascii="宋体" w:hAnsi="宋体" w:cs="宋体"/>
                <w:bCs/>
                <w:sz w:val="21"/>
                <w:szCs w:val="21"/>
                <w:lang w:val="en-US" w:eastAsia="zh-CN"/>
              </w:rPr>
              <w:t>0</w:t>
            </w:r>
            <w:r>
              <w:rPr>
                <w:rFonts w:hint="eastAsia" w:ascii="宋体" w:hAnsi="宋体" w:cs="宋体"/>
                <w:bCs/>
                <w:sz w:val="21"/>
                <w:szCs w:val="21"/>
              </w:rPr>
              <w:t>分。</w:t>
            </w:r>
          </w:p>
        </w:tc>
        <w:tc>
          <w:tcPr>
            <w:tcW w:w="935" w:type="dxa"/>
            <w:vMerge w:val="continue"/>
            <w:noWrap w:val="0"/>
            <w:vAlign w:val="center"/>
          </w:tcPr>
          <w:p w14:paraId="25850712">
            <w:pPr>
              <w:widowControl/>
              <w:spacing w:line="360" w:lineRule="auto"/>
              <w:jc w:val="center"/>
              <w:rPr>
                <w:rFonts w:hint="default" w:ascii="宋体" w:hAnsi="宋体" w:eastAsia="宋体" w:cs="宋体"/>
                <w:kern w:val="0"/>
                <w:szCs w:val="21"/>
                <w:lang w:val="en-US" w:eastAsia="zh-CN"/>
              </w:rPr>
            </w:pPr>
          </w:p>
        </w:tc>
      </w:tr>
      <w:tr w14:paraId="6C7FE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90" w:type="dxa"/>
            <w:gridSpan w:val="4"/>
            <w:noWrap w:val="0"/>
            <w:vAlign w:val="top"/>
          </w:tcPr>
          <w:p w14:paraId="50A90E18">
            <w:pPr>
              <w:widowControl/>
              <w:spacing w:line="360" w:lineRule="auto"/>
              <w:jc w:val="center"/>
              <w:rPr>
                <w:rFonts w:hint="eastAsia" w:ascii="宋体" w:hAnsi="宋体" w:cs="宋体"/>
                <w:kern w:val="0"/>
                <w:szCs w:val="21"/>
              </w:rPr>
            </w:pPr>
            <w:r>
              <w:rPr>
                <w:rFonts w:hint="eastAsia" w:hAnsi="宋体" w:cs="宋体"/>
                <w:bCs/>
                <w:kern w:val="2"/>
                <w:sz w:val="21"/>
              </w:rPr>
              <w:t>总得分</w:t>
            </w:r>
            <w:r>
              <w:rPr>
                <w:rFonts w:hint="eastAsia" w:hAnsi="宋体" w:cs="宋体"/>
                <w:bCs/>
                <w:kern w:val="2"/>
                <w:sz w:val="21"/>
                <w:lang w:eastAsia="zh-CN"/>
              </w:rPr>
              <w:t>为以上各项评审因素得分合计</w:t>
            </w:r>
          </w:p>
        </w:tc>
      </w:tr>
    </w:tbl>
    <w:p w14:paraId="0EE56C3E">
      <w:pPr>
        <w:pStyle w:val="2"/>
        <w:numPr>
          <w:ilvl w:val="0"/>
          <w:numId w:val="0"/>
        </w:numPr>
        <w:rPr>
          <w:color w:val="auto"/>
          <w:highlight w:val="none"/>
        </w:rPr>
      </w:pPr>
    </w:p>
    <w:p w14:paraId="3E271CDF">
      <w:pPr>
        <w:spacing w:line="360" w:lineRule="auto"/>
        <w:ind w:firstLine="420" w:firstLineChars="200"/>
        <w:rPr>
          <w:rFonts w:ascii="宋体" w:hAnsi="宋体" w:cs="宋体"/>
          <w:color w:val="auto"/>
          <w:highlight w:val="none"/>
        </w:rPr>
      </w:pPr>
      <w:r>
        <w:rPr>
          <w:rFonts w:hint="eastAsia" w:ascii="宋体" w:hAnsi="宋体" w:cs="宋体"/>
          <w:bCs/>
          <w:color w:val="auto"/>
          <w:szCs w:val="21"/>
          <w:highlight w:val="none"/>
        </w:rPr>
        <w:t>7.由磋商小组根据综合评分情况，按照评审得分由高到低顺序推荐3名</w:t>
      </w:r>
      <w:r>
        <w:rPr>
          <w:rFonts w:hint="eastAsia" w:ascii="宋体" w:hAnsi="宋体" w:cs="宋体"/>
          <w:bCs/>
          <w:color w:val="auto"/>
          <w:szCs w:val="21"/>
          <w:highlight w:val="none"/>
          <w:lang w:val="en-US" w:eastAsia="zh-CN"/>
        </w:rPr>
        <w:t>及</w:t>
      </w:r>
      <w:r>
        <w:rPr>
          <w:rFonts w:hint="eastAsia" w:ascii="宋体" w:hAnsi="宋体" w:cs="宋体"/>
          <w:bCs/>
          <w:color w:val="auto"/>
          <w:szCs w:val="21"/>
          <w:highlight w:val="none"/>
        </w:rPr>
        <w:t>以上成交候选供应商，并编写评审报告，</w:t>
      </w:r>
      <w:r>
        <w:rPr>
          <w:rFonts w:hint="eastAsia" w:ascii="宋体" w:hAnsi="宋体" w:cs="宋体"/>
          <w:color w:val="auto"/>
          <w:highlight w:val="none"/>
        </w:rPr>
        <w:t>评审报告通过电子交易平台向采购人、采购代理机构提交。</w:t>
      </w:r>
      <w:r>
        <w:rPr>
          <w:rFonts w:hint="eastAsia" w:ascii="宋体" w:hAnsi="宋体" w:cs="宋体"/>
          <w:bCs/>
          <w:color w:val="auto"/>
          <w:szCs w:val="21"/>
          <w:highlight w:val="none"/>
        </w:rPr>
        <w:t>符合本章第4.3条情形的，可以推荐2家成交候选供应商。评审得分相同的，按照最后报价（不计算价格折扣）由低到高的顺序推荐。评审得分且最后报价（不计算价格折扣）相同的，按照技术指标优劣顺序推荐（按技术得分由高到低排序）。评审得分、最后报价（不计算价格折扣）、技术得分、技术要求偏离分均相同的，由磋商小组随机抽取推荐。</w:t>
      </w:r>
    </w:p>
    <w:p w14:paraId="56C7DBA9">
      <w:pPr>
        <w:pStyle w:val="3"/>
        <w:spacing w:line="360" w:lineRule="auto"/>
        <w:jc w:val="center"/>
        <w:rPr>
          <w:rFonts w:ascii="宋体" w:hAnsi="宋体" w:cs="宋体"/>
          <w:color w:val="auto"/>
          <w:highlight w:val="none"/>
        </w:rPr>
      </w:pPr>
    </w:p>
    <w:p w14:paraId="1639CC37">
      <w:pPr>
        <w:rPr>
          <w:rFonts w:ascii="宋体" w:hAnsi="宋体" w:cs="宋体"/>
          <w:color w:val="auto"/>
          <w:highlight w:val="none"/>
        </w:rPr>
      </w:pPr>
    </w:p>
    <w:p w14:paraId="19F500A5">
      <w:pPr>
        <w:rPr>
          <w:rFonts w:ascii="宋体" w:hAnsi="宋体" w:cs="宋体"/>
          <w:color w:val="auto"/>
          <w:highlight w:val="none"/>
        </w:rPr>
      </w:pPr>
    </w:p>
    <w:p w14:paraId="450608CA">
      <w:pPr>
        <w:rPr>
          <w:rFonts w:ascii="宋体" w:hAnsi="宋体" w:cs="宋体"/>
          <w:color w:val="auto"/>
          <w:highlight w:val="none"/>
        </w:rPr>
      </w:pPr>
    </w:p>
    <w:p w14:paraId="02C0C92E">
      <w:pPr>
        <w:rPr>
          <w:rFonts w:ascii="宋体" w:hAnsi="宋体" w:cs="宋体"/>
          <w:color w:val="auto"/>
          <w:highlight w:val="none"/>
        </w:rPr>
      </w:pPr>
    </w:p>
    <w:p w14:paraId="7C071EF7">
      <w:pPr>
        <w:rPr>
          <w:rFonts w:ascii="宋体" w:hAnsi="宋体" w:cs="宋体"/>
          <w:color w:val="auto"/>
          <w:highlight w:val="none"/>
        </w:rPr>
      </w:pPr>
    </w:p>
    <w:p w14:paraId="0C8539F5">
      <w:pPr>
        <w:rPr>
          <w:rFonts w:ascii="宋体" w:hAnsi="宋体" w:cs="宋体"/>
          <w:color w:val="auto"/>
          <w:highlight w:val="none"/>
        </w:rPr>
      </w:pPr>
    </w:p>
    <w:p w14:paraId="75BD3B6A">
      <w:pPr>
        <w:rPr>
          <w:rFonts w:ascii="宋体" w:hAnsi="宋体" w:cs="宋体"/>
          <w:color w:val="auto"/>
          <w:highlight w:val="none"/>
        </w:rPr>
      </w:pPr>
    </w:p>
    <w:p w14:paraId="5BB895E8">
      <w:pPr>
        <w:rPr>
          <w:rFonts w:ascii="宋体" w:hAnsi="宋体" w:cs="宋体"/>
          <w:color w:val="auto"/>
          <w:highlight w:val="none"/>
        </w:rPr>
      </w:pPr>
    </w:p>
    <w:p w14:paraId="1646FF97">
      <w:pPr>
        <w:rPr>
          <w:rFonts w:ascii="宋体" w:hAnsi="宋体" w:cs="宋体"/>
          <w:color w:val="auto"/>
          <w:highlight w:val="none"/>
        </w:rPr>
      </w:pPr>
    </w:p>
    <w:p w14:paraId="0938D46D">
      <w:pPr>
        <w:rPr>
          <w:rFonts w:ascii="宋体" w:hAnsi="宋体" w:cs="宋体"/>
          <w:color w:val="auto"/>
          <w:highlight w:val="none"/>
        </w:rPr>
      </w:pPr>
    </w:p>
    <w:p w14:paraId="3EE60B2B">
      <w:pPr>
        <w:rPr>
          <w:rFonts w:ascii="宋体" w:hAnsi="宋体" w:cs="宋体"/>
          <w:color w:val="auto"/>
          <w:highlight w:val="none"/>
        </w:rPr>
      </w:pPr>
    </w:p>
    <w:p w14:paraId="7CC4CD5A">
      <w:pPr>
        <w:rPr>
          <w:rFonts w:ascii="宋体" w:hAnsi="宋体" w:cs="宋体"/>
          <w:color w:val="auto"/>
          <w:highlight w:val="none"/>
        </w:rPr>
      </w:pPr>
    </w:p>
    <w:p w14:paraId="231D03AD">
      <w:pPr>
        <w:rPr>
          <w:rFonts w:ascii="宋体" w:hAnsi="宋体" w:cs="宋体"/>
          <w:color w:val="auto"/>
          <w:highlight w:val="none"/>
        </w:rPr>
      </w:pPr>
    </w:p>
    <w:p w14:paraId="2130F072">
      <w:pPr>
        <w:pStyle w:val="3"/>
        <w:jc w:val="center"/>
        <w:rPr>
          <w:rFonts w:ascii="宋体" w:hAnsi="宋体" w:cs="宋体"/>
          <w:color w:val="auto"/>
          <w:highlight w:val="none"/>
        </w:rPr>
      </w:pPr>
      <w:bookmarkStart w:id="83" w:name="_Toc74323460"/>
    </w:p>
    <w:p w14:paraId="7A42E693">
      <w:pPr>
        <w:pStyle w:val="3"/>
        <w:jc w:val="center"/>
        <w:rPr>
          <w:rFonts w:ascii="宋体" w:hAnsi="宋体" w:cs="宋体"/>
          <w:color w:val="auto"/>
          <w:highlight w:val="none"/>
        </w:rPr>
      </w:pPr>
      <w:r>
        <w:rPr>
          <w:rFonts w:hint="eastAsia" w:ascii="宋体" w:hAnsi="宋体" w:cs="宋体"/>
          <w:color w:val="auto"/>
          <w:highlight w:val="none"/>
        </w:rPr>
        <w:t>第五章 响应文件格式</w:t>
      </w:r>
      <w:bookmarkEnd w:id="83"/>
    </w:p>
    <w:p w14:paraId="640D4A2F">
      <w:pPr>
        <w:spacing w:line="240" w:lineRule="atLeast"/>
        <w:rPr>
          <w:rFonts w:ascii="宋体" w:hAnsi="宋体" w:cs="宋体"/>
          <w:b/>
          <w:color w:val="auto"/>
          <w:sz w:val="32"/>
          <w:szCs w:val="32"/>
          <w:highlight w:val="none"/>
        </w:rPr>
      </w:pPr>
    </w:p>
    <w:p w14:paraId="10C3300A">
      <w:pPr>
        <w:spacing w:line="240" w:lineRule="atLeast"/>
        <w:rPr>
          <w:rFonts w:ascii="宋体" w:hAnsi="宋体" w:cs="宋体"/>
          <w:b/>
          <w:color w:val="auto"/>
          <w:sz w:val="32"/>
          <w:szCs w:val="32"/>
          <w:highlight w:val="none"/>
        </w:rPr>
      </w:pPr>
    </w:p>
    <w:p w14:paraId="398F9E6F">
      <w:pPr>
        <w:spacing w:line="240" w:lineRule="atLeast"/>
        <w:rPr>
          <w:rFonts w:ascii="宋体" w:hAnsi="宋体" w:cs="宋体"/>
          <w:b/>
          <w:color w:val="auto"/>
          <w:sz w:val="32"/>
          <w:szCs w:val="32"/>
          <w:highlight w:val="none"/>
        </w:rPr>
      </w:pPr>
    </w:p>
    <w:p w14:paraId="5F1391D9">
      <w:pPr>
        <w:pStyle w:val="2"/>
        <w:rPr>
          <w:rFonts w:ascii="宋体" w:hAnsi="宋体" w:cs="宋体"/>
          <w:b/>
          <w:color w:val="auto"/>
          <w:sz w:val="32"/>
          <w:szCs w:val="32"/>
          <w:highlight w:val="none"/>
        </w:rPr>
      </w:pPr>
    </w:p>
    <w:p w14:paraId="6DA843EA">
      <w:pPr>
        <w:spacing w:line="240" w:lineRule="atLeast"/>
        <w:rPr>
          <w:rFonts w:ascii="宋体" w:hAnsi="宋体" w:cs="宋体"/>
          <w:b/>
          <w:color w:val="auto"/>
          <w:sz w:val="32"/>
          <w:szCs w:val="32"/>
          <w:highlight w:val="none"/>
        </w:rPr>
      </w:pPr>
    </w:p>
    <w:p w14:paraId="33E3D5E4">
      <w:pPr>
        <w:rPr>
          <w:rFonts w:hint="eastAsia" w:ascii="宋体" w:hAnsi="宋体" w:cs="宋体"/>
          <w:b/>
          <w:color w:val="auto"/>
          <w:sz w:val="32"/>
          <w:szCs w:val="32"/>
          <w:highlight w:val="none"/>
        </w:rPr>
      </w:pPr>
      <w:bookmarkStart w:id="84" w:name="_Toc31728084"/>
      <w:bookmarkStart w:id="85" w:name="_Toc44229899"/>
      <w:bookmarkStart w:id="86" w:name="_Toc31723070"/>
      <w:bookmarkStart w:id="87" w:name="_Toc35611516"/>
      <w:bookmarkStart w:id="88" w:name="_Toc35611438"/>
      <w:bookmarkStart w:id="89" w:name="_Toc71366186"/>
      <w:r>
        <w:rPr>
          <w:rFonts w:hint="eastAsia" w:ascii="宋体" w:hAnsi="宋体" w:cs="宋体"/>
          <w:b/>
          <w:color w:val="auto"/>
          <w:sz w:val="32"/>
          <w:szCs w:val="32"/>
          <w:highlight w:val="none"/>
        </w:rPr>
        <w:br w:type="page"/>
      </w:r>
    </w:p>
    <w:p w14:paraId="390FB862">
      <w:pPr>
        <w:rPr>
          <w:rFonts w:ascii="宋体" w:hAnsi="宋体" w:cs="宋体"/>
          <w:b/>
          <w:color w:val="auto"/>
          <w:sz w:val="32"/>
          <w:szCs w:val="32"/>
          <w:highlight w:val="none"/>
        </w:rPr>
      </w:pPr>
      <w:r>
        <w:rPr>
          <w:rFonts w:hint="eastAsia" w:ascii="宋体" w:hAnsi="宋体" w:cs="宋体"/>
          <w:b/>
          <w:color w:val="auto"/>
          <w:sz w:val="32"/>
          <w:szCs w:val="32"/>
          <w:highlight w:val="none"/>
        </w:rPr>
        <w:t>一、资格证明文件格式</w:t>
      </w:r>
      <w:bookmarkEnd w:id="84"/>
      <w:bookmarkEnd w:id="85"/>
      <w:bookmarkEnd w:id="86"/>
      <w:bookmarkEnd w:id="87"/>
      <w:bookmarkEnd w:id="88"/>
      <w:bookmarkEnd w:id="89"/>
    </w:p>
    <w:p w14:paraId="6DFFF200">
      <w:pPr>
        <w:snapToGrid w:val="0"/>
        <w:spacing w:beforeLines="50" w:after="50" w:line="360" w:lineRule="auto"/>
        <w:jc w:val="left"/>
        <w:rPr>
          <w:rFonts w:ascii="宋体" w:hAnsi="宋体" w:cs="宋体"/>
          <w:b/>
          <w:color w:val="auto"/>
          <w:sz w:val="24"/>
          <w:highlight w:val="none"/>
        </w:rPr>
      </w:pPr>
      <w:r>
        <w:rPr>
          <w:rFonts w:hint="eastAsia" w:ascii="宋体" w:hAnsi="宋体" w:cs="宋体"/>
          <w:b/>
          <w:color w:val="auto"/>
          <w:sz w:val="32"/>
          <w:szCs w:val="32"/>
          <w:highlight w:val="none"/>
        </w:rPr>
        <w:t>1.资格证明文件封面格式：</w:t>
      </w:r>
    </w:p>
    <w:p w14:paraId="62381E74">
      <w:pPr>
        <w:snapToGrid w:val="0"/>
        <w:spacing w:beforeLines="50" w:after="50"/>
        <w:jc w:val="center"/>
        <w:rPr>
          <w:rFonts w:ascii="宋体" w:hAnsi="宋体" w:cs="宋体"/>
          <w:color w:val="auto"/>
          <w:sz w:val="44"/>
          <w:szCs w:val="44"/>
          <w:highlight w:val="none"/>
        </w:rPr>
      </w:pPr>
    </w:p>
    <w:p w14:paraId="288F6938">
      <w:pPr>
        <w:snapToGrid w:val="0"/>
        <w:spacing w:beforeLines="50" w:after="50"/>
        <w:jc w:val="center"/>
        <w:rPr>
          <w:rFonts w:ascii="宋体" w:hAnsi="宋体" w:cs="宋体"/>
          <w:color w:val="auto"/>
          <w:sz w:val="44"/>
          <w:szCs w:val="44"/>
          <w:highlight w:val="none"/>
        </w:rPr>
      </w:pPr>
      <w:r>
        <w:rPr>
          <w:rFonts w:hint="eastAsia" w:ascii="宋体" w:hAnsi="宋体" w:cs="宋体"/>
          <w:color w:val="auto"/>
          <w:sz w:val="44"/>
          <w:szCs w:val="44"/>
          <w:highlight w:val="none"/>
        </w:rPr>
        <w:t>电 子 响 应 文 件</w:t>
      </w:r>
    </w:p>
    <w:p w14:paraId="3FFB750C">
      <w:pPr>
        <w:snapToGrid w:val="0"/>
        <w:spacing w:beforeLines="50" w:after="50"/>
        <w:rPr>
          <w:rFonts w:ascii="宋体" w:hAnsi="宋体" w:cs="宋体"/>
          <w:color w:val="auto"/>
          <w:sz w:val="24"/>
          <w:szCs w:val="20"/>
          <w:highlight w:val="none"/>
        </w:rPr>
      </w:pPr>
    </w:p>
    <w:p w14:paraId="4EE16E23">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w:t>
      </w:r>
    </w:p>
    <w:p w14:paraId="5D69B60A">
      <w:pPr>
        <w:snapToGrid w:val="0"/>
        <w:spacing w:beforeLines="50" w:after="50"/>
        <w:rPr>
          <w:rFonts w:ascii="宋体" w:hAnsi="宋体" w:cs="宋体"/>
          <w:bCs/>
          <w:color w:val="auto"/>
          <w:sz w:val="24"/>
          <w:szCs w:val="20"/>
          <w:highlight w:val="none"/>
        </w:rPr>
      </w:pPr>
    </w:p>
    <w:p w14:paraId="51C3FB62">
      <w:pPr>
        <w:snapToGrid w:val="0"/>
        <w:spacing w:beforeLines="50" w:after="50"/>
        <w:rPr>
          <w:rFonts w:ascii="宋体" w:hAnsi="宋体" w:cs="宋体"/>
          <w:bCs/>
          <w:color w:val="auto"/>
          <w:sz w:val="24"/>
          <w:szCs w:val="20"/>
          <w:highlight w:val="none"/>
        </w:rPr>
      </w:pPr>
    </w:p>
    <w:p w14:paraId="08307746">
      <w:pPr>
        <w:snapToGrid w:val="0"/>
        <w:spacing w:beforeLines="50" w:after="50"/>
        <w:rPr>
          <w:rFonts w:ascii="宋体" w:hAnsi="宋体" w:cs="宋体"/>
          <w:bCs/>
          <w:color w:val="auto"/>
          <w:sz w:val="24"/>
          <w:szCs w:val="20"/>
          <w:highlight w:val="none"/>
        </w:rPr>
      </w:pPr>
    </w:p>
    <w:p w14:paraId="5E323A3D">
      <w:pPr>
        <w:snapToGrid w:val="0"/>
        <w:spacing w:beforeLines="50" w:after="50"/>
        <w:rPr>
          <w:rFonts w:ascii="宋体" w:hAnsi="宋体" w:cs="宋体"/>
          <w:bCs/>
          <w:color w:val="auto"/>
          <w:sz w:val="24"/>
          <w:szCs w:val="20"/>
          <w:highlight w:val="none"/>
        </w:rPr>
      </w:pPr>
    </w:p>
    <w:p w14:paraId="1A7F6FFB">
      <w:pPr>
        <w:snapToGrid w:val="0"/>
        <w:spacing w:beforeLines="50" w:after="50"/>
        <w:rPr>
          <w:rFonts w:ascii="宋体" w:hAnsi="宋体" w:cs="宋体"/>
          <w:bCs/>
          <w:color w:val="auto"/>
          <w:sz w:val="24"/>
          <w:szCs w:val="20"/>
          <w:highlight w:val="none"/>
        </w:rPr>
      </w:pPr>
    </w:p>
    <w:p w14:paraId="1247A2FD">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2A22BCE2">
      <w:pPr>
        <w:snapToGrid w:val="0"/>
        <w:spacing w:beforeLines="50" w:after="50"/>
        <w:ind w:firstLine="720" w:firstLineChars="225"/>
        <w:rPr>
          <w:rFonts w:ascii="宋体" w:hAnsi="宋体" w:cs="宋体"/>
          <w:bCs/>
          <w:color w:val="auto"/>
          <w:sz w:val="32"/>
          <w:szCs w:val="32"/>
          <w:highlight w:val="none"/>
        </w:rPr>
      </w:pPr>
    </w:p>
    <w:p w14:paraId="4ABBDD6B">
      <w:pPr>
        <w:snapToGrid w:val="0"/>
        <w:spacing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76BB280B">
      <w:pPr>
        <w:snapToGrid w:val="0"/>
        <w:spacing w:beforeLines="50" w:after="50"/>
        <w:ind w:firstLine="720" w:firstLineChars="225"/>
        <w:rPr>
          <w:rFonts w:ascii="宋体" w:hAnsi="宋体" w:cs="宋体"/>
          <w:bCs/>
          <w:color w:val="auto"/>
          <w:sz w:val="32"/>
          <w:szCs w:val="32"/>
          <w:highlight w:val="none"/>
        </w:rPr>
      </w:pPr>
    </w:p>
    <w:p w14:paraId="171A382D">
      <w:pPr>
        <w:snapToGrid w:val="0"/>
        <w:spacing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37CCDA45">
      <w:pPr>
        <w:snapToGrid w:val="0"/>
        <w:spacing w:beforeLines="50" w:after="50"/>
        <w:ind w:firstLine="720" w:firstLineChars="225"/>
        <w:rPr>
          <w:rFonts w:ascii="宋体" w:hAnsi="宋体" w:cs="宋体"/>
          <w:bCs/>
          <w:color w:val="auto"/>
          <w:sz w:val="32"/>
          <w:szCs w:val="32"/>
          <w:highlight w:val="none"/>
        </w:rPr>
      </w:pPr>
    </w:p>
    <w:p w14:paraId="1C2274C7">
      <w:pPr>
        <w:pStyle w:val="7"/>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137E5E4">
      <w:pPr>
        <w:snapToGrid w:val="0"/>
        <w:spacing w:beforeLines="50" w:after="50"/>
        <w:ind w:firstLine="640" w:firstLineChars="200"/>
        <w:rPr>
          <w:rFonts w:ascii="宋体" w:hAnsi="宋体" w:cs="宋体"/>
          <w:bCs/>
          <w:color w:val="auto"/>
          <w:sz w:val="32"/>
          <w:szCs w:val="32"/>
          <w:highlight w:val="none"/>
        </w:rPr>
      </w:pPr>
    </w:p>
    <w:p w14:paraId="4C14BCA7">
      <w:pPr>
        <w:pStyle w:val="7"/>
        <w:snapToGrid w:val="0"/>
        <w:spacing w:before="50" w:after="50"/>
        <w:ind w:firstLine="720" w:firstLineChars="225"/>
        <w:rPr>
          <w:rFonts w:ascii="宋体" w:hAnsi="宋体" w:cs="宋体"/>
          <w:bCs/>
          <w:color w:val="auto"/>
          <w:sz w:val="32"/>
          <w:szCs w:val="32"/>
          <w:highlight w:val="none"/>
        </w:rPr>
      </w:pPr>
    </w:p>
    <w:p w14:paraId="44760A26">
      <w:pPr>
        <w:pStyle w:val="7"/>
        <w:snapToGrid w:val="0"/>
        <w:spacing w:before="50" w:after="50"/>
        <w:ind w:firstLine="720" w:firstLineChars="225"/>
        <w:rPr>
          <w:rFonts w:ascii="宋体" w:hAnsi="宋体" w:cs="宋体"/>
          <w:bCs/>
          <w:color w:val="auto"/>
          <w:sz w:val="32"/>
          <w:szCs w:val="32"/>
          <w:highlight w:val="none"/>
        </w:rPr>
      </w:pPr>
    </w:p>
    <w:p w14:paraId="1BC0F176">
      <w:pPr>
        <w:pStyle w:val="7"/>
        <w:snapToGrid w:val="0"/>
        <w:spacing w:before="50" w:after="50"/>
        <w:ind w:firstLine="1280" w:firstLineChars="400"/>
        <w:rPr>
          <w:rFonts w:ascii="宋体" w:hAnsi="宋体" w:cs="宋体"/>
          <w:bCs/>
          <w:color w:val="auto"/>
          <w:sz w:val="32"/>
          <w:szCs w:val="32"/>
          <w:highlight w:val="none"/>
        </w:rPr>
      </w:pPr>
    </w:p>
    <w:p w14:paraId="74E1BC7B">
      <w:pPr>
        <w:snapToGrid w:val="0"/>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7BABF7EE">
      <w:pPr>
        <w:snapToGrid w:val="0"/>
        <w:spacing w:beforeLines="50" w:after="50" w:line="360" w:lineRule="auto"/>
        <w:ind w:left="142"/>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20BB6D04">
      <w:pPr>
        <w:snapToGrid w:val="0"/>
        <w:spacing w:beforeLines="50" w:after="50" w:line="360" w:lineRule="auto"/>
        <w:ind w:firstLine="645"/>
        <w:rPr>
          <w:rFonts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354E4DF8">
      <w:pPr>
        <w:snapToGrid w:val="0"/>
        <w:spacing w:beforeLines="50" w:after="50"/>
        <w:rPr>
          <w:rFonts w:ascii="宋体" w:hAnsi="宋体" w:cs="宋体"/>
          <w:color w:val="auto"/>
          <w:sz w:val="24"/>
          <w:szCs w:val="20"/>
          <w:highlight w:val="none"/>
        </w:rPr>
      </w:pPr>
    </w:p>
    <w:p w14:paraId="64197041">
      <w:pPr>
        <w:spacing w:line="300" w:lineRule="auto"/>
        <w:rPr>
          <w:rFonts w:ascii="宋体" w:hAnsi="宋体" w:cs="宋体"/>
          <w:color w:val="auto"/>
          <w:szCs w:val="21"/>
          <w:highlight w:val="none"/>
        </w:rPr>
      </w:pPr>
    </w:p>
    <w:p w14:paraId="05DBBA25">
      <w:pPr>
        <w:spacing w:line="300" w:lineRule="auto"/>
        <w:rPr>
          <w:rFonts w:ascii="宋体" w:hAnsi="宋体" w:cs="宋体"/>
          <w:color w:val="auto"/>
          <w:szCs w:val="21"/>
          <w:highlight w:val="none"/>
        </w:rPr>
      </w:pPr>
    </w:p>
    <w:p w14:paraId="340CC742">
      <w:pPr>
        <w:spacing w:line="300" w:lineRule="auto"/>
        <w:rPr>
          <w:rFonts w:ascii="宋体" w:hAnsi="宋体" w:cs="宋体"/>
          <w:color w:val="auto"/>
          <w:szCs w:val="21"/>
          <w:highlight w:val="none"/>
        </w:rPr>
      </w:pPr>
    </w:p>
    <w:p w14:paraId="21188593">
      <w:pPr>
        <w:spacing w:line="300" w:lineRule="auto"/>
        <w:rPr>
          <w:rFonts w:ascii="宋体" w:hAnsi="宋体" w:cs="宋体"/>
          <w:color w:val="auto"/>
          <w:szCs w:val="21"/>
          <w:highlight w:val="none"/>
        </w:rPr>
      </w:pPr>
    </w:p>
    <w:p w14:paraId="27042DFB">
      <w:pPr>
        <w:spacing w:line="300" w:lineRule="auto"/>
        <w:rPr>
          <w:rFonts w:ascii="宋体" w:hAnsi="宋体" w:cs="宋体"/>
          <w:color w:val="auto"/>
          <w:szCs w:val="21"/>
          <w:highlight w:val="none"/>
        </w:rPr>
      </w:pPr>
    </w:p>
    <w:p w14:paraId="78409633">
      <w:pPr>
        <w:spacing w:line="300" w:lineRule="auto"/>
        <w:rPr>
          <w:rFonts w:ascii="宋体" w:hAnsi="宋体" w:cs="宋体"/>
          <w:color w:val="auto"/>
          <w:szCs w:val="21"/>
          <w:highlight w:val="none"/>
        </w:rPr>
      </w:pPr>
    </w:p>
    <w:p w14:paraId="5960EF4C">
      <w:pPr>
        <w:spacing w:line="300" w:lineRule="auto"/>
        <w:rPr>
          <w:rFonts w:ascii="宋体" w:hAnsi="宋体" w:cs="宋体"/>
          <w:color w:val="auto"/>
          <w:szCs w:val="21"/>
          <w:highlight w:val="none"/>
        </w:rPr>
      </w:pPr>
    </w:p>
    <w:p w14:paraId="4A12B2B7">
      <w:pPr>
        <w:spacing w:line="300" w:lineRule="auto"/>
        <w:rPr>
          <w:rFonts w:ascii="宋体" w:hAnsi="宋体" w:cs="宋体"/>
          <w:color w:val="auto"/>
          <w:szCs w:val="21"/>
          <w:highlight w:val="none"/>
        </w:rPr>
      </w:pPr>
    </w:p>
    <w:p w14:paraId="73F48D1A">
      <w:pPr>
        <w:spacing w:line="300" w:lineRule="auto"/>
        <w:rPr>
          <w:rFonts w:ascii="宋体" w:hAnsi="宋体" w:cs="宋体"/>
          <w:color w:val="auto"/>
          <w:szCs w:val="21"/>
          <w:highlight w:val="none"/>
        </w:rPr>
      </w:pPr>
    </w:p>
    <w:p w14:paraId="3280BA16">
      <w:pPr>
        <w:spacing w:line="300" w:lineRule="auto"/>
        <w:rPr>
          <w:rFonts w:ascii="宋体" w:hAnsi="宋体" w:cs="宋体"/>
          <w:color w:val="auto"/>
          <w:szCs w:val="21"/>
          <w:highlight w:val="none"/>
        </w:rPr>
      </w:pPr>
    </w:p>
    <w:p w14:paraId="29927982">
      <w:pPr>
        <w:spacing w:line="300" w:lineRule="auto"/>
        <w:rPr>
          <w:rFonts w:ascii="宋体" w:hAnsi="宋体" w:cs="宋体"/>
          <w:color w:val="auto"/>
          <w:szCs w:val="21"/>
          <w:highlight w:val="none"/>
        </w:rPr>
      </w:pPr>
    </w:p>
    <w:p w14:paraId="771EAF35">
      <w:pPr>
        <w:spacing w:line="300" w:lineRule="auto"/>
        <w:rPr>
          <w:rFonts w:ascii="宋体" w:hAnsi="宋体" w:cs="宋体"/>
          <w:color w:val="auto"/>
          <w:szCs w:val="21"/>
          <w:highlight w:val="none"/>
        </w:rPr>
      </w:pPr>
    </w:p>
    <w:p w14:paraId="44A78900">
      <w:pPr>
        <w:spacing w:line="300" w:lineRule="auto"/>
        <w:rPr>
          <w:rFonts w:ascii="宋体" w:hAnsi="宋体" w:cs="宋体"/>
          <w:color w:val="auto"/>
          <w:szCs w:val="21"/>
          <w:highlight w:val="none"/>
        </w:rPr>
      </w:pPr>
    </w:p>
    <w:p w14:paraId="1557B54B">
      <w:pPr>
        <w:spacing w:line="300" w:lineRule="auto"/>
        <w:rPr>
          <w:rFonts w:ascii="宋体" w:hAnsi="宋体" w:cs="宋体"/>
          <w:color w:val="auto"/>
          <w:szCs w:val="21"/>
          <w:highlight w:val="none"/>
        </w:rPr>
      </w:pPr>
    </w:p>
    <w:p w14:paraId="3BEABB2E">
      <w:pPr>
        <w:spacing w:line="300" w:lineRule="auto"/>
        <w:rPr>
          <w:rFonts w:ascii="宋体" w:hAnsi="宋体" w:cs="宋体"/>
          <w:color w:val="auto"/>
          <w:szCs w:val="21"/>
          <w:highlight w:val="none"/>
        </w:rPr>
      </w:pPr>
    </w:p>
    <w:p w14:paraId="1173FCA8">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br w:type="page"/>
      </w:r>
    </w:p>
    <w:p w14:paraId="11F5F9E1">
      <w:pPr>
        <w:wordWrap w:val="0"/>
        <w:spacing w:beforeLines="50" w:after="50" w:line="320" w:lineRule="exact"/>
        <w:ind w:right="482" w:firstLine="210" w:firstLineChars="100"/>
        <w:contextualSpacing/>
        <w:jc w:val="center"/>
        <w:rPr>
          <w:rFonts w:ascii="宋体" w:hAnsi="宋体" w:cs="宋体"/>
          <w:color w:val="auto"/>
          <w:szCs w:val="21"/>
          <w:highlight w:val="none"/>
        </w:rPr>
      </w:pPr>
    </w:p>
    <w:p w14:paraId="7660A896">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供应商直接控股、管理关系信息表</w:t>
      </w:r>
    </w:p>
    <w:p w14:paraId="18514532">
      <w:pPr>
        <w:snapToGrid w:val="0"/>
        <w:spacing w:beforeLines="50" w:after="50" w:line="360" w:lineRule="auto"/>
        <w:jc w:val="center"/>
        <w:rPr>
          <w:rFonts w:ascii="宋体" w:hAnsi="宋体" w:cs="宋体"/>
          <w:b/>
          <w:color w:val="auto"/>
          <w:sz w:val="24"/>
          <w:highlight w:val="none"/>
        </w:rPr>
      </w:pPr>
    </w:p>
    <w:p w14:paraId="22CE5D42">
      <w:pPr>
        <w:spacing w:line="360" w:lineRule="auto"/>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供应商直接控股股东信息表</w:t>
      </w:r>
    </w:p>
    <w:p w14:paraId="1B36C1EE">
      <w:pPr>
        <w:spacing w:line="360" w:lineRule="auto"/>
        <w:contextualSpacing/>
        <w:jc w:val="center"/>
        <w:rPr>
          <w:rFonts w:ascii="宋体" w:hAnsi="宋体" w:cs="宋体"/>
          <w:b/>
          <w:color w:val="auto"/>
          <w:sz w:val="24"/>
          <w:highlight w:val="none"/>
        </w:rPr>
      </w:pPr>
    </w:p>
    <w:tbl>
      <w:tblPr>
        <w:tblStyle w:val="2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30D3DEE">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694B634">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324AF41">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E44EE96">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9F2EA36">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278E4F9">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4852CE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65A8F55">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8C0F47C">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203C033">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6312B42">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2598D2D">
            <w:pPr>
              <w:widowControl/>
              <w:spacing w:line="360" w:lineRule="auto"/>
              <w:contextualSpacing/>
              <w:jc w:val="center"/>
              <w:rPr>
                <w:rFonts w:ascii="宋体" w:hAnsi="宋体" w:cs="宋体"/>
                <w:color w:val="auto"/>
                <w:kern w:val="0"/>
                <w:sz w:val="24"/>
                <w:highlight w:val="none"/>
              </w:rPr>
            </w:pPr>
          </w:p>
        </w:tc>
      </w:tr>
      <w:tr w14:paraId="1B62FAA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18B86D6">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2EF6F06">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DBE123D">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020C25D">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DA7F033">
            <w:pPr>
              <w:widowControl/>
              <w:spacing w:line="360" w:lineRule="auto"/>
              <w:contextualSpacing/>
              <w:jc w:val="center"/>
              <w:rPr>
                <w:rFonts w:ascii="宋体" w:hAnsi="宋体" w:cs="宋体"/>
                <w:color w:val="auto"/>
                <w:kern w:val="0"/>
                <w:sz w:val="24"/>
                <w:highlight w:val="none"/>
              </w:rPr>
            </w:pPr>
          </w:p>
        </w:tc>
      </w:tr>
      <w:tr w14:paraId="0289AAB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1606F9F">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301B4DA">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658AE5C">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A883B1D">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AE1D8AE">
            <w:pPr>
              <w:widowControl/>
              <w:spacing w:line="360" w:lineRule="auto"/>
              <w:contextualSpacing/>
              <w:jc w:val="center"/>
              <w:rPr>
                <w:rFonts w:ascii="宋体" w:hAnsi="宋体" w:cs="宋体"/>
                <w:color w:val="auto"/>
                <w:kern w:val="0"/>
                <w:sz w:val="24"/>
                <w:highlight w:val="none"/>
              </w:rPr>
            </w:pPr>
          </w:p>
        </w:tc>
      </w:tr>
      <w:tr w14:paraId="10141DA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8F254D8">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019620C">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BE0FC1A">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AED2535">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33EA240">
            <w:pPr>
              <w:widowControl/>
              <w:spacing w:line="360" w:lineRule="auto"/>
              <w:contextualSpacing/>
              <w:jc w:val="center"/>
              <w:rPr>
                <w:rFonts w:ascii="宋体" w:hAnsi="宋体" w:cs="宋体"/>
                <w:color w:val="auto"/>
                <w:kern w:val="0"/>
                <w:sz w:val="24"/>
                <w:highlight w:val="none"/>
              </w:rPr>
            </w:pPr>
          </w:p>
        </w:tc>
      </w:tr>
    </w:tbl>
    <w:p w14:paraId="03969A08">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409D56ED">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7E467E8">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56F92BE5">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3.供应商不存在直接控股股东的，则在“直接控股股东名称”填“无”。</w:t>
      </w:r>
    </w:p>
    <w:p w14:paraId="67073E6B">
      <w:pPr>
        <w:spacing w:line="360" w:lineRule="auto"/>
        <w:ind w:firstLine="420" w:firstLineChars="200"/>
        <w:contextualSpacing/>
        <w:jc w:val="left"/>
        <w:rPr>
          <w:rFonts w:ascii="宋体" w:hAnsi="宋体" w:cs="宋体"/>
          <w:color w:val="auto"/>
          <w:szCs w:val="21"/>
          <w:highlight w:val="none"/>
        </w:rPr>
      </w:pPr>
    </w:p>
    <w:p w14:paraId="12D8AF1A">
      <w:pPr>
        <w:spacing w:line="360" w:lineRule="auto"/>
        <w:ind w:firstLine="560" w:firstLineChars="200"/>
        <w:contextualSpacing/>
        <w:jc w:val="left"/>
        <w:rPr>
          <w:rFonts w:ascii="宋体" w:hAnsi="宋体" w:cs="宋体"/>
          <w:color w:val="auto"/>
          <w:sz w:val="28"/>
          <w:szCs w:val="28"/>
          <w:highlight w:val="none"/>
        </w:rPr>
      </w:pPr>
    </w:p>
    <w:p w14:paraId="238D613B">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法定代表人或者委托代理人（签字或者电子签名）：</w:t>
      </w:r>
    </w:p>
    <w:p w14:paraId="64DF0963">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 xml:space="preserve">供应商（电子签章）： </w:t>
      </w:r>
    </w:p>
    <w:p w14:paraId="7168462F">
      <w:pPr>
        <w:spacing w:line="360" w:lineRule="auto"/>
        <w:ind w:firstLine="480" w:firstLineChars="200"/>
        <w:contextualSpacing/>
        <w:jc w:val="right"/>
        <w:rPr>
          <w:rFonts w:ascii="宋体" w:hAnsi="宋体" w:cs="宋体"/>
          <w:color w:val="auto"/>
          <w:sz w:val="28"/>
          <w:szCs w:val="28"/>
          <w:highlight w:val="none"/>
        </w:rPr>
      </w:pPr>
      <w:r>
        <w:rPr>
          <w:rFonts w:hint="eastAsia" w:ascii="宋体" w:hAnsi="宋体" w:cs="宋体"/>
          <w:color w:val="auto"/>
          <w:sz w:val="24"/>
          <w:highlight w:val="none"/>
        </w:rPr>
        <w:t>年    月    日</w:t>
      </w:r>
    </w:p>
    <w:p w14:paraId="4F6B6D8B">
      <w:pPr>
        <w:snapToGrid w:val="0"/>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05BF8E67">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5167D28C">
      <w:pPr>
        <w:snapToGrid w:val="0"/>
        <w:spacing w:line="360" w:lineRule="auto"/>
        <w:jc w:val="center"/>
        <w:rPr>
          <w:rFonts w:ascii="宋体" w:hAnsi="宋体" w:cs="宋体"/>
          <w:b/>
          <w:color w:val="auto"/>
          <w:sz w:val="24"/>
          <w:highlight w:val="none"/>
        </w:rPr>
      </w:pPr>
    </w:p>
    <w:tbl>
      <w:tblPr>
        <w:tblStyle w:val="2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08D7782">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7D74008">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39E63EC">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5323F9B">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8AE2D55">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06EC43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F992E7C">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5564E2D">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104F8E3">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A2FE9DC">
            <w:pPr>
              <w:widowControl/>
              <w:spacing w:line="360" w:lineRule="auto"/>
              <w:contextualSpacing/>
              <w:jc w:val="center"/>
              <w:rPr>
                <w:rFonts w:ascii="宋体" w:hAnsi="宋体" w:cs="宋体"/>
                <w:color w:val="auto"/>
                <w:kern w:val="0"/>
                <w:sz w:val="24"/>
                <w:highlight w:val="none"/>
              </w:rPr>
            </w:pPr>
          </w:p>
        </w:tc>
      </w:tr>
      <w:tr w14:paraId="07EBC7F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74BF47C">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2FB2E4C">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3F5552E">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AC389B3">
            <w:pPr>
              <w:widowControl/>
              <w:spacing w:line="360" w:lineRule="auto"/>
              <w:contextualSpacing/>
              <w:jc w:val="center"/>
              <w:rPr>
                <w:rFonts w:ascii="宋体" w:hAnsi="宋体" w:cs="宋体"/>
                <w:color w:val="auto"/>
                <w:kern w:val="0"/>
                <w:sz w:val="24"/>
                <w:highlight w:val="none"/>
              </w:rPr>
            </w:pPr>
          </w:p>
        </w:tc>
      </w:tr>
      <w:tr w14:paraId="5E4EFF7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11DC7F5">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176C96B">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F5740AC">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DE120D7">
            <w:pPr>
              <w:widowControl/>
              <w:spacing w:line="360" w:lineRule="auto"/>
              <w:contextualSpacing/>
              <w:jc w:val="center"/>
              <w:rPr>
                <w:rFonts w:ascii="宋体" w:hAnsi="宋体" w:cs="宋体"/>
                <w:color w:val="auto"/>
                <w:kern w:val="0"/>
                <w:sz w:val="24"/>
                <w:highlight w:val="none"/>
              </w:rPr>
            </w:pPr>
          </w:p>
        </w:tc>
      </w:tr>
      <w:tr w14:paraId="57A37B4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68C9EB7">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0161945">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9BB82AC">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BBDB907">
            <w:pPr>
              <w:widowControl/>
              <w:spacing w:line="360" w:lineRule="auto"/>
              <w:contextualSpacing/>
              <w:jc w:val="center"/>
              <w:rPr>
                <w:rFonts w:ascii="宋体" w:hAnsi="宋体" w:cs="宋体"/>
                <w:color w:val="auto"/>
                <w:kern w:val="0"/>
                <w:sz w:val="24"/>
                <w:highlight w:val="none"/>
              </w:rPr>
            </w:pPr>
          </w:p>
        </w:tc>
      </w:tr>
    </w:tbl>
    <w:p w14:paraId="0FDE5340">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588E85DE">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2DA50148">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5D8A7C35">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3.供应商不存在直接管理关系的，则在“直接管理关系单位名称”填“无”。</w:t>
      </w:r>
    </w:p>
    <w:p w14:paraId="6ACD7385">
      <w:pPr>
        <w:spacing w:line="360" w:lineRule="auto"/>
        <w:contextualSpacing/>
        <w:jc w:val="left"/>
        <w:rPr>
          <w:rFonts w:ascii="宋体" w:hAnsi="宋体" w:cs="宋体"/>
          <w:color w:val="auto"/>
          <w:sz w:val="28"/>
          <w:szCs w:val="28"/>
          <w:highlight w:val="none"/>
        </w:rPr>
      </w:pPr>
    </w:p>
    <w:p w14:paraId="41A24753">
      <w:pPr>
        <w:spacing w:line="360" w:lineRule="auto"/>
        <w:contextualSpacing/>
        <w:jc w:val="left"/>
        <w:rPr>
          <w:rFonts w:ascii="宋体" w:hAnsi="宋体" w:cs="宋体"/>
          <w:color w:val="auto"/>
          <w:sz w:val="28"/>
          <w:szCs w:val="28"/>
          <w:highlight w:val="none"/>
        </w:rPr>
      </w:pPr>
    </w:p>
    <w:p w14:paraId="60D89B47">
      <w:pPr>
        <w:spacing w:line="360" w:lineRule="auto"/>
        <w:contextualSpacing/>
        <w:jc w:val="left"/>
        <w:rPr>
          <w:rFonts w:ascii="宋体" w:hAnsi="宋体" w:cs="宋体"/>
          <w:color w:val="auto"/>
          <w:sz w:val="28"/>
          <w:szCs w:val="28"/>
          <w:highlight w:val="none"/>
        </w:rPr>
      </w:pPr>
    </w:p>
    <w:p w14:paraId="62EDEB10">
      <w:pPr>
        <w:spacing w:line="360" w:lineRule="auto"/>
        <w:contextualSpacing/>
        <w:jc w:val="left"/>
        <w:rPr>
          <w:rFonts w:ascii="宋体" w:hAnsi="宋体" w:cs="宋体"/>
          <w:color w:val="auto"/>
          <w:sz w:val="28"/>
          <w:szCs w:val="28"/>
          <w:highlight w:val="none"/>
        </w:rPr>
      </w:pPr>
    </w:p>
    <w:p w14:paraId="092A43C5">
      <w:pPr>
        <w:spacing w:line="360" w:lineRule="auto"/>
        <w:contextualSpacing/>
        <w:jc w:val="left"/>
        <w:rPr>
          <w:rFonts w:ascii="宋体" w:hAnsi="宋体" w:cs="宋体"/>
          <w:color w:val="auto"/>
          <w:sz w:val="28"/>
          <w:szCs w:val="28"/>
          <w:highlight w:val="none"/>
        </w:rPr>
      </w:pPr>
    </w:p>
    <w:p w14:paraId="001C173F">
      <w:pPr>
        <w:spacing w:line="360" w:lineRule="auto"/>
        <w:contextualSpacing/>
        <w:jc w:val="left"/>
        <w:rPr>
          <w:rFonts w:ascii="宋体" w:hAnsi="宋体" w:cs="宋体"/>
          <w:color w:val="auto"/>
          <w:sz w:val="28"/>
          <w:szCs w:val="28"/>
          <w:highlight w:val="none"/>
        </w:rPr>
      </w:pPr>
    </w:p>
    <w:p w14:paraId="0BDC00B9">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法定代表人或者委托代理人（签字或者电子签名）：</w:t>
      </w:r>
    </w:p>
    <w:p w14:paraId="42191ABF">
      <w:pPr>
        <w:spacing w:line="360" w:lineRule="auto"/>
        <w:ind w:right="480" w:firstLine="3360" w:firstLineChars="1400"/>
        <w:contextualSpacing/>
        <w:rPr>
          <w:rFonts w:ascii="宋体" w:hAnsi="宋体" w:cs="宋体"/>
          <w:color w:val="auto"/>
          <w:sz w:val="24"/>
          <w:highlight w:val="none"/>
        </w:rPr>
      </w:pPr>
      <w:r>
        <w:rPr>
          <w:rFonts w:hint="eastAsia" w:ascii="宋体" w:hAnsi="宋体" w:cs="宋体"/>
          <w:color w:val="auto"/>
          <w:sz w:val="24"/>
          <w:highlight w:val="none"/>
        </w:rPr>
        <w:t>供应商（电子签章）：</w:t>
      </w:r>
    </w:p>
    <w:p w14:paraId="18201AA6">
      <w:pPr>
        <w:spacing w:line="360" w:lineRule="auto"/>
        <w:ind w:firstLine="480" w:firstLineChars="200"/>
        <w:contextualSpacing/>
        <w:jc w:val="left"/>
        <w:rPr>
          <w:rFonts w:ascii="宋体" w:hAnsi="宋体" w:cs="宋体"/>
          <w:color w:val="auto"/>
          <w:sz w:val="28"/>
          <w:szCs w:val="28"/>
          <w:highlight w:val="none"/>
        </w:rPr>
      </w:pPr>
      <w:r>
        <w:rPr>
          <w:rFonts w:hint="eastAsia" w:ascii="宋体" w:hAnsi="宋体" w:cs="宋体"/>
          <w:color w:val="auto"/>
          <w:sz w:val="24"/>
          <w:highlight w:val="none"/>
        </w:rPr>
        <w:t xml:space="preserve">                                        年    月    日</w:t>
      </w:r>
    </w:p>
    <w:p w14:paraId="0AEF9010">
      <w:pPr>
        <w:spacing w:line="320" w:lineRule="exact"/>
        <w:jc w:val="center"/>
        <w:rPr>
          <w:rFonts w:ascii="宋体" w:hAnsi="宋体" w:cs="宋体"/>
          <w:b/>
          <w:color w:val="auto"/>
          <w:sz w:val="32"/>
          <w:szCs w:val="32"/>
          <w:highlight w:val="none"/>
        </w:rPr>
      </w:pPr>
      <w:r>
        <w:rPr>
          <w:rFonts w:hint="eastAsia" w:ascii="宋体" w:hAnsi="宋体" w:cs="宋体"/>
          <w:color w:val="auto"/>
          <w:sz w:val="28"/>
          <w:szCs w:val="28"/>
          <w:highlight w:val="none"/>
        </w:rPr>
        <w:br w:type="page"/>
      </w:r>
      <w:r>
        <w:rPr>
          <w:rFonts w:hint="eastAsia" w:ascii="宋体" w:hAnsi="宋体" w:cs="宋体"/>
          <w:b/>
          <w:color w:val="auto"/>
          <w:sz w:val="32"/>
          <w:szCs w:val="32"/>
          <w:highlight w:val="none"/>
        </w:rPr>
        <w:t>竞标声明</w:t>
      </w:r>
    </w:p>
    <w:p w14:paraId="19F9E6DE">
      <w:pPr>
        <w:spacing w:line="320" w:lineRule="exact"/>
        <w:jc w:val="center"/>
        <w:rPr>
          <w:rFonts w:ascii="宋体" w:hAnsi="宋体" w:cs="宋体"/>
          <w:color w:val="auto"/>
          <w:sz w:val="24"/>
          <w:szCs w:val="20"/>
          <w:highlight w:val="none"/>
        </w:rPr>
      </w:pPr>
    </w:p>
    <w:p w14:paraId="4DA61AA9">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EFD18B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2541017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78D891C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7EA9267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2C9A9D7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66A5E61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436D164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7A7B735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062E495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321084F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5A7AFA2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5507C46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6887035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6A8130C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BA3605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38DC68F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1E793B9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37A463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26765D7">
      <w:pPr>
        <w:spacing w:line="360" w:lineRule="auto"/>
        <w:ind w:firstLine="480" w:firstLineChars="200"/>
        <w:contextualSpacing/>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r>
        <w:rPr>
          <w:rFonts w:hint="eastAsia" w:ascii="宋体" w:hAnsi="宋体" w:cs="宋体"/>
          <w:color w:val="auto"/>
          <w:kern w:val="0"/>
          <w:sz w:val="24"/>
          <w:highlight w:val="none"/>
          <w:lang w:val="en-US" w:eastAsia="zh-CN"/>
        </w:rPr>
        <w:t xml:space="preserve">                        </w:t>
      </w:r>
    </w:p>
    <w:p w14:paraId="1511AFC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w:t>
      </w:r>
    </w:p>
    <w:p w14:paraId="16FEC59D">
      <w:pPr>
        <w:pStyle w:val="17"/>
        <w:spacing w:line="360" w:lineRule="auto"/>
        <w:ind w:firstLine="480" w:firstLineChars="200"/>
        <w:contextualSpacing/>
        <w:rPr>
          <w:rFonts w:hint="default" w:hAnsi="宋体" w:eastAsia="宋体" w:cs="宋体"/>
          <w:color w:val="auto"/>
          <w:sz w:val="24"/>
          <w:szCs w:val="24"/>
          <w:highlight w:val="none"/>
          <w:u w:val="none"/>
          <w:lang w:val="en-US" w:eastAsia="zh-CN"/>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lang w:val="en-US" w:eastAsia="zh-CN"/>
        </w:rPr>
        <w:t xml:space="preserve">  </w:t>
      </w:r>
    </w:p>
    <w:p w14:paraId="53C9DFA5">
      <w:pPr>
        <w:pStyle w:val="17"/>
        <w:spacing w:line="360" w:lineRule="auto"/>
        <w:ind w:firstLine="480" w:firstLineChars="200"/>
        <w:contextualSpacing/>
        <w:rPr>
          <w:rFonts w:hint="default" w:hAnsi="宋体" w:eastAsia="宋体" w:cs="宋体"/>
          <w:color w:val="auto"/>
          <w:sz w:val="24"/>
          <w:szCs w:val="24"/>
          <w:highlight w:val="none"/>
          <w:lang w:val="en-US" w:eastAsia="zh-CN"/>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rPr>
        <w:t>电子邮箱：</w:t>
      </w:r>
      <w:r>
        <w:rPr>
          <w:rFonts w:hint="eastAsia" w:hAnsi="宋体" w:cs="宋体"/>
          <w:color w:val="auto"/>
          <w:sz w:val="24"/>
          <w:szCs w:val="24"/>
          <w:highlight w:val="none"/>
          <w:u w:val="single"/>
          <w:lang w:val="en-US" w:eastAsia="zh-CN"/>
        </w:rPr>
        <w:t xml:space="preserve">                   </w:t>
      </w:r>
    </w:p>
    <w:p w14:paraId="4975B850">
      <w:pPr>
        <w:pStyle w:val="15"/>
        <w:tabs>
          <w:tab w:val="left" w:pos="939"/>
        </w:tabs>
        <w:spacing w:line="360" w:lineRule="auto"/>
        <w:ind w:left="141" w:leftChars="67" w:firstLine="360" w:firstLineChars="15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开户银行：</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lang w:val="en-US" w:eastAsia="zh-CN"/>
        </w:rPr>
        <w:t xml:space="preserve">                  </w:t>
      </w:r>
    </w:p>
    <w:p w14:paraId="2B07E312">
      <w:pPr>
        <w:pStyle w:val="15"/>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40BF4B43">
      <w:pPr>
        <w:pStyle w:val="15"/>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0DC0F324">
      <w:pPr>
        <w:spacing w:line="360" w:lineRule="auto"/>
        <w:contextualSpacing/>
        <w:jc w:val="left"/>
        <w:rPr>
          <w:rFonts w:ascii="宋体" w:hAnsi="宋体" w:cs="宋体"/>
          <w:b/>
          <w:color w:val="auto"/>
          <w:sz w:val="24"/>
          <w:highlight w:val="none"/>
        </w:rPr>
      </w:pPr>
      <w:r>
        <w:rPr>
          <w:rFonts w:hint="eastAsia" w:ascii="宋体" w:hAnsi="宋体" w:cs="宋体"/>
          <w:b/>
          <w:color w:val="auto"/>
          <w:sz w:val="24"/>
          <w:highlight w:val="none"/>
        </w:rPr>
        <w:t>注：如为联合体竞标，盖章处须加盖联合体牵头人电子签章并由联合体牵头人法定代表人分别签字或者盖章或者电子签名，否则响应文件按无效处理。</w:t>
      </w:r>
    </w:p>
    <w:p w14:paraId="5E63A59B">
      <w:pPr>
        <w:spacing w:line="360" w:lineRule="auto"/>
        <w:contextualSpacing/>
        <w:jc w:val="left"/>
        <w:rPr>
          <w:rFonts w:ascii="宋体" w:hAnsi="宋体" w:cs="宋体"/>
          <w:color w:val="auto"/>
          <w:szCs w:val="21"/>
          <w:highlight w:val="none"/>
        </w:rPr>
      </w:pPr>
    </w:p>
    <w:p w14:paraId="34E94042">
      <w:pPr>
        <w:spacing w:line="360" w:lineRule="auto"/>
        <w:ind w:firstLine="1575" w:firstLineChars="750"/>
        <w:contextualSpacing/>
        <w:rPr>
          <w:rFonts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sz w:val="24"/>
          <w:highlight w:val="none"/>
        </w:rPr>
        <w:t>签字或者盖章或者电子签名</w:t>
      </w:r>
      <w:r>
        <w:rPr>
          <w:rFonts w:hint="eastAsia" w:ascii="宋体" w:hAnsi="宋体" w:cs="宋体"/>
          <w:color w:val="auto"/>
          <w:highlight w:val="none"/>
        </w:rPr>
        <w:t>）：</w:t>
      </w:r>
    </w:p>
    <w:p w14:paraId="0E2608A1">
      <w:pPr>
        <w:spacing w:line="360" w:lineRule="auto"/>
        <w:ind w:firstLine="3780" w:firstLineChars="1800"/>
        <w:contextualSpacing/>
        <w:rPr>
          <w:rFonts w:ascii="宋体" w:hAnsi="宋体" w:cs="宋体"/>
          <w:color w:val="auto"/>
          <w:szCs w:val="21"/>
          <w:highlight w:val="none"/>
          <w:u w:val="single"/>
        </w:rPr>
      </w:pPr>
      <w:r>
        <w:rPr>
          <w:rFonts w:hint="eastAsia" w:ascii="宋体" w:hAnsi="宋体" w:cs="宋体"/>
          <w:color w:val="auto"/>
          <w:highlight w:val="none"/>
        </w:rPr>
        <w:t>供应商（电子签章）：</w:t>
      </w:r>
    </w:p>
    <w:p w14:paraId="3ACFA635">
      <w:pPr>
        <w:pStyle w:val="15"/>
        <w:tabs>
          <w:tab w:val="left" w:pos="939"/>
        </w:tabs>
        <w:spacing w:line="360" w:lineRule="auto"/>
        <w:ind w:left="0" w:leftChars="0" w:firstLine="420" w:firstLineChars="200"/>
        <w:jc w:val="right"/>
        <w:rPr>
          <w:rFonts w:ascii="宋体" w:hAnsi="宋体" w:cs="宋体"/>
          <w:color w:val="auto"/>
          <w:sz w:val="24"/>
          <w:highlight w:val="none"/>
        </w:rPr>
      </w:pPr>
      <w:r>
        <w:rPr>
          <w:rFonts w:hint="eastAsia" w:ascii="宋体" w:hAnsi="宋体" w:cs="宋体"/>
          <w:color w:val="auto"/>
          <w:highlight w:val="none"/>
        </w:rPr>
        <w:t xml:space="preserve"> 年    月    日</w:t>
      </w:r>
    </w:p>
    <w:p w14:paraId="03F8F2B3">
      <w:pPr>
        <w:spacing w:line="360" w:lineRule="auto"/>
        <w:ind w:right="420"/>
        <w:contextualSpacing/>
        <w:jc w:val="left"/>
        <w:rPr>
          <w:rFonts w:ascii="宋体" w:hAnsi="宋体" w:cs="宋体"/>
          <w:b/>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 xml:space="preserve">报价文件格式 </w:t>
      </w:r>
    </w:p>
    <w:p w14:paraId="16B07300">
      <w:pPr>
        <w:snapToGrid w:val="0"/>
        <w:spacing w:beforeLines="50" w:after="50"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1.报价文件封面格式</w:t>
      </w:r>
    </w:p>
    <w:p w14:paraId="1BDF00A7">
      <w:pPr>
        <w:snapToGrid w:val="0"/>
        <w:spacing w:beforeLines="50" w:after="50"/>
        <w:rPr>
          <w:rFonts w:ascii="宋体" w:hAnsi="宋体" w:cs="宋体"/>
          <w:bCs/>
          <w:color w:val="auto"/>
          <w:sz w:val="32"/>
          <w:szCs w:val="20"/>
          <w:highlight w:val="none"/>
        </w:rPr>
      </w:pPr>
    </w:p>
    <w:p w14:paraId="3534879A">
      <w:pPr>
        <w:snapToGrid w:val="0"/>
        <w:spacing w:beforeLines="50" w:after="50"/>
        <w:jc w:val="center"/>
        <w:rPr>
          <w:rFonts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4F8A9A52">
      <w:pPr>
        <w:snapToGrid w:val="0"/>
        <w:spacing w:beforeLines="50" w:after="50"/>
        <w:rPr>
          <w:rFonts w:ascii="宋体" w:hAnsi="宋体" w:cs="宋体"/>
          <w:color w:val="auto"/>
          <w:sz w:val="24"/>
          <w:szCs w:val="20"/>
          <w:highlight w:val="none"/>
        </w:rPr>
      </w:pPr>
    </w:p>
    <w:p w14:paraId="1FD13C36">
      <w:pPr>
        <w:snapToGrid w:val="0"/>
        <w:spacing w:beforeLines="50" w:after="50"/>
        <w:rPr>
          <w:rFonts w:ascii="宋体" w:hAnsi="宋体" w:cs="宋体"/>
          <w:color w:val="auto"/>
          <w:sz w:val="24"/>
          <w:szCs w:val="20"/>
          <w:highlight w:val="none"/>
        </w:rPr>
      </w:pPr>
    </w:p>
    <w:p w14:paraId="25D49A27">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w:t>
      </w:r>
    </w:p>
    <w:p w14:paraId="5041C4C1">
      <w:pPr>
        <w:snapToGrid w:val="0"/>
        <w:spacing w:beforeLines="50" w:after="50"/>
        <w:rPr>
          <w:rFonts w:ascii="宋体" w:hAnsi="宋体" w:cs="宋体"/>
          <w:bCs/>
          <w:color w:val="auto"/>
          <w:sz w:val="24"/>
          <w:szCs w:val="20"/>
          <w:highlight w:val="none"/>
        </w:rPr>
      </w:pPr>
    </w:p>
    <w:p w14:paraId="0C70C5D3">
      <w:pPr>
        <w:snapToGrid w:val="0"/>
        <w:spacing w:beforeLines="50" w:after="50"/>
        <w:rPr>
          <w:rFonts w:ascii="宋体" w:hAnsi="宋体" w:cs="宋体"/>
          <w:bCs/>
          <w:color w:val="auto"/>
          <w:sz w:val="24"/>
          <w:szCs w:val="20"/>
          <w:highlight w:val="none"/>
        </w:rPr>
      </w:pPr>
    </w:p>
    <w:p w14:paraId="6A453399">
      <w:pPr>
        <w:snapToGrid w:val="0"/>
        <w:spacing w:beforeLines="50" w:after="50"/>
        <w:rPr>
          <w:rFonts w:ascii="宋体" w:hAnsi="宋体" w:cs="宋体"/>
          <w:bCs/>
          <w:color w:val="auto"/>
          <w:sz w:val="24"/>
          <w:szCs w:val="20"/>
          <w:highlight w:val="none"/>
        </w:rPr>
      </w:pPr>
    </w:p>
    <w:p w14:paraId="584A4E03">
      <w:pPr>
        <w:snapToGrid w:val="0"/>
        <w:spacing w:beforeLines="50" w:after="50"/>
        <w:rPr>
          <w:rFonts w:ascii="宋体" w:hAnsi="宋体" w:cs="宋体"/>
          <w:bCs/>
          <w:color w:val="auto"/>
          <w:sz w:val="24"/>
          <w:szCs w:val="20"/>
          <w:highlight w:val="none"/>
        </w:rPr>
      </w:pPr>
    </w:p>
    <w:p w14:paraId="6AB863F8">
      <w:pPr>
        <w:snapToGrid w:val="0"/>
        <w:spacing w:beforeLines="50" w:after="50"/>
        <w:rPr>
          <w:rFonts w:ascii="宋体" w:hAnsi="宋体" w:cs="宋体"/>
          <w:bCs/>
          <w:color w:val="auto"/>
          <w:sz w:val="24"/>
          <w:szCs w:val="20"/>
          <w:highlight w:val="none"/>
        </w:rPr>
      </w:pPr>
    </w:p>
    <w:p w14:paraId="625A1750">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4350E4FA">
      <w:pPr>
        <w:snapToGrid w:val="0"/>
        <w:spacing w:beforeLines="50" w:after="50"/>
        <w:ind w:firstLine="720" w:firstLineChars="225"/>
        <w:rPr>
          <w:rFonts w:ascii="宋体" w:hAnsi="宋体" w:cs="宋体"/>
          <w:bCs/>
          <w:color w:val="auto"/>
          <w:sz w:val="32"/>
          <w:szCs w:val="32"/>
          <w:highlight w:val="none"/>
        </w:rPr>
      </w:pPr>
    </w:p>
    <w:p w14:paraId="0B1C2868">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36425BC9">
      <w:pPr>
        <w:snapToGrid w:val="0"/>
        <w:spacing w:beforeLines="50" w:after="50"/>
        <w:ind w:firstLine="720" w:firstLineChars="225"/>
        <w:rPr>
          <w:rFonts w:ascii="宋体" w:hAnsi="宋体" w:cs="宋体"/>
          <w:bCs/>
          <w:color w:val="auto"/>
          <w:sz w:val="32"/>
          <w:szCs w:val="32"/>
          <w:highlight w:val="none"/>
        </w:rPr>
      </w:pPr>
    </w:p>
    <w:p w14:paraId="0F076A47">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71661E4A">
      <w:pPr>
        <w:snapToGrid w:val="0"/>
        <w:spacing w:beforeLines="50" w:after="50"/>
        <w:ind w:firstLine="720" w:firstLineChars="225"/>
        <w:rPr>
          <w:rFonts w:ascii="宋体" w:hAnsi="宋体" w:cs="宋体"/>
          <w:bCs/>
          <w:color w:val="auto"/>
          <w:sz w:val="32"/>
          <w:szCs w:val="32"/>
          <w:highlight w:val="none"/>
        </w:rPr>
      </w:pPr>
    </w:p>
    <w:p w14:paraId="247B1112">
      <w:pPr>
        <w:pStyle w:val="7"/>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1F53ACD6">
      <w:pPr>
        <w:pStyle w:val="7"/>
        <w:snapToGrid w:val="0"/>
        <w:spacing w:before="50" w:after="50"/>
        <w:ind w:firstLine="640" w:firstLineChars="200"/>
        <w:rPr>
          <w:rFonts w:ascii="宋体" w:hAnsi="宋体" w:cs="宋体"/>
          <w:bCs/>
          <w:color w:val="auto"/>
          <w:sz w:val="32"/>
          <w:szCs w:val="32"/>
          <w:highlight w:val="none"/>
        </w:rPr>
      </w:pPr>
    </w:p>
    <w:p w14:paraId="711BABEE">
      <w:pPr>
        <w:pStyle w:val="7"/>
        <w:snapToGrid w:val="0"/>
        <w:spacing w:before="50" w:after="50"/>
        <w:ind w:firstLine="720" w:firstLineChars="225"/>
        <w:rPr>
          <w:rFonts w:ascii="宋体" w:hAnsi="宋体" w:cs="宋体"/>
          <w:bCs/>
          <w:color w:val="auto"/>
          <w:sz w:val="32"/>
          <w:szCs w:val="32"/>
          <w:highlight w:val="none"/>
        </w:rPr>
      </w:pPr>
    </w:p>
    <w:p w14:paraId="4798DB6C">
      <w:pPr>
        <w:pStyle w:val="7"/>
        <w:snapToGrid w:val="0"/>
        <w:spacing w:before="50" w:after="50"/>
        <w:ind w:firstLine="0"/>
        <w:rPr>
          <w:rFonts w:ascii="宋体" w:hAnsi="宋体" w:cs="宋体"/>
          <w:bCs/>
          <w:color w:val="auto"/>
          <w:sz w:val="32"/>
          <w:szCs w:val="32"/>
          <w:highlight w:val="none"/>
        </w:rPr>
      </w:pPr>
    </w:p>
    <w:p w14:paraId="3580B8C7">
      <w:pPr>
        <w:pStyle w:val="7"/>
        <w:snapToGrid w:val="0"/>
        <w:spacing w:before="50" w:after="50"/>
        <w:ind w:firstLine="1280" w:firstLineChars="400"/>
        <w:rPr>
          <w:rFonts w:ascii="宋体" w:hAnsi="宋体" w:cs="宋体"/>
          <w:bCs/>
          <w:color w:val="auto"/>
          <w:sz w:val="32"/>
          <w:szCs w:val="32"/>
          <w:highlight w:val="none"/>
        </w:rPr>
      </w:pPr>
    </w:p>
    <w:p w14:paraId="3A07E39E">
      <w:pPr>
        <w:snapToGrid w:val="0"/>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60438328">
      <w:pPr>
        <w:snapToGrid w:val="0"/>
        <w:spacing w:beforeLines="50" w:after="50" w:line="360" w:lineRule="auto"/>
        <w:ind w:left="142"/>
        <w:jc w:val="left"/>
        <w:rPr>
          <w:rFonts w:ascii="宋体" w:hAnsi="宋体" w:cs="宋体"/>
          <w:b/>
          <w:bCs/>
          <w:color w:val="auto"/>
          <w:sz w:val="24"/>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2.报价文件目录</w:t>
      </w:r>
    </w:p>
    <w:p w14:paraId="5BEA4854">
      <w:pPr>
        <w:spacing w:line="520" w:lineRule="exact"/>
        <w:jc w:val="center"/>
        <w:rPr>
          <w:rFonts w:ascii="宋体" w:hAnsi="宋体" w:cs="宋体"/>
          <w:bCs/>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r>
        <w:rPr>
          <w:rFonts w:hint="eastAsia" w:ascii="宋体" w:hAnsi="宋体" w:cs="宋体"/>
          <w:b/>
          <w:bCs/>
          <w:color w:val="auto"/>
          <w:sz w:val="32"/>
          <w:szCs w:val="32"/>
          <w:highlight w:val="none"/>
        </w:rPr>
        <w:br w:type="page"/>
      </w:r>
      <w:r>
        <w:rPr>
          <w:rFonts w:hint="eastAsia" w:ascii="宋体" w:hAnsi="宋体" w:cs="宋体"/>
          <w:b/>
          <w:bCs w:val="0"/>
          <w:color w:val="auto"/>
          <w:sz w:val="44"/>
          <w:szCs w:val="44"/>
          <w:highlight w:val="none"/>
        </w:rPr>
        <w:t>竞  标  报  价  表</w:t>
      </w:r>
    </w:p>
    <w:p w14:paraId="75291C77">
      <w:pPr>
        <w:spacing w:line="440" w:lineRule="exact"/>
        <w:jc w:val="center"/>
        <w:rPr>
          <w:rFonts w:ascii="宋体" w:hAnsi="宋体" w:cs="宋体"/>
          <w:bCs/>
          <w:color w:val="auto"/>
          <w:sz w:val="32"/>
          <w:szCs w:val="32"/>
          <w:highlight w:val="none"/>
        </w:rPr>
      </w:pPr>
    </w:p>
    <w:p w14:paraId="31369E5A">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47FCE5ED">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分标（如有）：</w:t>
      </w:r>
      <w:r>
        <w:rPr>
          <w:rFonts w:hint="eastAsia" w:ascii="宋体" w:hAnsi="宋体" w:cs="仿宋_GB2312"/>
          <w:color w:val="auto"/>
          <w:sz w:val="24"/>
          <w:highlight w:val="none"/>
          <w:u w:val="single"/>
        </w:rPr>
        <w:t xml:space="preserve">                                         </w:t>
      </w:r>
    </w:p>
    <w:p w14:paraId="1BA8721A">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6FD22D00">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29"/>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1732"/>
        <w:gridCol w:w="1646"/>
        <w:gridCol w:w="1184"/>
      </w:tblGrid>
      <w:tr w14:paraId="23BE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41BB5E2E">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38D6971">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标的的名称</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152605E1">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02F6CED3">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单位</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2292CA0F">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单价</w:t>
            </w:r>
          </w:p>
        </w:tc>
        <w:tc>
          <w:tcPr>
            <w:tcW w:w="1646" w:type="dxa"/>
            <w:tcBorders>
              <w:top w:val="single" w:color="auto" w:sz="4" w:space="0"/>
              <w:left w:val="single" w:color="auto" w:sz="4" w:space="0"/>
              <w:bottom w:val="single" w:color="auto" w:sz="4" w:space="0"/>
              <w:right w:val="single" w:color="auto" w:sz="4" w:space="0"/>
            </w:tcBorders>
            <w:noWrap w:val="0"/>
            <w:vAlign w:val="center"/>
          </w:tcPr>
          <w:p w14:paraId="6A8AB4FC">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D5E9585">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14AF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0F8E3E9F">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27EF5E7A">
            <w:pPr>
              <w:spacing w:line="360" w:lineRule="auto"/>
              <w:contextualSpacing/>
              <w:jc w:val="cente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eastAsia="zh-CN"/>
              </w:rPr>
              <w:t xml:space="preserve">法医病理鉴定、法医临床鉴定、法医毒物鉴定服务采购项目 </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358B97FC">
            <w:pPr>
              <w:spacing w:line="360" w:lineRule="auto"/>
              <w:contextualSpacing/>
              <w:jc w:val="center"/>
              <w:rPr>
                <w:rFonts w:ascii="宋体" w:hAnsi="宋体" w:cs="仿宋_GB2312"/>
                <w:color w:val="auto"/>
                <w:sz w:val="24"/>
                <w:highlight w:val="none"/>
              </w:rPr>
            </w:pPr>
          </w:p>
        </w:tc>
        <w:tc>
          <w:tcPr>
            <w:tcW w:w="617" w:type="dxa"/>
            <w:tcBorders>
              <w:top w:val="single" w:color="auto" w:sz="4" w:space="0"/>
              <w:left w:val="single" w:color="auto" w:sz="4" w:space="0"/>
              <w:bottom w:val="single" w:color="auto" w:sz="4" w:space="0"/>
              <w:right w:val="single" w:color="auto" w:sz="4" w:space="0"/>
            </w:tcBorders>
            <w:noWrap w:val="0"/>
            <w:vAlign w:val="top"/>
          </w:tcPr>
          <w:p w14:paraId="35C00F79">
            <w:pPr>
              <w:spacing w:line="360" w:lineRule="auto"/>
              <w:contextualSpacing/>
              <w:rPr>
                <w:rFonts w:ascii="宋体" w:hAnsi="宋体" w:cs="仿宋_GB2312"/>
                <w:color w:val="auto"/>
                <w:sz w:val="24"/>
                <w:highlight w:val="none"/>
              </w:rPr>
            </w:pPr>
          </w:p>
        </w:tc>
        <w:tc>
          <w:tcPr>
            <w:tcW w:w="1732" w:type="dxa"/>
            <w:tcBorders>
              <w:top w:val="single" w:color="auto" w:sz="4" w:space="0"/>
              <w:left w:val="single" w:color="auto" w:sz="4" w:space="0"/>
              <w:bottom w:val="single" w:color="auto" w:sz="4" w:space="0"/>
              <w:right w:val="single" w:color="auto" w:sz="4" w:space="0"/>
            </w:tcBorders>
            <w:noWrap w:val="0"/>
            <w:vAlign w:val="top"/>
          </w:tcPr>
          <w:p w14:paraId="3965B9F2">
            <w:pPr>
              <w:spacing w:line="360" w:lineRule="auto"/>
              <w:contextualSpacing/>
              <w:rPr>
                <w:rFonts w:ascii="宋体" w:hAnsi="宋体" w:cs="仿宋_GB2312"/>
                <w:color w:val="auto"/>
                <w:sz w:val="24"/>
                <w:highlight w:val="none"/>
              </w:rPr>
            </w:pPr>
          </w:p>
        </w:tc>
        <w:tc>
          <w:tcPr>
            <w:tcW w:w="1646" w:type="dxa"/>
            <w:tcBorders>
              <w:top w:val="single" w:color="auto" w:sz="4" w:space="0"/>
              <w:left w:val="single" w:color="auto" w:sz="4" w:space="0"/>
              <w:bottom w:val="single" w:color="auto" w:sz="4" w:space="0"/>
              <w:right w:val="single" w:color="auto" w:sz="4" w:space="0"/>
            </w:tcBorders>
            <w:noWrap w:val="0"/>
            <w:vAlign w:val="top"/>
          </w:tcPr>
          <w:p w14:paraId="5B5C1CD0">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2C95B452">
            <w:pPr>
              <w:spacing w:line="360" w:lineRule="auto"/>
              <w:contextualSpacing/>
              <w:rPr>
                <w:rFonts w:ascii="宋体" w:hAnsi="宋体" w:cs="仿宋_GB2312"/>
                <w:color w:val="auto"/>
                <w:sz w:val="24"/>
                <w:highlight w:val="none"/>
              </w:rPr>
            </w:pPr>
          </w:p>
        </w:tc>
      </w:tr>
      <w:tr w14:paraId="2414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0"/>
            <w:vAlign w:val="center"/>
          </w:tcPr>
          <w:p w14:paraId="66D363E5">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eastAsia="宋体" w:cs="仿宋_GB2312"/>
                <w:color w:val="auto"/>
                <w:sz w:val="24"/>
                <w:highlight w:val="none"/>
                <w:lang w:val="en-US" w:eastAsia="zh-CN"/>
              </w:rPr>
              <w:t>¥</w:t>
            </w:r>
            <w:r>
              <w:rPr>
                <w:rFonts w:hint="eastAsia" w:ascii="宋体" w:hAnsi="宋体" w:eastAsia="宋体" w:cs="仿宋_GB2312"/>
                <w:color w:val="auto"/>
                <w:sz w:val="24"/>
                <w:highlight w:val="none"/>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0869123D">
      <w:pPr>
        <w:spacing w:line="360" w:lineRule="auto"/>
        <w:contextualSpacing/>
        <w:jc w:val="left"/>
        <w:rPr>
          <w:rFonts w:ascii="宋体" w:hAnsi="宋体" w:cs="仿宋_GB2312"/>
          <w:color w:val="auto"/>
          <w:sz w:val="24"/>
          <w:highlight w:val="none"/>
        </w:rPr>
      </w:pPr>
    </w:p>
    <w:p w14:paraId="066677F5">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341C44A5">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438ECA48">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7929EE48">
      <w:pPr>
        <w:spacing w:line="360" w:lineRule="auto"/>
        <w:ind w:right="-817" w:rightChars="-389"/>
        <w:contextualSpacing/>
        <w:rPr>
          <w:rFonts w:hint="eastAsia" w:ascii="宋体" w:hAnsi="宋体" w:cs="仿宋_GB2312"/>
          <w:color w:val="auto"/>
          <w:sz w:val="24"/>
          <w:highlight w:val="none"/>
        </w:rPr>
      </w:pPr>
    </w:p>
    <w:p w14:paraId="18A3C2E2">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34609B94">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58A7C8E0">
      <w:pPr>
        <w:spacing w:line="360" w:lineRule="auto"/>
        <w:ind w:right="420"/>
        <w:contextualSpacing/>
        <w:jc w:val="right"/>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46AE5CE7">
      <w:pPr>
        <w:rPr>
          <w:rFonts w:hint="eastAsia" w:ascii="宋体" w:hAnsi="宋体" w:cs="仿宋_GB2312"/>
          <w:color w:val="auto"/>
          <w:sz w:val="24"/>
          <w:highlight w:val="none"/>
        </w:rPr>
      </w:pPr>
      <w:r>
        <w:rPr>
          <w:rFonts w:hint="eastAsia" w:ascii="宋体" w:hAnsi="宋体" w:cs="仿宋_GB2312"/>
          <w:color w:val="auto"/>
          <w:sz w:val="24"/>
          <w:highlight w:val="none"/>
        </w:rPr>
        <w:br w:type="page"/>
      </w:r>
    </w:p>
    <w:p w14:paraId="129BA2BD">
      <w:pPr>
        <w:spacing w:line="360" w:lineRule="auto"/>
        <w:ind w:right="420"/>
        <w:contextualSpacing/>
        <w:jc w:val="left"/>
        <w:rPr>
          <w:rFonts w:ascii="宋体" w:hAnsi="宋体" w:cs="宋体"/>
          <w:b/>
          <w:color w:val="auto"/>
          <w:sz w:val="32"/>
          <w:szCs w:val="32"/>
          <w:highlight w:val="none"/>
        </w:rPr>
      </w:pPr>
      <w:r>
        <w:rPr>
          <w:rFonts w:hint="eastAsia" w:ascii="宋体" w:hAnsi="宋体" w:cs="宋体"/>
          <w:b/>
          <w:bCs/>
          <w:color w:val="auto"/>
          <w:sz w:val="32"/>
          <w:szCs w:val="32"/>
          <w:highlight w:val="none"/>
        </w:rPr>
        <w:t>三、</w:t>
      </w:r>
      <w:r>
        <w:rPr>
          <w:rFonts w:hint="eastAsia" w:ascii="宋体" w:hAnsi="宋体" w:cs="宋体"/>
          <w:b/>
          <w:color w:val="auto"/>
          <w:sz w:val="32"/>
          <w:szCs w:val="32"/>
          <w:highlight w:val="none"/>
        </w:rPr>
        <w:t xml:space="preserve">商务技术文件格式 </w:t>
      </w:r>
    </w:p>
    <w:p w14:paraId="20B7E1D8">
      <w:pPr>
        <w:snapToGrid w:val="0"/>
        <w:spacing w:beforeLines="50" w:after="50"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1.商务技术文件封面格式</w:t>
      </w:r>
    </w:p>
    <w:p w14:paraId="2F2CA246">
      <w:pPr>
        <w:snapToGrid w:val="0"/>
        <w:spacing w:beforeLines="50" w:after="50"/>
        <w:rPr>
          <w:rFonts w:ascii="宋体" w:hAnsi="宋体" w:cs="宋体"/>
          <w:bCs/>
          <w:color w:val="auto"/>
          <w:sz w:val="32"/>
          <w:szCs w:val="20"/>
          <w:highlight w:val="none"/>
        </w:rPr>
      </w:pPr>
    </w:p>
    <w:p w14:paraId="1B8604CC">
      <w:pPr>
        <w:snapToGrid w:val="0"/>
        <w:spacing w:beforeLines="50" w:after="50"/>
        <w:jc w:val="center"/>
        <w:rPr>
          <w:rFonts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5D174AD0">
      <w:pPr>
        <w:snapToGrid w:val="0"/>
        <w:spacing w:beforeLines="50" w:after="50"/>
        <w:rPr>
          <w:rFonts w:ascii="宋体" w:hAnsi="宋体" w:cs="宋体"/>
          <w:color w:val="auto"/>
          <w:sz w:val="24"/>
          <w:szCs w:val="20"/>
          <w:highlight w:val="none"/>
        </w:rPr>
      </w:pPr>
    </w:p>
    <w:p w14:paraId="3682F625">
      <w:pPr>
        <w:snapToGrid w:val="0"/>
        <w:spacing w:beforeLines="50" w:after="50"/>
        <w:rPr>
          <w:rFonts w:ascii="宋体" w:hAnsi="宋体" w:cs="宋体"/>
          <w:color w:val="auto"/>
          <w:sz w:val="24"/>
          <w:szCs w:val="20"/>
          <w:highlight w:val="none"/>
        </w:rPr>
      </w:pPr>
    </w:p>
    <w:p w14:paraId="0FDF8399">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w:t>
      </w:r>
    </w:p>
    <w:p w14:paraId="08372586">
      <w:pPr>
        <w:snapToGrid w:val="0"/>
        <w:spacing w:beforeLines="50" w:after="50"/>
        <w:rPr>
          <w:rFonts w:ascii="宋体" w:hAnsi="宋体" w:cs="宋体"/>
          <w:bCs/>
          <w:color w:val="auto"/>
          <w:sz w:val="24"/>
          <w:szCs w:val="20"/>
          <w:highlight w:val="none"/>
        </w:rPr>
      </w:pPr>
    </w:p>
    <w:p w14:paraId="6C8D1958">
      <w:pPr>
        <w:snapToGrid w:val="0"/>
        <w:spacing w:beforeLines="50" w:after="50"/>
        <w:rPr>
          <w:rFonts w:ascii="宋体" w:hAnsi="宋体" w:cs="宋体"/>
          <w:bCs/>
          <w:color w:val="auto"/>
          <w:sz w:val="24"/>
          <w:szCs w:val="20"/>
          <w:highlight w:val="none"/>
        </w:rPr>
      </w:pPr>
    </w:p>
    <w:p w14:paraId="6F71B276">
      <w:pPr>
        <w:snapToGrid w:val="0"/>
        <w:spacing w:beforeLines="50" w:after="50"/>
        <w:rPr>
          <w:rFonts w:ascii="宋体" w:hAnsi="宋体" w:cs="宋体"/>
          <w:bCs/>
          <w:color w:val="auto"/>
          <w:sz w:val="24"/>
          <w:szCs w:val="20"/>
          <w:highlight w:val="none"/>
        </w:rPr>
      </w:pPr>
    </w:p>
    <w:p w14:paraId="68530D9F">
      <w:pPr>
        <w:snapToGrid w:val="0"/>
        <w:spacing w:beforeLines="50" w:after="50"/>
        <w:rPr>
          <w:rFonts w:ascii="宋体" w:hAnsi="宋体" w:cs="宋体"/>
          <w:bCs/>
          <w:color w:val="auto"/>
          <w:sz w:val="24"/>
          <w:szCs w:val="20"/>
          <w:highlight w:val="none"/>
        </w:rPr>
      </w:pPr>
    </w:p>
    <w:p w14:paraId="6ABF23D7">
      <w:pPr>
        <w:snapToGrid w:val="0"/>
        <w:spacing w:beforeLines="50" w:after="50"/>
        <w:rPr>
          <w:rFonts w:ascii="宋体" w:hAnsi="宋体" w:cs="宋体"/>
          <w:bCs/>
          <w:color w:val="auto"/>
          <w:sz w:val="24"/>
          <w:szCs w:val="20"/>
          <w:highlight w:val="none"/>
        </w:rPr>
      </w:pPr>
    </w:p>
    <w:p w14:paraId="38A88DE7">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02EAC415">
      <w:pPr>
        <w:snapToGrid w:val="0"/>
        <w:spacing w:beforeLines="50" w:after="50"/>
        <w:ind w:firstLine="720" w:firstLineChars="225"/>
        <w:rPr>
          <w:rFonts w:ascii="宋体" w:hAnsi="宋体" w:cs="宋体"/>
          <w:bCs/>
          <w:color w:val="auto"/>
          <w:sz w:val="32"/>
          <w:szCs w:val="32"/>
          <w:highlight w:val="none"/>
        </w:rPr>
      </w:pPr>
    </w:p>
    <w:p w14:paraId="71ACCCEE">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052EC8BE">
      <w:pPr>
        <w:snapToGrid w:val="0"/>
        <w:spacing w:beforeLines="50" w:after="50"/>
        <w:ind w:firstLine="720" w:firstLineChars="225"/>
        <w:rPr>
          <w:rFonts w:ascii="宋体" w:hAnsi="宋体" w:cs="宋体"/>
          <w:bCs/>
          <w:color w:val="auto"/>
          <w:sz w:val="32"/>
          <w:szCs w:val="32"/>
          <w:highlight w:val="none"/>
        </w:rPr>
      </w:pPr>
    </w:p>
    <w:p w14:paraId="431FEA95">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436B37B4">
      <w:pPr>
        <w:snapToGrid w:val="0"/>
        <w:spacing w:beforeLines="50" w:after="50"/>
        <w:ind w:firstLine="720" w:firstLineChars="225"/>
        <w:rPr>
          <w:rFonts w:ascii="宋体" w:hAnsi="宋体" w:cs="宋体"/>
          <w:bCs/>
          <w:color w:val="auto"/>
          <w:sz w:val="32"/>
          <w:szCs w:val="32"/>
          <w:highlight w:val="none"/>
        </w:rPr>
      </w:pPr>
    </w:p>
    <w:p w14:paraId="47F1958D">
      <w:pPr>
        <w:pStyle w:val="7"/>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51312736">
      <w:pPr>
        <w:pStyle w:val="7"/>
        <w:snapToGrid w:val="0"/>
        <w:spacing w:before="50" w:after="50"/>
        <w:ind w:firstLine="640" w:firstLineChars="200"/>
        <w:rPr>
          <w:rFonts w:ascii="宋体" w:hAnsi="宋体" w:cs="宋体"/>
          <w:bCs/>
          <w:color w:val="auto"/>
          <w:sz w:val="32"/>
          <w:szCs w:val="32"/>
          <w:highlight w:val="none"/>
        </w:rPr>
      </w:pPr>
    </w:p>
    <w:p w14:paraId="0B86F3EB">
      <w:pPr>
        <w:pStyle w:val="7"/>
        <w:snapToGrid w:val="0"/>
        <w:spacing w:before="50" w:after="50"/>
        <w:ind w:firstLine="720" w:firstLineChars="225"/>
        <w:rPr>
          <w:rFonts w:ascii="宋体" w:hAnsi="宋体" w:cs="宋体"/>
          <w:bCs/>
          <w:color w:val="auto"/>
          <w:sz w:val="32"/>
          <w:szCs w:val="32"/>
          <w:highlight w:val="none"/>
        </w:rPr>
      </w:pPr>
    </w:p>
    <w:p w14:paraId="01B98F10">
      <w:pPr>
        <w:pStyle w:val="7"/>
        <w:snapToGrid w:val="0"/>
        <w:spacing w:before="50" w:after="50"/>
        <w:ind w:firstLine="0"/>
        <w:rPr>
          <w:rFonts w:ascii="宋体" w:hAnsi="宋体" w:cs="宋体"/>
          <w:bCs/>
          <w:color w:val="auto"/>
          <w:sz w:val="32"/>
          <w:szCs w:val="32"/>
          <w:highlight w:val="none"/>
        </w:rPr>
      </w:pPr>
    </w:p>
    <w:p w14:paraId="0D4296DF">
      <w:pPr>
        <w:pStyle w:val="7"/>
        <w:snapToGrid w:val="0"/>
        <w:spacing w:before="50" w:after="50"/>
        <w:ind w:firstLine="1280" w:firstLineChars="400"/>
        <w:rPr>
          <w:rFonts w:ascii="宋体" w:hAnsi="宋体" w:cs="宋体"/>
          <w:bCs/>
          <w:color w:val="auto"/>
          <w:sz w:val="32"/>
          <w:szCs w:val="32"/>
          <w:highlight w:val="none"/>
        </w:rPr>
      </w:pPr>
    </w:p>
    <w:p w14:paraId="143EA43B">
      <w:pPr>
        <w:snapToGrid w:val="0"/>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0E7FC40E">
      <w:pPr>
        <w:snapToGrid w:val="0"/>
        <w:spacing w:beforeLines="50" w:after="50" w:line="360" w:lineRule="auto"/>
        <w:ind w:right="480" w:firstLine="240" w:firstLineChars="100"/>
        <w:jc w:val="left"/>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2.商务技术文件目录</w:t>
      </w:r>
    </w:p>
    <w:p w14:paraId="6AAF29E6">
      <w:pPr>
        <w:snapToGrid w:val="0"/>
        <w:spacing w:beforeLines="50" w:after="50" w:line="360" w:lineRule="auto"/>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458C442E">
      <w:pPr>
        <w:spacing w:line="400" w:lineRule="exact"/>
        <w:rPr>
          <w:rFonts w:ascii="宋体" w:hAnsi="宋体" w:cs="宋体"/>
          <w:color w:val="auto"/>
          <w:sz w:val="32"/>
          <w:szCs w:val="32"/>
          <w:highlight w:val="none"/>
        </w:rPr>
      </w:pPr>
    </w:p>
    <w:p w14:paraId="779D808F">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无串通竞标行为的承诺函</w:t>
      </w:r>
    </w:p>
    <w:p w14:paraId="34ACD11A">
      <w:pPr>
        <w:spacing w:line="360" w:lineRule="auto"/>
        <w:ind w:firstLine="640" w:firstLineChars="200"/>
        <w:contextualSpacing/>
        <w:rPr>
          <w:rFonts w:ascii="宋体" w:hAnsi="宋体" w:cs="宋体"/>
          <w:color w:val="auto"/>
          <w:sz w:val="32"/>
          <w:szCs w:val="32"/>
          <w:highlight w:val="none"/>
        </w:rPr>
      </w:pPr>
    </w:p>
    <w:p w14:paraId="27C2A472">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0CAA99F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1.不同供应商的响应文件由同一单位或者个人编制</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或不同供应商报名的IP地址一致的；或不同供应商竞标设备信息（包括但不限于：IP地址、MAC地址、硬盘号、CPU号、主板号）一致的； </w:t>
      </w:r>
    </w:p>
    <w:p w14:paraId="5F06993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0D8352A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3A8BC71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同供应商的响应文件异常一致或者竞标报价呈规律性差异；</w:t>
      </w:r>
    </w:p>
    <w:p w14:paraId="7F47C83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3F2C373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10F54F55">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7E236E2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5DE4218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7CC07D0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6199A85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0372DA5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6AEFCF9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2165441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625FA3AC">
      <w:pPr>
        <w:spacing w:line="360" w:lineRule="auto"/>
        <w:ind w:firstLine="480" w:firstLineChars="200"/>
        <w:contextualSpacing/>
        <w:rPr>
          <w:rFonts w:ascii="宋体" w:hAnsi="宋体" w:cs="宋体"/>
          <w:color w:val="auto"/>
          <w:sz w:val="24"/>
          <w:highlight w:val="none"/>
        </w:rPr>
      </w:pPr>
    </w:p>
    <w:p w14:paraId="76195B6A">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79E4608A">
      <w:pPr>
        <w:spacing w:line="360" w:lineRule="auto"/>
        <w:contextualSpacing/>
        <w:rPr>
          <w:rFonts w:ascii="宋体" w:hAnsi="宋体" w:cs="宋体"/>
          <w:color w:val="auto"/>
          <w:sz w:val="24"/>
          <w:highlight w:val="none"/>
        </w:rPr>
      </w:pPr>
    </w:p>
    <w:p w14:paraId="3FFAC1DC">
      <w:pPr>
        <w:spacing w:line="360" w:lineRule="auto"/>
        <w:ind w:firstLine="3600" w:firstLineChars="1500"/>
        <w:contextualSpacing/>
        <w:rPr>
          <w:rFonts w:ascii="宋体" w:hAnsi="宋体" w:cs="宋体"/>
          <w:color w:val="auto"/>
          <w:sz w:val="24"/>
          <w:highlight w:val="none"/>
        </w:rPr>
      </w:pPr>
      <w:r>
        <w:rPr>
          <w:rFonts w:hint="eastAsia" w:ascii="宋体" w:hAnsi="宋体" w:cs="宋体"/>
          <w:color w:val="auto"/>
          <w:sz w:val="24"/>
          <w:highlight w:val="none"/>
        </w:rPr>
        <w:t>供应商（电子签章）：</w:t>
      </w:r>
    </w:p>
    <w:p w14:paraId="5F3BD899">
      <w:pPr>
        <w:spacing w:line="360" w:lineRule="auto"/>
        <w:ind w:firstLine="480" w:firstLineChars="200"/>
        <w:contextualSpacing/>
        <w:jc w:val="center"/>
        <w:rPr>
          <w:rFonts w:ascii="宋体" w:hAnsi="宋体" w:cs="宋体"/>
          <w:color w:val="auto"/>
          <w:sz w:val="32"/>
          <w:szCs w:val="32"/>
          <w:highlight w:val="none"/>
        </w:rPr>
      </w:pPr>
      <w:r>
        <w:rPr>
          <w:rFonts w:hint="eastAsia" w:ascii="宋体" w:hAnsi="宋体" w:cs="宋体"/>
          <w:color w:val="auto"/>
          <w:sz w:val="24"/>
          <w:highlight w:val="none"/>
        </w:rPr>
        <w:t xml:space="preserve">                               年   月   日</w:t>
      </w:r>
    </w:p>
    <w:p w14:paraId="064BD0C1">
      <w:pPr>
        <w:spacing w:line="520" w:lineRule="exact"/>
        <w:jc w:val="center"/>
        <w:rPr>
          <w:rFonts w:ascii="宋体" w:hAnsi="宋体" w:cs="宋体"/>
          <w:color w:val="auto"/>
          <w:sz w:val="32"/>
          <w:szCs w:val="32"/>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4"/>
          <w:szCs w:val="44"/>
          <w:highlight w:val="none"/>
        </w:rPr>
        <w:t>法定代表人证明书</w:t>
      </w:r>
    </w:p>
    <w:p w14:paraId="26669885">
      <w:pPr>
        <w:spacing w:line="360" w:lineRule="auto"/>
        <w:ind w:left="540"/>
        <w:contextualSpacing/>
        <w:rPr>
          <w:rFonts w:ascii="宋体" w:hAnsi="宋体" w:cs="宋体"/>
          <w:color w:val="auto"/>
          <w:sz w:val="32"/>
          <w:szCs w:val="32"/>
          <w:highlight w:val="none"/>
        </w:rPr>
      </w:pPr>
    </w:p>
    <w:p w14:paraId="27255F17">
      <w:pPr>
        <w:spacing w:line="360" w:lineRule="auto"/>
        <w:ind w:left="540"/>
        <w:contextualSpacing/>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lang w:val="en-US" w:eastAsia="zh-CN"/>
        </w:rPr>
        <w:t xml:space="preserve">                                       </w:t>
      </w:r>
    </w:p>
    <w:p w14:paraId="159A4AC6">
      <w:pPr>
        <w:spacing w:line="360" w:lineRule="auto"/>
        <w:ind w:left="540"/>
        <w:contextualSpacing/>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地    址：</w:t>
      </w:r>
      <w:r>
        <w:rPr>
          <w:rFonts w:hint="eastAsia" w:ascii="宋体" w:hAnsi="宋体" w:cs="宋体"/>
          <w:color w:val="auto"/>
          <w:sz w:val="24"/>
          <w:highlight w:val="none"/>
          <w:u w:val="single"/>
          <w:lang w:val="en-US" w:eastAsia="zh-CN"/>
        </w:rPr>
        <w:t xml:space="preserve">                                       </w:t>
      </w:r>
    </w:p>
    <w:p w14:paraId="38EA696A">
      <w:pPr>
        <w:spacing w:line="360" w:lineRule="auto"/>
        <w:ind w:left="540"/>
        <w:contextualSpacing/>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姓    名：</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lang w:val="en-US" w:eastAsia="zh-CN"/>
        </w:rPr>
        <w:t xml:space="preserve">       </w:t>
      </w:r>
    </w:p>
    <w:p w14:paraId="1C09E4D4">
      <w:pPr>
        <w:spacing w:line="360" w:lineRule="auto"/>
        <w:ind w:left="540"/>
        <w:contextualSpacing/>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年    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lang w:val="en-US" w:eastAsia="zh-CN"/>
        </w:rPr>
        <w:t xml:space="preserve">       </w:t>
      </w:r>
    </w:p>
    <w:p w14:paraId="4FC08A4C">
      <w:pPr>
        <w:spacing w:line="360" w:lineRule="auto"/>
        <w:ind w:left="540"/>
        <w:contextualSpacing/>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lang w:val="en-US" w:eastAsia="zh-CN"/>
        </w:rPr>
        <w:t xml:space="preserve">                                </w:t>
      </w:r>
    </w:p>
    <w:p w14:paraId="1DFBA33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62D6C675">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3FEE2DE9">
      <w:pPr>
        <w:spacing w:line="360" w:lineRule="auto"/>
        <w:ind w:left="540"/>
        <w:contextualSpacing/>
        <w:rPr>
          <w:rFonts w:ascii="宋体" w:hAnsi="宋体" w:cs="宋体"/>
          <w:color w:val="auto"/>
          <w:sz w:val="24"/>
          <w:highlight w:val="none"/>
        </w:rPr>
      </w:pPr>
    </w:p>
    <w:p w14:paraId="48089CC4">
      <w:pPr>
        <w:spacing w:line="360" w:lineRule="auto"/>
        <w:ind w:left="540"/>
        <w:contextualSpacing/>
        <w:rPr>
          <w:rFonts w:ascii="宋体" w:hAnsi="宋体" w:cs="宋体"/>
          <w:color w:val="auto"/>
          <w:sz w:val="24"/>
          <w:highlight w:val="none"/>
        </w:rPr>
      </w:pPr>
    </w:p>
    <w:p w14:paraId="1E0062BE">
      <w:pPr>
        <w:spacing w:line="360" w:lineRule="auto"/>
        <w:ind w:left="540"/>
        <w:contextualSpacing/>
        <w:rPr>
          <w:rFonts w:ascii="宋体" w:hAnsi="宋体" w:cs="宋体"/>
          <w:color w:val="auto"/>
          <w:sz w:val="24"/>
          <w:highlight w:val="none"/>
        </w:rPr>
      </w:pPr>
    </w:p>
    <w:p w14:paraId="394C1EA2">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05D26ACA">
      <w:pPr>
        <w:spacing w:line="360" w:lineRule="auto"/>
        <w:ind w:left="540"/>
        <w:contextualSpacing/>
        <w:rPr>
          <w:rFonts w:ascii="宋体" w:hAnsi="宋体" w:cs="宋体"/>
          <w:color w:val="auto"/>
          <w:sz w:val="24"/>
          <w:highlight w:val="none"/>
        </w:rPr>
      </w:pPr>
    </w:p>
    <w:p w14:paraId="5B8B9822">
      <w:pPr>
        <w:spacing w:line="360" w:lineRule="auto"/>
        <w:ind w:left="540"/>
        <w:contextualSpacing/>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供应商（电子签章）：</w:t>
      </w:r>
      <w:r>
        <w:rPr>
          <w:rFonts w:hint="eastAsia" w:ascii="宋体" w:hAnsi="宋体" w:cs="宋体"/>
          <w:color w:val="auto"/>
          <w:sz w:val="24"/>
          <w:highlight w:val="none"/>
          <w:u w:val="single"/>
          <w:lang w:val="en-US" w:eastAsia="zh-CN"/>
        </w:rPr>
        <w:t xml:space="preserve">                  </w:t>
      </w:r>
    </w:p>
    <w:p w14:paraId="1B14D5C4">
      <w:pPr>
        <w:spacing w:line="360" w:lineRule="auto"/>
        <w:ind w:firstLine="4080" w:firstLineChars="1700"/>
        <w:contextualSpacing/>
        <w:jc w:val="right"/>
        <w:rPr>
          <w:rFonts w:ascii="宋体" w:hAnsi="宋体" w:cs="宋体"/>
          <w:color w:val="auto"/>
          <w:sz w:val="24"/>
          <w:highlight w:val="none"/>
        </w:rPr>
      </w:pP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14:paraId="1169449B">
      <w:pPr>
        <w:spacing w:line="360" w:lineRule="auto"/>
        <w:contextualSpacing/>
        <w:jc w:val="center"/>
        <w:rPr>
          <w:rFonts w:ascii="宋体" w:hAnsi="宋体" w:cs="宋体"/>
          <w:b/>
          <w:color w:val="auto"/>
          <w:sz w:val="24"/>
          <w:highlight w:val="none"/>
        </w:rPr>
      </w:pPr>
    </w:p>
    <w:p w14:paraId="781FFA94">
      <w:pPr>
        <w:spacing w:line="360" w:lineRule="auto"/>
        <w:contextualSpacing/>
        <w:jc w:val="left"/>
        <w:rPr>
          <w:rFonts w:ascii="宋体" w:hAnsi="宋体" w:cs="宋体"/>
          <w:color w:val="auto"/>
          <w:sz w:val="24"/>
          <w:highlight w:val="none"/>
        </w:rPr>
      </w:pPr>
    </w:p>
    <w:p w14:paraId="2BFC6513">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注：自然人竞标的无需提供，联合体竞标的只需牵头人出具。</w:t>
      </w:r>
    </w:p>
    <w:p w14:paraId="4C0A5EC8">
      <w:pPr>
        <w:adjustRightInd w:val="0"/>
        <w:snapToGrid w:val="0"/>
        <w:spacing w:line="300" w:lineRule="auto"/>
        <w:jc w:val="left"/>
        <w:rPr>
          <w:rFonts w:ascii="宋体" w:hAnsi="宋体" w:cs="宋体"/>
          <w:b/>
          <w:color w:val="auto"/>
          <w:szCs w:val="21"/>
          <w:highlight w:val="none"/>
        </w:rPr>
      </w:pPr>
    </w:p>
    <w:p w14:paraId="42A06F0A">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br w:type="page"/>
      </w:r>
    </w:p>
    <w:p w14:paraId="1C63AC80">
      <w:pPr>
        <w:spacing w:line="520" w:lineRule="exact"/>
        <w:jc w:val="center"/>
        <w:rPr>
          <w:rFonts w:ascii="宋体" w:hAnsi="宋体" w:cs="宋体"/>
          <w:color w:val="auto"/>
          <w:sz w:val="44"/>
          <w:szCs w:val="44"/>
          <w:highlight w:val="none"/>
        </w:rPr>
      </w:pPr>
      <w:bookmarkStart w:id="90" w:name="_Hlk65853643"/>
      <w:r>
        <w:rPr>
          <w:rFonts w:hint="eastAsia" w:ascii="宋体" w:hAnsi="宋体" w:cs="宋体"/>
          <w:color w:val="auto"/>
          <w:sz w:val="44"/>
          <w:szCs w:val="44"/>
          <w:highlight w:val="none"/>
        </w:rPr>
        <w:t>授权委托书</w:t>
      </w:r>
    </w:p>
    <w:p w14:paraId="0F8FAB20">
      <w:pPr>
        <w:spacing w:line="52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（非联合体竞标格式）</w:t>
      </w:r>
    </w:p>
    <w:p w14:paraId="5941BFE8">
      <w:pPr>
        <w:spacing w:line="520" w:lineRule="exact"/>
        <w:jc w:val="center"/>
        <w:rPr>
          <w:rFonts w:ascii="宋体" w:hAnsi="宋体" w:cs="宋体"/>
          <w:color w:val="auto"/>
          <w:sz w:val="44"/>
          <w:szCs w:val="44"/>
          <w:highlight w:val="none"/>
        </w:rPr>
      </w:pPr>
      <w:r>
        <w:rPr>
          <w:rFonts w:hint="eastAsia" w:ascii="宋体" w:hAnsi="宋体" w:cs="宋体"/>
          <w:color w:val="auto"/>
          <w:sz w:val="32"/>
          <w:szCs w:val="32"/>
          <w:highlight w:val="none"/>
        </w:rPr>
        <w:t>（如有委托时）</w:t>
      </w:r>
    </w:p>
    <w:p w14:paraId="37E2FF9F">
      <w:pPr>
        <w:spacing w:line="520" w:lineRule="exact"/>
        <w:rPr>
          <w:rFonts w:ascii="宋体" w:hAnsi="宋体" w:cs="宋体"/>
          <w:color w:val="auto"/>
          <w:sz w:val="32"/>
          <w:szCs w:val="32"/>
          <w:highlight w:val="none"/>
        </w:rPr>
      </w:pPr>
    </w:p>
    <w:p w14:paraId="7FAA2973">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83434C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sym w:font="Wingdings 2" w:char="00A3"/>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以我方的名义参加项目的竞标活动，并代表我方全权办理针对上述项目的所有采购程序和环节的具体事务和签署相关文件。</w:t>
      </w:r>
    </w:p>
    <w:p w14:paraId="43F41C1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我方对委托代理人的签字或者电子签名事项负全部责任。</w:t>
      </w:r>
    </w:p>
    <w:p w14:paraId="1B09E6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48A1A8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3922DE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4D01BF0A">
      <w:pPr>
        <w:spacing w:line="360" w:lineRule="auto"/>
        <w:rPr>
          <w:rFonts w:ascii="宋体" w:hAnsi="宋体" w:cs="宋体"/>
          <w:color w:val="auto"/>
          <w:sz w:val="24"/>
          <w:highlight w:val="none"/>
        </w:rPr>
      </w:pPr>
    </w:p>
    <w:p w14:paraId="09B61507">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委托代理人（签字或者电子签名）：     法定代表人（签字或者盖章或者电子签名）：                    </w:t>
      </w:r>
    </w:p>
    <w:p w14:paraId="605F4894">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783FFC3B">
      <w:pPr>
        <w:spacing w:line="360" w:lineRule="auto"/>
        <w:contextualSpacing/>
        <w:rPr>
          <w:rFonts w:ascii="宋体" w:hAnsi="宋体" w:cs="宋体"/>
          <w:color w:val="auto"/>
          <w:sz w:val="24"/>
          <w:highlight w:val="none"/>
        </w:rPr>
      </w:pPr>
    </w:p>
    <w:p w14:paraId="1AA4512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供应商（电子签章）：                      </w:t>
      </w:r>
    </w:p>
    <w:p w14:paraId="39BDB75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年    月    日</w:t>
      </w:r>
    </w:p>
    <w:p w14:paraId="30141618">
      <w:pPr>
        <w:spacing w:line="360" w:lineRule="auto"/>
        <w:rPr>
          <w:rFonts w:ascii="宋体" w:hAnsi="宋体" w:cs="宋体"/>
          <w:color w:val="auto"/>
          <w:sz w:val="24"/>
          <w:highlight w:val="none"/>
        </w:rPr>
      </w:pPr>
    </w:p>
    <w:p w14:paraId="612DD51D">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法定代表人必须在授权委托书上签字或者盖章或者电子签名，委托代理人必须在授权委托书上签字或者电子签名，</w:t>
      </w:r>
      <w:r>
        <w:rPr>
          <w:rFonts w:hint="eastAsia" w:ascii="宋体" w:hAnsi="宋体" w:cs="宋体"/>
          <w:b/>
          <w:color w:val="auto"/>
          <w:sz w:val="24"/>
          <w:highlight w:val="none"/>
        </w:rPr>
        <w:t>否则其响应文件按无效响应处理。</w:t>
      </w:r>
    </w:p>
    <w:p w14:paraId="23EBC90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bookmarkStart w:id="91" w:name="_Hlk65853109"/>
      <w:bookmarkStart w:id="92" w:name="_Hlk65853542"/>
      <w:r>
        <w:rPr>
          <w:rFonts w:hint="eastAsia" w:ascii="宋体" w:hAnsi="宋体" w:cs="宋体"/>
          <w:color w:val="auto"/>
          <w:sz w:val="24"/>
          <w:highlight w:val="none"/>
        </w:rPr>
        <w:t>法人、其他组织竞标时“我方”是指“我单位”，自然人竞标时“我方”是指“本人”。</w:t>
      </w:r>
      <w:bookmarkEnd w:id="91"/>
    </w:p>
    <w:bookmarkEnd w:id="92"/>
    <w:p w14:paraId="23BE13A0">
      <w:pPr>
        <w:spacing w:line="360" w:lineRule="auto"/>
        <w:ind w:firstLine="420" w:firstLineChars="200"/>
        <w:jc w:val="left"/>
        <w:rPr>
          <w:rFonts w:ascii="宋体" w:hAnsi="宋体" w:cs="宋体"/>
          <w:color w:val="auto"/>
          <w:szCs w:val="21"/>
          <w:highlight w:val="none"/>
        </w:rPr>
      </w:pPr>
    </w:p>
    <w:p w14:paraId="4FA83AC8">
      <w:pPr>
        <w:spacing w:line="360" w:lineRule="auto"/>
        <w:jc w:val="left"/>
        <w:rPr>
          <w:rFonts w:ascii="宋体" w:hAnsi="宋体" w:cs="宋体"/>
          <w:color w:val="auto"/>
          <w:spacing w:val="-11"/>
          <w:sz w:val="24"/>
          <w:highlight w:val="none"/>
        </w:rPr>
      </w:pPr>
    </w:p>
    <w:bookmarkEnd w:id="90"/>
    <w:p w14:paraId="79D00D77">
      <w:pPr>
        <w:spacing w:line="360" w:lineRule="auto"/>
        <w:jc w:val="center"/>
        <w:rPr>
          <w:rFonts w:ascii="宋体" w:hAnsi="宋体" w:cs="宋体"/>
          <w:bCs/>
          <w:color w:val="auto"/>
          <w:sz w:val="44"/>
          <w:szCs w:val="44"/>
          <w:highlight w:val="none"/>
        </w:rPr>
      </w:pPr>
      <w:r>
        <w:rPr>
          <w:rFonts w:hint="eastAsia" w:ascii="宋体" w:hAnsi="宋体" w:cs="宋体"/>
          <w:color w:val="auto"/>
          <w:sz w:val="32"/>
          <w:szCs w:val="32"/>
          <w:highlight w:val="none"/>
        </w:rPr>
        <w:br w:type="page"/>
      </w:r>
      <w:r>
        <w:rPr>
          <w:rFonts w:hint="eastAsia" w:ascii="宋体" w:hAnsi="宋体" w:cs="宋体"/>
          <w:bCs/>
          <w:color w:val="auto"/>
          <w:sz w:val="44"/>
          <w:szCs w:val="44"/>
          <w:highlight w:val="none"/>
        </w:rPr>
        <w:t>商务条款偏离表格式</w:t>
      </w:r>
    </w:p>
    <w:tbl>
      <w:tblPr>
        <w:tblStyle w:val="29"/>
        <w:tblW w:w="93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57"/>
        <w:gridCol w:w="5881"/>
        <w:gridCol w:w="1175"/>
        <w:gridCol w:w="795"/>
      </w:tblGrid>
      <w:tr w14:paraId="3538A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29EA8EBE">
            <w:pPr>
              <w:spacing w:line="360" w:lineRule="auto"/>
              <w:contextualSpacing/>
              <w:jc w:val="center"/>
              <w:rPr>
                <w:rFonts w:hint="eastAsia" w:ascii="宋体" w:hAnsi="宋体" w:cs="宋体"/>
                <w:sz w:val="24"/>
              </w:rPr>
            </w:pPr>
            <w:r>
              <w:rPr>
                <w:rFonts w:hint="eastAsia" w:ascii="宋体" w:hAnsi="宋体" w:cs="宋体"/>
                <w:sz w:val="24"/>
              </w:rPr>
              <w:t>项目</w:t>
            </w:r>
          </w:p>
        </w:tc>
        <w:tc>
          <w:tcPr>
            <w:tcW w:w="5881" w:type="dxa"/>
            <w:tcBorders>
              <w:top w:val="single" w:color="auto" w:sz="4" w:space="0"/>
              <w:left w:val="single" w:color="auto" w:sz="4" w:space="0"/>
              <w:bottom w:val="single" w:color="auto" w:sz="4" w:space="0"/>
              <w:right w:val="single" w:color="auto" w:sz="4" w:space="0"/>
            </w:tcBorders>
            <w:noWrap w:val="0"/>
            <w:vAlign w:val="center"/>
          </w:tcPr>
          <w:p w14:paraId="26605F5F">
            <w:pPr>
              <w:spacing w:line="360" w:lineRule="auto"/>
              <w:contextualSpacing/>
              <w:jc w:val="center"/>
              <w:rPr>
                <w:rFonts w:hint="eastAsia" w:ascii="宋体" w:hAnsi="宋体" w:cs="宋体"/>
                <w:sz w:val="24"/>
              </w:rPr>
            </w:pPr>
            <w:r>
              <w:rPr>
                <w:rFonts w:hint="eastAsia" w:ascii="宋体" w:hAnsi="宋体" w:cs="宋体"/>
                <w:sz w:val="24"/>
              </w:rPr>
              <w:t>磋商文件商务条款要求</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575325DB">
            <w:pPr>
              <w:spacing w:line="360" w:lineRule="auto"/>
              <w:contextualSpacing/>
              <w:jc w:val="center"/>
              <w:rPr>
                <w:rFonts w:hint="eastAsia" w:ascii="宋体" w:hAnsi="宋体" w:cs="宋体"/>
                <w:sz w:val="24"/>
              </w:rPr>
            </w:pPr>
            <w:r>
              <w:rPr>
                <w:rFonts w:hint="eastAsia" w:ascii="宋体" w:hAnsi="宋体" w:cs="宋体"/>
                <w:sz w:val="24"/>
              </w:rPr>
              <w:t>供应商的响应</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287A0B9">
            <w:pPr>
              <w:spacing w:line="360" w:lineRule="auto"/>
              <w:contextualSpacing/>
              <w:jc w:val="center"/>
              <w:rPr>
                <w:rFonts w:hint="eastAsia" w:ascii="宋体" w:hAnsi="宋体" w:cs="宋体"/>
                <w:sz w:val="24"/>
              </w:rPr>
            </w:pPr>
            <w:r>
              <w:rPr>
                <w:rFonts w:hint="eastAsia" w:ascii="宋体" w:hAnsi="宋体" w:cs="宋体"/>
                <w:sz w:val="24"/>
              </w:rPr>
              <w:t>偏离说明</w:t>
            </w:r>
          </w:p>
        </w:tc>
      </w:tr>
      <w:tr w14:paraId="34871F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5A039657">
            <w:pPr>
              <w:snapToGrid w:val="0"/>
              <w:spacing w:line="360" w:lineRule="auto"/>
              <w:jc w:val="center"/>
              <w:rPr>
                <w:rFonts w:hint="eastAsia" w:ascii="宋体" w:hAnsi="宋体" w:cs="宋体"/>
                <w:b/>
              </w:rPr>
            </w:pPr>
            <w:r>
              <w:rPr>
                <w:rFonts w:hint="eastAsia" w:ascii="宋体" w:hAnsi="宋体" w:eastAsia="宋体" w:cs="宋体"/>
                <w:b/>
                <w:szCs w:val="21"/>
              </w:rPr>
              <w:t>服务时间及服务地点</w:t>
            </w:r>
          </w:p>
        </w:tc>
        <w:tc>
          <w:tcPr>
            <w:tcW w:w="5881" w:type="dxa"/>
            <w:tcBorders>
              <w:top w:val="single" w:color="auto" w:sz="4" w:space="0"/>
              <w:left w:val="single" w:color="auto" w:sz="4" w:space="0"/>
              <w:bottom w:val="single" w:color="auto" w:sz="4" w:space="0"/>
              <w:right w:val="single" w:color="auto" w:sz="4" w:space="0"/>
            </w:tcBorders>
            <w:noWrap w:val="0"/>
            <w:vAlign w:val="center"/>
          </w:tcPr>
          <w:p w14:paraId="4386093D">
            <w:pPr>
              <w:spacing w:line="360" w:lineRule="auto"/>
              <w:rPr>
                <w:rFonts w:hint="eastAsia" w:ascii="宋体" w:hAnsi="宋体" w:eastAsia="宋体" w:cs="宋体"/>
                <w:szCs w:val="21"/>
                <w:lang w:bidi="hi-IN"/>
              </w:rPr>
            </w:pPr>
            <w:r>
              <w:rPr>
                <w:rFonts w:hint="eastAsia" w:ascii="宋体" w:hAnsi="宋体" w:cs="宋体"/>
                <w:szCs w:val="21"/>
                <w:lang w:val="en-US" w:eastAsia="zh-CN" w:bidi="hi-IN"/>
              </w:rPr>
              <w:t>1.</w:t>
            </w:r>
            <w:r>
              <w:rPr>
                <w:rFonts w:hint="eastAsia" w:ascii="宋体" w:hAnsi="宋体" w:eastAsia="宋体" w:cs="宋体"/>
                <w:szCs w:val="21"/>
                <w:lang w:bidi="hi-IN"/>
              </w:rPr>
              <w:t>服务期限：自签订合同之日起1年。</w:t>
            </w:r>
          </w:p>
          <w:p w14:paraId="4BD5BF72">
            <w:pPr>
              <w:autoSpaceDE w:val="0"/>
              <w:autoSpaceDN w:val="0"/>
              <w:adjustRightInd w:val="0"/>
              <w:spacing w:line="360" w:lineRule="auto"/>
              <w:rPr>
                <w:rFonts w:hint="eastAsia" w:ascii="宋体" w:hAnsi="宋体" w:cs="宋体"/>
                <w:sz w:val="24"/>
              </w:rPr>
            </w:pPr>
            <w:r>
              <w:rPr>
                <w:rFonts w:hint="eastAsia" w:ascii="宋体" w:hAnsi="宋体" w:cs="宋体"/>
                <w:szCs w:val="21"/>
                <w:lang w:val="en-US" w:eastAsia="zh-CN" w:bidi="hi-IN"/>
              </w:rPr>
              <w:t>2.</w:t>
            </w:r>
            <w:r>
              <w:rPr>
                <w:rFonts w:hint="eastAsia" w:ascii="宋体" w:hAnsi="宋体" w:eastAsia="宋体" w:cs="宋体"/>
                <w:szCs w:val="21"/>
                <w:lang w:bidi="hi-IN"/>
              </w:rPr>
              <w:t xml:space="preserve">服务地点：广西岑溪市采购人指定地点。 </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2C38C4C6">
            <w:pPr>
              <w:spacing w:line="360" w:lineRule="auto"/>
              <w:contextualSpacing/>
              <w:jc w:val="left"/>
              <w:rPr>
                <w:rFonts w:hint="eastAsia"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3A9B51A3">
            <w:pPr>
              <w:spacing w:line="360" w:lineRule="auto"/>
              <w:contextualSpacing/>
              <w:jc w:val="left"/>
              <w:rPr>
                <w:rFonts w:hint="eastAsia" w:ascii="宋体" w:hAnsi="宋体" w:cs="宋体"/>
                <w:sz w:val="24"/>
              </w:rPr>
            </w:pPr>
          </w:p>
        </w:tc>
      </w:tr>
      <w:tr w14:paraId="42AF67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71DCD190">
            <w:pPr>
              <w:spacing w:line="360" w:lineRule="auto"/>
              <w:jc w:val="center"/>
              <w:rPr>
                <w:rFonts w:hint="eastAsia" w:ascii="宋体" w:hAnsi="宋体" w:cs="宋体"/>
                <w:b/>
              </w:rPr>
            </w:pPr>
            <w:r>
              <w:rPr>
                <w:rFonts w:hint="eastAsia" w:ascii="宋体" w:hAnsi="宋体" w:eastAsia="宋体" w:cs="宋体"/>
                <w:b/>
                <w:bCs/>
                <w:szCs w:val="21"/>
              </w:rPr>
              <w:t>合同签订时间</w:t>
            </w:r>
          </w:p>
        </w:tc>
        <w:tc>
          <w:tcPr>
            <w:tcW w:w="5881" w:type="dxa"/>
            <w:tcBorders>
              <w:top w:val="single" w:color="auto" w:sz="4" w:space="0"/>
              <w:left w:val="single" w:color="auto" w:sz="4" w:space="0"/>
              <w:bottom w:val="single" w:color="auto" w:sz="4" w:space="0"/>
              <w:right w:val="single" w:color="auto" w:sz="4" w:space="0"/>
            </w:tcBorders>
            <w:noWrap w:val="0"/>
            <w:vAlign w:val="center"/>
          </w:tcPr>
          <w:p w14:paraId="759624E8">
            <w:pPr>
              <w:spacing w:line="360" w:lineRule="auto"/>
              <w:rPr>
                <w:rFonts w:hint="eastAsia" w:ascii="宋体" w:hAnsi="宋体" w:cs="宋体"/>
                <w:sz w:val="24"/>
              </w:rPr>
            </w:pPr>
            <w:r>
              <w:rPr>
                <w:rFonts w:hint="eastAsia" w:ascii="宋体" w:hAnsi="宋体" w:eastAsia="宋体" w:cs="宋体"/>
                <w:szCs w:val="21"/>
              </w:rPr>
              <w:t>自成交通知书发出之日起25日内。</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65B009A3">
            <w:pPr>
              <w:spacing w:line="360" w:lineRule="auto"/>
              <w:ind w:left="43"/>
              <w:contextualSpacing/>
              <w:jc w:val="left"/>
              <w:rPr>
                <w:rFonts w:hint="eastAsia"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040300F9">
            <w:pPr>
              <w:spacing w:line="360" w:lineRule="auto"/>
              <w:ind w:left="43"/>
              <w:contextualSpacing/>
              <w:jc w:val="left"/>
              <w:rPr>
                <w:rFonts w:hint="eastAsia" w:ascii="宋体" w:hAnsi="宋体" w:cs="宋体"/>
                <w:sz w:val="24"/>
              </w:rPr>
            </w:pPr>
          </w:p>
        </w:tc>
      </w:tr>
      <w:tr w14:paraId="6A4C9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65A89179">
            <w:pPr>
              <w:pStyle w:val="17"/>
              <w:snapToGrid w:val="0"/>
              <w:spacing w:line="360" w:lineRule="auto"/>
              <w:jc w:val="center"/>
              <w:outlineLvl w:val="0"/>
              <w:rPr>
                <w:rFonts w:hint="eastAsia" w:hAnsi="宋体" w:cs="宋体"/>
                <w:b/>
                <w:sz w:val="21"/>
              </w:rPr>
            </w:pPr>
            <w:r>
              <w:rPr>
                <w:rFonts w:hint="eastAsia" w:ascii="宋体" w:hAnsi="宋体" w:eastAsia="宋体" w:cs="宋体"/>
                <w:b/>
                <w:sz w:val="21"/>
              </w:rPr>
              <w:t>付款条件</w:t>
            </w:r>
          </w:p>
        </w:tc>
        <w:tc>
          <w:tcPr>
            <w:tcW w:w="5881" w:type="dxa"/>
            <w:tcBorders>
              <w:top w:val="single" w:color="auto" w:sz="4" w:space="0"/>
              <w:left w:val="single" w:color="auto" w:sz="4" w:space="0"/>
              <w:bottom w:val="single" w:color="auto" w:sz="4" w:space="0"/>
              <w:right w:val="single" w:color="auto" w:sz="4" w:space="0"/>
            </w:tcBorders>
            <w:noWrap w:val="0"/>
            <w:vAlign w:val="center"/>
          </w:tcPr>
          <w:p w14:paraId="2D8962D2">
            <w:pPr>
              <w:autoSpaceDE w:val="0"/>
              <w:autoSpaceDN w:val="0"/>
              <w:adjustRightInd w:val="0"/>
              <w:spacing w:line="360" w:lineRule="auto"/>
              <w:rPr>
                <w:rFonts w:hint="eastAsia" w:ascii="宋体" w:hAnsi="宋体" w:eastAsia="宋体" w:cs="宋体"/>
                <w:kern w:val="0"/>
                <w:szCs w:val="21"/>
              </w:rPr>
            </w:pPr>
            <w:r>
              <w:rPr>
                <w:rFonts w:hint="eastAsia" w:ascii="宋体" w:hAnsi="宋体" w:eastAsia="宋体" w:cs="宋体"/>
                <w:kern w:val="0"/>
                <w:szCs w:val="21"/>
                <w:lang w:val="en-US" w:eastAsia="zh-CN"/>
              </w:rPr>
              <w:t>1</w:t>
            </w:r>
            <w:r>
              <w:rPr>
                <w:rFonts w:hint="eastAsia" w:ascii="宋体" w:hAnsi="宋体" w:cs="宋体"/>
                <w:kern w:val="0"/>
                <w:szCs w:val="21"/>
                <w:lang w:val="en-US" w:eastAsia="zh-CN"/>
              </w:rPr>
              <w:t>.</w:t>
            </w:r>
            <w:r>
              <w:rPr>
                <w:rFonts w:hint="eastAsia" w:ascii="宋体" w:hAnsi="宋体" w:eastAsia="宋体" w:cs="宋体"/>
                <w:kern w:val="0"/>
                <w:szCs w:val="21"/>
              </w:rPr>
              <w:t>合同正式生效后，双方根据每月按项目数量结算一次。</w:t>
            </w:r>
          </w:p>
          <w:p w14:paraId="23346390">
            <w:pPr>
              <w:autoSpaceDE w:val="0"/>
              <w:autoSpaceDN w:val="0"/>
              <w:adjustRightInd w:val="0"/>
              <w:spacing w:line="360" w:lineRule="auto"/>
              <w:rPr>
                <w:rFonts w:hint="eastAsia" w:ascii="宋体" w:hAnsi="宋体" w:eastAsia="宋体" w:cs="宋体"/>
                <w:kern w:val="0"/>
                <w:szCs w:val="21"/>
              </w:rPr>
            </w:pPr>
            <w:r>
              <w:rPr>
                <w:rFonts w:hint="eastAsia" w:ascii="宋体" w:hAnsi="宋体" w:eastAsia="宋体" w:cs="宋体"/>
                <w:kern w:val="0"/>
                <w:szCs w:val="21"/>
              </w:rPr>
              <w:t>2</w:t>
            </w:r>
            <w:r>
              <w:rPr>
                <w:rFonts w:hint="eastAsia" w:ascii="宋体" w:hAnsi="宋体" w:cs="宋体"/>
                <w:kern w:val="0"/>
                <w:szCs w:val="21"/>
                <w:lang w:val="en-US" w:eastAsia="zh-CN"/>
              </w:rPr>
              <w:t>.</w:t>
            </w:r>
            <w:r>
              <w:rPr>
                <w:rFonts w:hint="eastAsia" w:ascii="宋体" w:hAnsi="宋体" w:eastAsia="宋体" w:cs="宋体"/>
                <w:kern w:val="0"/>
                <w:szCs w:val="21"/>
              </w:rPr>
              <w:t>结算价格=每月实际项目数量×基准价×</w:t>
            </w:r>
            <w:r>
              <w:rPr>
                <w:rFonts w:hint="eastAsia" w:ascii="宋体" w:hAnsi="宋体" w:cs="宋体"/>
                <w:kern w:val="0"/>
                <w:szCs w:val="21"/>
                <w:lang w:eastAsia="zh-CN"/>
              </w:rPr>
              <w:t>折扣</w:t>
            </w:r>
            <w:r>
              <w:rPr>
                <w:rFonts w:hint="eastAsia" w:ascii="宋体" w:hAnsi="宋体" w:eastAsia="宋体" w:cs="宋体"/>
                <w:kern w:val="0"/>
                <w:szCs w:val="21"/>
              </w:rPr>
              <w:t>（如早期尸表检验基准价为500元，当月实际项目数量为1，</w:t>
            </w:r>
            <w:r>
              <w:rPr>
                <w:rFonts w:hint="eastAsia" w:ascii="宋体" w:hAnsi="宋体" w:cs="宋体"/>
                <w:kern w:val="0"/>
                <w:szCs w:val="21"/>
                <w:lang w:eastAsia="zh-CN"/>
              </w:rPr>
              <w:t>折扣</w:t>
            </w:r>
            <w:r>
              <w:rPr>
                <w:rFonts w:hint="eastAsia" w:ascii="宋体" w:hAnsi="宋体" w:eastAsia="宋体" w:cs="宋体"/>
                <w:kern w:val="0"/>
                <w:szCs w:val="21"/>
              </w:rPr>
              <w:t xml:space="preserve">为90%，当月的结算价格为 1×500×90%=450元） </w:t>
            </w:r>
          </w:p>
          <w:p w14:paraId="3B338DE4">
            <w:pPr>
              <w:snapToGrid w:val="0"/>
              <w:spacing w:line="360" w:lineRule="auto"/>
              <w:rPr>
                <w:rFonts w:hint="eastAsia" w:eastAsia="宋体"/>
                <w:lang w:val="en-US" w:eastAsia="zh-CN"/>
              </w:rPr>
            </w:pPr>
            <w:r>
              <w:rPr>
                <w:rFonts w:hint="eastAsia" w:ascii="宋体" w:hAnsi="宋体" w:eastAsia="宋体" w:cs="宋体"/>
                <w:kern w:val="0"/>
                <w:szCs w:val="21"/>
                <w:lang w:val="en-US" w:eastAsia="zh-CN"/>
              </w:rPr>
              <w:t>3</w:t>
            </w:r>
            <w:r>
              <w:rPr>
                <w:rFonts w:hint="eastAsia" w:ascii="宋体" w:hAnsi="宋体" w:cs="宋体"/>
                <w:kern w:val="0"/>
                <w:szCs w:val="21"/>
                <w:lang w:val="en-US" w:eastAsia="zh-CN"/>
              </w:rPr>
              <w:t>.</w:t>
            </w:r>
            <w:r>
              <w:rPr>
                <w:rFonts w:hint="eastAsia" w:ascii="宋体" w:hAnsi="宋体" w:cs="宋体"/>
                <w:b w:val="0"/>
                <w:bCs/>
                <w:szCs w:val="21"/>
              </w:rPr>
              <w:t>供应商须向采购人提供每月所发生的鉴定服务内容明细清单列表，根据</w:t>
            </w:r>
            <w:r>
              <w:rPr>
                <w:rFonts w:hint="eastAsia" w:ascii="宋体" w:hAnsi="宋体" w:eastAsia="宋体" w:cs="宋体"/>
                <w:sz w:val="21"/>
                <w:szCs w:val="21"/>
              </w:rPr>
              <w:t>广西壮族自治区物价局、广西壮族自治区司法厅</w:t>
            </w:r>
            <w:r>
              <w:rPr>
                <w:rFonts w:hint="eastAsia" w:ascii="宋体" w:hAnsi="宋体" w:eastAsia="宋体" w:cs="宋体"/>
                <w:sz w:val="21"/>
                <w:szCs w:val="21"/>
                <w:lang w:eastAsia="zh-CN"/>
              </w:rPr>
              <w:t>印发的</w:t>
            </w:r>
            <w:r>
              <w:rPr>
                <w:rFonts w:hint="eastAsia" w:ascii="宋体" w:hAnsi="宋体" w:eastAsia="宋体" w:cs="宋体"/>
                <w:sz w:val="21"/>
                <w:szCs w:val="21"/>
              </w:rPr>
              <w:t>《广西壮族自治区司法鉴定收费管理办法》桂发改收费规[2023]1185号</w:t>
            </w:r>
            <w:r>
              <w:rPr>
                <w:rFonts w:hint="eastAsia" w:ascii="宋体" w:hAnsi="宋体" w:eastAsia="宋体" w:cs="宋体"/>
                <w:sz w:val="21"/>
                <w:szCs w:val="21"/>
                <w:lang w:eastAsia="zh-CN"/>
              </w:rPr>
              <w:t>文件</w:t>
            </w:r>
            <w:r>
              <w:rPr>
                <w:rFonts w:hint="eastAsia" w:ascii="宋体" w:hAnsi="宋体" w:cs="宋体"/>
                <w:b w:val="0"/>
                <w:bCs/>
                <w:szCs w:val="21"/>
              </w:rPr>
              <w:t>的相关规定</w:t>
            </w:r>
            <w:r>
              <w:rPr>
                <w:rFonts w:hint="eastAsia" w:ascii="宋体" w:hAnsi="宋体" w:cs="宋体"/>
                <w:b w:val="0"/>
                <w:bCs/>
                <w:szCs w:val="21"/>
                <w:lang w:eastAsia="zh-CN"/>
              </w:rPr>
              <w:t>（如项目执行期间，</w:t>
            </w:r>
            <w:r>
              <w:rPr>
                <w:rFonts w:hint="eastAsia" w:ascii="宋体" w:hAnsi="宋体" w:cs="宋体"/>
                <w:b w:val="0"/>
                <w:bCs/>
                <w:szCs w:val="21"/>
                <w:lang w:val="en-US" w:eastAsia="zh-CN"/>
              </w:rPr>
              <w:t>若有新标准出台，则以新标准为准。</w:t>
            </w:r>
            <w:r>
              <w:rPr>
                <w:rFonts w:hint="eastAsia" w:ascii="宋体" w:hAnsi="宋体" w:cs="宋体"/>
                <w:b w:val="0"/>
                <w:bCs/>
                <w:szCs w:val="21"/>
                <w:lang w:eastAsia="zh-CN"/>
              </w:rPr>
              <w:t>）</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41D7AEAA">
            <w:pPr>
              <w:spacing w:line="360" w:lineRule="auto"/>
              <w:contextualSpacing/>
              <w:jc w:val="left"/>
              <w:rPr>
                <w:rFonts w:hint="eastAsia"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1F34B664">
            <w:pPr>
              <w:spacing w:line="360" w:lineRule="auto"/>
              <w:contextualSpacing/>
              <w:jc w:val="left"/>
              <w:rPr>
                <w:rFonts w:hint="eastAsia" w:ascii="宋体" w:hAnsi="宋体" w:cs="宋体"/>
                <w:sz w:val="24"/>
              </w:rPr>
            </w:pPr>
          </w:p>
        </w:tc>
      </w:tr>
      <w:tr w14:paraId="4939C0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029D137C">
            <w:pPr>
              <w:pStyle w:val="17"/>
              <w:snapToGrid w:val="0"/>
              <w:spacing w:line="360" w:lineRule="auto"/>
              <w:jc w:val="center"/>
              <w:outlineLvl w:val="0"/>
              <w:rPr>
                <w:rFonts w:hint="eastAsia" w:hAnsi="宋体" w:cs="宋体"/>
                <w:sz w:val="24"/>
              </w:rPr>
            </w:pPr>
            <w:r>
              <w:rPr>
                <w:rFonts w:hint="eastAsia" w:ascii="宋体" w:hAnsi="宋体" w:eastAsia="宋体" w:cs="宋体"/>
                <w:b/>
                <w:sz w:val="21"/>
              </w:rPr>
              <w:t>验收标准</w:t>
            </w:r>
            <w:r>
              <w:rPr>
                <w:rFonts w:hint="eastAsia" w:ascii="宋体" w:hAnsi="宋体" w:eastAsia="宋体" w:cs="宋体"/>
                <w:b/>
              </w:rPr>
              <w:t>（质量要求）</w:t>
            </w:r>
          </w:p>
        </w:tc>
        <w:tc>
          <w:tcPr>
            <w:tcW w:w="5881" w:type="dxa"/>
            <w:tcBorders>
              <w:top w:val="single" w:color="auto" w:sz="4" w:space="0"/>
              <w:left w:val="single" w:color="auto" w:sz="4" w:space="0"/>
              <w:bottom w:val="single" w:color="auto" w:sz="4" w:space="0"/>
              <w:right w:val="single" w:color="auto" w:sz="4" w:space="0"/>
            </w:tcBorders>
            <w:noWrap w:val="0"/>
            <w:vAlign w:val="center"/>
          </w:tcPr>
          <w:p w14:paraId="25331A8F">
            <w:pPr>
              <w:pStyle w:val="17"/>
              <w:snapToGrid w:val="0"/>
              <w:spacing w:line="360" w:lineRule="auto"/>
              <w:jc w:val="left"/>
              <w:outlineLvl w:val="0"/>
              <w:rPr>
                <w:rFonts w:hint="eastAsia" w:hAnsi="宋体" w:cs="宋体"/>
                <w:sz w:val="24"/>
              </w:rPr>
            </w:pPr>
            <w:r>
              <w:rPr>
                <w:rFonts w:hint="eastAsia" w:ascii="宋体" w:hAnsi="宋体" w:eastAsia="宋体" w:cs="宋体"/>
                <w:sz w:val="21"/>
              </w:rPr>
              <w:t>符合国家规定的质量标准和现行技术规范、规程要求并通过有关部门审查。</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78ECDFC4">
            <w:pPr>
              <w:spacing w:line="360" w:lineRule="auto"/>
              <w:contextualSpacing/>
              <w:jc w:val="left"/>
              <w:rPr>
                <w:rFonts w:hint="eastAsia"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07FFE28B">
            <w:pPr>
              <w:spacing w:line="360" w:lineRule="auto"/>
              <w:contextualSpacing/>
              <w:jc w:val="left"/>
              <w:rPr>
                <w:rFonts w:hint="eastAsia" w:ascii="宋体" w:hAnsi="宋体" w:cs="宋体"/>
                <w:sz w:val="24"/>
              </w:rPr>
            </w:pPr>
          </w:p>
        </w:tc>
      </w:tr>
      <w:tr w14:paraId="20F214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1EB2FE74">
            <w:pPr>
              <w:snapToGrid w:val="0"/>
              <w:spacing w:line="360" w:lineRule="auto"/>
              <w:jc w:val="center"/>
              <w:rPr>
                <w:rFonts w:hint="eastAsia" w:ascii="宋体" w:hAnsi="宋体" w:cs="宋体"/>
                <w:szCs w:val="21"/>
              </w:rPr>
            </w:pPr>
            <w:r>
              <w:rPr>
                <w:rFonts w:hint="eastAsia" w:ascii="宋体" w:hAnsi="宋体" w:eastAsia="宋体" w:cs="宋体"/>
                <w:b/>
                <w:szCs w:val="21"/>
              </w:rPr>
              <w:t>报价要求</w:t>
            </w:r>
          </w:p>
        </w:tc>
        <w:tc>
          <w:tcPr>
            <w:tcW w:w="5881" w:type="dxa"/>
            <w:tcBorders>
              <w:top w:val="single" w:color="auto" w:sz="4" w:space="0"/>
              <w:left w:val="single" w:color="auto" w:sz="4" w:space="0"/>
              <w:bottom w:val="single" w:color="auto" w:sz="4" w:space="0"/>
              <w:right w:val="single" w:color="auto" w:sz="4" w:space="0"/>
            </w:tcBorders>
            <w:noWrap w:val="0"/>
            <w:vAlign w:val="center"/>
          </w:tcPr>
          <w:p w14:paraId="71C81D8F">
            <w:pPr>
              <w:numPr>
                <w:ilvl w:val="0"/>
                <w:numId w:val="0"/>
              </w:numPr>
              <w:spacing w:line="276" w:lineRule="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rPr>
              <w:t>本项目作</w:t>
            </w:r>
            <w:r>
              <w:rPr>
                <w:rFonts w:hint="eastAsia" w:ascii="宋体" w:hAnsi="宋体" w:cs="宋体"/>
                <w:sz w:val="21"/>
                <w:szCs w:val="21"/>
                <w:lang w:eastAsia="zh-CN"/>
              </w:rPr>
              <w:t>折扣</w:t>
            </w:r>
            <w:r>
              <w:rPr>
                <w:rFonts w:hint="eastAsia" w:ascii="宋体" w:hAnsi="宋体" w:eastAsia="宋体" w:cs="宋体"/>
                <w:sz w:val="21"/>
                <w:szCs w:val="21"/>
              </w:rPr>
              <w:t>报价，以广西壮族自治区发展和改革委员会</w:t>
            </w:r>
            <w:r>
              <w:rPr>
                <w:rFonts w:hint="eastAsia" w:ascii="宋体" w:hAnsi="宋体" w:eastAsia="宋体" w:cs="宋体"/>
                <w:sz w:val="21"/>
                <w:szCs w:val="21"/>
                <w:lang w:eastAsia="zh-CN"/>
              </w:rPr>
              <w:t>、</w:t>
            </w:r>
            <w:r>
              <w:rPr>
                <w:rFonts w:hint="eastAsia" w:ascii="宋体" w:hAnsi="宋体" w:eastAsia="宋体" w:cs="宋体"/>
                <w:sz w:val="21"/>
                <w:szCs w:val="21"/>
              </w:rPr>
              <w:t>广西壮族自治区司法厅印发</w:t>
            </w:r>
            <w:r>
              <w:rPr>
                <w:rFonts w:hint="eastAsia" w:ascii="宋体" w:hAnsi="宋体" w:eastAsia="宋体" w:cs="宋体"/>
                <w:sz w:val="21"/>
                <w:szCs w:val="21"/>
                <w:lang w:eastAsia="zh-CN"/>
              </w:rPr>
              <w:t>的</w:t>
            </w:r>
            <w:r>
              <w:rPr>
                <w:rFonts w:hint="eastAsia" w:ascii="宋体" w:hAnsi="宋体" w:eastAsia="宋体" w:cs="宋体"/>
                <w:sz w:val="21"/>
                <w:szCs w:val="21"/>
              </w:rPr>
              <w:t>桂发改收费规</w:t>
            </w:r>
            <w:r>
              <w:rPr>
                <w:rFonts w:hint="eastAsia" w:ascii="宋体" w:hAnsi="宋体" w:eastAsia="宋体" w:cs="宋体"/>
                <w:sz w:val="21"/>
                <w:szCs w:val="21"/>
                <w:lang w:eastAsia="zh-CN"/>
              </w:rPr>
              <w:t>【</w:t>
            </w:r>
            <w:r>
              <w:rPr>
                <w:rFonts w:hint="eastAsia" w:ascii="宋体" w:hAnsi="宋体" w:eastAsia="宋体" w:cs="宋体"/>
                <w:sz w:val="21"/>
                <w:szCs w:val="21"/>
              </w:rPr>
              <w:t>2023</w:t>
            </w:r>
            <w:r>
              <w:rPr>
                <w:rFonts w:hint="eastAsia" w:ascii="宋体" w:hAnsi="宋体" w:eastAsia="宋体" w:cs="宋体"/>
                <w:sz w:val="21"/>
                <w:szCs w:val="21"/>
                <w:lang w:eastAsia="zh-CN"/>
              </w:rPr>
              <w:t>】</w:t>
            </w:r>
            <w:r>
              <w:rPr>
                <w:rFonts w:hint="eastAsia" w:ascii="宋体" w:hAnsi="宋体" w:eastAsia="宋体" w:cs="宋体"/>
                <w:sz w:val="21"/>
                <w:szCs w:val="21"/>
              </w:rPr>
              <w:t>1185号的</w:t>
            </w:r>
            <w:r>
              <w:rPr>
                <w:rFonts w:hint="eastAsia" w:ascii="宋体" w:hAnsi="宋体" w:eastAsia="宋体" w:cs="宋体"/>
                <w:sz w:val="21"/>
                <w:szCs w:val="21"/>
                <w:lang w:eastAsia="zh-CN"/>
              </w:rPr>
              <w:t>文件</w:t>
            </w:r>
            <w:r>
              <w:rPr>
                <w:rFonts w:hint="eastAsia" w:ascii="宋体" w:hAnsi="宋体" w:eastAsia="宋体" w:cs="宋体"/>
                <w:sz w:val="21"/>
                <w:szCs w:val="21"/>
              </w:rPr>
              <w:t>为依据，本项目上限控制价如下：</w:t>
            </w:r>
          </w:p>
          <w:p w14:paraId="38778613">
            <w:pPr>
              <w:pStyle w:val="2"/>
              <w:rPr>
                <w:rFonts w:hint="eastAsia" w:ascii="宋体" w:hAnsi="宋体" w:eastAsia="宋体" w:cs="宋体"/>
                <w:sz w:val="21"/>
                <w:szCs w:val="21"/>
              </w:rPr>
            </w:pPr>
            <w:r>
              <w:rPr>
                <w:rFonts w:hint="eastAsia" w:ascii="宋体" w:hAnsi="宋体" w:eastAsia="宋体" w:cs="宋体"/>
                <w:sz w:val="21"/>
                <w:szCs w:val="21"/>
              </w:rPr>
              <w:t>（1）法医病理鉴定</w:t>
            </w:r>
          </w:p>
          <w:tbl>
            <w:tblPr>
              <w:tblStyle w:val="29"/>
              <w:tblW w:w="5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962"/>
              <w:gridCol w:w="725"/>
              <w:gridCol w:w="825"/>
              <w:gridCol w:w="2570"/>
            </w:tblGrid>
            <w:tr w14:paraId="0AC4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noWrap w:val="0"/>
                  <w:vAlign w:val="center"/>
                </w:tcPr>
                <w:p w14:paraId="00A9E7B3">
                  <w:pPr>
                    <w:pStyle w:val="2"/>
                    <w:jc w:val="center"/>
                    <w:rPr>
                      <w:rFonts w:hint="eastAsia" w:ascii="宋体" w:hAnsi="宋体" w:eastAsia="宋体" w:cs="宋体"/>
                      <w:sz w:val="21"/>
                      <w:szCs w:val="21"/>
                    </w:rPr>
                  </w:pPr>
                  <w:r>
                    <w:rPr>
                      <w:rFonts w:hint="eastAsia" w:ascii="宋体" w:hAnsi="宋体" w:eastAsia="宋体" w:cs="宋体"/>
                      <w:sz w:val="21"/>
                      <w:szCs w:val="21"/>
                    </w:rPr>
                    <w:t>序号</w:t>
                  </w:r>
                </w:p>
              </w:tc>
              <w:tc>
                <w:tcPr>
                  <w:tcW w:w="962" w:type="dxa"/>
                  <w:noWrap w:val="0"/>
                  <w:vAlign w:val="center"/>
                </w:tcPr>
                <w:p w14:paraId="46C96365">
                  <w:pPr>
                    <w:pStyle w:val="2"/>
                    <w:jc w:val="center"/>
                    <w:rPr>
                      <w:rFonts w:hint="eastAsia" w:ascii="宋体" w:hAnsi="宋体" w:eastAsia="宋体" w:cs="宋体"/>
                      <w:sz w:val="21"/>
                      <w:szCs w:val="21"/>
                    </w:rPr>
                  </w:pPr>
                  <w:r>
                    <w:rPr>
                      <w:rFonts w:hint="eastAsia" w:ascii="宋体" w:hAnsi="宋体" w:eastAsia="宋体" w:cs="宋体"/>
                      <w:sz w:val="21"/>
                      <w:szCs w:val="21"/>
                    </w:rPr>
                    <w:t>项目</w:t>
                  </w:r>
                </w:p>
              </w:tc>
              <w:tc>
                <w:tcPr>
                  <w:tcW w:w="725" w:type="dxa"/>
                  <w:noWrap w:val="0"/>
                  <w:vAlign w:val="center"/>
                </w:tcPr>
                <w:p w14:paraId="28978C19">
                  <w:pPr>
                    <w:pStyle w:val="2"/>
                    <w:jc w:val="center"/>
                    <w:rPr>
                      <w:rFonts w:hint="eastAsia" w:ascii="宋体" w:hAnsi="宋体" w:eastAsia="宋体" w:cs="宋体"/>
                      <w:sz w:val="21"/>
                      <w:szCs w:val="21"/>
                    </w:rPr>
                  </w:pPr>
                  <w:r>
                    <w:rPr>
                      <w:rFonts w:hint="eastAsia" w:ascii="宋体" w:hAnsi="宋体" w:eastAsia="宋体" w:cs="宋体"/>
                      <w:sz w:val="21"/>
                      <w:szCs w:val="21"/>
                    </w:rPr>
                    <w:t>单位</w:t>
                  </w:r>
                </w:p>
              </w:tc>
              <w:tc>
                <w:tcPr>
                  <w:tcW w:w="825" w:type="dxa"/>
                  <w:noWrap w:val="0"/>
                  <w:vAlign w:val="center"/>
                </w:tcPr>
                <w:p w14:paraId="7CA176C0">
                  <w:pPr>
                    <w:pStyle w:val="2"/>
                    <w:jc w:val="center"/>
                    <w:rPr>
                      <w:rFonts w:hint="eastAsia" w:ascii="宋体" w:hAnsi="宋体" w:eastAsia="宋体" w:cs="宋体"/>
                      <w:sz w:val="21"/>
                      <w:szCs w:val="21"/>
                    </w:rPr>
                  </w:pPr>
                  <w:r>
                    <w:rPr>
                      <w:rFonts w:hint="eastAsia" w:ascii="宋体" w:hAnsi="宋体" w:eastAsia="宋体" w:cs="宋体"/>
                      <w:sz w:val="21"/>
                      <w:szCs w:val="21"/>
                    </w:rPr>
                    <w:t>基准价（元）</w:t>
                  </w:r>
                </w:p>
              </w:tc>
              <w:tc>
                <w:tcPr>
                  <w:tcW w:w="2570" w:type="dxa"/>
                  <w:noWrap w:val="0"/>
                  <w:vAlign w:val="center"/>
                </w:tcPr>
                <w:p w14:paraId="470760E3">
                  <w:pPr>
                    <w:pStyle w:val="2"/>
                    <w:jc w:val="center"/>
                    <w:rPr>
                      <w:rFonts w:hint="eastAsia" w:ascii="宋体" w:hAnsi="宋体" w:eastAsia="宋体" w:cs="宋体"/>
                      <w:sz w:val="21"/>
                      <w:szCs w:val="21"/>
                    </w:rPr>
                  </w:pPr>
                  <w:r>
                    <w:rPr>
                      <w:rFonts w:hint="eastAsia" w:ascii="宋体" w:hAnsi="宋体" w:eastAsia="宋体" w:cs="宋体"/>
                      <w:sz w:val="21"/>
                      <w:szCs w:val="21"/>
                    </w:rPr>
                    <w:t>释义</w:t>
                  </w:r>
                </w:p>
              </w:tc>
            </w:tr>
            <w:tr w14:paraId="312F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noWrap w:val="0"/>
                  <w:vAlign w:val="center"/>
                </w:tcPr>
                <w:p w14:paraId="00D0AD7A">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962" w:type="dxa"/>
                  <w:noWrap w:val="0"/>
                  <w:vAlign w:val="center"/>
                </w:tcPr>
                <w:p w14:paraId="0F5BBD9C">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早期尸表</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检验</w:t>
                  </w:r>
                </w:p>
              </w:tc>
              <w:tc>
                <w:tcPr>
                  <w:tcW w:w="725" w:type="dxa"/>
                  <w:noWrap w:val="0"/>
                  <w:vAlign w:val="center"/>
                </w:tcPr>
                <w:p w14:paraId="33EEF974">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具</w:t>
                  </w:r>
                </w:p>
              </w:tc>
              <w:tc>
                <w:tcPr>
                  <w:tcW w:w="825" w:type="dxa"/>
                  <w:noWrap w:val="0"/>
                  <w:vAlign w:val="center"/>
                </w:tcPr>
                <w:p w14:paraId="025D5122">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500</w:t>
                  </w:r>
                </w:p>
              </w:tc>
              <w:tc>
                <w:tcPr>
                  <w:tcW w:w="2570" w:type="dxa"/>
                  <w:noWrap w:val="0"/>
                  <w:vAlign w:val="center"/>
                </w:tcPr>
                <w:p w14:paraId="50404394">
                  <w:pPr>
                    <w:adjustRightInd w:val="0"/>
                    <w:snapToGrid w:val="0"/>
                    <w:spacing w:line="400" w:lineRule="exact"/>
                    <w:rPr>
                      <w:rFonts w:hint="eastAsia" w:ascii="宋体" w:hAnsi="宋体" w:eastAsia="宋体" w:cs="宋体"/>
                      <w:sz w:val="21"/>
                      <w:szCs w:val="21"/>
                    </w:rPr>
                  </w:pPr>
                  <w:r>
                    <w:rPr>
                      <w:rFonts w:hint="eastAsia" w:ascii="宋体" w:hAnsi="宋体" w:eastAsia="宋体" w:cs="宋体"/>
                      <w:color w:val="000000"/>
                      <w:sz w:val="21"/>
                      <w:szCs w:val="21"/>
                    </w:rPr>
                    <w:t>对死亡24小时以内的尸体进行法医学尸体外表检验，</w:t>
                  </w:r>
                  <w:r>
                    <w:rPr>
                      <w:rFonts w:hint="eastAsia" w:ascii="宋体" w:hAnsi="宋体" w:eastAsia="宋体" w:cs="宋体"/>
                      <w:sz w:val="21"/>
                      <w:szCs w:val="21"/>
                    </w:rPr>
                    <w:t>3个工作日内完成并出具鉴定报告</w:t>
                  </w:r>
                </w:p>
              </w:tc>
            </w:tr>
            <w:tr w14:paraId="3E17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noWrap w:val="0"/>
                  <w:vAlign w:val="center"/>
                </w:tcPr>
                <w:p w14:paraId="4552FEF2">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2</w:t>
                  </w:r>
                </w:p>
              </w:tc>
              <w:tc>
                <w:tcPr>
                  <w:tcW w:w="962" w:type="dxa"/>
                  <w:noWrap w:val="0"/>
                  <w:vAlign w:val="center"/>
                </w:tcPr>
                <w:p w14:paraId="7885AD31">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晚期尸表</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检验</w:t>
                  </w:r>
                </w:p>
              </w:tc>
              <w:tc>
                <w:tcPr>
                  <w:tcW w:w="725" w:type="dxa"/>
                  <w:noWrap w:val="0"/>
                  <w:vAlign w:val="center"/>
                </w:tcPr>
                <w:p w14:paraId="6D285E9C">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具</w:t>
                  </w:r>
                </w:p>
              </w:tc>
              <w:tc>
                <w:tcPr>
                  <w:tcW w:w="825" w:type="dxa"/>
                  <w:noWrap w:val="0"/>
                  <w:vAlign w:val="center"/>
                </w:tcPr>
                <w:p w14:paraId="5976C2C0">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1000</w:t>
                  </w:r>
                </w:p>
              </w:tc>
              <w:tc>
                <w:tcPr>
                  <w:tcW w:w="2570" w:type="dxa"/>
                  <w:noWrap w:val="0"/>
                  <w:vAlign w:val="center"/>
                </w:tcPr>
                <w:p w14:paraId="51C03A3E">
                  <w:pPr>
                    <w:adjustRightInd w:val="0"/>
                    <w:snapToGrid w:val="0"/>
                    <w:spacing w:line="400" w:lineRule="exact"/>
                    <w:rPr>
                      <w:rFonts w:hint="eastAsia" w:ascii="宋体" w:hAnsi="宋体" w:eastAsia="宋体" w:cs="宋体"/>
                      <w:sz w:val="21"/>
                      <w:szCs w:val="21"/>
                    </w:rPr>
                  </w:pPr>
                  <w:r>
                    <w:rPr>
                      <w:rFonts w:hint="eastAsia" w:ascii="宋体" w:hAnsi="宋体" w:eastAsia="宋体" w:cs="宋体"/>
                      <w:color w:val="000000"/>
                      <w:sz w:val="21"/>
                      <w:szCs w:val="21"/>
                    </w:rPr>
                    <w:t>对死亡24小时以外的尸体进行法医学尸体外表检验，</w:t>
                  </w:r>
                  <w:r>
                    <w:rPr>
                      <w:rFonts w:hint="eastAsia" w:ascii="宋体" w:hAnsi="宋体" w:eastAsia="宋体" w:cs="宋体"/>
                      <w:sz w:val="21"/>
                      <w:szCs w:val="21"/>
                    </w:rPr>
                    <w:t>3个工作日内完成并出具鉴定报告</w:t>
                  </w:r>
                </w:p>
              </w:tc>
            </w:tr>
            <w:tr w14:paraId="7984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noWrap w:val="0"/>
                  <w:vAlign w:val="center"/>
                </w:tcPr>
                <w:p w14:paraId="75945FA5">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3</w:t>
                  </w:r>
                </w:p>
              </w:tc>
              <w:tc>
                <w:tcPr>
                  <w:tcW w:w="962" w:type="dxa"/>
                  <w:noWrap w:val="0"/>
                  <w:vAlign w:val="center"/>
                </w:tcPr>
                <w:p w14:paraId="385153A3">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早期尸体常规解剖</w:t>
                  </w:r>
                </w:p>
              </w:tc>
              <w:tc>
                <w:tcPr>
                  <w:tcW w:w="725" w:type="dxa"/>
                  <w:noWrap w:val="0"/>
                  <w:vAlign w:val="center"/>
                </w:tcPr>
                <w:p w14:paraId="65E7F9D9">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具</w:t>
                  </w:r>
                </w:p>
              </w:tc>
              <w:tc>
                <w:tcPr>
                  <w:tcW w:w="825" w:type="dxa"/>
                  <w:noWrap w:val="0"/>
                  <w:vAlign w:val="center"/>
                </w:tcPr>
                <w:p w14:paraId="1FCD347C">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2500</w:t>
                  </w:r>
                </w:p>
              </w:tc>
              <w:tc>
                <w:tcPr>
                  <w:tcW w:w="2570" w:type="dxa"/>
                  <w:noWrap w:val="0"/>
                  <w:vAlign w:val="center"/>
                </w:tcPr>
                <w:p w14:paraId="0E6232AA">
                  <w:pPr>
                    <w:adjustRightInd w:val="0"/>
                    <w:snapToGrid w:val="0"/>
                    <w:spacing w:line="400" w:lineRule="exact"/>
                    <w:rPr>
                      <w:rFonts w:hint="eastAsia" w:ascii="宋体" w:hAnsi="宋体" w:eastAsia="宋体" w:cs="宋体"/>
                      <w:sz w:val="21"/>
                      <w:szCs w:val="21"/>
                    </w:rPr>
                  </w:pPr>
                  <w:r>
                    <w:rPr>
                      <w:rFonts w:hint="eastAsia" w:ascii="宋体" w:hAnsi="宋体" w:eastAsia="宋体" w:cs="宋体"/>
                      <w:color w:val="000000"/>
                      <w:sz w:val="21"/>
                      <w:szCs w:val="21"/>
                    </w:rPr>
                    <w:t>对死亡24小时以内的尸体进行常规法医学尸体解剖检验。尸体常规解剖的主要内容包括尸表检验，颅腔、胸腔、腹腔剖验，根据案件需要提取常规毒化检材等，</w:t>
                  </w:r>
                  <w:r>
                    <w:rPr>
                      <w:rFonts w:hint="eastAsia" w:ascii="宋体" w:hAnsi="宋体" w:eastAsia="宋体" w:cs="宋体"/>
                      <w:sz w:val="21"/>
                      <w:szCs w:val="21"/>
                    </w:rPr>
                    <w:t>10个工作日内完成并出具鉴定报告</w:t>
                  </w:r>
                </w:p>
              </w:tc>
            </w:tr>
            <w:tr w14:paraId="4D1F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noWrap w:val="0"/>
                  <w:vAlign w:val="center"/>
                </w:tcPr>
                <w:p w14:paraId="4B4BA333">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4</w:t>
                  </w:r>
                </w:p>
              </w:tc>
              <w:tc>
                <w:tcPr>
                  <w:tcW w:w="962" w:type="dxa"/>
                  <w:noWrap w:val="0"/>
                  <w:vAlign w:val="center"/>
                </w:tcPr>
                <w:p w14:paraId="5EAA4692">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晚期尸体常规解剖</w:t>
                  </w:r>
                </w:p>
              </w:tc>
              <w:tc>
                <w:tcPr>
                  <w:tcW w:w="725" w:type="dxa"/>
                  <w:noWrap w:val="0"/>
                  <w:vAlign w:val="center"/>
                </w:tcPr>
                <w:p w14:paraId="4E651BF5">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具</w:t>
                  </w:r>
                </w:p>
              </w:tc>
              <w:tc>
                <w:tcPr>
                  <w:tcW w:w="825" w:type="dxa"/>
                  <w:noWrap w:val="0"/>
                  <w:vAlign w:val="center"/>
                </w:tcPr>
                <w:p w14:paraId="61DCD521">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4800</w:t>
                  </w:r>
                </w:p>
              </w:tc>
              <w:tc>
                <w:tcPr>
                  <w:tcW w:w="2570" w:type="dxa"/>
                  <w:noWrap w:val="0"/>
                  <w:vAlign w:val="center"/>
                </w:tcPr>
                <w:p w14:paraId="6D07917B">
                  <w:pPr>
                    <w:adjustRightInd w:val="0"/>
                    <w:snapToGrid w:val="0"/>
                    <w:spacing w:line="400" w:lineRule="exact"/>
                    <w:rPr>
                      <w:rFonts w:hint="eastAsia" w:ascii="宋体" w:hAnsi="宋体" w:eastAsia="宋体" w:cs="宋体"/>
                      <w:sz w:val="21"/>
                      <w:szCs w:val="21"/>
                    </w:rPr>
                  </w:pPr>
                  <w:r>
                    <w:rPr>
                      <w:rFonts w:hint="eastAsia" w:ascii="宋体" w:hAnsi="宋体" w:eastAsia="宋体" w:cs="宋体"/>
                      <w:color w:val="000000"/>
                      <w:sz w:val="21"/>
                      <w:szCs w:val="21"/>
                    </w:rPr>
                    <w:t>对死亡24小时以外的尸体进行常规法医学尸体解剖检验。尸体常规解剖的主要内容包括尸表检验，颅腔、胸腔、腹腔剖验，根据案件需要提取常规毒化检材等，</w:t>
                  </w:r>
                  <w:r>
                    <w:rPr>
                      <w:rFonts w:hint="eastAsia" w:ascii="宋体" w:hAnsi="宋体" w:eastAsia="宋体" w:cs="宋体"/>
                      <w:sz w:val="21"/>
                      <w:szCs w:val="21"/>
                    </w:rPr>
                    <w:t>10个工作日内完成并出具鉴定报告</w:t>
                  </w:r>
                </w:p>
              </w:tc>
            </w:tr>
            <w:tr w14:paraId="03C3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noWrap w:val="0"/>
                  <w:vAlign w:val="center"/>
                </w:tcPr>
                <w:p w14:paraId="3F0EDA4C">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5</w:t>
                  </w:r>
                </w:p>
              </w:tc>
              <w:tc>
                <w:tcPr>
                  <w:tcW w:w="962" w:type="dxa"/>
                  <w:noWrap w:val="0"/>
                  <w:vAlign w:val="center"/>
                </w:tcPr>
                <w:p w14:paraId="17031A4A">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特殊尸体</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解剖</w:t>
                  </w:r>
                </w:p>
              </w:tc>
              <w:tc>
                <w:tcPr>
                  <w:tcW w:w="725" w:type="dxa"/>
                  <w:noWrap w:val="0"/>
                  <w:vAlign w:val="center"/>
                </w:tcPr>
                <w:p w14:paraId="258C390C">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具</w:t>
                  </w:r>
                </w:p>
              </w:tc>
              <w:tc>
                <w:tcPr>
                  <w:tcW w:w="825" w:type="dxa"/>
                  <w:noWrap w:val="0"/>
                  <w:vAlign w:val="center"/>
                </w:tcPr>
                <w:p w14:paraId="5E78D3FA">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5800</w:t>
                  </w:r>
                </w:p>
              </w:tc>
              <w:tc>
                <w:tcPr>
                  <w:tcW w:w="2570" w:type="dxa"/>
                  <w:noWrap w:val="0"/>
                  <w:vAlign w:val="center"/>
                </w:tcPr>
                <w:p w14:paraId="1A44ED15">
                  <w:pPr>
                    <w:adjustRightInd w:val="0"/>
                    <w:snapToGrid w:val="0"/>
                    <w:spacing w:line="400" w:lineRule="exact"/>
                    <w:rPr>
                      <w:rFonts w:hint="eastAsia" w:ascii="宋体" w:hAnsi="宋体" w:eastAsia="宋体" w:cs="宋体"/>
                      <w:sz w:val="21"/>
                      <w:szCs w:val="21"/>
                    </w:rPr>
                  </w:pPr>
                  <w:r>
                    <w:rPr>
                      <w:rFonts w:hint="eastAsia" w:ascii="宋体" w:hAnsi="宋体" w:eastAsia="宋体" w:cs="宋体"/>
                      <w:color w:val="000000"/>
                      <w:sz w:val="21"/>
                      <w:szCs w:val="21"/>
                    </w:rPr>
                    <w:t>对特殊尸体进行法医学尸体解剖检验。特殊尸体包括高度腐败尸体、尸体发掘、碎尸等，</w:t>
                  </w:r>
                  <w:r>
                    <w:rPr>
                      <w:rFonts w:hint="eastAsia" w:ascii="宋体" w:hAnsi="宋体" w:eastAsia="宋体" w:cs="宋体"/>
                      <w:sz w:val="21"/>
                      <w:szCs w:val="21"/>
                    </w:rPr>
                    <w:t>10个工作日内完成并出具鉴定报告</w:t>
                  </w:r>
                </w:p>
              </w:tc>
            </w:tr>
            <w:tr w14:paraId="0FEC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noWrap w:val="0"/>
                  <w:vAlign w:val="center"/>
                </w:tcPr>
                <w:p w14:paraId="393796B4">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6</w:t>
                  </w:r>
                </w:p>
              </w:tc>
              <w:tc>
                <w:tcPr>
                  <w:tcW w:w="962" w:type="dxa"/>
                  <w:noWrap w:val="0"/>
                  <w:vAlign w:val="center"/>
                </w:tcPr>
                <w:p w14:paraId="50149E65">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乙类传染病尸体解剖</w:t>
                  </w:r>
                </w:p>
              </w:tc>
              <w:tc>
                <w:tcPr>
                  <w:tcW w:w="725" w:type="dxa"/>
                  <w:noWrap w:val="0"/>
                  <w:vAlign w:val="center"/>
                </w:tcPr>
                <w:p w14:paraId="563343A7">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具</w:t>
                  </w:r>
                </w:p>
              </w:tc>
              <w:tc>
                <w:tcPr>
                  <w:tcW w:w="825" w:type="dxa"/>
                  <w:noWrap w:val="0"/>
                  <w:vAlign w:val="center"/>
                </w:tcPr>
                <w:p w14:paraId="0E747C3B">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7500</w:t>
                  </w:r>
                </w:p>
              </w:tc>
              <w:tc>
                <w:tcPr>
                  <w:tcW w:w="2570" w:type="dxa"/>
                  <w:noWrap w:val="0"/>
                  <w:vAlign w:val="center"/>
                </w:tcPr>
                <w:p w14:paraId="03931B6D">
                  <w:pPr>
                    <w:adjustRightInd w:val="0"/>
                    <w:snapToGrid w:val="0"/>
                    <w:spacing w:line="400" w:lineRule="exact"/>
                    <w:rPr>
                      <w:rFonts w:hint="eastAsia" w:ascii="宋体" w:hAnsi="宋体" w:eastAsia="宋体" w:cs="宋体"/>
                      <w:sz w:val="21"/>
                      <w:szCs w:val="21"/>
                    </w:rPr>
                  </w:pPr>
                  <w:r>
                    <w:rPr>
                      <w:rFonts w:hint="eastAsia" w:ascii="宋体" w:hAnsi="宋体" w:eastAsia="宋体" w:cs="宋体"/>
                      <w:color w:val="000000"/>
                      <w:sz w:val="21"/>
                      <w:szCs w:val="21"/>
                    </w:rPr>
                    <w:t>对乙类传染病尸体进行常规法医学尸体解剖检验。乙类传染病是指《传染病防治法》规定的乙类传染病种类，</w:t>
                  </w:r>
                  <w:r>
                    <w:rPr>
                      <w:rFonts w:hint="eastAsia" w:ascii="宋体" w:hAnsi="宋体" w:eastAsia="宋体" w:cs="宋体"/>
                      <w:sz w:val="21"/>
                      <w:szCs w:val="21"/>
                    </w:rPr>
                    <w:t>10个工作日内完成并出具鉴定报告</w:t>
                  </w:r>
                </w:p>
              </w:tc>
            </w:tr>
            <w:tr w14:paraId="4F62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noWrap w:val="0"/>
                  <w:vAlign w:val="center"/>
                </w:tcPr>
                <w:p w14:paraId="5ECF4D30">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7</w:t>
                  </w:r>
                </w:p>
              </w:tc>
              <w:tc>
                <w:tcPr>
                  <w:tcW w:w="962" w:type="dxa"/>
                  <w:noWrap w:val="0"/>
                  <w:vAlign w:val="center"/>
                </w:tcPr>
                <w:p w14:paraId="5D9A0EE0">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尸体脊髓腔解剖</w:t>
                  </w:r>
                </w:p>
              </w:tc>
              <w:tc>
                <w:tcPr>
                  <w:tcW w:w="725" w:type="dxa"/>
                  <w:noWrap w:val="0"/>
                  <w:vAlign w:val="center"/>
                </w:tcPr>
                <w:p w14:paraId="36DCA615">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例</w:t>
                  </w:r>
                </w:p>
              </w:tc>
              <w:tc>
                <w:tcPr>
                  <w:tcW w:w="825" w:type="dxa"/>
                  <w:noWrap w:val="0"/>
                  <w:vAlign w:val="center"/>
                </w:tcPr>
                <w:p w14:paraId="28C074EA">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950</w:t>
                  </w:r>
                </w:p>
              </w:tc>
              <w:tc>
                <w:tcPr>
                  <w:tcW w:w="2570" w:type="dxa"/>
                  <w:noWrap w:val="0"/>
                  <w:vAlign w:val="center"/>
                </w:tcPr>
                <w:p w14:paraId="205222EB">
                  <w:pPr>
                    <w:adjustRightInd w:val="0"/>
                    <w:snapToGrid w:val="0"/>
                    <w:spacing w:line="400" w:lineRule="exact"/>
                    <w:rPr>
                      <w:rFonts w:hint="eastAsia" w:ascii="宋体" w:hAnsi="宋体" w:eastAsia="宋体" w:cs="宋体"/>
                      <w:sz w:val="21"/>
                      <w:szCs w:val="21"/>
                    </w:rPr>
                  </w:pPr>
                  <w:r>
                    <w:rPr>
                      <w:rFonts w:hint="eastAsia" w:ascii="宋体" w:hAnsi="宋体" w:eastAsia="宋体" w:cs="宋体"/>
                      <w:color w:val="000000"/>
                      <w:sz w:val="21"/>
                      <w:szCs w:val="21"/>
                    </w:rPr>
                    <w:t>对尸体脊髓腔部位进行解剖检验，</w:t>
                  </w:r>
                  <w:r>
                    <w:rPr>
                      <w:rFonts w:hint="eastAsia" w:ascii="宋体" w:hAnsi="宋体" w:eastAsia="宋体" w:cs="宋体"/>
                      <w:sz w:val="21"/>
                      <w:szCs w:val="21"/>
                    </w:rPr>
                    <w:t>10个工作日内完成并出具鉴定报告</w:t>
                  </w:r>
                </w:p>
              </w:tc>
            </w:tr>
            <w:tr w14:paraId="6685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noWrap w:val="0"/>
                  <w:vAlign w:val="center"/>
                </w:tcPr>
                <w:p w14:paraId="73F4C302">
                  <w:pPr>
                    <w:adjustRightInd w:val="0"/>
                    <w:snapToGrid w:val="0"/>
                    <w:spacing w:line="386" w:lineRule="exact"/>
                    <w:jc w:val="center"/>
                    <w:rPr>
                      <w:rFonts w:hint="eastAsia" w:ascii="宋体" w:hAnsi="宋体" w:eastAsia="宋体" w:cs="宋体"/>
                      <w:sz w:val="21"/>
                      <w:szCs w:val="21"/>
                    </w:rPr>
                  </w:pPr>
                  <w:r>
                    <w:rPr>
                      <w:rFonts w:hint="eastAsia" w:ascii="宋体" w:hAnsi="宋体" w:eastAsia="宋体" w:cs="宋体"/>
                      <w:color w:val="000000"/>
                      <w:sz w:val="21"/>
                      <w:szCs w:val="21"/>
                    </w:rPr>
                    <w:t>8</w:t>
                  </w:r>
                </w:p>
              </w:tc>
              <w:tc>
                <w:tcPr>
                  <w:tcW w:w="962" w:type="dxa"/>
                  <w:noWrap w:val="0"/>
                  <w:vAlign w:val="center"/>
                </w:tcPr>
                <w:p w14:paraId="54797C45">
                  <w:pPr>
                    <w:adjustRightInd w:val="0"/>
                    <w:snapToGrid w:val="0"/>
                    <w:spacing w:line="386" w:lineRule="exact"/>
                    <w:jc w:val="center"/>
                    <w:rPr>
                      <w:rFonts w:hint="eastAsia" w:ascii="宋体" w:hAnsi="宋体" w:eastAsia="宋体" w:cs="宋体"/>
                      <w:sz w:val="21"/>
                      <w:szCs w:val="21"/>
                    </w:rPr>
                  </w:pPr>
                  <w:r>
                    <w:rPr>
                      <w:rFonts w:hint="eastAsia" w:ascii="宋体" w:hAnsi="宋体" w:eastAsia="宋体" w:cs="宋体"/>
                      <w:color w:val="000000"/>
                      <w:sz w:val="21"/>
                      <w:szCs w:val="21"/>
                    </w:rPr>
                    <w:t>硅藻检查</w:t>
                  </w:r>
                </w:p>
              </w:tc>
              <w:tc>
                <w:tcPr>
                  <w:tcW w:w="725" w:type="dxa"/>
                  <w:noWrap w:val="0"/>
                  <w:vAlign w:val="center"/>
                </w:tcPr>
                <w:p w14:paraId="70483561">
                  <w:pPr>
                    <w:adjustRightInd w:val="0"/>
                    <w:snapToGrid w:val="0"/>
                    <w:spacing w:line="386" w:lineRule="exact"/>
                    <w:jc w:val="center"/>
                    <w:rPr>
                      <w:rFonts w:hint="eastAsia" w:ascii="宋体" w:hAnsi="宋体" w:eastAsia="宋体" w:cs="宋体"/>
                      <w:sz w:val="21"/>
                      <w:szCs w:val="21"/>
                    </w:rPr>
                  </w:pPr>
                  <w:r>
                    <w:rPr>
                      <w:rFonts w:hint="eastAsia" w:ascii="宋体" w:hAnsi="宋体" w:eastAsia="宋体" w:cs="宋体"/>
                      <w:color w:val="000000"/>
                      <w:sz w:val="21"/>
                      <w:szCs w:val="21"/>
                    </w:rPr>
                    <w:t>例</w:t>
                  </w:r>
                </w:p>
              </w:tc>
              <w:tc>
                <w:tcPr>
                  <w:tcW w:w="825" w:type="dxa"/>
                  <w:noWrap w:val="0"/>
                  <w:vAlign w:val="center"/>
                </w:tcPr>
                <w:p w14:paraId="7ABFD312">
                  <w:pPr>
                    <w:adjustRightInd w:val="0"/>
                    <w:snapToGrid w:val="0"/>
                    <w:spacing w:line="386" w:lineRule="exact"/>
                    <w:jc w:val="center"/>
                    <w:rPr>
                      <w:rFonts w:hint="eastAsia" w:ascii="宋体" w:hAnsi="宋体" w:eastAsia="宋体" w:cs="宋体"/>
                      <w:sz w:val="21"/>
                      <w:szCs w:val="21"/>
                    </w:rPr>
                  </w:pPr>
                  <w:r>
                    <w:rPr>
                      <w:rFonts w:hint="eastAsia" w:ascii="宋体" w:hAnsi="宋体" w:eastAsia="宋体" w:cs="宋体"/>
                      <w:color w:val="000000"/>
                      <w:sz w:val="21"/>
                      <w:szCs w:val="21"/>
                    </w:rPr>
                    <w:t>600</w:t>
                  </w:r>
                </w:p>
              </w:tc>
              <w:tc>
                <w:tcPr>
                  <w:tcW w:w="2570" w:type="dxa"/>
                  <w:noWrap w:val="0"/>
                  <w:vAlign w:val="center"/>
                </w:tcPr>
                <w:p w14:paraId="74DD3DF9">
                  <w:pPr>
                    <w:adjustRightInd w:val="0"/>
                    <w:snapToGrid w:val="0"/>
                    <w:spacing w:line="386" w:lineRule="exact"/>
                    <w:rPr>
                      <w:rFonts w:hint="eastAsia" w:ascii="宋体" w:hAnsi="宋体" w:eastAsia="宋体" w:cs="宋体"/>
                      <w:sz w:val="21"/>
                      <w:szCs w:val="21"/>
                    </w:rPr>
                  </w:pPr>
                  <w:r>
                    <w:rPr>
                      <w:rFonts w:hint="eastAsia" w:ascii="宋体" w:hAnsi="宋体" w:eastAsia="宋体" w:cs="宋体"/>
                      <w:color w:val="000000"/>
                      <w:sz w:val="21"/>
                      <w:szCs w:val="21"/>
                    </w:rPr>
                    <w:t>对尸体的肺、肝、肾、长骨及牙齿等器官</w:t>
                  </w:r>
                  <w:r>
                    <w:rPr>
                      <w:rFonts w:hint="eastAsia" w:ascii="宋体" w:hAnsi="宋体" w:eastAsia="宋体" w:cs="宋体"/>
                      <w:color w:val="000000"/>
                      <w:spacing w:val="-6"/>
                      <w:sz w:val="21"/>
                      <w:szCs w:val="21"/>
                    </w:rPr>
                    <w:t>组织进行硅藻检查。一具尸体的一种器官组织（肺、肝、肾、长骨及牙齿等）为一例</w:t>
                  </w:r>
                </w:p>
              </w:tc>
            </w:tr>
            <w:tr w14:paraId="2185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noWrap w:val="0"/>
                  <w:vAlign w:val="center"/>
                </w:tcPr>
                <w:p w14:paraId="7D0E7B26">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9</w:t>
                  </w:r>
                </w:p>
              </w:tc>
              <w:tc>
                <w:tcPr>
                  <w:tcW w:w="962" w:type="dxa"/>
                  <w:noWrap w:val="0"/>
                  <w:vAlign w:val="center"/>
                </w:tcPr>
                <w:p w14:paraId="4D9D8FE1">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法医现场</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勘查</w:t>
                  </w:r>
                </w:p>
              </w:tc>
              <w:tc>
                <w:tcPr>
                  <w:tcW w:w="725" w:type="dxa"/>
                  <w:noWrap w:val="0"/>
                  <w:vAlign w:val="center"/>
                </w:tcPr>
                <w:p w14:paraId="72A819AA">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例</w:t>
                  </w:r>
                </w:p>
              </w:tc>
              <w:tc>
                <w:tcPr>
                  <w:tcW w:w="825" w:type="dxa"/>
                  <w:noWrap w:val="0"/>
                  <w:vAlign w:val="center"/>
                </w:tcPr>
                <w:p w14:paraId="65B3B5C0">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1000</w:t>
                  </w:r>
                </w:p>
              </w:tc>
              <w:tc>
                <w:tcPr>
                  <w:tcW w:w="2570" w:type="dxa"/>
                  <w:noWrap w:val="0"/>
                  <w:vAlign w:val="center"/>
                </w:tcPr>
                <w:p w14:paraId="13988E4C">
                  <w:pPr>
                    <w:adjustRightInd w:val="0"/>
                    <w:snapToGrid w:val="0"/>
                    <w:spacing w:line="400" w:lineRule="exact"/>
                    <w:rPr>
                      <w:rFonts w:hint="eastAsia" w:ascii="宋体" w:hAnsi="宋体" w:eastAsia="宋体" w:cs="宋体"/>
                      <w:sz w:val="21"/>
                      <w:szCs w:val="21"/>
                    </w:rPr>
                  </w:pPr>
                  <w:r>
                    <w:rPr>
                      <w:rFonts w:hint="eastAsia" w:ascii="宋体" w:hAnsi="宋体" w:eastAsia="宋体" w:cs="宋体"/>
                      <w:color w:val="000000"/>
                      <w:sz w:val="21"/>
                      <w:szCs w:val="21"/>
                    </w:rPr>
                    <w:t>法医到案件现场进行勘查，</w:t>
                  </w:r>
                  <w:r>
                    <w:rPr>
                      <w:rFonts w:hint="eastAsia" w:ascii="宋体" w:hAnsi="宋体" w:eastAsia="宋体" w:cs="宋体"/>
                      <w:sz w:val="21"/>
                      <w:szCs w:val="21"/>
                    </w:rPr>
                    <w:t>3个工作日内完成并出具鉴定报告</w:t>
                  </w:r>
                </w:p>
              </w:tc>
            </w:tr>
            <w:tr w14:paraId="1FA5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noWrap w:val="0"/>
                  <w:vAlign w:val="center"/>
                </w:tcPr>
                <w:p w14:paraId="2DC4845F">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10</w:t>
                  </w:r>
                </w:p>
              </w:tc>
              <w:tc>
                <w:tcPr>
                  <w:tcW w:w="962" w:type="dxa"/>
                  <w:noWrap w:val="0"/>
                  <w:vAlign w:val="center"/>
                </w:tcPr>
                <w:p w14:paraId="749EBE48">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法医病理</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诊断</w:t>
                  </w:r>
                </w:p>
              </w:tc>
              <w:tc>
                <w:tcPr>
                  <w:tcW w:w="725" w:type="dxa"/>
                  <w:noWrap w:val="0"/>
                  <w:vAlign w:val="center"/>
                </w:tcPr>
                <w:p w14:paraId="2AC1E00D">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例</w:t>
                  </w:r>
                </w:p>
              </w:tc>
              <w:tc>
                <w:tcPr>
                  <w:tcW w:w="825" w:type="dxa"/>
                  <w:noWrap w:val="0"/>
                  <w:vAlign w:val="center"/>
                </w:tcPr>
                <w:p w14:paraId="66B4A15B">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1400</w:t>
                  </w:r>
                </w:p>
              </w:tc>
              <w:tc>
                <w:tcPr>
                  <w:tcW w:w="2570" w:type="dxa"/>
                  <w:noWrap w:val="0"/>
                  <w:vAlign w:val="center"/>
                </w:tcPr>
                <w:p w14:paraId="687FE04A">
                  <w:pPr>
                    <w:adjustRightInd w:val="0"/>
                    <w:snapToGrid w:val="0"/>
                    <w:spacing w:line="400" w:lineRule="exact"/>
                    <w:rPr>
                      <w:rFonts w:hint="eastAsia" w:ascii="宋体" w:hAnsi="宋体" w:eastAsia="宋体" w:cs="宋体"/>
                      <w:sz w:val="21"/>
                      <w:szCs w:val="21"/>
                    </w:rPr>
                  </w:pPr>
                  <w:r>
                    <w:rPr>
                      <w:rFonts w:hint="eastAsia" w:ascii="宋体" w:hAnsi="宋体" w:eastAsia="宋体" w:cs="宋体"/>
                      <w:color w:val="000000"/>
                      <w:sz w:val="21"/>
                      <w:szCs w:val="21"/>
                    </w:rPr>
                    <w:t>运用法医学的理论知识和技术，综合分析尸表检查、尸体剖验、组织切片观察、毒物分析等检查结果，结合书证审查，作出法医病理诊断，</w:t>
                  </w:r>
                  <w:r>
                    <w:rPr>
                      <w:rFonts w:hint="eastAsia" w:ascii="宋体" w:hAnsi="宋体" w:eastAsia="宋体" w:cs="宋体"/>
                      <w:sz w:val="21"/>
                      <w:szCs w:val="21"/>
                    </w:rPr>
                    <w:t>3个工作日内完成并出具鉴定报告</w:t>
                  </w:r>
                </w:p>
              </w:tc>
            </w:tr>
            <w:tr w14:paraId="22FF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noWrap w:val="0"/>
                  <w:vAlign w:val="center"/>
                </w:tcPr>
                <w:p w14:paraId="45989611">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11</w:t>
                  </w:r>
                </w:p>
              </w:tc>
              <w:tc>
                <w:tcPr>
                  <w:tcW w:w="962" w:type="dxa"/>
                  <w:noWrap w:val="0"/>
                  <w:vAlign w:val="center"/>
                </w:tcPr>
                <w:p w14:paraId="44C6148C">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死亡原因</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分析</w:t>
                  </w:r>
                </w:p>
              </w:tc>
              <w:tc>
                <w:tcPr>
                  <w:tcW w:w="725" w:type="dxa"/>
                  <w:noWrap w:val="0"/>
                  <w:vAlign w:val="center"/>
                </w:tcPr>
                <w:p w14:paraId="1055EA43">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例</w:t>
                  </w:r>
                </w:p>
              </w:tc>
              <w:tc>
                <w:tcPr>
                  <w:tcW w:w="825" w:type="dxa"/>
                  <w:noWrap w:val="0"/>
                  <w:vAlign w:val="center"/>
                </w:tcPr>
                <w:p w14:paraId="4220A8B0">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1800</w:t>
                  </w:r>
                </w:p>
              </w:tc>
              <w:tc>
                <w:tcPr>
                  <w:tcW w:w="2570" w:type="dxa"/>
                  <w:noWrap w:val="0"/>
                  <w:vAlign w:val="center"/>
                </w:tcPr>
                <w:p w14:paraId="1FC28969">
                  <w:pPr>
                    <w:adjustRightInd w:val="0"/>
                    <w:snapToGrid w:val="0"/>
                    <w:spacing w:line="400" w:lineRule="exact"/>
                    <w:rPr>
                      <w:rFonts w:hint="eastAsia" w:ascii="宋体" w:hAnsi="宋体" w:eastAsia="宋体" w:cs="宋体"/>
                      <w:sz w:val="21"/>
                      <w:szCs w:val="21"/>
                    </w:rPr>
                  </w:pPr>
                  <w:r>
                    <w:rPr>
                      <w:rFonts w:hint="eastAsia" w:ascii="宋体" w:hAnsi="宋体" w:eastAsia="宋体" w:cs="宋体"/>
                      <w:color w:val="000000"/>
                      <w:sz w:val="21"/>
                      <w:szCs w:val="21"/>
                    </w:rPr>
                    <w:t>运用法医学的理论知识和技术，综合分析尸表检查、尸体剖验、组织切片观察、毒物分析等检查结果，结合书证审查，确定死亡原因；或仅依靠对尸检照片、尸检记录、病史等资料的书证审查，推测或判断死亡原因，</w:t>
                  </w:r>
                  <w:r>
                    <w:rPr>
                      <w:rFonts w:hint="eastAsia" w:ascii="宋体" w:hAnsi="宋体" w:eastAsia="宋体" w:cs="宋体"/>
                      <w:sz w:val="21"/>
                      <w:szCs w:val="21"/>
                    </w:rPr>
                    <w:t>3个工作日内完成并出具鉴定报告</w:t>
                  </w:r>
                </w:p>
              </w:tc>
            </w:tr>
            <w:tr w14:paraId="762A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noWrap w:val="0"/>
                  <w:vAlign w:val="center"/>
                </w:tcPr>
                <w:p w14:paraId="0A939F7D">
                  <w:pPr>
                    <w:pStyle w:val="2"/>
                    <w:jc w:val="center"/>
                    <w:rPr>
                      <w:rFonts w:hint="eastAsia" w:ascii="宋体" w:hAnsi="宋体" w:eastAsia="宋体" w:cs="宋体"/>
                      <w:sz w:val="21"/>
                      <w:szCs w:val="21"/>
                    </w:rPr>
                  </w:pPr>
                  <w:r>
                    <w:rPr>
                      <w:rFonts w:hint="eastAsia" w:ascii="宋体" w:hAnsi="宋体" w:eastAsia="宋体" w:cs="宋体"/>
                      <w:sz w:val="21"/>
                      <w:szCs w:val="21"/>
                    </w:rPr>
                    <w:t>12</w:t>
                  </w:r>
                </w:p>
              </w:tc>
              <w:tc>
                <w:tcPr>
                  <w:tcW w:w="962" w:type="dxa"/>
                  <w:noWrap w:val="0"/>
                  <w:vAlign w:val="center"/>
                </w:tcPr>
                <w:p w14:paraId="7B88189D">
                  <w:pPr>
                    <w:adjustRightInd w:val="0"/>
                    <w:snapToGrid w:val="0"/>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生前伤死后伤鉴别</w:t>
                  </w:r>
                </w:p>
              </w:tc>
              <w:tc>
                <w:tcPr>
                  <w:tcW w:w="725" w:type="dxa"/>
                  <w:noWrap w:val="0"/>
                  <w:vAlign w:val="center"/>
                </w:tcPr>
                <w:p w14:paraId="542207C7">
                  <w:pPr>
                    <w:adjustRightInd w:val="0"/>
                    <w:snapToGrid w:val="0"/>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例</w:t>
                  </w:r>
                </w:p>
              </w:tc>
              <w:tc>
                <w:tcPr>
                  <w:tcW w:w="825" w:type="dxa"/>
                  <w:noWrap w:val="0"/>
                  <w:vAlign w:val="center"/>
                </w:tcPr>
                <w:p w14:paraId="643F00C9">
                  <w:pPr>
                    <w:adjustRightInd w:val="0"/>
                    <w:snapToGrid w:val="0"/>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w:t>
                  </w:r>
                </w:p>
              </w:tc>
              <w:tc>
                <w:tcPr>
                  <w:tcW w:w="2570" w:type="dxa"/>
                  <w:noWrap w:val="0"/>
                  <w:vAlign w:val="center"/>
                </w:tcPr>
                <w:p w14:paraId="07EA5A2A">
                  <w:pPr>
                    <w:adjustRightInd w:val="0"/>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运用法医病理学的理论知识和技术，综合 分析现场勘查、尸体检验结果、组织切片 检查结果等，鉴别死者损伤是生前还是死后形成，</w:t>
                  </w:r>
                  <w:r>
                    <w:rPr>
                      <w:rFonts w:hint="eastAsia" w:ascii="宋体" w:hAnsi="宋体" w:eastAsia="宋体" w:cs="宋体"/>
                      <w:sz w:val="21"/>
                      <w:szCs w:val="21"/>
                    </w:rPr>
                    <w:t>3个工作日内完成并出具鉴定报告</w:t>
                  </w:r>
                </w:p>
              </w:tc>
            </w:tr>
            <w:tr w14:paraId="3191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noWrap w:val="0"/>
                  <w:vAlign w:val="center"/>
                </w:tcPr>
                <w:p w14:paraId="7FD8A153">
                  <w:pPr>
                    <w:pStyle w:val="2"/>
                    <w:jc w:val="center"/>
                    <w:rPr>
                      <w:rFonts w:hint="eastAsia" w:ascii="宋体" w:hAnsi="宋体" w:eastAsia="宋体" w:cs="宋体"/>
                      <w:sz w:val="21"/>
                      <w:szCs w:val="21"/>
                    </w:rPr>
                  </w:pPr>
                  <w:r>
                    <w:rPr>
                      <w:rFonts w:hint="eastAsia" w:ascii="宋体" w:hAnsi="宋体" w:eastAsia="宋体" w:cs="宋体"/>
                      <w:sz w:val="21"/>
                      <w:szCs w:val="21"/>
                    </w:rPr>
                    <w:t>13</w:t>
                  </w:r>
                </w:p>
              </w:tc>
              <w:tc>
                <w:tcPr>
                  <w:tcW w:w="962" w:type="dxa"/>
                  <w:noWrap w:val="0"/>
                  <w:vAlign w:val="center"/>
                </w:tcPr>
                <w:p w14:paraId="4AFB96AD">
                  <w:pPr>
                    <w:adjustRightInd w:val="0"/>
                    <w:snapToGrid w:val="0"/>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死亡方式</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判断</w:t>
                  </w:r>
                </w:p>
              </w:tc>
              <w:tc>
                <w:tcPr>
                  <w:tcW w:w="725" w:type="dxa"/>
                  <w:noWrap w:val="0"/>
                  <w:vAlign w:val="center"/>
                </w:tcPr>
                <w:p w14:paraId="6FF38ADC">
                  <w:pPr>
                    <w:adjustRightInd w:val="0"/>
                    <w:snapToGrid w:val="0"/>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例</w:t>
                  </w:r>
                </w:p>
              </w:tc>
              <w:tc>
                <w:tcPr>
                  <w:tcW w:w="825" w:type="dxa"/>
                  <w:noWrap w:val="0"/>
                  <w:vAlign w:val="center"/>
                </w:tcPr>
                <w:p w14:paraId="7DD0A26B">
                  <w:pPr>
                    <w:adjustRightInd w:val="0"/>
                    <w:snapToGrid w:val="0"/>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900</w:t>
                  </w:r>
                </w:p>
              </w:tc>
              <w:tc>
                <w:tcPr>
                  <w:tcW w:w="2570" w:type="dxa"/>
                  <w:noWrap w:val="0"/>
                  <w:vAlign w:val="center"/>
                </w:tcPr>
                <w:p w14:paraId="7D4D1A4A">
                  <w:pPr>
                    <w:adjustRightInd w:val="0"/>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运用法医学的理论知识和技术，综合分析尸表检查、尸体剖验、组织切片观察、毒物分析等检查结果，根据现场勘查和案情调查，结合书证审查，判定致死方式，</w:t>
                  </w:r>
                  <w:r>
                    <w:rPr>
                      <w:rFonts w:hint="eastAsia" w:ascii="宋体" w:hAnsi="宋体" w:eastAsia="宋体" w:cs="宋体"/>
                      <w:sz w:val="21"/>
                      <w:szCs w:val="21"/>
                    </w:rPr>
                    <w:t>3个工作日内完成并出具鉴定报告</w:t>
                  </w:r>
                </w:p>
              </w:tc>
            </w:tr>
          </w:tbl>
          <w:p w14:paraId="1842ADC9">
            <w:pPr>
              <w:pStyle w:val="2"/>
              <w:rPr>
                <w:rFonts w:hint="eastAsia" w:ascii="宋体" w:hAnsi="宋体" w:eastAsia="宋体" w:cs="宋体"/>
                <w:sz w:val="21"/>
                <w:szCs w:val="21"/>
              </w:rPr>
            </w:pPr>
          </w:p>
          <w:p w14:paraId="4E956010">
            <w:pPr>
              <w:pStyle w:val="2"/>
              <w:numPr>
                <w:ilvl w:val="0"/>
                <w:numId w:val="1"/>
              </w:numPr>
              <w:rPr>
                <w:rFonts w:hint="eastAsia" w:ascii="宋体" w:hAnsi="宋体" w:eastAsia="宋体" w:cs="宋体"/>
                <w:sz w:val="21"/>
                <w:szCs w:val="21"/>
              </w:rPr>
            </w:pPr>
            <w:r>
              <w:rPr>
                <w:rFonts w:hint="eastAsia" w:ascii="宋体" w:hAnsi="宋体" w:eastAsia="宋体" w:cs="宋体"/>
                <w:sz w:val="21"/>
                <w:szCs w:val="21"/>
              </w:rPr>
              <w:t>法医临床鉴定</w:t>
            </w:r>
          </w:p>
          <w:tbl>
            <w:tblPr>
              <w:tblStyle w:val="29"/>
              <w:tblW w:w="5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975"/>
              <w:gridCol w:w="737"/>
              <w:gridCol w:w="800"/>
              <w:gridCol w:w="2595"/>
            </w:tblGrid>
            <w:tr w14:paraId="7010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38" w:type="dxa"/>
                  <w:noWrap w:val="0"/>
                  <w:vAlign w:val="bottom"/>
                </w:tcPr>
                <w:p w14:paraId="6AC49FED">
                  <w:pPr>
                    <w:pStyle w:val="2"/>
                    <w:jc w:val="center"/>
                    <w:rPr>
                      <w:rFonts w:hint="eastAsia" w:ascii="宋体" w:hAnsi="宋体" w:eastAsia="宋体" w:cs="宋体"/>
                      <w:sz w:val="21"/>
                      <w:szCs w:val="21"/>
                    </w:rPr>
                  </w:pPr>
                  <w:r>
                    <w:rPr>
                      <w:rFonts w:hint="eastAsia" w:ascii="宋体" w:hAnsi="宋体" w:eastAsia="宋体" w:cs="宋体"/>
                      <w:sz w:val="21"/>
                      <w:szCs w:val="21"/>
                    </w:rPr>
                    <w:t>序号</w:t>
                  </w:r>
                </w:p>
              </w:tc>
              <w:tc>
                <w:tcPr>
                  <w:tcW w:w="975" w:type="dxa"/>
                  <w:noWrap w:val="0"/>
                  <w:vAlign w:val="bottom"/>
                </w:tcPr>
                <w:p w14:paraId="32337E69">
                  <w:pPr>
                    <w:pStyle w:val="2"/>
                    <w:jc w:val="center"/>
                    <w:rPr>
                      <w:rFonts w:hint="eastAsia" w:ascii="宋体" w:hAnsi="宋体" w:eastAsia="宋体" w:cs="宋体"/>
                      <w:sz w:val="21"/>
                      <w:szCs w:val="21"/>
                    </w:rPr>
                  </w:pPr>
                  <w:r>
                    <w:rPr>
                      <w:rFonts w:hint="eastAsia" w:ascii="宋体" w:hAnsi="宋体" w:eastAsia="宋体" w:cs="宋体"/>
                      <w:sz w:val="21"/>
                      <w:szCs w:val="21"/>
                    </w:rPr>
                    <w:t>项目</w:t>
                  </w:r>
                </w:p>
              </w:tc>
              <w:tc>
                <w:tcPr>
                  <w:tcW w:w="737" w:type="dxa"/>
                  <w:noWrap w:val="0"/>
                  <w:vAlign w:val="bottom"/>
                </w:tcPr>
                <w:p w14:paraId="72AE047B">
                  <w:pPr>
                    <w:pStyle w:val="2"/>
                    <w:jc w:val="center"/>
                    <w:rPr>
                      <w:rFonts w:hint="eastAsia" w:ascii="宋体" w:hAnsi="宋体" w:eastAsia="宋体" w:cs="宋体"/>
                      <w:sz w:val="21"/>
                      <w:szCs w:val="21"/>
                    </w:rPr>
                  </w:pPr>
                  <w:r>
                    <w:rPr>
                      <w:rFonts w:hint="eastAsia" w:ascii="宋体" w:hAnsi="宋体" w:eastAsia="宋体" w:cs="宋体"/>
                      <w:sz w:val="21"/>
                      <w:szCs w:val="21"/>
                    </w:rPr>
                    <w:t>单位</w:t>
                  </w:r>
                </w:p>
              </w:tc>
              <w:tc>
                <w:tcPr>
                  <w:tcW w:w="800" w:type="dxa"/>
                  <w:noWrap w:val="0"/>
                  <w:vAlign w:val="bottom"/>
                </w:tcPr>
                <w:p w14:paraId="1A58AD0D">
                  <w:pPr>
                    <w:pStyle w:val="2"/>
                    <w:jc w:val="center"/>
                    <w:rPr>
                      <w:rFonts w:hint="eastAsia" w:ascii="宋体" w:hAnsi="宋体" w:eastAsia="宋体" w:cs="宋体"/>
                      <w:sz w:val="21"/>
                      <w:szCs w:val="21"/>
                    </w:rPr>
                  </w:pPr>
                  <w:r>
                    <w:rPr>
                      <w:rFonts w:hint="eastAsia" w:ascii="宋体" w:hAnsi="宋体" w:eastAsia="宋体" w:cs="宋体"/>
                      <w:sz w:val="21"/>
                      <w:szCs w:val="21"/>
                    </w:rPr>
                    <w:t>基准价（元）</w:t>
                  </w:r>
                </w:p>
              </w:tc>
              <w:tc>
                <w:tcPr>
                  <w:tcW w:w="2595" w:type="dxa"/>
                  <w:noWrap w:val="0"/>
                  <w:vAlign w:val="bottom"/>
                </w:tcPr>
                <w:p w14:paraId="55D7D933">
                  <w:pPr>
                    <w:pStyle w:val="2"/>
                    <w:jc w:val="center"/>
                    <w:rPr>
                      <w:rFonts w:hint="eastAsia" w:ascii="宋体" w:hAnsi="宋体" w:eastAsia="宋体" w:cs="宋体"/>
                      <w:sz w:val="21"/>
                      <w:szCs w:val="21"/>
                    </w:rPr>
                  </w:pPr>
                  <w:r>
                    <w:rPr>
                      <w:rFonts w:hint="eastAsia" w:ascii="宋体" w:hAnsi="宋体" w:eastAsia="宋体" w:cs="宋体"/>
                      <w:sz w:val="21"/>
                      <w:szCs w:val="21"/>
                    </w:rPr>
                    <w:t>释义</w:t>
                  </w:r>
                </w:p>
              </w:tc>
            </w:tr>
            <w:tr w14:paraId="0212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noWrap w:val="0"/>
                  <w:vAlign w:val="center"/>
                </w:tcPr>
                <w:p w14:paraId="04C5E839">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975" w:type="dxa"/>
                  <w:noWrap w:val="0"/>
                  <w:vAlign w:val="center"/>
                </w:tcPr>
                <w:p w14:paraId="5BD88151">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损伤程度鉴定</w:t>
                  </w:r>
                </w:p>
              </w:tc>
              <w:tc>
                <w:tcPr>
                  <w:tcW w:w="737" w:type="dxa"/>
                  <w:noWrap w:val="0"/>
                  <w:vAlign w:val="center"/>
                </w:tcPr>
                <w:p w14:paraId="0EE52941">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例</w:t>
                  </w:r>
                </w:p>
              </w:tc>
              <w:tc>
                <w:tcPr>
                  <w:tcW w:w="800" w:type="dxa"/>
                  <w:noWrap w:val="0"/>
                  <w:vAlign w:val="center"/>
                </w:tcPr>
                <w:p w14:paraId="495AECAB">
                  <w:pPr>
                    <w:adjustRightInd w:val="0"/>
                    <w:snapToGrid w:val="0"/>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w:t>
                  </w:r>
                </w:p>
                <w:p w14:paraId="023EDA50">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/800</w:t>
                  </w:r>
                </w:p>
              </w:tc>
              <w:tc>
                <w:tcPr>
                  <w:tcW w:w="2595" w:type="dxa"/>
                  <w:noWrap w:val="0"/>
                  <w:vAlign w:val="center"/>
                </w:tcPr>
                <w:p w14:paraId="67C7C14D">
                  <w:pPr>
                    <w:adjustRightInd w:val="0"/>
                    <w:snapToGrid w:val="0"/>
                    <w:spacing w:line="400" w:lineRule="exact"/>
                    <w:rPr>
                      <w:rFonts w:hint="eastAsia" w:ascii="宋体" w:hAnsi="宋体" w:eastAsia="宋体" w:cs="宋体"/>
                      <w:sz w:val="21"/>
                      <w:szCs w:val="21"/>
                    </w:rPr>
                  </w:pPr>
                  <w:r>
                    <w:rPr>
                      <w:rFonts w:hint="eastAsia" w:ascii="宋体" w:hAnsi="宋体" w:eastAsia="宋体" w:cs="宋体"/>
                      <w:color w:val="000000"/>
                      <w:sz w:val="21"/>
                      <w:szCs w:val="21"/>
                    </w:rPr>
                    <w:t>鉴定人体损伤的程度，即伤情评定（不包括精神损伤程度鉴定），每例最高收费800元。仅对体表损伤程度进行鉴定的，每例300元。</w:t>
                  </w:r>
                  <w:r>
                    <w:rPr>
                      <w:rFonts w:hint="eastAsia" w:ascii="宋体" w:hAnsi="宋体" w:eastAsia="宋体" w:cs="宋体"/>
                      <w:sz w:val="21"/>
                      <w:szCs w:val="21"/>
                    </w:rPr>
                    <w:t>3个工作日内完成并出具鉴定报告</w:t>
                  </w:r>
                </w:p>
              </w:tc>
            </w:tr>
            <w:tr w14:paraId="55D3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noWrap w:val="0"/>
                  <w:vAlign w:val="center"/>
                </w:tcPr>
                <w:p w14:paraId="0D17F7E5">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2</w:t>
                  </w:r>
                </w:p>
              </w:tc>
              <w:tc>
                <w:tcPr>
                  <w:tcW w:w="975" w:type="dxa"/>
                  <w:noWrap w:val="0"/>
                  <w:vAlign w:val="center"/>
                </w:tcPr>
                <w:p w14:paraId="101AA176">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伤残程度评定</w:t>
                  </w:r>
                </w:p>
              </w:tc>
              <w:tc>
                <w:tcPr>
                  <w:tcW w:w="737" w:type="dxa"/>
                  <w:noWrap w:val="0"/>
                  <w:vAlign w:val="center"/>
                </w:tcPr>
                <w:p w14:paraId="65A0D635">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例</w:t>
                  </w:r>
                </w:p>
              </w:tc>
              <w:tc>
                <w:tcPr>
                  <w:tcW w:w="800" w:type="dxa"/>
                  <w:noWrap w:val="0"/>
                  <w:vAlign w:val="center"/>
                </w:tcPr>
                <w:p w14:paraId="3609BD43">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700</w:t>
                  </w:r>
                </w:p>
              </w:tc>
              <w:tc>
                <w:tcPr>
                  <w:tcW w:w="2595" w:type="dxa"/>
                  <w:noWrap w:val="0"/>
                  <w:vAlign w:val="center"/>
                </w:tcPr>
                <w:p w14:paraId="00C18677">
                  <w:pPr>
                    <w:adjustRightInd w:val="0"/>
                    <w:snapToGrid w:val="0"/>
                    <w:spacing w:line="400" w:lineRule="exact"/>
                    <w:rPr>
                      <w:rFonts w:hint="eastAsia" w:ascii="宋体" w:hAnsi="宋体" w:eastAsia="宋体" w:cs="宋体"/>
                      <w:sz w:val="21"/>
                      <w:szCs w:val="21"/>
                    </w:rPr>
                  </w:pPr>
                  <w:r>
                    <w:rPr>
                      <w:rFonts w:hint="eastAsia" w:ascii="宋体" w:hAnsi="宋体" w:eastAsia="宋体" w:cs="宋体"/>
                      <w:color w:val="000000"/>
                      <w:sz w:val="21"/>
                      <w:szCs w:val="21"/>
                    </w:rPr>
                    <w:t>评定因人体损伤导致的残疾程度（不包括精神伤残程度评定），</w:t>
                  </w:r>
                  <w:r>
                    <w:rPr>
                      <w:rFonts w:hint="eastAsia" w:ascii="宋体" w:hAnsi="宋体" w:eastAsia="宋体" w:cs="宋体"/>
                      <w:sz w:val="21"/>
                      <w:szCs w:val="21"/>
                    </w:rPr>
                    <w:t>3个工作日内完成并出具鉴定报告</w:t>
                  </w:r>
                </w:p>
              </w:tc>
            </w:tr>
            <w:tr w14:paraId="402E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noWrap w:val="0"/>
                  <w:vAlign w:val="center"/>
                </w:tcPr>
                <w:p w14:paraId="1CA50788">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3</w:t>
                  </w:r>
                </w:p>
              </w:tc>
              <w:tc>
                <w:tcPr>
                  <w:tcW w:w="975" w:type="dxa"/>
                  <w:noWrap w:val="0"/>
                  <w:vAlign w:val="center"/>
                </w:tcPr>
                <w:p w14:paraId="71648FC4">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伤病关系鉴定</w:t>
                  </w:r>
                </w:p>
              </w:tc>
              <w:tc>
                <w:tcPr>
                  <w:tcW w:w="737" w:type="dxa"/>
                  <w:noWrap w:val="0"/>
                  <w:vAlign w:val="center"/>
                </w:tcPr>
                <w:p w14:paraId="0C531F80">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例</w:t>
                  </w:r>
                </w:p>
              </w:tc>
              <w:tc>
                <w:tcPr>
                  <w:tcW w:w="800" w:type="dxa"/>
                  <w:noWrap w:val="0"/>
                  <w:vAlign w:val="center"/>
                </w:tcPr>
                <w:p w14:paraId="6A7B0A20">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1000</w:t>
                  </w:r>
                </w:p>
              </w:tc>
              <w:tc>
                <w:tcPr>
                  <w:tcW w:w="2595" w:type="dxa"/>
                  <w:noWrap w:val="0"/>
                  <w:vAlign w:val="center"/>
                </w:tcPr>
                <w:p w14:paraId="38310011">
                  <w:pPr>
                    <w:adjustRightInd w:val="0"/>
                    <w:snapToGrid w:val="0"/>
                    <w:spacing w:line="400" w:lineRule="exact"/>
                    <w:rPr>
                      <w:rFonts w:hint="eastAsia" w:ascii="宋体" w:hAnsi="宋体" w:eastAsia="宋体" w:cs="宋体"/>
                      <w:sz w:val="21"/>
                      <w:szCs w:val="21"/>
                    </w:rPr>
                  </w:pPr>
                  <w:r>
                    <w:rPr>
                      <w:rFonts w:hint="eastAsia" w:ascii="宋体" w:hAnsi="宋体" w:eastAsia="宋体" w:cs="宋体"/>
                      <w:color w:val="000000"/>
                      <w:sz w:val="21"/>
                      <w:szCs w:val="21"/>
                    </w:rPr>
                    <w:t>评定损伤与疾病的因果关系及其程度，或损伤与疾病在人身损害后果中的原因力大小（精神科除外），</w:t>
                  </w:r>
                  <w:r>
                    <w:rPr>
                      <w:rFonts w:hint="eastAsia" w:ascii="宋体" w:hAnsi="宋体" w:eastAsia="宋体" w:cs="宋体"/>
                      <w:sz w:val="21"/>
                      <w:szCs w:val="21"/>
                    </w:rPr>
                    <w:t>3个工作日内完成并出具鉴定报告</w:t>
                  </w:r>
                </w:p>
              </w:tc>
            </w:tr>
          </w:tbl>
          <w:p w14:paraId="1C60EB2D">
            <w:pPr>
              <w:rPr>
                <w:rFonts w:hint="eastAsia" w:ascii="宋体" w:hAnsi="宋体" w:eastAsia="宋体" w:cs="宋体"/>
                <w:sz w:val="21"/>
                <w:szCs w:val="21"/>
              </w:rPr>
            </w:pPr>
          </w:p>
          <w:p w14:paraId="34CA1BF0">
            <w:pPr>
              <w:pStyle w:val="2"/>
              <w:numPr>
                <w:ilvl w:val="0"/>
                <w:numId w:val="1"/>
              </w:numPr>
              <w:rPr>
                <w:rFonts w:hint="eastAsia" w:ascii="宋体" w:hAnsi="宋体" w:eastAsia="宋体" w:cs="宋体"/>
                <w:sz w:val="21"/>
                <w:szCs w:val="21"/>
              </w:rPr>
            </w:pPr>
            <w:r>
              <w:rPr>
                <w:rFonts w:hint="eastAsia" w:ascii="宋体" w:hAnsi="宋体" w:eastAsia="宋体" w:cs="宋体"/>
                <w:sz w:val="21"/>
                <w:szCs w:val="21"/>
              </w:rPr>
              <w:t>法医毒物鉴定</w:t>
            </w:r>
          </w:p>
          <w:tbl>
            <w:tblPr>
              <w:tblStyle w:val="29"/>
              <w:tblW w:w="5642"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938"/>
              <w:gridCol w:w="750"/>
              <w:gridCol w:w="800"/>
              <w:gridCol w:w="2592"/>
            </w:tblGrid>
            <w:tr w14:paraId="157F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noWrap w:val="0"/>
                  <w:vAlign w:val="center"/>
                </w:tcPr>
                <w:p w14:paraId="5824E9A6">
                  <w:pPr>
                    <w:pStyle w:val="2"/>
                    <w:jc w:val="center"/>
                    <w:rPr>
                      <w:rFonts w:hint="eastAsia" w:ascii="宋体" w:hAnsi="宋体" w:eastAsia="宋体" w:cs="宋体"/>
                      <w:sz w:val="21"/>
                      <w:szCs w:val="21"/>
                    </w:rPr>
                  </w:pPr>
                  <w:r>
                    <w:rPr>
                      <w:rFonts w:hint="eastAsia" w:ascii="宋体" w:hAnsi="宋体" w:eastAsia="宋体" w:cs="宋体"/>
                      <w:sz w:val="21"/>
                      <w:szCs w:val="21"/>
                    </w:rPr>
                    <w:t>序号</w:t>
                  </w:r>
                </w:p>
              </w:tc>
              <w:tc>
                <w:tcPr>
                  <w:tcW w:w="938" w:type="dxa"/>
                  <w:noWrap w:val="0"/>
                  <w:vAlign w:val="center"/>
                </w:tcPr>
                <w:p w14:paraId="37D0F877">
                  <w:pPr>
                    <w:pStyle w:val="2"/>
                    <w:jc w:val="center"/>
                    <w:rPr>
                      <w:rFonts w:hint="eastAsia" w:ascii="宋体" w:hAnsi="宋体" w:eastAsia="宋体" w:cs="宋体"/>
                      <w:sz w:val="21"/>
                      <w:szCs w:val="21"/>
                    </w:rPr>
                  </w:pPr>
                  <w:r>
                    <w:rPr>
                      <w:rFonts w:hint="eastAsia" w:ascii="宋体" w:hAnsi="宋体" w:eastAsia="宋体" w:cs="宋体"/>
                      <w:sz w:val="21"/>
                      <w:szCs w:val="21"/>
                    </w:rPr>
                    <w:t>项目</w:t>
                  </w:r>
                </w:p>
              </w:tc>
              <w:tc>
                <w:tcPr>
                  <w:tcW w:w="750" w:type="dxa"/>
                  <w:noWrap w:val="0"/>
                  <w:vAlign w:val="center"/>
                </w:tcPr>
                <w:p w14:paraId="61E74735">
                  <w:pPr>
                    <w:pStyle w:val="2"/>
                    <w:jc w:val="center"/>
                    <w:rPr>
                      <w:rFonts w:hint="eastAsia" w:ascii="宋体" w:hAnsi="宋体" w:eastAsia="宋体" w:cs="宋体"/>
                      <w:sz w:val="21"/>
                      <w:szCs w:val="21"/>
                    </w:rPr>
                  </w:pPr>
                  <w:r>
                    <w:rPr>
                      <w:rFonts w:hint="eastAsia" w:ascii="宋体" w:hAnsi="宋体" w:eastAsia="宋体" w:cs="宋体"/>
                      <w:sz w:val="21"/>
                      <w:szCs w:val="21"/>
                    </w:rPr>
                    <w:t>单位</w:t>
                  </w:r>
                </w:p>
              </w:tc>
              <w:tc>
                <w:tcPr>
                  <w:tcW w:w="800" w:type="dxa"/>
                  <w:noWrap w:val="0"/>
                  <w:vAlign w:val="center"/>
                </w:tcPr>
                <w:p w14:paraId="6A0BE51A">
                  <w:pPr>
                    <w:pStyle w:val="2"/>
                    <w:jc w:val="center"/>
                    <w:rPr>
                      <w:rFonts w:hint="eastAsia" w:ascii="宋体" w:hAnsi="宋体" w:eastAsia="宋体" w:cs="宋体"/>
                      <w:sz w:val="21"/>
                      <w:szCs w:val="21"/>
                    </w:rPr>
                  </w:pPr>
                  <w:r>
                    <w:rPr>
                      <w:rFonts w:hint="eastAsia" w:ascii="宋体" w:hAnsi="宋体" w:eastAsia="宋体" w:cs="宋体"/>
                      <w:sz w:val="21"/>
                      <w:szCs w:val="21"/>
                    </w:rPr>
                    <w:t>基准价（元）</w:t>
                  </w:r>
                </w:p>
              </w:tc>
              <w:tc>
                <w:tcPr>
                  <w:tcW w:w="2592" w:type="dxa"/>
                  <w:noWrap w:val="0"/>
                  <w:vAlign w:val="center"/>
                </w:tcPr>
                <w:p w14:paraId="2140F86A">
                  <w:pPr>
                    <w:pStyle w:val="2"/>
                    <w:jc w:val="center"/>
                    <w:rPr>
                      <w:rFonts w:hint="eastAsia" w:ascii="宋体" w:hAnsi="宋体" w:eastAsia="宋体" w:cs="宋体"/>
                      <w:sz w:val="21"/>
                      <w:szCs w:val="21"/>
                    </w:rPr>
                  </w:pPr>
                  <w:r>
                    <w:rPr>
                      <w:rFonts w:hint="eastAsia" w:ascii="宋体" w:hAnsi="宋体" w:eastAsia="宋体" w:cs="宋体"/>
                      <w:sz w:val="21"/>
                      <w:szCs w:val="21"/>
                    </w:rPr>
                    <w:t>释义</w:t>
                  </w:r>
                </w:p>
              </w:tc>
            </w:tr>
            <w:tr w14:paraId="6BC6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noWrap w:val="0"/>
                  <w:vAlign w:val="center"/>
                </w:tcPr>
                <w:p w14:paraId="5A50E797">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938" w:type="dxa"/>
                  <w:noWrap w:val="0"/>
                  <w:vAlign w:val="center"/>
                </w:tcPr>
                <w:p w14:paraId="62370DDA">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人体体液中乙醇定性定量分析</w:t>
                  </w:r>
                </w:p>
              </w:tc>
              <w:tc>
                <w:tcPr>
                  <w:tcW w:w="750" w:type="dxa"/>
                  <w:noWrap w:val="0"/>
                  <w:vAlign w:val="center"/>
                </w:tcPr>
                <w:p w14:paraId="6DF85E1B">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样品</w:t>
                  </w:r>
                </w:p>
              </w:tc>
              <w:tc>
                <w:tcPr>
                  <w:tcW w:w="800" w:type="dxa"/>
                  <w:noWrap w:val="0"/>
                  <w:vAlign w:val="center"/>
                </w:tcPr>
                <w:p w14:paraId="4848FBDD">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350</w:t>
                  </w:r>
                </w:p>
              </w:tc>
              <w:tc>
                <w:tcPr>
                  <w:tcW w:w="2592" w:type="dxa"/>
                  <w:noWrap w:val="0"/>
                  <w:vAlign w:val="center"/>
                </w:tcPr>
                <w:p w14:paraId="1056FFBF">
                  <w:pPr>
                    <w:adjustRightInd w:val="0"/>
                    <w:snapToGrid w:val="0"/>
                    <w:spacing w:line="400" w:lineRule="exact"/>
                    <w:rPr>
                      <w:rFonts w:hint="eastAsia" w:ascii="宋体" w:hAnsi="宋体" w:eastAsia="宋体" w:cs="宋体"/>
                      <w:sz w:val="21"/>
                      <w:szCs w:val="21"/>
                    </w:rPr>
                  </w:pPr>
                  <w:r>
                    <w:rPr>
                      <w:rFonts w:hint="eastAsia" w:ascii="宋体" w:hAnsi="宋体" w:eastAsia="宋体" w:cs="宋体"/>
                      <w:color w:val="000000"/>
                      <w:sz w:val="21"/>
                      <w:szCs w:val="21"/>
                    </w:rPr>
                    <w:t>检测人体体液中是否含有乙醇，测定人体体液中的乙醇浓度。</w:t>
                  </w:r>
                  <w:r>
                    <w:rPr>
                      <w:rFonts w:hint="eastAsia" w:ascii="宋体" w:hAnsi="宋体" w:eastAsia="宋体" w:cs="宋体"/>
                      <w:sz w:val="21"/>
                      <w:szCs w:val="21"/>
                    </w:rPr>
                    <w:t>3个工作日内完成并出具鉴定报告</w:t>
                  </w:r>
                </w:p>
              </w:tc>
            </w:tr>
          </w:tbl>
          <w:p w14:paraId="5ECD3614">
            <w:pPr>
              <w:rPr>
                <w:rFonts w:hint="eastAsia" w:ascii="宋体" w:hAnsi="宋体" w:eastAsia="宋体" w:cs="宋体"/>
                <w:sz w:val="21"/>
                <w:szCs w:val="21"/>
              </w:rPr>
            </w:pPr>
          </w:p>
          <w:p w14:paraId="07A5C8FB">
            <w:pPr>
              <w:spacing w:line="360" w:lineRule="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w:t>
            </w:r>
            <w:r>
              <w:rPr>
                <w:rFonts w:hint="eastAsia" w:ascii="宋体" w:hAnsi="宋体" w:eastAsia="宋体" w:cs="宋体"/>
                <w:sz w:val="21"/>
                <w:szCs w:val="21"/>
              </w:rPr>
              <w:t>报价必须包含供应商完成本项目服务所有内容及相关其他相关服务的成本、利润、税金、 人员差旅费用、交通费用、住宿费用、检测方法、技术措施费、检测费、鉴定费等费用及其他所有可能发生的一切费用。除签订的合同价款外，采购人不再支付任何额外费用。</w:t>
            </w:r>
          </w:p>
          <w:p w14:paraId="36B368E6">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3</w:t>
            </w:r>
            <w:r>
              <w:rPr>
                <w:rFonts w:hint="eastAsia" w:ascii="宋体" w:hAnsi="宋体" w:cs="宋体"/>
                <w:sz w:val="21"/>
                <w:szCs w:val="21"/>
                <w:lang w:val="en-US" w:eastAsia="zh-CN"/>
              </w:rPr>
              <w:t>.</w:t>
            </w:r>
            <w:r>
              <w:rPr>
                <w:rFonts w:hint="eastAsia" w:ascii="宋体" w:hAnsi="宋体" w:eastAsia="宋体" w:cs="宋体"/>
                <w:sz w:val="21"/>
                <w:szCs w:val="21"/>
              </w:rPr>
              <w:t>上表没详细列明项目和基准价，均按照广西壮族自治区物价局、广西壮族自治区司法厅</w:t>
            </w:r>
            <w:r>
              <w:rPr>
                <w:rFonts w:hint="eastAsia" w:ascii="宋体" w:hAnsi="宋体" w:eastAsia="宋体" w:cs="宋体"/>
                <w:sz w:val="21"/>
                <w:szCs w:val="21"/>
                <w:lang w:eastAsia="zh-CN"/>
              </w:rPr>
              <w:t>印发的</w:t>
            </w:r>
            <w:r>
              <w:rPr>
                <w:rFonts w:hint="eastAsia" w:ascii="宋体" w:hAnsi="宋体" w:eastAsia="宋体" w:cs="宋体"/>
                <w:sz w:val="21"/>
                <w:szCs w:val="21"/>
              </w:rPr>
              <w:t>《广西壮族自治区司法鉴定收费管理办法》桂发改收费规[2023]1185号</w:t>
            </w:r>
            <w:r>
              <w:rPr>
                <w:rFonts w:hint="eastAsia" w:ascii="宋体" w:hAnsi="宋体" w:eastAsia="宋体" w:cs="宋体"/>
                <w:sz w:val="21"/>
                <w:szCs w:val="21"/>
                <w:lang w:eastAsia="zh-CN"/>
              </w:rPr>
              <w:t>文件为</w:t>
            </w:r>
            <w:r>
              <w:rPr>
                <w:rFonts w:hint="eastAsia" w:ascii="宋体" w:hAnsi="宋体" w:eastAsia="宋体" w:cs="宋体"/>
                <w:sz w:val="21"/>
                <w:szCs w:val="21"/>
              </w:rPr>
              <w:t>标准计价，不列入 《广西壮族自治区司法鉴定收费管理办法》的鉴定项目实行市场调节价，由</w:t>
            </w:r>
            <w:r>
              <w:rPr>
                <w:rFonts w:hint="eastAsia" w:ascii="宋体" w:hAnsi="宋体" w:eastAsia="宋体" w:cs="宋体"/>
                <w:sz w:val="21"/>
                <w:szCs w:val="21"/>
                <w:lang w:eastAsia="zh-CN"/>
              </w:rPr>
              <w:t>成交供应商</w:t>
            </w:r>
            <w:r>
              <w:rPr>
                <w:rFonts w:hint="eastAsia" w:ascii="宋体" w:hAnsi="宋体" w:eastAsia="宋体" w:cs="宋体"/>
                <w:sz w:val="21"/>
                <w:szCs w:val="21"/>
              </w:rPr>
              <w:t>与</w:t>
            </w:r>
            <w:r>
              <w:rPr>
                <w:rFonts w:hint="eastAsia" w:ascii="宋体" w:hAnsi="宋体" w:eastAsia="宋体" w:cs="宋体"/>
                <w:sz w:val="21"/>
                <w:szCs w:val="21"/>
                <w:lang w:eastAsia="zh-CN"/>
              </w:rPr>
              <w:t>采购人</w:t>
            </w:r>
            <w:r>
              <w:rPr>
                <w:rFonts w:hint="eastAsia" w:ascii="宋体" w:hAnsi="宋体" w:eastAsia="宋体" w:cs="宋体"/>
                <w:sz w:val="21"/>
                <w:szCs w:val="21"/>
              </w:rPr>
              <w:t>协商确定具体收费项目</w:t>
            </w:r>
            <w:r>
              <w:rPr>
                <w:rFonts w:hint="eastAsia" w:ascii="宋体" w:hAnsi="宋体" w:eastAsia="宋体" w:cs="宋体"/>
                <w:sz w:val="21"/>
                <w:szCs w:val="21"/>
                <w:lang w:eastAsia="zh-CN"/>
              </w:rPr>
              <w:t>。</w:t>
            </w:r>
          </w:p>
          <w:p w14:paraId="2F67AB56">
            <w:pPr>
              <w:spacing w:line="360" w:lineRule="auto"/>
              <w:rPr>
                <w:rFonts w:hint="eastAsia" w:ascii="宋体" w:hAnsi="宋体" w:cs="宋体"/>
                <w:szCs w:val="21"/>
              </w:rPr>
            </w:pPr>
            <w:r>
              <w:rPr>
                <w:rFonts w:hint="eastAsia" w:ascii="宋体" w:hAnsi="宋体" w:eastAsia="宋体" w:cs="宋体"/>
                <w:sz w:val="21"/>
                <w:szCs w:val="21"/>
              </w:rPr>
              <w:t>4</w:t>
            </w:r>
            <w:r>
              <w:rPr>
                <w:rFonts w:hint="eastAsia" w:ascii="宋体" w:hAnsi="宋体" w:cs="宋体"/>
                <w:sz w:val="21"/>
                <w:szCs w:val="21"/>
                <w:lang w:val="en-US" w:eastAsia="zh-CN"/>
              </w:rPr>
              <w:t>.</w:t>
            </w:r>
            <w:r>
              <w:rPr>
                <w:rFonts w:hint="eastAsia" w:ascii="宋体" w:hAnsi="宋体" w:cs="宋体"/>
                <w:sz w:val="21"/>
                <w:szCs w:val="21"/>
                <w:lang w:eastAsia="zh-CN"/>
              </w:rPr>
              <w:t>折扣</w:t>
            </w:r>
            <w:r>
              <w:rPr>
                <w:rFonts w:hint="eastAsia" w:ascii="宋体" w:hAnsi="宋体" w:eastAsia="宋体" w:cs="宋体"/>
                <w:sz w:val="21"/>
                <w:szCs w:val="21"/>
              </w:rPr>
              <w:t>以百分比表示，范围在0%～100%之间。报价</w:t>
            </w:r>
            <w:r>
              <w:rPr>
                <w:rFonts w:hint="eastAsia" w:ascii="宋体" w:hAnsi="宋体" w:cs="宋体"/>
                <w:sz w:val="21"/>
                <w:szCs w:val="21"/>
                <w:lang w:eastAsia="zh-CN"/>
              </w:rPr>
              <w:t>折扣</w:t>
            </w:r>
            <w:r>
              <w:rPr>
                <w:rFonts w:hint="eastAsia" w:ascii="宋体" w:hAnsi="宋体" w:eastAsia="宋体" w:cs="宋体"/>
                <w:sz w:val="21"/>
                <w:szCs w:val="21"/>
              </w:rPr>
              <w:t>必须为正数报价，不得存在区间值（例如：</w:t>
            </w:r>
            <w:r>
              <w:rPr>
                <w:rFonts w:hint="eastAsia" w:ascii="宋体" w:hAnsi="宋体" w:cs="宋体"/>
                <w:sz w:val="21"/>
                <w:szCs w:val="21"/>
                <w:lang w:eastAsia="zh-CN"/>
              </w:rPr>
              <w:t>折扣</w:t>
            </w:r>
            <w:r>
              <w:rPr>
                <w:rFonts w:hint="eastAsia" w:ascii="宋体" w:hAnsi="宋体" w:eastAsia="宋体" w:cs="宋体"/>
                <w:sz w:val="21"/>
                <w:szCs w:val="21"/>
              </w:rPr>
              <w:t>95%～98%）。如出现超出报价</w:t>
            </w:r>
            <w:r>
              <w:rPr>
                <w:rFonts w:hint="eastAsia" w:ascii="宋体" w:hAnsi="宋体" w:cs="宋体"/>
                <w:sz w:val="21"/>
                <w:szCs w:val="21"/>
                <w:lang w:eastAsia="zh-CN"/>
              </w:rPr>
              <w:t>折扣</w:t>
            </w:r>
            <w:r>
              <w:rPr>
                <w:rFonts w:hint="eastAsia" w:ascii="宋体" w:hAnsi="宋体" w:eastAsia="宋体" w:cs="宋体"/>
                <w:sz w:val="21"/>
                <w:szCs w:val="21"/>
              </w:rPr>
              <w:t>范围、</w:t>
            </w:r>
            <w:r>
              <w:rPr>
                <w:rFonts w:hint="eastAsia" w:ascii="宋体" w:hAnsi="宋体" w:cs="宋体"/>
                <w:sz w:val="21"/>
                <w:szCs w:val="21"/>
                <w:lang w:eastAsia="zh-CN"/>
              </w:rPr>
              <w:t>折扣</w:t>
            </w:r>
            <w:r>
              <w:rPr>
                <w:rFonts w:hint="eastAsia" w:ascii="宋体" w:hAnsi="宋体" w:eastAsia="宋体" w:cs="宋体"/>
                <w:sz w:val="21"/>
                <w:szCs w:val="21"/>
              </w:rPr>
              <w:t>为负数、</w:t>
            </w:r>
            <w:r>
              <w:rPr>
                <w:rFonts w:hint="eastAsia" w:ascii="宋体" w:hAnsi="宋体" w:cs="宋体"/>
                <w:sz w:val="21"/>
                <w:szCs w:val="21"/>
                <w:lang w:eastAsia="zh-CN"/>
              </w:rPr>
              <w:t>折扣</w:t>
            </w:r>
            <w:r>
              <w:rPr>
                <w:rFonts w:hint="eastAsia" w:ascii="宋体" w:hAnsi="宋体" w:eastAsia="宋体" w:cs="宋体"/>
                <w:sz w:val="21"/>
                <w:szCs w:val="21"/>
              </w:rPr>
              <w:t>存在区间值，则认定为报价无效，</w:t>
            </w:r>
            <w:r>
              <w:rPr>
                <w:rFonts w:hint="eastAsia" w:ascii="宋体" w:hAnsi="宋体" w:eastAsia="宋体" w:cs="宋体"/>
                <w:b/>
                <w:sz w:val="21"/>
                <w:szCs w:val="21"/>
              </w:rPr>
              <w:t>响应文件按无效响应处理。</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2D3E6E81">
            <w:pPr>
              <w:spacing w:line="360" w:lineRule="auto"/>
              <w:contextualSpacing/>
              <w:jc w:val="left"/>
              <w:rPr>
                <w:rFonts w:hint="eastAsia"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171D4E5F">
            <w:pPr>
              <w:spacing w:line="360" w:lineRule="auto"/>
              <w:contextualSpacing/>
              <w:jc w:val="left"/>
              <w:rPr>
                <w:rFonts w:hint="eastAsia" w:ascii="宋体" w:hAnsi="宋体" w:cs="宋体"/>
                <w:sz w:val="24"/>
              </w:rPr>
            </w:pPr>
          </w:p>
        </w:tc>
      </w:tr>
      <w:tr w14:paraId="2488A9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78612668">
            <w:pPr>
              <w:snapToGrid w:val="0"/>
              <w:spacing w:line="360" w:lineRule="auto"/>
              <w:jc w:val="center"/>
              <w:rPr>
                <w:rFonts w:hint="eastAsia" w:ascii="宋体" w:hAnsi="宋体" w:cs="宋体"/>
                <w:sz w:val="24"/>
              </w:rPr>
            </w:pPr>
            <w:r>
              <w:rPr>
                <w:rFonts w:hint="eastAsia" w:ascii="宋体" w:hAnsi="宋体" w:eastAsia="宋体" w:cs="宋体"/>
                <w:b/>
                <w:szCs w:val="21"/>
              </w:rPr>
              <w:t>售后服务</w:t>
            </w:r>
          </w:p>
        </w:tc>
        <w:tc>
          <w:tcPr>
            <w:tcW w:w="5881" w:type="dxa"/>
            <w:tcBorders>
              <w:top w:val="single" w:color="auto" w:sz="4" w:space="0"/>
              <w:left w:val="single" w:color="auto" w:sz="4" w:space="0"/>
              <w:bottom w:val="single" w:color="auto" w:sz="4" w:space="0"/>
              <w:right w:val="single" w:color="auto" w:sz="4" w:space="0"/>
            </w:tcBorders>
            <w:noWrap w:val="0"/>
            <w:vAlign w:val="center"/>
          </w:tcPr>
          <w:p w14:paraId="3E5E9553">
            <w:pPr>
              <w:widowControl/>
              <w:spacing w:line="360" w:lineRule="auto"/>
              <w:jc w:val="left"/>
              <w:rPr>
                <w:rFonts w:hint="eastAsia" w:ascii="宋体" w:hAnsi="宋体" w:cs="宋体"/>
                <w:sz w:val="24"/>
              </w:rPr>
            </w:pPr>
            <w:r>
              <w:rPr>
                <w:rFonts w:hint="eastAsia" w:ascii="宋体" w:hAnsi="宋体" w:cs="宋体"/>
                <w:sz w:val="21"/>
                <w:szCs w:val="21"/>
              </w:rPr>
              <w:t>售后服务响应时间：接到采购人通知后，必须需即时响应。如需现场处理，</w:t>
            </w:r>
            <w:r>
              <w:rPr>
                <w:rFonts w:hint="eastAsia"/>
                <w:lang w:eastAsia="zh-CN"/>
              </w:rPr>
              <w:t>岑溪</w:t>
            </w:r>
            <w:r>
              <w:rPr>
                <w:rFonts w:hint="eastAsia" w:ascii="宋体" w:hAnsi="宋体" w:cs="宋体"/>
                <w:sz w:val="21"/>
                <w:szCs w:val="21"/>
              </w:rPr>
              <w:t>市区</w:t>
            </w:r>
            <w:r>
              <w:rPr>
                <w:rFonts w:ascii="宋体" w:hAnsi="宋体" w:cs="宋体"/>
                <w:sz w:val="21"/>
                <w:szCs w:val="21"/>
              </w:rPr>
              <w:t>范围内3</w:t>
            </w:r>
            <w:r>
              <w:rPr>
                <w:rFonts w:hint="eastAsia" w:ascii="宋体" w:hAnsi="宋体" w:cs="宋体"/>
                <w:sz w:val="21"/>
                <w:szCs w:val="21"/>
              </w:rPr>
              <w:t>小时</w:t>
            </w:r>
            <w:r>
              <w:rPr>
                <w:rFonts w:ascii="宋体" w:hAnsi="宋体" w:cs="宋体"/>
                <w:sz w:val="21"/>
                <w:szCs w:val="21"/>
              </w:rPr>
              <w:t>内</w:t>
            </w:r>
            <w:r>
              <w:rPr>
                <w:rFonts w:hint="eastAsia" w:ascii="宋体" w:hAnsi="宋体" w:cs="宋体"/>
                <w:sz w:val="21"/>
                <w:szCs w:val="21"/>
              </w:rPr>
              <w:t>派专员抵达现场处理。</w:t>
            </w:r>
            <w:r>
              <w:rPr>
                <w:rFonts w:hint="eastAsia"/>
                <w:lang w:eastAsia="zh-CN"/>
              </w:rPr>
              <w:t>岑溪市</w:t>
            </w:r>
            <w:r>
              <w:rPr>
                <w:rFonts w:hint="eastAsia" w:ascii="宋体" w:hAnsi="宋体" w:cs="宋体"/>
                <w:sz w:val="21"/>
                <w:szCs w:val="21"/>
              </w:rPr>
              <w:t>各</w:t>
            </w:r>
            <w:r>
              <w:rPr>
                <w:rFonts w:ascii="宋体" w:hAnsi="宋体" w:cs="宋体"/>
                <w:sz w:val="21"/>
                <w:szCs w:val="21"/>
              </w:rPr>
              <w:t>乡镇范围5</w:t>
            </w:r>
            <w:r>
              <w:rPr>
                <w:rFonts w:hint="eastAsia" w:ascii="宋体" w:hAnsi="宋体" w:cs="宋体"/>
                <w:sz w:val="21"/>
                <w:szCs w:val="21"/>
              </w:rPr>
              <w:t>小时内派员抵达现场处理。</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135BAFEB">
            <w:pPr>
              <w:spacing w:line="360" w:lineRule="auto"/>
              <w:contextualSpacing/>
              <w:jc w:val="left"/>
              <w:rPr>
                <w:rFonts w:hint="eastAsia"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1B02432F">
            <w:pPr>
              <w:spacing w:line="360" w:lineRule="auto"/>
              <w:contextualSpacing/>
              <w:jc w:val="left"/>
              <w:rPr>
                <w:rFonts w:hint="eastAsia" w:ascii="宋体" w:hAnsi="宋体" w:cs="宋体"/>
                <w:sz w:val="24"/>
              </w:rPr>
            </w:pPr>
          </w:p>
        </w:tc>
      </w:tr>
      <w:tr w14:paraId="485451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2AD8F3C7">
            <w:pPr>
              <w:pStyle w:val="2"/>
              <w:spacing w:line="360" w:lineRule="auto"/>
              <w:jc w:val="center"/>
              <w:rPr>
                <w:rFonts w:hint="eastAsia" w:ascii="宋体" w:hAnsi="宋体" w:cs="宋体"/>
                <w:b/>
                <w:szCs w:val="21"/>
              </w:rPr>
            </w:pPr>
            <w:r>
              <w:rPr>
                <w:rFonts w:hint="eastAsia" w:ascii="宋体" w:hAnsi="宋体" w:eastAsia="宋体" w:cs="宋体"/>
                <w:b/>
                <w:szCs w:val="21"/>
              </w:rPr>
              <w:t>其他要求</w:t>
            </w:r>
          </w:p>
        </w:tc>
        <w:tc>
          <w:tcPr>
            <w:tcW w:w="5881" w:type="dxa"/>
            <w:tcBorders>
              <w:top w:val="single" w:color="auto" w:sz="4" w:space="0"/>
              <w:left w:val="single" w:color="auto" w:sz="4" w:space="0"/>
              <w:bottom w:val="single" w:color="auto" w:sz="4" w:space="0"/>
              <w:right w:val="single" w:color="auto" w:sz="4" w:space="0"/>
            </w:tcBorders>
            <w:noWrap w:val="0"/>
            <w:vAlign w:val="center"/>
          </w:tcPr>
          <w:p w14:paraId="7AEE6B5A">
            <w:pPr>
              <w:rPr>
                <w:rFonts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鉴定报告鉴定结论累计出现2次错误的，</w:t>
            </w:r>
            <w:r>
              <w:rPr>
                <w:rFonts w:hint="eastAsia" w:ascii="宋体" w:hAnsi="宋体" w:cs="宋体"/>
                <w:sz w:val="21"/>
                <w:szCs w:val="21"/>
                <w:lang w:eastAsia="zh-CN"/>
              </w:rPr>
              <w:t>处以</w:t>
            </w:r>
            <w:r>
              <w:rPr>
                <w:rFonts w:hint="eastAsia" w:ascii="宋体" w:hAnsi="宋体" w:cs="宋体"/>
                <w:sz w:val="21"/>
                <w:szCs w:val="21"/>
                <w:lang w:val="en-US" w:eastAsia="zh-CN"/>
              </w:rPr>
              <w:t>1000元人民币</w:t>
            </w:r>
            <w:r>
              <w:rPr>
                <w:rFonts w:hint="eastAsia" w:ascii="宋体" w:hAnsi="宋体" w:cs="宋体"/>
                <w:sz w:val="21"/>
                <w:szCs w:val="21"/>
              </w:rPr>
              <w:t>的违约金。</w:t>
            </w:r>
          </w:p>
          <w:p w14:paraId="6A006412">
            <w:pPr>
              <w:pStyle w:val="2"/>
              <w:numPr>
                <w:ilvl w:val="0"/>
                <w:numId w:val="0"/>
              </w:numPr>
              <w:spacing w:after="0" w:line="360" w:lineRule="auto"/>
              <w:ind w:left="0" w:leftChars="0" w:firstLine="0" w:firstLineChars="0"/>
              <w:rPr>
                <w:rFonts w:hint="eastAsia" w:ascii="宋体" w:hAnsi="宋体" w:cs="宋体"/>
                <w:szCs w:val="21"/>
              </w:rPr>
            </w:pPr>
            <w:r>
              <w:rPr>
                <w:rFonts w:hint="eastAsia" w:ascii="宋体" w:hAnsi="宋体" w:cs="宋体"/>
                <w:sz w:val="21"/>
                <w:szCs w:val="21"/>
                <w:lang w:val="en-US" w:eastAsia="zh-CN"/>
              </w:rPr>
              <w:t>2.</w:t>
            </w:r>
            <w:r>
              <w:rPr>
                <w:rFonts w:hint="eastAsia" w:ascii="宋体" w:hAnsi="宋体" w:cs="宋体"/>
                <w:sz w:val="21"/>
                <w:szCs w:val="21"/>
              </w:rPr>
              <w:t>除采购人在</w:t>
            </w:r>
            <w:r>
              <w:rPr>
                <w:rFonts w:hint="eastAsia"/>
                <w:lang w:eastAsia="zh-CN"/>
              </w:rPr>
              <w:t>竞争性</w:t>
            </w:r>
            <w:r>
              <w:rPr>
                <w:rFonts w:hint="eastAsia" w:ascii="宋体" w:hAnsi="宋体" w:cs="宋体"/>
                <w:sz w:val="21"/>
                <w:szCs w:val="21"/>
              </w:rPr>
              <w:t>磋商文件中明确外，</w:t>
            </w:r>
            <w:r>
              <w:rPr>
                <w:rFonts w:hint="eastAsia" w:ascii="宋体" w:hAnsi="宋体" w:cs="宋体"/>
                <w:sz w:val="21"/>
                <w:szCs w:val="21"/>
                <w:lang w:eastAsia="zh-CN"/>
              </w:rPr>
              <w:t>供应商</w:t>
            </w:r>
            <w:r>
              <w:rPr>
                <w:rFonts w:hint="eastAsia" w:ascii="宋体" w:hAnsi="宋体" w:cs="宋体"/>
                <w:sz w:val="21"/>
                <w:szCs w:val="21"/>
              </w:rPr>
              <w:t>不得以任何方式转包、分包或挂靠本项目。如发现</w:t>
            </w:r>
            <w:r>
              <w:rPr>
                <w:rFonts w:hint="eastAsia" w:ascii="宋体" w:hAnsi="宋体" w:cs="宋体"/>
                <w:sz w:val="21"/>
                <w:szCs w:val="21"/>
                <w:lang w:eastAsia="zh-CN"/>
              </w:rPr>
              <w:t>供应商</w:t>
            </w:r>
            <w:r>
              <w:rPr>
                <w:rFonts w:hint="eastAsia" w:ascii="宋体" w:hAnsi="宋体" w:cs="宋体"/>
                <w:sz w:val="21"/>
                <w:szCs w:val="21"/>
              </w:rPr>
              <w:t>以转包、分包或挂靠的方式谋取成交，采购人有权</w:t>
            </w:r>
            <w:r>
              <w:rPr>
                <w:rFonts w:hint="eastAsia" w:ascii="宋体" w:hAnsi="宋体" w:cs="宋体"/>
                <w:sz w:val="21"/>
                <w:szCs w:val="21"/>
                <w:lang w:val="en-US" w:eastAsia="zh-CN"/>
              </w:rPr>
              <w:t>依法</w:t>
            </w:r>
            <w:r>
              <w:rPr>
                <w:rFonts w:hint="eastAsia" w:ascii="宋体" w:hAnsi="宋体" w:cs="宋体"/>
                <w:sz w:val="21"/>
                <w:szCs w:val="21"/>
              </w:rPr>
              <w:t>解除合同</w:t>
            </w:r>
            <w:r>
              <w:rPr>
                <w:rFonts w:hint="eastAsia" w:ascii="宋体" w:hAnsi="宋体" w:cs="宋体"/>
                <w:sz w:val="21"/>
                <w:szCs w:val="21"/>
                <w:lang w:eastAsia="zh-CN"/>
              </w:rPr>
              <w:t>供应商</w:t>
            </w:r>
            <w:r>
              <w:rPr>
                <w:rFonts w:hint="eastAsia" w:ascii="宋体" w:hAnsi="宋体" w:cs="宋体"/>
                <w:sz w:val="21"/>
                <w:szCs w:val="21"/>
              </w:rPr>
              <w:t>应向采购人支付</w:t>
            </w:r>
            <w:r>
              <w:rPr>
                <w:rFonts w:hint="eastAsia" w:ascii="宋体" w:hAnsi="宋体" w:cs="宋体"/>
                <w:sz w:val="21"/>
                <w:szCs w:val="21"/>
                <w:lang w:val="en-US" w:eastAsia="zh-CN"/>
              </w:rPr>
              <w:t>10000元人民币</w:t>
            </w:r>
            <w:r>
              <w:rPr>
                <w:rFonts w:hint="eastAsia" w:ascii="宋体" w:hAnsi="宋体" w:cs="宋体"/>
                <w:sz w:val="21"/>
                <w:szCs w:val="21"/>
              </w:rPr>
              <w:t>违约金，造成一切损失由</w:t>
            </w:r>
            <w:r>
              <w:rPr>
                <w:rFonts w:hint="eastAsia" w:ascii="宋体" w:hAnsi="宋体" w:cs="宋体"/>
                <w:sz w:val="21"/>
                <w:szCs w:val="21"/>
                <w:lang w:eastAsia="zh-CN"/>
              </w:rPr>
              <w:t>供应商</w:t>
            </w:r>
            <w:r>
              <w:rPr>
                <w:rFonts w:hint="eastAsia" w:ascii="宋体" w:hAnsi="宋体" w:cs="宋体"/>
                <w:sz w:val="21"/>
                <w:szCs w:val="21"/>
              </w:rPr>
              <w:t>承担。</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3E6E81AB">
            <w:pPr>
              <w:spacing w:line="360" w:lineRule="auto"/>
              <w:contextualSpacing/>
              <w:jc w:val="left"/>
              <w:rPr>
                <w:rFonts w:hint="eastAsia" w:ascii="宋体" w:hAnsi="宋体" w:cs="宋体"/>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3B251CC3">
            <w:pPr>
              <w:spacing w:line="360" w:lineRule="auto"/>
              <w:contextualSpacing/>
              <w:jc w:val="left"/>
              <w:rPr>
                <w:rFonts w:hint="eastAsia" w:ascii="宋体" w:hAnsi="宋体" w:cs="宋体"/>
                <w:sz w:val="24"/>
              </w:rPr>
            </w:pPr>
          </w:p>
        </w:tc>
      </w:tr>
    </w:tbl>
    <w:p w14:paraId="47AF5466">
      <w:pPr>
        <w:pStyle w:val="12"/>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1F123687">
      <w:pPr>
        <w:pStyle w:val="12"/>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 说明：应对照磋商文件“第三章 采购需求”中的商务</w:t>
      </w:r>
      <w:r>
        <w:rPr>
          <w:rFonts w:hint="eastAsia" w:ascii="宋体" w:hAnsi="宋体" w:cs="宋体"/>
          <w:color w:val="auto"/>
          <w:kern w:val="0"/>
          <w:sz w:val="24"/>
          <w:szCs w:val="24"/>
          <w:highlight w:val="none"/>
          <w:lang w:val="en-US" w:eastAsia="zh-CN"/>
        </w:rPr>
        <w:t>条款</w:t>
      </w:r>
      <w:r>
        <w:rPr>
          <w:rFonts w:hint="eastAsia" w:ascii="宋体" w:hAnsi="宋体" w:cs="宋体"/>
          <w:color w:val="auto"/>
          <w:kern w:val="0"/>
          <w:sz w:val="24"/>
          <w:szCs w:val="24"/>
          <w:highlight w:val="none"/>
        </w:rPr>
        <w:t>逐条作出明确响应，并作出偏离说明。</w:t>
      </w:r>
    </w:p>
    <w:p w14:paraId="2AE8778F">
      <w:pPr>
        <w:spacing w:line="360" w:lineRule="auto"/>
        <w:contextualSpacing/>
        <w:jc w:val="left"/>
        <w:rPr>
          <w:rFonts w:ascii="宋体" w:hAnsi="宋体" w:cs="宋体"/>
          <w:color w:val="auto"/>
          <w:sz w:val="24"/>
          <w:highlight w:val="none"/>
          <w:u w:val="single"/>
        </w:rPr>
      </w:pPr>
      <w:r>
        <w:rPr>
          <w:rFonts w:hint="eastAsia" w:ascii="宋体" w:hAnsi="宋体" w:cs="宋体"/>
          <w:color w:val="auto"/>
          <w:kern w:val="0"/>
          <w:sz w:val="24"/>
          <w:highlight w:val="none"/>
        </w:rPr>
        <w:t>2.供应商应根据自身的承诺，对照磋商文件要求在“偏离说明”中注明“正偏离”、“负偏离”或者“无偏离”。既不属于“正偏离”也不属于“负偏离”即为“无偏离”。</w:t>
      </w:r>
    </w:p>
    <w:p w14:paraId="7AC7A37F">
      <w:pPr>
        <w:spacing w:line="360" w:lineRule="auto"/>
        <w:ind w:right="-817" w:rightChars="-389"/>
        <w:contextualSpacing/>
        <w:rPr>
          <w:rFonts w:ascii="宋体" w:hAnsi="宋体" w:cs="宋体"/>
          <w:color w:val="auto"/>
          <w:sz w:val="24"/>
          <w:highlight w:val="none"/>
        </w:rPr>
      </w:pPr>
    </w:p>
    <w:p w14:paraId="3EA5BA4F">
      <w:pPr>
        <w:spacing w:line="360" w:lineRule="auto"/>
        <w:ind w:right="-817" w:rightChars="-389"/>
        <w:contextualSpacing/>
        <w:jc w:val="center"/>
        <w:rPr>
          <w:rFonts w:ascii="宋体" w:hAnsi="宋体" w:cs="宋体"/>
          <w:color w:val="auto"/>
          <w:sz w:val="24"/>
          <w:highlight w:val="none"/>
        </w:rPr>
      </w:pPr>
      <w:r>
        <w:rPr>
          <w:rFonts w:hint="eastAsia" w:ascii="宋体" w:hAnsi="宋体" w:cs="宋体"/>
          <w:color w:val="auto"/>
          <w:sz w:val="24"/>
          <w:highlight w:val="none"/>
        </w:rPr>
        <w:t>法定代表人或者委托代理人（签字或者电子签名）：</w:t>
      </w:r>
    </w:p>
    <w:p w14:paraId="769A62D3">
      <w:pPr>
        <w:spacing w:line="360" w:lineRule="auto"/>
        <w:ind w:right="-817" w:rightChars="-389" w:firstLine="4080" w:firstLineChars="1700"/>
        <w:contextualSpacing/>
        <w:rPr>
          <w:rFonts w:ascii="宋体" w:hAnsi="宋体" w:cs="宋体"/>
          <w:color w:val="auto"/>
          <w:sz w:val="24"/>
          <w:highlight w:val="none"/>
        </w:rPr>
      </w:pPr>
      <w:r>
        <w:rPr>
          <w:rFonts w:hint="eastAsia" w:ascii="宋体" w:hAnsi="宋体" w:cs="宋体"/>
          <w:color w:val="auto"/>
          <w:sz w:val="24"/>
          <w:highlight w:val="none"/>
        </w:rPr>
        <w:t xml:space="preserve">供应商（电子签章）：      </w:t>
      </w:r>
    </w:p>
    <w:p w14:paraId="34B86058">
      <w:pPr>
        <w:spacing w:line="360" w:lineRule="auto"/>
        <w:ind w:right="-817" w:rightChars="-389" w:firstLine="4080" w:firstLineChars="1700"/>
        <w:contextualSpacing/>
        <w:rPr>
          <w:rFonts w:ascii="宋体" w:hAnsi="宋体" w:cs="宋体"/>
          <w:bCs/>
          <w:color w:val="auto"/>
          <w:sz w:val="44"/>
          <w:szCs w:val="44"/>
          <w:highlight w:val="none"/>
        </w:rPr>
      </w:pPr>
      <w:r>
        <w:rPr>
          <w:rFonts w:hint="eastAsia" w:ascii="宋体" w:hAnsi="宋体" w:cs="宋体"/>
          <w:color w:val="auto"/>
          <w:sz w:val="24"/>
          <w:highlight w:val="none"/>
        </w:rPr>
        <w:t>日期：   年   月   日</w:t>
      </w:r>
    </w:p>
    <w:p w14:paraId="67ECBA92">
      <w:pPr>
        <w:adjustRightInd w:val="0"/>
        <w:snapToGrid w:val="0"/>
        <w:spacing w:line="300" w:lineRule="auto"/>
        <w:jc w:val="center"/>
        <w:rPr>
          <w:rFonts w:ascii="宋体" w:hAnsi="宋体" w:cs="宋体"/>
          <w:color w:val="auto"/>
          <w:sz w:val="32"/>
          <w:szCs w:val="32"/>
          <w:highlight w:val="none"/>
        </w:rPr>
      </w:pPr>
      <w:r>
        <w:rPr>
          <w:rFonts w:hint="eastAsia" w:ascii="宋体" w:hAnsi="宋体" w:cs="宋体"/>
          <w:bCs/>
          <w:color w:val="auto"/>
          <w:sz w:val="44"/>
          <w:szCs w:val="44"/>
          <w:highlight w:val="none"/>
        </w:rPr>
        <w:br w:type="page"/>
      </w:r>
      <w:r>
        <w:rPr>
          <w:rFonts w:hint="eastAsia" w:ascii="宋体" w:hAnsi="宋体" w:cs="宋体"/>
          <w:b/>
          <w:color w:val="auto"/>
          <w:sz w:val="44"/>
          <w:szCs w:val="44"/>
          <w:highlight w:val="none"/>
        </w:rPr>
        <w:t>技术需求偏离表</w:t>
      </w:r>
    </w:p>
    <w:p w14:paraId="478BAC52">
      <w:pPr>
        <w:spacing w:line="360" w:lineRule="auto"/>
        <w:contextualSpacing/>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lang w:val="en-US" w:eastAsia="zh-CN"/>
        </w:rPr>
        <w:t xml:space="preserve">                                 </w:t>
      </w:r>
    </w:p>
    <w:p w14:paraId="1280B81C">
      <w:pPr>
        <w:spacing w:line="360" w:lineRule="auto"/>
        <w:contextualSpacing/>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lang w:val="en-US" w:eastAsia="zh-CN"/>
        </w:rPr>
        <w:t xml:space="preserve">                                 </w:t>
      </w:r>
    </w:p>
    <w:p w14:paraId="3976D67F">
      <w:pPr>
        <w:spacing w:line="360" w:lineRule="auto"/>
        <w:contextualSpacing/>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分标号：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p>
    <w:p w14:paraId="21095C58">
      <w:pPr>
        <w:pStyle w:val="52"/>
        <w:rPr>
          <w:color w:val="auto"/>
          <w:highlight w:val="none"/>
        </w:rPr>
      </w:pP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09"/>
        <w:gridCol w:w="909"/>
        <w:gridCol w:w="3019"/>
        <w:gridCol w:w="2717"/>
        <w:gridCol w:w="1482"/>
      </w:tblGrid>
      <w:tr w14:paraId="6BD9BF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ign w:val="center"/>
          </w:tcPr>
          <w:p w14:paraId="251D215F">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bookmarkStart w:id="93" w:name="_Toc383699906"/>
            <w:bookmarkStart w:id="94" w:name="_Toc373333689"/>
            <w:bookmarkStart w:id="95" w:name="_Toc295404981"/>
            <w:bookmarkStart w:id="96" w:name="_Toc173211900"/>
            <w:bookmarkStart w:id="97" w:name="_Toc173066401"/>
            <w:bookmarkStart w:id="98" w:name="_Toc254970729"/>
            <w:bookmarkStart w:id="99" w:name="_Toc297193185"/>
            <w:bookmarkStart w:id="100" w:name="_Toc301781611"/>
            <w:bookmarkStart w:id="101" w:name="_Toc254970588"/>
            <w:r>
              <w:rPr>
                <w:rFonts w:hint="eastAsia" w:ascii="宋体" w:hAnsi="宋体" w:eastAsia="宋体" w:cs="仿宋_GB2312"/>
                <w:color w:val="auto"/>
                <w:kern w:val="2"/>
                <w:sz w:val="24"/>
                <w:szCs w:val="24"/>
                <w:highlight w:val="none"/>
                <w:lang w:val="en-US" w:eastAsia="zh-CN"/>
              </w:rPr>
              <w:t>序号</w:t>
            </w:r>
            <w:bookmarkEnd w:id="93"/>
            <w:bookmarkEnd w:id="94"/>
            <w:bookmarkEnd w:id="95"/>
            <w:bookmarkEnd w:id="96"/>
            <w:bookmarkEnd w:id="97"/>
            <w:bookmarkEnd w:id="98"/>
            <w:bookmarkEnd w:id="99"/>
            <w:bookmarkEnd w:id="100"/>
            <w:bookmarkEnd w:id="101"/>
          </w:p>
        </w:tc>
        <w:tc>
          <w:tcPr>
            <w:tcW w:w="503" w:type="pct"/>
            <w:tcBorders>
              <w:right w:val="single" w:color="auto" w:sz="4" w:space="0"/>
            </w:tcBorders>
            <w:noWrap/>
            <w:vAlign w:val="center"/>
          </w:tcPr>
          <w:p w14:paraId="4AAC4141">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名称</w:t>
            </w:r>
          </w:p>
        </w:tc>
        <w:tc>
          <w:tcPr>
            <w:tcW w:w="1670" w:type="pct"/>
            <w:tcBorders>
              <w:left w:val="single" w:color="auto" w:sz="4" w:space="0"/>
            </w:tcBorders>
            <w:noWrap/>
            <w:vAlign w:val="center"/>
          </w:tcPr>
          <w:p w14:paraId="59A1D696">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磋商文件技术要求</w:t>
            </w:r>
          </w:p>
        </w:tc>
        <w:tc>
          <w:tcPr>
            <w:tcW w:w="1503" w:type="pct"/>
            <w:noWrap/>
            <w:vAlign w:val="center"/>
          </w:tcPr>
          <w:p w14:paraId="72BF8A14">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bookmarkStart w:id="102" w:name="_Toc297193187"/>
            <w:bookmarkStart w:id="103" w:name="_Toc383699908"/>
            <w:bookmarkStart w:id="104" w:name="_Toc173211902"/>
            <w:bookmarkStart w:id="105" w:name="_Toc173066403"/>
            <w:bookmarkStart w:id="106" w:name="_Toc295404983"/>
            <w:bookmarkStart w:id="107" w:name="_Toc254970731"/>
            <w:bookmarkStart w:id="108" w:name="_Toc373333691"/>
            <w:bookmarkStart w:id="109" w:name="_Toc254970590"/>
            <w:bookmarkStart w:id="110" w:name="_Toc301781613"/>
            <w:r>
              <w:rPr>
                <w:rFonts w:hint="eastAsia" w:ascii="宋体" w:hAnsi="宋体" w:eastAsia="宋体" w:cs="仿宋_GB2312"/>
                <w:color w:val="auto"/>
                <w:kern w:val="2"/>
                <w:sz w:val="24"/>
                <w:szCs w:val="24"/>
                <w:highlight w:val="none"/>
                <w:lang w:val="en-US" w:eastAsia="zh-CN"/>
              </w:rPr>
              <w:t>竞标响应</w:t>
            </w:r>
            <w:bookmarkEnd w:id="102"/>
            <w:bookmarkEnd w:id="103"/>
            <w:bookmarkEnd w:id="104"/>
            <w:bookmarkEnd w:id="105"/>
            <w:bookmarkEnd w:id="106"/>
            <w:bookmarkEnd w:id="107"/>
            <w:bookmarkEnd w:id="108"/>
            <w:bookmarkEnd w:id="109"/>
            <w:bookmarkEnd w:id="110"/>
          </w:p>
        </w:tc>
        <w:tc>
          <w:tcPr>
            <w:tcW w:w="820" w:type="pct"/>
            <w:noWrap/>
            <w:vAlign w:val="center"/>
          </w:tcPr>
          <w:p w14:paraId="69319FF1">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bookmarkStart w:id="111" w:name="_Toc297193188"/>
            <w:bookmarkStart w:id="112" w:name="_Toc254970732"/>
            <w:bookmarkStart w:id="113" w:name="_Toc373333692"/>
            <w:bookmarkStart w:id="114" w:name="_Toc383699909"/>
            <w:bookmarkStart w:id="115" w:name="_Toc301781614"/>
            <w:bookmarkStart w:id="116" w:name="_Toc173066404"/>
            <w:bookmarkStart w:id="117" w:name="_Toc295404984"/>
            <w:bookmarkStart w:id="118" w:name="_Toc254970591"/>
            <w:bookmarkStart w:id="119" w:name="_Toc173211903"/>
            <w:r>
              <w:rPr>
                <w:rFonts w:hint="eastAsia" w:ascii="宋体" w:hAnsi="宋体" w:eastAsia="宋体" w:cs="仿宋_GB2312"/>
                <w:color w:val="auto"/>
                <w:kern w:val="2"/>
                <w:sz w:val="24"/>
                <w:szCs w:val="24"/>
                <w:highlight w:val="none"/>
                <w:lang w:val="en-US" w:eastAsia="zh-CN"/>
              </w:rPr>
              <w:t>偏离</w:t>
            </w:r>
            <w:bookmarkEnd w:id="111"/>
            <w:bookmarkEnd w:id="112"/>
            <w:bookmarkEnd w:id="113"/>
            <w:bookmarkEnd w:id="114"/>
            <w:bookmarkEnd w:id="115"/>
            <w:bookmarkEnd w:id="116"/>
            <w:bookmarkEnd w:id="117"/>
            <w:bookmarkEnd w:id="118"/>
            <w:bookmarkEnd w:id="119"/>
            <w:bookmarkStart w:id="120" w:name="_Toc173211904"/>
            <w:bookmarkStart w:id="121" w:name="_Toc297193189"/>
            <w:bookmarkStart w:id="122" w:name="_Toc254970733"/>
            <w:bookmarkStart w:id="123" w:name="_Toc254970592"/>
            <w:bookmarkStart w:id="124" w:name="_Toc301781615"/>
            <w:bookmarkStart w:id="125" w:name="_Toc373333693"/>
            <w:bookmarkStart w:id="126" w:name="_Toc383699910"/>
            <w:bookmarkStart w:id="127" w:name="_Toc295404985"/>
            <w:bookmarkStart w:id="128" w:name="_Toc173066405"/>
            <w:r>
              <w:rPr>
                <w:rFonts w:hint="eastAsia" w:ascii="宋体" w:hAnsi="宋体" w:eastAsia="宋体" w:cs="仿宋_GB2312"/>
                <w:color w:val="auto"/>
                <w:kern w:val="2"/>
                <w:sz w:val="24"/>
                <w:szCs w:val="24"/>
                <w:highlight w:val="none"/>
                <w:lang w:val="en-US" w:eastAsia="zh-CN"/>
              </w:rPr>
              <w:t>说明</w:t>
            </w:r>
            <w:bookmarkEnd w:id="120"/>
            <w:bookmarkEnd w:id="121"/>
            <w:bookmarkEnd w:id="122"/>
            <w:bookmarkEnd w:id="123"/>
            <w:bookmarkEnd w:id="124"/>
            <w:bookmarkEnd w:id="125"/>
            <w:bookmarkEnd w:id="126"/>
            <w:bookmarkEnd w:id="127"/>
            <w:bookmarkEnd w:id="128"/>
          </w:p>
        </w:tc>
      </w:tr>
      <w:tr w14:paraId="791A33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ign w:val="center"/>
          </w:tcPr>
          <w:p w14:paraId="20DF14DE">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bookmarkStart w:id="129" w:name="_Toc295404986"/>
            <w:bookmarkStart w:id="130" w:name="_Toc254970734"/>
            <w:bookmarkStart w:id="131" w:name="_Toc373333694"/>
            <w:bookmarkStart w:id="132" w:name="_Toc301781616"/>
            <w:bookmarkStart w:id="133" w:name="_Toc297193190"/>
            <w:bookmarkStart w:id="134" w:name="_Toc383699911"/>
            <w:bookmarkStart w:id="135" w:name="_Toc254970593"/>
            <w:bookmarkStart w:id="136" w:name="_Toc173066406"/>
            <w:bookmarkStart w:id="137" w:name="_Toc173211905"/>
            <w:r>
              <w:rPr>
                <w:rFonts w:hint="eastAsia" w:ascii="宋体" w:hAnsi="宋体" w:eastAsia="宋体" w:cs="仿宋_GB2312"/>
                <w:color w:val="auto"/>
                <w:kern w:val="2"/>
                <w:sz w:val="24"/>
                <w:szCs w:val="24"/>
                <w:highlight w:val="none"/>
                <w:lang w:val="en-US" w:eastAsia="zh-CN"/>
              </w:rPr>
              <w:t>1</w:t>
            </w:r>
            <w:bookmarkEnd w:id="129"/>
            <w:bookmarkEnd w:id="130"/>
            <w:bookmarkEnd w:id="131"/>
            <w:bookmarkEnd w:id="132"/>
            <w:bookmarkEnd w:id="133"/>
            <w:bookmarkEnd w:id="134"/>
            <w:bookmarkEnd w:id="135"/>
            <w:bookmarkEnd w:id="136"/>
            <w:bookmarkEnd w:id="137"/>
          </w:p>
        </w:tc>
        <w:tc>
          <w:tcPr>
            <w:tcW w:w="503" w:type="pct"/>
            <w:tcBorders>
              <w:right w:val="single" w:color="auto" w:sz="4" w:space="0"/>
            </w:tcBorders>
            <w:noWrap/>
            <w:vAlign w:val="center"/>
          </w:tcPr>
          <w:p w14:paraId="3BADBC31">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p>
        </w:tc>
        <w:tc>
          <w:tcPr>
            <w:tcW w:w="1670" w:type="pct"/>
            <w:tcBorders>
              <w:left w:val="single" w:color="auto" w:sz="4" w:space="0"/>
            </w:tcBorders>
            <w:noWrap/>
            <w:vAlign w:val="center"/>
          </w:tcPr>
          <w:p w14:paraId="638B6B80">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p>
        </w:tc>
        <w:tc>
          <w:tcPr>
            <w:tcW w:w="1503" w:type="pct"/>
            <w:noWrap/>
            <w:vAlign w:val="center"/>
          </w:tcPr>
          <w:p w14:paraId="47C822BA">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p>
        </w:tc>
        <w:tc>
          <w:tcPr>
            <w:tcW w:w="820" w:type="pct"/>
            <w:noWrap/>
            <w:vAlign w:val="center"/>
          </w:tcPr>
          <w:p w14:paraId="39F013A8">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p>
        </w:tc>
      </w:tr>
      <w:tr w14:paraId="14D25C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ign w:val="center"/>
          </w:tcPr>
          <w:p w14:paraId="1F1B9FE5">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bookmarkStart w:id="138" w:name="_Toc373333695"/>
            <w:bookmarkStart w:id="139" w:name="_Toc297193191"/>
            <w:bookmarkStart w:id="140" w:name="_Toc295404987"/>
            <w:bookmarkStart w:id="141" w:name="_Toc254970735"/>
            <w:bookmarkStart w:id="142" w:name="_Toc301781617"/>
            <w:bookmarkStart w:id="143" w:name="_Toc173066407"/>
            <w:bookmarkStart w:id="144" w:name="_Toc254970594"/>
            <w:bookmarkStart w:id="145" w:name="_Toc383699912"/>
            <w:bookmarkStart w:id="146" w:name="_Toc173211906"/>
            <w:r>
              <w:rPr>
                <w:rFonts w:hint="eastAsia" w:ascii="宋体" w:hAnsi="宋体" w:eastAsia="宋体" w:cs="仿宋_GB2312"/>
                <w:color w:val="auto"/>
                <w:kern w:val="2"/>
                <w:sz w:val="24"/>
                <w:szCs w:val="24"/>
                <w:highlight w:val="none"/>
                <w:lang w:val="en-US" w:eastAsia="zh-CN"/>
              </w:rPr>
              <w:t>2</w:t>
            </w:r>
            <w:bookmarkEnd w:id="138"/>
            <w:bookmarkEnd w:id="139"/>
            <w:bookmarkEnd w:id="140"/>
            <w:bookmarkEnd w:id="141"/>
            <w:bookmarkEnd w:id="142"/>
            <w:bookmarkEnd w:id="143"/>
            <w:bookmarkEnd w:id="144"/>
            <w:bookmarkEnd w:id="145"/>
            <w:bookmarkEnd w:id="146"/>
          </w:p>
        </w:tc>
        <w:tc>
          <w:tcPr>
            <w:tcW w:w="503" w:type="pct"/>
            <w:tcBorders>
              <w:right w:val="single" w:color="auto" w:sz="4" w:space="0"/>
            </w:tcBorders>
            <w:noWrap/>
            <w:vAlign w:val="center"/>
          </w:tcPr>
          <w:p w14:paraId="0377DD80">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p>
        </w:tc>
        <w:tc>
          <w:tcPr>
            <w:tcW w:w="1670" w:type="pct"/>
            <w:tcBorders>
              <w:left w:val="single" w:color="auto" w:sz="4" w:space="0"/>
            </w:tcBorders>
            <w:noWrap/>
            <w:vAlign w:val="center"/>
          </w:tcPr>
          <w:p w14:paraId="32169B8C">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p>
        </w:tc>
        <w:tc>
          <w:tcPr>
            <w:tcW w:w="1503" w:type="pct"/>
            <w:noWrap/>
            <w:vAlign w:val="center"/>
          </w:tcPr>
          <w:p w14:paraId="26AFC622">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p>
        </w:tc>
        <w:tc>
          <w:tcPr>
            <w:tcW w:w="820" w:type="pct"/>
            <w:noWrap/>
            <w:vAlign w:val="center"/>
          </w:tcPr>
          <w:p w14:paraId="02A7DEB4">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p>
        </w:tc>
      </w:tr>
      <w:tr w14:paraId="237513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ign w:val="center"/>
          </w:tcPr>
          <w:p w14:paraId="572C968C">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bookmarkStart w:id="147" w:name="_Toc373333696"/>
            <w:bookmarkStart w:id="148" w:name="_Toc301781618"/>
            <w:bookmarkStart w:id="149" w:name="_Toc254970736"/>
            <w:bookmarkStart w:id="150" w:name="_Toc254970595"/>
            <w:bookmarkStart w:id="151" w:name="_Toc297193192"/>
            <w:bookmarkStart w:id="152" w:name="_Toc383699913"/>
            <w:bookmarkStart w:id="153" w:name="_Toc173211907"/>
            <w:bookmarkStart w:id="154" w:name="_Toc173066408"/>
            <w:bookmarkStart w:id="155" w:name="_Toc295404988"/>
            <w:r>
              <w:rPr>
                <w:rFonts w:hint="eastAsia" w:ascii="宋体" w:hAnsi="宋体" w:eastAsia="宋体" w:cs="仿宋_GB2312"/>
                <w:color w:val="auto"/>
                <w:kern w:val="2"/>
                <w:sz w:val="24"/>
                <w:szCs w:val="24"/>
                <w:highlight w:val="none"/>
                <w:lang w:val="en-US" w:eastAsia="zh-CN"/>
              </w:rPr>
              <w:t>3</w:t>
            </w:r>
            <w:bookmarkEnd w:id="147"/>
            <w:bookmarkEnd w:id="148"/>
            <w:bookmarkEnd w:id="149"/>
            <w:bookmarkEnd w:id="150"/>
            <w:bookmarkEnd w:id="151"/>
            <w:bookmarkEnd w:id="152"/>
            <w:bookmarkEnd w:id="153"/>
            <w:bookmarkEnd w:id="154"/>
            <w:bookmarkEnd w:id="155"/>
          </w:p>
        </w:tc>
        <w:tc>
          <w:tcPr>
            <w:tcW w:w="503" w:type="pct"/>
            <w:tcBorders>
              <w:right w:val="single" w:color="auto" w:sz="4" w:space="0"/>
            </w:tcBorders>
            <w:noWrap/>
            <w:vAlign w:val="center"/>
          </w:tcPr>
          <w:p w14:paraId="6DD17B11">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p>
        </w:tc>
        <w:tc>
          <w:tcPr>
            <w:tcW w:w="1670" w:type="pct"/>
            <w:tcBorders>
              <w:left w:val="single" w:color="auto" w:sz="4" w:space="0"/>
            </w:tcBorders>
            <w:noWrap/>
            <w:vAlign w:val="center"/>
          </w:tcPr>
          <w:p w14:paraId="7E9849A1">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p>
        </w:tc>
        <w:tc>
          <w:tcPr>
            <w:tcW w:w="1503" w:type="pct"/>
            <w:noWrap/>
            <w:vAlign w:val="center"/>
          </w:tcPr>
          <w:p w14:paraId="48730842">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p>
        </w:tc>
        <w:tc>
          <w:tcPr>
            <w:tcW w:w="820" w:type="pct"/>
            <w:noWrap/>
            <w:vAlign w:val="center"/>
          </w:tcPr>
          <w:p w14:paraId="0E1FC6F4">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p>
        </w:tc>
      </w:tr>
      <w:tr w14:paraId="753E1A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ign w:val="center"/>
          </w:tcPr>
          <w:p w14:paraId="6B94FC9E">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bookmarkStart w:id="156" w:name="_Toc383699914"/>
            <w:bookmarkStart w:id="157" w:name="_Toc173066409"/>
            <w:bookmarkStart w:id="158" w:name="_Toc254970737"/>
            <w:bookmarkStart w:id="159" w:name="_Toc173211908"/>
            <w:bookmarkStart w:id="160" w:name="_Toc373333697"/>
            <w:bookmarkStart w:id="161" w:name="_Toc301781619"/>
            <w:bookmarkStart w:id="162" w:name="_Toc297193193"/>
            <w:bookmarkStart w:id="163" w:name="_Toc254970596"/>
            <w:bookmarkStart w:id="164" w:name="_Toc295404989"/>
            <w:r>
              <w:rPr>
                <w:rFonts w:hint="eastAsia" w:ascii="宋体" w:hAnsi="宋体" w:eastAsia="宋体" w:cs="仿宋_GB2312"/>
                <w:color w:val="auto"/>
                <w:kern w:val="2"/>
                <w:sz w:val="24"/>
                <w:szCs w:val="24"/>
                <w:highlight w:val="none"/>
                <w:lang w:val="en-US" w:eastAsia="zh-CN"/>
              </w:rPr>
              <w:t>4</w:t>
            </w:r>
            <w:bookmarkEnd w:id="156"/>
            <w:bookmarkEnd w:id="157"/>
            <w:bookmarkEnd w:id="158"/>
            <w:bookmarkEnd w:id="159"/>
            <w:bookmarkEnd w:id="160"/>
            <w:bookmarkEnd w:id="161"/>
            <w:bookmarkEnd w:id="162"/>
            <w:bookmarkEnd w:id="163"/>
            <w:bookmarkEnd w:id="164"/>
          </w:p>
        </w:tc>
        <w:tc>
          <w:tcPr>
            <w:tcW w:w="503" w:type="pct"/>
            <w:tcBorders>
              <w:right w:val="single" w:color="auto" w:sz="4" w:space="0"/>
            </w:tcBorders>
            <w:noWrap/>
            <w:vAlign w:val="center"/>
          </w:tcPr>
          <w:p w14:paraId="07321A69">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p>
        </w:tc>
        <w:tc>
          <w:tcPr>
            <w:tcW w:w="1670" w:type="pct"/>
            <w:tcBorders>
              <w:left w:val="single" w:color="auto" w:sz="4" w:space="0"/>
            </w:tcBorders>
            <w:noWrap/>
            <w:vAlign w:val="center"/>
          </w:tcPr>
          <w:p w14:paraId="67F1DA51">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p>
        </w:tc>
        <w:tc>
          <w:tcPr>
            <w:tcW w:w="1503" w:type="pct"/>
            <w:noWrap/>
            <w:vAlign w:val="center"/>
          </w:tcPr>
          <w:p w14:paraId="47E7CFCF">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p>
        </w:tc>
        <w:tc>
          <w:tcPr>
            <w:tcW w:w="820" w:type="pct"/>
            <w:noWrap/>
            <w:vAlign w:val="center"/>
          </w:tcPr>
          <w:p w14:paraId="66B18860">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p>
        </w:tc>
      </w:tr>
      <w:tr w14:paraId="714DC6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ign w:val="center"/>
          </w:tcPr>
          <w:p w14:paraId="6A7D113B">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bookmarkStart w:id="165" w:name="_Toc295404990"/>
            <w:bookmarkStart w:id="166" w:name="_Toc383699915"/>
            <w:bookmarkStart w:id="167" w:name="_Toc297193194"/>
            <w:bookmarkStart w:id="168" w:name="_Toc254970738"/>
            <w:bookmarkStart w:id="169" w:name="_Toc254970597"/>
            <w:bookmarkStart w:id="170" w:name="_Toc173211909"/>
            <w:bookmarkStart w:id="171" w:name="_Toc173066410"/>
            <w:bookmarkStart w:id="172" w:name="_Toc373333698"/>
            <w:bookmarkStart w:id="173" w:name="_Toc301781620"/>
            <w:r>
              <w:rPr>
                <w:rFonts w:hint="eastAsia" w:ascii="宋体" w:hAnsi="宋体" w:eastAsia="宋体" w:cs="仿宋_GB2312"/>
                <w:color w:val="auto"/>
                <w:kern w:val="2"/>
                <w:sz w:val="24"/>
                <w:szCs w:val="24"/>
                <w:highlight w:val="none"/>
                <w:lang w:val="en-US" w:eastAsia="zh-CN"/>
              </w:rPr>
              <w:t>5</w:t>
            </w:r>
            <w:bookmarkEnd w:id="165"/>
            <w:bookmarkEnd w:id="166"/>
            <w:bookmarkEnd w:id="167"/>
            <w:bookmarkEnd w:id="168"/>
            <w:bookmarkEnd w:id="169"/>
            <w:bookmarkEnd w:id="170"/>
            <w:bookmarkEnd w:id="171"/>
            <w:bookmarkEnd w:id="172"/>
            <w:bookmarkEnd w:id="173"/>
          </w:p>
        </w:tc>
        <w:tc>
          <w:tcPr>
            <w:tcW w:w="503" w:type="pct"/>
            <w:tcBorders>
              <w:right w:val="single" w:color="auto" w:sz="4" w:space="0"/>
            </w:tcBorders>
            <w:noWrap/>
            <w:vAlign w:val="center"/>
          </w:tcPr>
          <w:p w14:paraId="5455E57D">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p>
        </w:tc>
        <w:tc>
          <w:tcPr>
            <w:tcW w:w="1670" w:type="pct"/>
            <w:tcBorders>
              <w:left w:val="single" w:color="auto" w:sz="4" w:space="0"/>
            </w:tcBorders>
            <w:noWrap/>
            <w:vAlign w:val="center"/>
          </w:tcPr>
          <w:p w14:paraId="25C0411D">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p>
        </w:tc>
        <w:tc>
          <w:tcPr>
            <w:tcW w:w="1503" w:type="pct"/>
            <w:noWrap/>
            <w:vAlign w:val="center"/>
          </w:tcPr>
          <w:p w14:paraId="2F435708">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p>
        </w:tc>
        <w:tc>
          <w:tcPr>
            <w:tcW w:w="820" w:type="pct"/>
            <w:noWrap/>
            <w:vAlign w:val="center"/>
          </w:tcPr>
          <w:p w14:paraId="4F3137A2">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p>
        </w:tc>
      </w:tr>
      <w:tr w14:paraId="51EB56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noWrap/>
            <w:vAlign w:val="center"/>
          </w:tcPr>
          <w:p w14:paraId="0CC9F156">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bookmarkStart w:id="174" w:name="_Toc254970602"/>
            <w:bookmarkStart w:id="175" w:name="_Toc295404991"/>
            <w:bookmarkStart w:id="176" w:name="_Toc173211914"/>
            <w:bookmarkStart w:id="177" w:name="_Toc383699916"/>
            <w:bookmarkStart w:id="178" w:name="_Toc254970743"/>
            <w:bookmarkStart w:id="179" w:name="_Toc373333699"/>
            <w:bookmarkStart w:id="180" w:name="_Toc173066415"/>
            <w:bookmarkStart w:id="181" w:name="_Toc297193195"/>
            <w:bookmarkStart w:id="182" w:name="_Toc301781621"/>
            <w:r>
              <w:rPr>
                <w:rFonts w:hint="eastAsia" w:ascii="宋体" w:hAnsi="宋体" w:eastAsia="宋体" w:cs="仿宋_GB2312"/>
                <w:color w:val="auto"/>
                <w:kern w:val="2"/>
                <w:sz w:val="24"/>
                <w:szCs w:val="24"/>
                <w:highlight w:val="none"/>
                <w:lang w:val="en-US" w:eastAsia="zh-CN"/>
              </w:rPr>
              <w:t>…</w:t>
            </w:r>
            <w:bookmarkEnd w:id="174"/>
            <w:bookmarkEnd w:id="175"/>
            <w:bookmarkEnd w:id="176"/>
            <w:bookmarkEnd w:id="177"/>
            <w:bookmarkEnd w:id="178"/>
            <w:bookmarkEnd w:id="179"/>
            <w:bookmarkEnd w:id="180"/>
            <w:bookmarkEnd w:id="181"/>
            <w:bookmarkEnd w:id="182"/>
          </w:p>
        </w:tc>
        <w:tc>
          <w:tcPr>
            <w:tcW w:w="503" w:type="pct"/>
            <w:tcBorders>
              <w:right w:val="single" w:color="auto" w:sz="4" w:space="0"/>
            </w:tcBorders>
            <w:noWrap/>
            <w:vAlign w:val="center"/>
          </w:tcPr>
          <w:p w14:paraId="13E522C3">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p>
        </w:tc>
        <w:tc>
          <w:tcPr>
            <w:tcW w:w="1670" w:type="pct"/>
            <w:tcBorders>
              <w:left w:val="single" w:color="auto" w:sz="4" w:space="0"/>
            </w:tcBorders>
            <w:noWrap/>
            <w:vAlign w:val="center"/>
          </w:tcPr>
          <w:p w14:paraId="12BE0227">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p>
        </w:tc>
        <w:tc>
          <w:tcPr>
            <w:tcW w:w="1503" w:type="pct"/>
            <w:noWrap/>
            <w:vAlign w:val="center"/>
          </w:tcPr>
          <w:p w14:paraId="06EB07E8">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p>
        </w:tc>
        <w:tc>
          <w:tcPr>
            <w:tcW w:w="820" w:type="pct"/>
            <w:tcBorders>
              <w:right w:val="single" w:color="auto" w:sz="4" w:space="0"/>
            </w:tcBorders>
            <w:noWrap/>
            <w:vAlign w:val="center"/>
          </w:tcPr>
          <w:p w14:paraId="359B2719">
            <w:pPr>
              <w:pStyle w:val="13"/>
              <w:spacing w:line="360" w:lineRule="auto"/>
              <w:ind w:firstLine="0" w:firstLineChars="0"/>
              <w:contextualSpacing/>
              <w:jc w:val="center"/>
              <w:rPr>
                <w:rFonts w:ascii="宋体" w:hAnsi="宋体" w:eastAsia="宋体" w:cs="仿宋_GB2312"/>
                <w:color w:val="auto"/>
                <w:kern w:val="2"/>
                <w:sz w:val="24"/>
                <w:szCs w:val="24"/>
                <w:highlight w:val="none"/>
                <w:lang w:val="en-US" w:eastAsia="zh-CN"/>
              </w:rPr>
            </w:pPr>
          </w:p>
        </w:tc>
      </w:tr>
    </w:tbl>
    <w:p w14:paraId="5DCEB087">
      <w:pPr>
        <w:pStyle w:val="13"/>
        <w:spacing w:line="360" w:lineRule="auto"/>
        <w:ind w:firstLine="0" w:firstLineChars="0"/>
        <w:contextualSpacing/>
        <w:rPr>
          <w:rFonts w:ascii="宋体" w:hAnsi="宋体" w:eastAsia="宋体" w:cs="宋体"/>
          <w:color w:val="auto"/>
          <w:sz w:val="24"/>
          <w:szCs w:val="24"/>
          <w:highlight w:val="none"/>
        </w:rPr>
      </w:pPr>
    </w:p>
    <w:p w14:paraId="2D342279">
      <w:pPr>
        <w:pStyle w:val="13"/>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16C30E6">
      <w:pPr>
        <w:pStyle w:val="13"/>
        <w:spacing w:line="360" w:lineRule="auto"/>
        <w:ind w:left="29" w:leftChars="-95" w:hanging="228" w:hangingChars="95"/>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说明：应对照磋商文件“第三章 采购需求”中的技术需求逐条作出明确响应，并作出偏离说明。</w:t>
      </w:r>
    </w:p>
    <w:p w14:paraId="529C45EC">
      <w:pPr>
        <w:pStyle w:val="13"/>
        <w:spacing w:line="360" w:lineRule="auto"/>
        <w:ind w:left="29" w:leftChars="-95" w:hanging="228" w:hangingChars="95"/>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w:t>
      </w:r>
    </w:p>
    <w:p w14:paraId="0D790F1A">
      <w:pPr>
        <w:spacing w:line="360" w:lineRule="auto"/>
        <w:ind w:right="-817" w:rightChars="-389"/>
        <w:contextualSpacing/>
        <w:rPr>
          <w:rFonts w:ascii="宋体" w:hAnsi="宋体" w:cs="宋体"/>
          <w:color w:val="auto"/>
          <w:sz w:val="24"/>
          <w:highlight w:val="none"/>
        </w:rPr>
      </w:pPr>
    </w:p>
    <w:p w14:paraId="214CD832">
      <w:pPr>
        <w:spacing w:line="360" w:lineRule="auto"/>
        <w:ind w:right="-817" w:rightChars="-389"/>
        <w:contextualSpacing/>
        <w:jc w:val="center"/>
        <w:rPr>
          <w:rFonts w:ascii="宋体" w:hAnsi="宋体" w:cs="宋体"/>
          <w:color w:val="auto"/>
          <w:sz w:val="24"/>
          <w:highlight w:val="none"/>
        </w:rPr>
      </w:pPr>
      <w:r>
        <w:rPr>
          <w:rFonts w:hint="eastAsia" w:ascii="宋体" w:hAnsi="宋体" w:cs="宋体"/>
          <w:color w:val="auto"/>
          <w:sz w:val="24"/>
          <w:highlight w:val="none"/>
        </w:rPr>
        <w:t>法定代表人或者委托代理人（签字或者电子签名）：</w:t>
      </w:r>
    </w:p>
    <w:p w14:paraId="7F3ED28F">
      <w:pPr>
        <w:spacing w:line="360" w:lineRule="auto"/>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 xml:space="preserve">供应商（电子签章）：      </w:t>
      </w:r>
    </w:p>
    <w:p w14:paraId="62085902">
      <w:pPr>
        <w:spacing w:line="360" w:lineRule="auto"/>
        <w:ind w:right="-817" w:rightChars="-389" w:firstLine="4080" w:firstLineChars="1700"/>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42BF8950">
      <w:pPr>
        <w:snapToGrid w:val="0"/>
        <w:spacing w:beforeLines="50" w:after="50"/>
        <w:ind w:left="142"/>
        <w:jc w:val="left"/>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项目实施人员一览表格式</w:t>
      </w:r>
    </w:p>
    <w:p w14:paraId="779BD5F8">
      <w:pPr>
        <w:snapToGrid w:val="0"/>
        <w:spacing w:beforeLines="50" w:after="50"/>
        <w:ind w:left="142"/>
        <w:jc w:val="left"/>
        <w:rPr>
          <w:rFonts w:ascii="宋体" w:hAnsi="宋体" w:cs="宋体"/>
          <w:b/>
          <w:color w:val="auto"/>
          <w:sz w:val="24"/>
          <w:highlight w:val="none"/>
        </w:rPr>
      </w:pPr>
    </w:p>
    <w:p w14:paraId="19C25E16">
      <w:pPr>
        <w:spacing w:line="360" w:lineRule="auto"/>
        <w:ind w:left="142"/>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39648388">
      <w:pPr>
        <w:pStyle w:val="17"/>
        <w:spacing w:line="360" w:lineRule="auto"/>
        <w:contextualSpacing/>
        <w:rPr>
          <w:rFonts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分标</w:t>
      </w:r>
    </w:p>
    <w:tbl>
      <w:tblPr>
        <w:tblStyle w:val="29"/>
        <w:tblW w:w="9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2692"/>
      </w:tblGrid>
      <w:tr w14:paraId="27EA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noWrap/>
            <w:vAlign w:val="center"/>
          </w:tcPr>
          <w:p w14:paraId="635B4DED">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noWrap/>
            <w:vAlign w:val="center"/>
          </w:tcPr>
          <w:p w14:paraId="17FBC622">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noWrap/>
            <w:vAlign w:val="center"/>
          </w:tcPr>
          <w:p w14:paraId="1D7C5E75">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noWrap/>
            <w:vAlign w:val="center"/>
          </w:tcPr>
          <w:p w14:paraId="0A3164F3">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noWrap/>
            <w:vAlign w:val="center"/>
          </w:tcPr>
          <w:p w14:paraId="2BB2D08C">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51DE32DE">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2692" w:type="dxa"/>
            <w:noWrap/>
            <w:vAlign w:val="center"/>
          </w:tcPr>
          <w:p w14:paraId="79250932">
            <w:pPr>
              <w:spacing w:line="360" w:lineRule="auto"/>
              <w:contextualSpacing/>
              <w:jc w:val="center"/>
              <w:rPr>
                <w:rFonts w:hint="eastAsia" w:ascii="宋体" w:hAnsi="宋体" w:eastAsia="宋体" w:cs="宋体"/>
                <w:color w:val="auto"/>
                <w:sz w:val="24"/>
                <w:szCs w:val="20"/>
                <w:highlight w:val="none"/>
                <w:lang w:eastAsia="zh-CN"/>
              </w:rPr>
            </w:pPr>
            <w:r>
              <w:rPr>
                <w:rFonts w:hint="eastAsia" w:ascii="宋体" w:hAnsi="宋体" w:cs="宋体"/>
                <w:color w:val="auto"/>
                <w:sz w:val="24"/>
                <w:szCs w:val="20"/>
                <w:highlight w:val="none"/>
                <w:lang w:eastAsia="zh-CN"/>
              </w:rPr>
              <w:t>备注</w:t>
            </w:r>
          </w:p>
        </w:tc>
      </w:tr>
      <w:tr w14:paraId="7A67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17" w:type="dxa"/>
            <w:noWrap/>
            <w:vAlign w:val="center"/>
          </w:tcPr>
          <w:p w14:paraId="1B080143">
            <w:pPr>
              <w:spacing w:line="360" w:lineRule="auto"/>
              <w:contextualSpacing/>
              <w:jc w:val="center"/>
              <w:rPr>
                <w:rFonts w:ascii="宋体" w:hAnsi="宋体" w:cs="宋体"/>
                <w:color w:val="auto"/>
                <w:sz w:val="24"/>
                <w:szCs w:val="20"/>
                <w:highlight w:val="none"/>
              </w:rPr>
            </w:pPr>
          </w:p>
        </w:tc>
        <w:tc>
          <w:tcPr>
            <w:tcW w:w="709" w:type="dxa"/>
            <w:noWrap/>
            <w:vAlign w:val="center"/>
          </w:tcPr>
          <w:p w14:paraId="72241523">
            <w:pPr>
              <w:spacing w:line="360" w:lineRule="auto"/>
              <w:contextualSpacing/>
              <w:jc w:val="center"/>
              <w:rPr>
                <w:rFonts w:ascii="宋体" w:hAnsi="宋体" w:cs="宋体"/>
                <w:color w:val="auto"/>
                <w:sz w:val="24"/>
                <w:szCs w:val="20"/>
                <w:highlight w:val="none"/>
              </w:rPr>
            </w:pPr>
          </w:p>
        </w:tc>
        <w:tc>
          <w:tcPr>
            <w:tcW w:w="1701" w:type="dxa"/>
            <w:noWrap/>
            <w:vAlign w:val="center"/>
          </w:tcPr>
          <w:p w14:paraId="24CE6549">
            <w:pPr>
              <w:spacing w:line="360" w:lineRule="auto"/>
              <w:contextualSpacing/>
              <w:jc w:val="center"/>
              <w:rPr>
                <w:rFonts w:ascii="宋体" w:hAnsi="宋体" w:cs="宋体"/>
                <w:color w:val="auto"/>
                <w:sz w:val="24"/>
                <w:szCs w:val="20"/>
                <w:highlight w:val="none"/>
              </w:rPr>
            </w:pPr>
          </w:p>
        </w:tc>
        <w:tc>
          <w:tcPr>
            <w:tcW w:w="1420" w:type="dxa"/>
            <w:noWrap/>
            <w:vAlign w:val="center"/>
          </w:tcPr>
          <w:p w14:paraId="408675DC">
            <w:pPr>
              <w:spacing w:line="360" w:lineRule="auto"/>
              <w:contextualSpacing/>
              <w:jc w:val="center"/>
              <w:rPr>
                <w:rFonts w:ascii="宋体" w:hAnsi="宋体" w:cs="宋体"/>
                <w:color w:val="auto"/>
                <w:sz w:val="24"/>
                <w:szCs w:val="20"/>
                <w:highlight w:val="none"/>
              </w:rPr>
            </w:pPr>
          </w:p>
        </w:tc>
        <w:tc>
          <w:tcPr>
            <w:tcW w:w="1698" w:type="dxa"/>
            <w:noWrap/>
            <w:vAlign w:val="center"/>
          </w:tcPr>
          <w:p w14:paraId="2912B96A">
            <w:pPr>
              <w:spacing w:line="360" w:lineRule="auto"/>
              <w:contextualSpacing/>
              <w:jc w:val="center"/>
              <w:rPr>
                <w:rFonts w:ascii="宋体" w:hAnsi="宋体" w:cs="宋体"/>
                <w:color w:val="auto"/>
                <w:sz w:val="24"/>
                <w:szCs w:val="20"/>
                <w:highlight w:val="none"/>
              </w:rPr>
            </w:pPr>
          </w:p>
        </w:tc>
        <w:tc>
          <w:tcPr>
            <w:tcW w:w="2692" w:type="dxa"/>
            <w:noWrap/>
            <w:vAlign w:val="center"/>
          </w:tcPr>
          <w:p w14:paraId="1F88CC9F">
            <w:pPr>
              <w:spacing w:line="360" w:lineRule="auto"/>
              <w:contextualSpacing/>
              <w:jc w:val="center"/>
              <w:rPr>
                <w:rFonts w:ascii="宋体" w:hAnsi="宋体" w:cs="宋体"/>
                <w:color w:val="auto"/>
                <w:sz w:val="24"/>
                <w:szCs w:val="20"/>
                <w:highlight w:val="none"/>
              </w:rPr>
            </w:pPr>
          </w:p>
        </w:tc>
      </w:tr>
      <w:tr w14:paraId="3D46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17" w:type="dxa"/>
            <w:noWrap/>
            <w:vAlign w:val="center"/>
          </w:tcPr>
          <w:p w14:paraId="13616FDD">
            <w:pPr>
              <w:spacing w:line="360" w:lineRule="auto"/>
              <w:contextualSpacing/>
              <w:jc w:val="center"/>
              <w:rPr>
                <w:rFonts w:ascii="宋体" w:hAnsi="宋体" w:cs="宋体"/>
                <w:color w:val="auto"/>
                <w:sz w:val="24"/>
                <w:szCs w:val="20"/>
                <w:highlight w:val="none"/>
              </w:rPr>
            </w:pPr>
          </w:p>
        </w:tc>
        <w:tc>
          <w:tcPr>
            <w:tcW w:w="709" w:type="dxa"/>
            <w:noWrap/>
            <w:vAlign w:val="center"/>
          </w:tcPr>
          <w:p w14:paraId="44F39E56">
            <w:pPr>
              <w:spacing w:line="360" w:lineRule="auto"/>
              <w:contextualSpacing/>
              <w:jc w:val="center"/>
              <w:rPr>
                <w:rFonts w:ascii="宋体" w:hAnsi="宋体" w:cs="宋体"/>
                <w:color w:val="auto"/>
                <w:sz w:val="24"/>
                <w:szCs w:val="20"/>
                <w:highlight w:val="none"/>
              </w:rPr>
            </w:pPr>
          </w:p>
        </w:tc>
        <w:tc>
          <w:tcPr>
            <w:tcW w:w="1701" w:type="dxa"/>
            <w:noWrap/>
            <w:vAlign w:val="center"/>
          </w:tcPr>
          <w:p w14:paraId="288E65A6">
            <w:pPr>
              <w:spacing w:line="360" w:lineRule="auto"/>
              <w:contextualSpacing/>
              <w:jc w:val="center"/>
              <w:rPr>
                <w:rFonts w:ascii="宋体" w:hAnsi="宋体" w:cs="宋体"/>
                <w:color w:val="auto"/>
                <w:sz w:val="24"/>
                <w:szCs w:val="20"/>
                <w:highlight w:val="none"/>
              </w:rPr>
            </w:pPr>
          </w:p>
        </w:tc>
        <w:tc>
          <w:tcPr>
            <w:tcW w:w="1420" w:type="dxa"/>
            <w:noWrap/>
            <w:vAlign w:val="center"/>
          </w:tcPr>
          <w:p w14:paraId="6D9CBA2E">
            <w:pPr>
              <w:spacing w:line="360" w:lineRule="auto"/>
              <w:contextualSpacing/>
              <w:jc w:val="center"/>
              <w:rPr>
                <w:rFonts w:ascii="宋体" w:hAnsi="宋体" w:cs="宋体"/>
                <w:color w:val="auto"/>
                <w:sz w:val="24"/>
                <w:szCs w:val="20"/>
                <w:highlight w:val="none"/>
              </w:rPr>
            </w:pPr>
          </w:p>
        </w:tc>
        <w:tc>
          <w:tcPr>
            <w:tcW w:w="1698" w:type="dxa"/>
            <w:noWrap/>
            <w:vAlign w:val="center"/>
          </w:tcPr>
          <w:p w14:paraId="5A4E6A60">
            <w:pPr>
              <w:spacing w:line="360" w:lineRule="auto"/>
              <w:contextualSpacing/>
              <w:jc w:val="center"/>
              <w:rPr>
                <w:rFonts w:ascii="宋体" w:hAnsi="宋体" w:cs="宋体"/>
                <w:color w:val="auto"/>
                <w:sz w:val="24"/>
                <w:szCs w:val="20"/>
                <w:highlight w:val="none"/>
              </w:rPr>
            </w:pPr>
          </w:p>
        </w:tc>
        <w:tc>
          <w:tcPr>
            <w:tcW w:w="2692" w:type="dxa"/>
            <w:noWrap/>
            <w:vAlign w:val="center"/>
          </w:tcPr>
          <w:p w14:paraId="77763A4F">
            <w:pPr>
              <w:spacing w:line="360" w:lineRule="auto"/>
              <w:contextualSpacing/>
              <w:jc w:val="center"/>
              <w:rPr>
                <w:rFonts w:ascii="宋体" w:hAnsi="宋体" w:cs="宋体"/>
                <w:color w:val="auto"/>
                <w:sz w:val="24"/>
                <w:szCs w:val="20"/>
                <w:highlight w:val="none"/>
              </w:rPr>
            </w:pPr>
          </w:p>
        </w:tc>
      </w:tr>
      <w:tr w14:paraId="049F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17" w:type="dxa"/>
            <w:noWrap/>
            <w:vAlign w:val="center"/>
          </w:tcPr>
          <w:p w14:paraId="5120571F">
            <w:pPr>
              <w:spacing w:line="360" w:lineRule="auto"/>
              <w:contextualSpacing/>
              <w:jc w:val="center"/>
              <w:rPr>
                <w:rFonts w:ascii="宋体" w:hAnsi="宋体" w:cs="宋体"/>
                <w:color w:val="auto"/>
                <w:sz w:val="24"/>
                <w:szCs w:val="20"/>
                <w:highlight w:val="none"/>
              </w:rPr>
            </w:pPr>
          </w:p>
        </w:tc>
        <w:tc>
          <w:tcPr>
            <w:tcW w:w="709" w:type="dxa"/>
            <w:noWrap/>
            <w:vAlign w:val="center"/>
          </w:tcPr>
          <w:p w14:paraId="6BF96A83">
            <w:pPr>
              <w:spacing w:line="360" w:lineRule="auto"/>
              <w:contextualSpacing/>
              <w:jc w:val="center"/>
              <w:rPr>
                <w:rFonts w:ascii="宋体" w:hAnsi="宋体" w:cs="宋体"/>
                <w:color w:val="auto"/>
                <w:sz w:val="24"/>
                <w:szCs w:val="20"/>
                <w:highlight w:val="none"/>
              </w:rPr>
            </w:pPr>
          </w:p>
        </w:tc>
        <w:tc>
          <w:tcPr>
            <w:tcW w:w="1701" w:type="dxa"/>
            <w:noWrap/>
            <w:vAlign w:val="center"/>
          </w:tcPr>
          <w:p w14:paraId="3EF160AF">
            <w:pPr>
              <w:spacing w:line="360" w:lineRule="auto"/>
              <w:contextualSpacing/>
              <w:jc w:val="center"/>
              <w:rPr>
                <w:rFonts w:ascii="宋体" w:hAnsi="宋体" w:cs="宋体"/>
                <w:color w:val="auto"/>
                <w:sz w:val="24"/>
                <w:szCs w:val="20"/>
                <w:highlight w:val="none"/>
              </w:rPr>
            </w:pPr>
          </w:p>
        </w:tc>
        <w:tc>
          <w:tcPr>
            <w:tcW w:w="1420" w:type="dxa"/>
            <w:noWrap/>
            <w:vAlign w:val="center"/>
          </w:tcPr>
          <w:p w14:paraId="08F8EC08">
            <w:pPr>
              <w:spacing w:line="360" w:lineRule="auto"/>
              <w:contextualSpacing/>
              <w:jc w:val="center"/>
              <w:rPr>
                <w:rFonts w:ascii="宋体" w:hAnsi="宋体" w:cs="宋体"/>
                <w:color w:val="auto"/>
                <w:sz w:val="24"/>
                <w:szCs w:val="20"/>
                <w:highlight w:val="none"/>
              </w:rPr>
            </w:pPr>
          </w:p>
        </w:tc>
        <w:tc>
          <w:tcPr>
            <w:tcW w:w="1698" w:type="dxa"/>
            <w:noWrap/>
            <w:vAlign w:val="center"/>
          </w:tcPr>
          <w:p w14:paraId="5AD54522">
            <w:pPr>
              <w:spacing w:line="360" w:lineRule="auto"/>
              <w:contextualSpacing/>
              <w:jc w:val="center"/>
              <w:rPr>
                <w:rFonts w:ascii="宋体" w:hAnsi="宋体" w:cs="宋体"/>
                <w:color w:val="auto"/>
                <w:sz w:val="24"/>
                <w:szCs w:val="20"/>
                <w:highlight w:val="none"/>
              </w:rPr>
            </w:pPr>
          </w:p>
        </w:tc>
        <w:tc>
          <w:tcPr>
            <w:tcW w:w="2692" w:type="dxa"/>
            <w:noWrap/>
            <w:vAlign w:val="center"/>
          </w:tcPr>
          <w:p w14:paraId="7D845C43">
            <w:pPr>
              <w:spacing w:line="360" w:lineRule="auto"/>
              <w:contextualSpacing/>
              <w:jc w:val="center"/>
              <w:rPr>
                <w:rFonts w:ascii="宋体" w:hAnsi="宋体" w:cs="宋体"/>
                <w:color w:val="auto"/>
                <w:sz w:val="24"/>
                <w:szCs w:val="20"/>
                <w:highlight w:val="none"/>
              </w:rPr>
            </w:pPr>
          </w:p>
        </w:tc>
      </w:tr>
    </w:tbl>
    <w:p w14:paraId="1F0C6EA0">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注：</w:t>
      </w:r>
    </w:p>
    <w:p w14:paraId="698C80B9">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1.在填写时，如本表格不适合供应商的实际情况，可根据本表格式自行制表填写。</w:t>
      </w:r>
    </w:p>
    <w:p w14:paraId="6EF7D516">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2.供应商应当附本表所列证书的复印件并加盖供应商电子签章。</w:t>
      </w:r>
    </w:p>
    <w:p w14:paraId="0284184B">
      <w:pPr>
        <w:spacing w:line="360" w:lineRule="auto"/>
        <w:contextualSpacing/>
        <w:rPr>
          <w:rFonts w:hint="eastAsia" w:ascii="宋体" w:hAnsi="宋体" w:cs="宋体"/>
          <w:color w:val="auto"/>
          <w:sz w:val="24"/>
          <w:highlight w:val="none"/>
        </w:rPr>
      </w:pPr>
    </w:p>
    <w:p w14:paraId="1C69FB2C">
      <w:pPr>
        <w:spacing w:line="360" w:lineRule="auto"/>
        <w:contextualSpacing/>
        <w:rPr>
          <w:rFonts w:hint="eastAsia" w:ascii="宋体" w:hAnsi="宋体" w:cs="宋体"/>
          <w:color w:val="auto"/>
          <w:sz w:val="24"/>
          <w:highlight w:val="none"/>
        </w:rPr>
      </w:pPr>
    </w:p>
    <w:p w14:paraId="464BDF38">
      <w:pPr>
        <w:spacing w:line="360" w:lineRule="auto"/>
        <w:contextualSpacing/>
        <w:jc w:val="center"/>
        <w:rPr>
          <w:rFonts w:hint="eastAsia" w:ascii="宋体" w:hAnsi="宋体" w:cs="宋体"/>
          <w:color w:val="auto"/>
          <w:sz w:val="24"/>
          <w:highlight w:val="none"/>
        </w:rPr>
      </w:pPr>
    </w:p>
    <w:p w14:paraId="1F9DA94A">
      <w:pPr>
        <w:spacing w:line="360" w:lineRule="auto"/>
        <w:contextualSpacing/>
        <w:jc w:val="center"/>
        <w:rPr>
          <w:rFonts w:ascii="宋体" w:hAnsi="宋体" w:cs="宋体"/>
          <w:color w:val="auto"/>
          <w:spacing w:val="20"/>
          <w:sz w:val="24"/>
          <w:szCs w:val="20"/>
          <w:highlight w:val="none"/>
          <w:u w:val="single"/>
        </w:rPr>
      </w:pPr>
      <w:r>
        <w:rPr>
          <w:rFonts w:hint="eastAsia" w:ascii="宋体" w:hAnsi="宋体" w:cs="宋体"/>
          <w:color w:val="auto"/>
          <w:spacing w:val="20"/>
          <w:sz w:val="24"/>
          <w:highlight w:val="none"/>
        </w:rPr>
        <w:t>法定代表人或者委托代理人（签字或者电子签名）：</w:t>
      </w:r>
    </w:p>
    <w:p w14:paraId="0CEDCF48">
      <w:pPr>
        <w:spacing w:line="360" w:lineRule="auto"/>
        <w:contextualSpacing/>
        <w:jc w:val="center"/>
        <w:rPr>
          <w:rFonts w:hint="eastAsia" w:ascii="宋体" w:hAnsi="宋体" w:cs="宋体"/>
          <w:color w:val="auto"/>
          <w:spacing w:val="20"/>
          <w:sz w:val="24"/>
          <w:highlight w:val="none"/>
        </w:rPr>
      </w:pPr>
      <w:r>
        <w:rPr>
          <w:rFonts w:hint="eastAsia" w:ascii="宋体" w:hAnsi="宋体" w:cs="宋体"/>
          <w:color w:val="auto"/>
          <w:spacing w:val="20"/>
          <w:sz w:val="24"/>
          <w:highlight w:val="none"/>
          <w:lang w:val="en-US" w:eastAsia="zh-CN"/>
        </w:rPr>
        <w:t xml:space="preserve">      </w:t>
      </w:r>
      <w:r>
        <w:rPr>
          <w:rFonts w:hint="eastAsia" w:ascii="宋体" w:hAnsi="宋体" w:cs="宋体"/>
          <w:color w:val="auto"/>
          <w:spacing w:val="20"/>
          <w:sz w:val="24"/>
          <w:highlight w:val="none"/>
        </w:rPr>
        <w:t>供应商（电子签章）：</w:t>
      </w:r>
    </w:p>
    <w:p w14:paraId="006C76E2">
      <w:pPr>
        <w:spacing w:line="360" w:lineRule="auto"/>
        <w:contextualSpacing/>
        <w:jc w:val="center"/>
        <w:rPr>
          <w:rFonts w:ascii="宋体" w:hAnsi="宋体" w:cs="宋体"/>
          <w:color w:val="auto"/>
          <w:sz w:val="24"/>
          <w:szCs w:val="20"/>
          <w:highlight w:val="none"/>
        </w:rPr>
      </w:pPr>
      <w:r>
        <w:rPr>
          <w:rFonts w:hint="eastAsia" w:ascii="宋体" w:hAnsi="宋体" w:cs="宋体"/>
          <w:color w:val="auto"/>
          <w:spacing w:val="20"/>
          <w:sz w:val="24"/>
          <w:highlight w:val="none"/>
          <w:lang w:val="en-US" w:eastAsia="zh-CN"/>
        </w:rPr>
        <w:t xml:space="preserve">                 </w:t>
      </w:r>
      <w:r>
        <w:rPr>
          <w:rFonts w:hint="eastAsia" w:ascii="宋体" w:hAnsi="宋体" w:cs="宋体"/>
          <w:color w:val="auto"/>
          <w:spacing w:val="20"/>
          <w:sz w:val="24"/>
          <w:highlight w:val="none"/>
        </w:rPr>
        <w:t>日 期：</w:t>
      </w:r>
    </w:p>
    <w:p w14:paraId="71246FAC">
      <w:pPr>
        <w:snapToGrid w:val="0"/>
        <w:spacing w:before="50" w:afterLines="50"/>
        <w:jc w:val="left"/>
        <w:rPr>
          <w:rFonts w:ascii="宋体" w:hAnsi="宋体" w:cs="宋体"/>
          <w:color w:val="auto"/>
          <w:sz w:val="24"/>
          <w:szCs w:val="20"/>
          <w:highlight w:val="none"/>
        </w:rPr>
      </w:pPr>
    </w:p>
    <w:p w14:paraId="3F70CED6">
      <w:pPr>
        <w:snapToGrid w:val="0"/>
        <w:spacing w:before="50" w:after="50" w:line="360" w:lineRule="auto"/>
        <w:ind w:right="-817" w:rightChars="-389" w:firstLine="5461" w:firstLineChars="1700"/>
        <w:rPr>
          <w:rFonts w:ascii="宋体" w:hAnsi="宋体" w:cs="宋体"/>
          <w:b/>
          <w:color w:val="auto"/>
          <w:sz w:val="32"/>
          <w:szCs w:val="32"/>
          <w:highlight w:val="none"/>
        </w:rPr>
      </w:pPr>
    </w:p>
    <w:p w14:paraId="4F408D51">
      <w:pPr>
        <w:spacing w:line="300" w:lineRule="auto"/>
        <w:rPr>
          <w:rFonts w:ascii="宋体" w:hAnsi="宋体" w:cs="宋体"/>
          <w:color w:val="auto"/>
          <w:szCs w:val="21"/>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其他文书、文件格式</w:t>
      </w:r>
    </w:p>
    <w:p w14:paraId="73401C8B">
      <w:pPr>
        <w:jc w:val="center"/>
        <w:rPr>
          <w:rFonts w:ascii="宋体" w:hAnsi="宋体" w:cs="宋体"/>
          <w:color w:val="auto"/>
          <w:sz w:val="44"/>
          <w:szCs w:val="44"/>
          <w:highlight w:val="none"/>
        </w:rPr>
      </w:pPr>
      <w:bookmarkStart w:id="183" w:name="_Toc71365926"/>
      <w:r>
        <w:rPr>
          <w:rFonts w:hint="eastAsia" w:ascii="宋体" w:hAnsi="宋体" w:cs="宋体"/>
          <w:color w:val="auto"/>
          <w:sz w:val="44"/>
          <w:szCs w:val="44"/>
          <w:highlight w:val="none"/>
        </w:rPr>
        <w:t>中小企业声明函（服务）</w:t>
      </w:r>
      <w:bookmarkEnd w:id="183"/>
    </w:p>
    <w:p w14:paraId="0247A376">
      <w:pPr>
        <w:spacing w:before="2" w:line="500" w:lineRule="exact"/>
        <w:ind w:firstLine="708" w:firstLineChars="294"/>
        <w:rPr>
          <w:rFonts w:ascii="宋体" w:hAnsi="宋体" w:cs="宋体"/>
          <w:b/>
          <w:bCs/>
          <w:color w:val="auto"/>
          <w:sz w:val="24"/>
          <w:highlight w:val="none"/>
        </w:rPr>
      </w:pPr>
    </w:p>
    <w:p w14:paraId="7032CEB0">
      <w:pPr>
        <w:pStyle w:val="2"/>
        <w:spacing w:line="360" w:lineRule="auto"/>
        <w:ind w:right="142" w:firstLine="705" w:firstLineChars="294"/>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 xml:space="preserve">法医病理鉴定、法医临床鉴定、法医毒物鉴定服务采购项目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3A267EF0">
      <w:pPr>
        <w:tabs>
          <w:tab w:val="left" w:pos="1384"/>
          <w:tab w:val="left" w:pos="4562"/>
          <w:tab w:val="left" w:pos="6803"/>
        </w:tabs>
        <w:spacing w:before="13" w:line="360" w:lineRule="auto"/>
        <w:ind w:left="0" w:leftChars="0" w:right="142" w:firstLine="638" w:firstLineChars="266"/>
        <w:rPr>
          <w:rFonts w:ascii="宋体" w:hAnsi="宋体" w:cs="宋体"/>
          <w:color w:val="auto"/>
          <w:sz w:val="24"/>
          <w:highlight w:val="none"/>
        </w:rPr>
      </w:pPr>
      <w:r>
        <w:rPr>
          <w:rFonts w:hint="eastAsia" w:ascii="宋体" w:hAnsi="宋体" w:cs="宋体"/>
          <w:color w:val="auto"/>
          <w:sz w:val="24"/>
          <w:highlight w:val="none"/>
          <w:u w:val="single"/>
          <w:lang w:eastAsia="zh-CN"/>
        </w:rPr>
        <w:t xml:space="preserve">法医病理鉴定、法医临床鉴定、法医毒物鉴定服务采购项目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，属于</w:t>
      </w:r>
      <w:r>
        <w:rPr>
          <w:rFonts w:hint="eastAsia" w:ascii="宋体" w:hAnsi="宋体" w:cs="宋体"/>
          <w:color w:val="auto"/>
          <w:sz w:val="24"/>
          <w:highlight w:val="none"/>
          <w:u w:val="single"/>
          <w:lang w:eastAsia="zh-CN"/>
        </w:rPr>
        <w:t>其他未列明行业</w:t>
      </w:r>
      <w:r>
        <w:rPr>
          <w:rFonts w:hint="eastAsia" w:ascii="宋体" w:hAnsi="宋体" w:cs="宋体"/>
          <w:color w:val="auto"/>
          <w:sz w:val="24"/>
          <w:highlight w:val="none"/>
          <w:u w:val="none"/>
          <w:lang w:eastAsia="zh-CN"/>
        </w:rPr>
        <w:t>；</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，从业人员人，营业收入为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0B853D4F">
      <w:pPr>
        <w:pStyle w:val="52"/>
        <w:spacing w:line="360" w:lineRule="auto"/>
        <w:ind w:firstLine="520" w:firstLineChars="200"/>
        <w:rPr>
          <w:rFonts w:ascii="宋体" w:hAnsi="宋体" w:cs="宋体"/>
          <w:color w:val="auto"/>
          <w:highlight w:val="none"/>
        </w:rPr>
      </w:pPr>
    </w:p>
    <w:p w14:paraId="6926818B">
      <w:pPr>
        <w:pStyle w:val="2"/>
        <w:spacing w:before="34" w:line="360" w:lineRule="auto"/>
        <w:ind w:right="142" w:firstLine="705" w:firstLineChars="294"/>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06A244BE">
      <w:pPr>
        <w:pStyle w:val="2"/>
        <w:spacing w:before="25" w:line="360" w:lineRule="auto"/>
        <w:ind w:right="142" w:firstLine="705" w:firstLineChars="294"/>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0D322031">
      <w:pPr>
        <w:pStyle w:val="2"/>
        <w:spacing w:before="56" w:line="500" w:lineRule="exact"/>
        <w:ind w:right="1808" w:firstLine="705" w:firstLineChars="294"/>
        <w:rPr>
          <w:rFonts w:ascii="宋体" w:hAnsi="宋体" w:cs="宋体"/>
          <w:color w:val="auto"/>
          <w:sz w:val="24"/>
          <w:highlight w:val="none"/>
        </w:rPr>
      </w:pPr>
    </w:p>
    <w:p w14:paraId="318D3288">
      <w:pPr>
        <w:pStyle w:val="2"/>
        <w:spacing w:before="56" w:line="500" w:lineRule="exact"/>
        <w:ind w:right="650" w:firstLine="5625" w:firstLineChars="2344"/>
        <w:rPr>
          <w:rFonts w:ascii="宋体" w:hAnsi="宋体" w:cs="宋体"/>
          <w:color w:val="auto"/>
          <w:sz w:val="24"/>
          <w:highlight w:val="none"/>
        </w:rPr>
      </w:pPr>
      <w:r>
        <w:rPr>
          <w:rFonts w:hint="eastAsia" w:ascii="宋体" w:hAnsi="宋体" w:cs="宋体"/>
          <w:color w:val="auto"/>
          <w:sz w:val="24"/>
          <w:highlight w:val="none"/>
        </w:rPr>
        <w:t xml:space="preserve">企业名称（章）： </w:t>
      </w:r>
    </w:p>
    <w:p w14:paraId="494D0DB1">
      <w:pPr>
        <w:pStyle w:val="2"/>
        <w:spacing w:before="56" w:line="500" w:lineRule="exact"/>
        <w:ind w:right="1808" w:firstLine="5625" w:firstLineChars="2344"/>
        <w:rPr>
          <w:rFonts w:ascii="宋体" w:hAnsi="宋体" w:cs="宋体"/>
          <w:color w:val="auto"/>
          <w:sz w:val="24"/>
          <w:highlight w:val="none"/>
        </w:rPr>
      </w:pPr>
      <w:r>
        <w:rPr>
          <w:rFonts w:hint="eastAsia" w:ascii="宋体" w:hAnsi="宋体" w:cs="宋体"/>
          <w:color w:val="auto"/>
          <w:sz w:val="24"/>
          <w:highlight w:val="none"/>
        </w:rPr>
        <w:t>日 期：</w:t>
      </w:r>
    </w:p>
    <w:p w14:paraId="24FD640B">
      <w:pPr>
        <w:spacing w:line="520" w:lineRule="exact"/>
        <w:jc w:val="left"/>
        <w:rPr>
          <w:rFonts w:ascii="宋体" w:hAnsi="宋体" w:cs="宋体"/>
          <w:color w:val="auto"/>
          <w:sz w:val="24"/>
          <w:highlight w:val="none"/>
        </w:rPr>
      </w:pPr>
      <w:r>
        <w:rPr>
          <w:rFonts w:hint="eastAsia" w:ascii="宋体" w:hAnsi="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A040D19">
      <w:pPr>
        <w:spacing w:line="520" w:lineRule="exact"/>
        <w:jc w:val="center"/>
        <w:rPr>
          <w:rFonts w:ascii="宋体" w:hAnsi="宋体" w:cs="宋体"/>
          <w:color w:val="auto"/>
          <w:sz w:val="32"/>
          <w:szCs w:val="32"/>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残疾人福利性单位声明函</w:t>
      </w:r>
    </w:p>
    <w:p w14:paraId="4C0C12D7">
      <w:pPr>
        <w:spacing w:line="360" w:lineRule="auto"/>
        <w:contextualSpacing/>
        <w:rPr>
          <w:rFonts w:ascii="宋体" w:hAnsi="宋体" w:cs="宋体"/>
          <w:color w:val="auto"/>
          <w:sz w:val="32"/>
          <w:szCs w:val="32"/>
          <w:highlight w:val="none"/>
        </w:rPr>
      </w:pPr>
    </w:p>
    <w:p w14:paraId="0B7CEDA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9091D4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40F3FAC3">
      <w:pPr>
        <w:spacing w:line="360" w:lineRule="auto"/>
        <w:contextualSpacing/>
        <w:rPr>
          <w:rFonts w:ascii="宋体" w:hAnsi="宋体" w:cs="宋体"/>
          <w:color w:val="auto"/>
          <w:sz w:val="24"/>
          <w:highlight w:val="none"/>
        </w:rPr>
      </w:pPr>
    </w:p>
    <w:p w14:paraId="44EB288E">
      <w:pPr>
        <w:spacing w:line="360" w:lineRule="auto"/>
        <w:contextualSpacing/>
        <w:rPr>
          <w:rFonts w:ascii="宋体" w:hAnsi="宋体" w:cs="宋体"/>
          <w:color w:val="auto"/>
          <w:sz w:val="24"/>
          <w:highlight w:val="none"/>
        </w:rPr>
      </w:pPr>
    </w:p>
    <w:p w14:paraId="0C337095">
      <w:pPr>
        <w:spacing w:line="360" w:lineRule="auto"/>
        <w:contextualSpacing/>
        <w:rPr>
          <w:rFonts w:ascii="宋体" w:hAnsi="宋体" w:cs="宋体"/>
          <w:color w:val="auto"/>
          <w:sz w:val="24"/>
          <w:highlight w:val="none"/>
        </w:rPr>
      </w:pPr>
    </w:p>
    <w:p w14:paraId="668C356C">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单位名称（盖章）：</w:t>
      </w:r>
    </w:p>
    <w:p w14:paraId="4760FAF9">
      <w:pPr>
        <w:spacing w:line="360" w:lineRule="auto"/>
        <w:ind w:firstLine="3600" w:firstLineChars="1500"/>
        <w:contextualSpacing/>
        <w:rPr>
          <w:rFonts w:ascii="宋体" w:hAnsi="宋体" w:cs="宋体"/>
          <w:color w:val="auto"/>
          <w:sz w:val="24"/>
          <w:highlight w:val="none"/>
        </w:rPr>
      </w:pPr>
      <w:r>
        <w:rPr>
          <w:rFonts w:hint="eastAsia" w:ascii="宋体" w:hAnsi="宋体" w:cs="宋体"/>
          <w:color w:val="auto"/>
          <w:sz w:val="24"/>
          <w:highlight w:val="none"/>
        </w:rPr>
        <w:t>日  期：</w:t>
      </w:r>
    </w:p>
    <w:p w14:paraId="5468F67D">
      <w:pPr>
        <w:spacing w:line="360" w:lineRule="auto"/>
        <w:contextualSpacing/>
        <w:rPr>
          <w:rFonts w:ascii="宋体" w:hAnsi="宋体" w:cs="宋体"/>
          <w:color w:val="auto"/>
          <w:sz w:val="24"/>
          <w:highlight w:val="none"/>
        </w:rPr>
      </w:pPr>
    </w:p>
    <w:p w14:paraId="462BAC05">
      <w:pPr>
        <w:spacing w:line="360" w:lineRule="auto"/>
        <w:contextualSpacing/>
        <w:rPr>
          <w:rFonts w:ascii="宋体" w:hAnsi="宋体" w:cs="宋体"/>
          <w:color w:val="auto"/>
          <w:sz w:val="24"/>
          <w:highlight w:val="none"/>
        </w:rPr>
      </w:pPr>
    </w:p>
    <w:p w14:paraId="23743D30">
      <w:pPr>
        <w:spacing w:line="360" w:lineRule="auto"/>
        <w:contextualSpacing/>
        <w:rPr>
          <w:rFonts w:ascii="宋体" w:hAnsi="宋体" w:cs="宋体"/>
          <w:color w:val="auto"/>
          <w:sz w:val="24"/>
          <w:highlight w:val="none"/>
        </w:rPr>
      </w:pPr>
    </w:p>
    <w:p w14:paraId="3CBA8A90">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结果时，同时公告其《残疾人福利性单位声明函》，接受社会监督。</w:t>
      </w:r>
    </w:p>
    <w:p w14:paraId="188B9E39">
      <w:pPr>
        <w:rPr>
          <w:rFonts w:hint="eastAsia" w:ascii="宋体" w:hAnsi="宋体" w:cs="宋体"/>
          <w:color w:val="auto"/>
          <w:sz w:val="24"/>
          <w:highlight w:val="none"/>
        </w:rPr>
      </w:pPr>
      <w:r>
        <w:rPr>
          <w:rFonts w:hint="eastAsia" w:ascii="宋体" w:hAnsi="宋体" w:cs="宋体"/>
          <w:color w:val="auto"/>
          <w:sz w:val="24"/>
          <w:highlight w:val="none"/>
        </w:rPr>
        <w:br w:type="page"/>
      </w:r>
    </w:p>
    <w:p w14:paraId="6044D8A7">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宋体" w:hAnsi="宋体" w:cs="宋体"/>
          <w:b/>
          <w:bCs w:val="0"/>
          <w:color w:val="auto"/>
          <w:sz w:val="44"/>
          <w:szCs w:val="44"/>
          <w:highlight w:val="none"/>
        </w:rPr>
        <w:t>代理服务费承诺书</w:t>
      </w:r>
    </w:p>
    <w:p w14:paraId="19D01741">
      <w:pPr>
        <w:snapToGrid w:val="0"/>
        <w:spacing w:before="120" w:beforeLines="50" w:after="50"/>
        <w:jc w:val="center"/>
        <w:rPr>
          <w:rFonts w:ascii="宋体" w:hAnsi="宋体"/>
          <w:b/>
          <w:color w:val="auto"/>
          <w:sz w:val="24"/>
          <w:highlight w:val="none"/>
        </w:rPr>
      </w:pPr>
    </w:p>
    <w:p w14:paraId="448E3308">
      <w:pPr>
        <w:spacing w:line="360" w:lineRule="auto"/>
        <w:rPr>
          <w:rFonts w:hint="default" w:ascii="宋体" w:hAnsi="宋体"/>
          <w:b/>
          <w:bCs/>
          <w:color w:val="auto"/>
          <w:sz w:val="24"/>
          <w:highlight w:val="none"/>
          <w:lang w:val="en-US"/>
        </w:rPr>
      </w:pPr>
      <w:r>
        <w:rPr>
          <w:rFonts w:hint="eastAsia" w:ascii="宋体" w:hAnsi="宋体"/>
          <w:bCs/>
          <w:color w:val="auto"/>
          <w:sz w:val="24"/>
          <w:highlight w:val="none"/>
        </w:rPr>
        <w:t>致：</w:t>
      </w:r>
      <w:r>
        <w:rPr>
          <w:rFonts w:hint="eastAsia" w:ascii="宋体" w:hAnsi="宋体"/>
          <w:color w:val="auto"/>
          <w:sz w:val="24"/>
          <w:highlight w:val="none"/>
          <w:u w:val="single"/>
          <w:lang w:val="en-US" w:eastAsia="zh-CN"/>
        </w:rPr>
        <w:t>云之龙咨询集团有限公司</w:t>
      </w:r>
    </w:p>
    <w:p w14:paraId="51F8A5E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项目， 在此说明如下：</w:t>
      </w:r>
    </w:p>
    <w:p w14:paraId="25F2A3C8">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1.我方承诺，若本单位</w:t>
      </w:r>
      <w:r>
        <w:rPr>
          <w:rFonts w:hint="eastAsia" w:ascii="宋体" w:hAnsi="宋体"/>
          <w:color w:val="auto"/>
          <w:sz w:val="24"/>
          <w:highlight w:val="none"/>
          <w:lang w:val="en-US" w:eastAsia="zh-CN"/>
        </w:rPr>
        <w:t>成交</w:t>
      </w:r>
      <w:r>
        <w:rPr>
          <w:rFonts w:hint="eastAsia" w:ascii="宋体" w:hAnsi="宋体"/>
          <w:color w:val="auto"/>
          <w:sz w:val="24"/>
          <w:highlight w:val="none"/>
        </w:rPr>
        <w:t>，保证在发出</w:t>
      </w:r>
      <w:r>
        <w:rPr>
          <w:rFonts w:hint="eastAsia" w:ascii="宋体" w:hAnsi="宋体"/>
          <w:color w:val="auto"/>
          <w:sz w:val="24"/>
          <w:highlight w:val="none"/>
          <w:lang w:val="en-US" w:eastAsia="zh-CN"/>
        </w:rPr>
        <w:t>成交</w:t>
      </w:r>
      <w:r>
        <w:rPr>
          <w:rFonts w:hint="eastAsia" w:ascii="宋体" w:hAnsi="宋体"/>
          <w:color w:val="auto"/>
          <w:sz w:val="24"/>
          <w:highlight w:val="none"/>
        </w:rPr>
        <w:t>通知书之后，按本项目</w:t>
      </w:r>
      <w:r>
        <w:rPr>
          <w:rFonts w:hint="eastAsia" w:ascii="宋体" w:hAnsi="宋体"/>
          <w:color w:val="auto"/>
          <w:sz w:val="24"/>
          <w:highlight w:val="none"/>
          <w:lang w:eastAsia="zh-CN"/>
        </w:rPr>
        <w:t>竞争性磋商</w:t>
      </w:r>
      <w:r>
        <w:rPr>
          <w:rFonts w:hint="eastAsia" w:ascii="宋体" w:hAnsi="宋体"/>
          <w:color w:val="auto"/>
          <w:sz w:val="24"/>
          <w:highlight w:val="none"/>
        </w:rPr>
        <w:t>的规定标准向贵单位一次性足额支付代理服务费。</w:t>
      </w:r>
    </w:p>
    <w:p w14:paraId="52E51836">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4EC72C15">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第一种方式：开具增值税普通发票。开票信息如下：</w:t>
      </w:r>
    </w:p>
    <w:p w14:paraId="2B67FBD7">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BF4270F">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16EAB44">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第二种方式：开具增值税专用发票，开票信息如下：</w:t>
      </w:r>
    </w:p>
    <w:p w14:paraId="1C2272F7">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07C63226">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6F5CC5D">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（3）在</w:t>
      </w:r>
      <w:r>
        <w:rPr>
          <w:rFonts w:hint="eastAsia" w:ascii="宋体" w:hAnsi="宋体"/>
          <w:color w:val="auto"/>
          <w:sz w:val="24"/>
          <w:highlight w:val="none"/>
          <w:lang w:val="en-US" w:eastAsia="zh-CN"/>
        </w:rPr>
        <w:t>税务局</w:t>
      </w:r>
      <w:r>
        <w:rPr>
          <w:rFonts w:hint="eastAsia" w:ascii="宋体" w:hAnsi="宋体"/>
          <w:color w:val="auto"/>
          <w:sz w:val="24"/>
          <w:highlight w:val="none"/>
        </w:rPr>
        <w:t>登记的地址</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41F594A">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（4）在</w:t>
      </w:r>
      <w:r>
        <w:rPr>
          <w:rFonts w:hint="eastAsia" w:ascii="宋体" w:hAnsi="宋体"/>
          <w:color w:val="auto"/>
          <w:sz w:val="24"/>
          <w:highlight w:val="none"/>
          <w:lang w:val="en-US" w:eastAsia="zh-CN"/>
        </w:rPr>
        <w:t>税务局</w:t>
      </w:r>
      <w:r>
        <w:rPr>
          <w:rFonts w:hint="eastAsia" w:ascii="宋体" w:hAnsi="宋体"/>
          <w:color w:val="auto"/>
          <w:sz w:val="24"/>
          <w:highlight w:val="none"/>
        </w:rPr>
        <w:t>登记的电话</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7A40A11">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7AEE30C9">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138D410">
      <w:pPr>
        <w:spacing w:line="440" w:lineRule="exact"/>
        <w:rPr>
          <w:rFonts w:ascii="宋体" w:hAnsi="宋体"/>
          <w:color w:val="auto"/>
          <w:sz w:val="24"/>
          <w:highlight w:val="none"/>
        </w:rPr>
      </w:pPr>
    </w:p>
    <w:p w14:paraId="37898AFE">
      <w:pPr>
        <w:spacing w:line="440" w:lineRule="exact"/>
        <w:rPr>
          <w:rFonts w:ascii="宋体" w:hAnsi="宋体"/>
          <w:color w:val="auto"/>
          <w:sz w:val="24"/>
          <w:highlight w:val="none"/>
        </w:rPr>
      </w:pPr>
    </w:p>
    <w:p w14:paraId="70926AE2">
      <w:pPr>
        <w:spacing w:line="440" w:lineRule="exact"/>
        <w:rPr>
          <w:rFonts w:ascii="宋体" w:hAnsi="宋体"/>
          <w:color w:val="auto"/>
          <w:sz w:val="24"/>
          <w:highlight w:val="none"/>
        </w:rPr>
      </w:pPr>
    </w:p>
    <w:p w14:paraId="2139C333">
      <w:pPr>
        <w:snapToGrid w:val="0"/>
        <w:spacing w:line="360" w:lineRule="auto"/>
        <w:ind w:left="-2" w:leftChars="-1" w:right="-817" w:rightChars="-389" w:firstLine="1920" w:firstLineChars="800"/>
        <w:rPr>
          <w:rFonts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14:paraId="0CA165E2">
      <w:pPr>
        <w:snapToGrid w:val="0"/>
        <w:spacing w:line="360" w:lineRule="auto"/>
        <w:ind w:left="-3" w:leftChars="-15" w:right="-817" w:rightChars="-389" w:hanging="28" w:hangingChars="12"/>
        <w:rPr>
          <w:rFonts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供应商</w:t>
      </w:r>
      <w:r>
        <w:rPr>
          <w:rFonts w:hint="eastAsia" w:ascii="宋体" w:hAnsi="宋体"/>
          <w:color w:val="auto"/>
          <w:sz w:val="24"/>
          <w:highlight w:val="none"/>
        </w:rPr>
        <w:t>名称（</w:t>
      </w:r>
      <w:r>
        <w:rPr>
          <w:rFonts w:hint="eastAsia" w:ascii="宋体" w:hAnsi="宋体"/>
          <w:color w:val="auto"/>
          <w:sz w:val="24"/>
          <w:highlight w:val="none"/>
          <w:lang w:val="en-US" w:eastAsia="zh-CN"/>
        </w:rPr>
        <w:t>公章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0407A2FB">
      <w:pPr>
        <w:snapToGrid w:val="0"/>
        <w:spacing w:line="360" w:lineRule="auto"/>
        <w:ind w:right="480" w:firstLine="240" w:firstLineChars="100"/>
        <w:jc w:val="left"/>
        <w:rPr>
          <w:rFonts w:hint="eastAsia" w:ascii="宋体" w:hAnsi="宋体"/>
          <w:color w:val="auto"/>
          <w:sz w:val="24"/>
          <w:highlight w:val="non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8136479">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p>
    <w:p w14:paraId="3F6C2983">
      <w:pPr>
        <w:spacing w:line="360" w:lineRule="auto"/>
        <w:jc w:val="center"/>
        <w:rPr>
          <w:rFonts w:hint="eastAsia" w:ascii="宋体" w:hAnsi="宋体" w:cs="宋体"/>
          <w:b/>
          <w:bCs/>
          <w:sz w:val="32"/>
          <w:szCs w:val="32"/>
        </w:rPr>
      </w:pPr>
      <w:r>
        <w:rPr>
          <w:rFonts w:hint="eastAsia" w:ascii="宋体" w:hAnsi="宋体" w:cs="宋体"/>
          <w:sz w:val="44"/>
          <w:szCs w:val="44"/>
        </w:rPr>
        <w:t>质疑函（格式）</w:t>
      </w:r>
    </w:p>
    <w:p w14:paraId="51FA0454">
      <w:pPr>
        <w:pStyle w:val="17"/>
        <w:spacing w:line="360" w:lineRule="auto"/>
        <w:ind w:firstLine="482" w:firstLineChars="200"/>
        <w:contextualSpacing/>
        <w:rPr>
          <w:rFonts w:hint="eastAsia" w:hAnsi="宋体" w:cs="宋体"/>
          <w:b/>
          <w:bCs/>
          <w:sz w:val="24"/>
          <w:szCs w:val="24"/>
        </w:rPr>
      </w:pPr>
      <w:r>
        <w:rPr>
          <w:rFonts w:hint="eastAsia" w:hAnsi="宋体" w:cs="宋体"/>
          <w:b/>
          <w:bCs/>
          <w:sz w:val="24"/>
          <w:szCs w:val="24"/>
        </w:rPr>
        <w:t>一、质疑供应商基本信息：</w:t>
      </w:r>
    </w:p>
    <w:p w14:paraId="2635E562">
      <w:pPr>
        <w:pStyle w:val="17"/>
        <w:spacing w:line="360" w:lineRule="auto"/>
        <w:ind w:firstLine="480" w:firstLineChars="200"/>
        <w:contextualSpacing/>
        <w:rPr>
          <w:rFonts w:hint="eastAsia" w:hAnsi="宋体" w:cs="宋体"/>
          <w:bCs/>
          <w:sz w:val="24"/>
          <w:szCs w:val="24"/>
          <w:u w:val="single"/>
        </w:rPr>
      </w:pPr>
      <w:r>
        <w:rPr>
          <w:rFonts w:hint="eastAsia" w:hAnsi="宋体" w:cs="宋体"/>
          <w:bCs/>
          <w:sz w:val="24"/>
          <w:szCs w:val="24"/>
        </w:rPr>
        <w:t>质疑供应商：</w:t>
      </w:r>
      <w:r>
        <w:rPr>
          <w:rFonts w:hint="eastAsia" w:hAnsi="宋体" w:cs="宋体"/>
          <w:bCs/>
          <w:sz w:val="24"/>
          <w:szCs w:val="24"/>
          <w:u w:val="single"/>
        </w:rPr>
        <w:t xml:space="preserve">                                       </w:t>
      </w:r>
      <w:r>
        <w:rPr>
          <w:rFonts w:hint="eastAsia" w:hAnsi="宋体" w:cs="宋体"/>
          <w:bCs/>
          <w:sz w:val="24"/>
          <w:szCs w:val="24"/>
        </w:rPr>
        <w:t xml:space="preserve">                 </w:t>
      </w:r>
    </w:p>
    <w:p w14:paraId="1936F88D">
      <w:pPr>
        <w:pStyle w:val="17"/>
        <w:spacing w:line="360" w:lineRule="auto"/>
        <w:ind w:firstLine="480" w:firstLineChars="200"/>
        <w:contextualSpacing/>
        <w:rPr>
          <w:rFonts w:hint="eastAsia"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0FC9B96C">
      <w:pPr>
        <w:pStyle w:val="17"/>
        <w:spacing w:line="360" w:lineRule="auto"/>
        <w:ind w:firstLine="480" w:firstLineChars="200"/>
        <w:contextualSpacing/>
        <w:rPr>
          <w:rFonts w:hint="eastAsia" w:hAnsi="宋体" w:cs="宋体"/>
          <w:bCs/>
          <w:sz w:val="24"/>
          <w:szCs w:val="24"/>
        </w:rPr>
      </w:pPr>
      <w:r>
        <w:rPr>
          <w:rFonts w:hint="eastAsia" w:hAnsi="宋体" w:cs="宋体"/>
          <w:bCs/>
          <w:sz w:val="24"/>
          <w:szCs w:val="24"/>
        </w:rPr>
        <w:t>联系人：</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p>
    <w:p w14:paraId="14F96A15">
      <w:pPr>
        <w:pStyle w:val="17"/>
        <w:spacing w:line="360" w:lineRule="auto"/>
        <w:ind w:firstLine="480" w:firstLineChars="200"/>
        <w:contextualSpacing/>
        <w:rPr>
          <w:rFonts w:hint="eastAsia" w:hAnsi="宋体" w:cs="宋体"/>
          <w:bCs/>
          <w:sz w:val="24"/>
          <w:szCs w:val="24"/>
        </w:rPr>
      </w:pPr>
      <w:r>
        <w:rPr>
          <w:rFonts w:hint="eastAsia" w:hAnsi="宋体" w:cs="宋体"/>
          <w:bCs/>
          <w:sz w:val="24"/>
          <w:szCs w:val="24"/>
        </w:rPr>
        <w:t>授权代表：</w:t>
      </w:r>
      <w:r>
        <w:rPr>
          <w:rFonts w:hint="eastAsia" w:hAnsi="宋体" w:cs="宋体"/>
          <w:bCs/>
          <w:sz w:val="24"/>
          <w:szCs w:val="24"/>
          <w:u w:val="single"/>
        </w:rPr>
        <w:t xml:space="preserve">                      </w:t>
      </w:r>
    </w:p>
    <w:p w14:paraId="7190A38E">
      <w:pPr>
        <w:pStyle w:val="17"/>
        <w:spacing w:line="360" w:lineRule="auto"/>
        <w:ind w:firstLine="480" w:firstLineChars="200"/>
        <w:contextualSpacing/>
        <w:rPr>
          <w:rFonts w:hint="eastAsia" w:hAnsi="宋体" w:cs="宋体"/>
          <w:bCs/>
          <w:sz w:val="24"/>
          <w:szCs w:val="24"/>
          <w:u w:val="single"/>
        </w:rPr>
      </w:pPr>
      <w:r>
        <w:rPr>
          <w:rFonts w:hint="eastAsia" w:hAnsi="宋体" w:cs="宋体"/>
          <w:bCs/>
          <w:sz w:val="24"/>
          <w:szCs w:val="24"/>
        </w:rPr>
        <w:t>联系电话：</w:t>
      </w:r>
      <w:r>
        <w:rPr>
          <w:rFonts w:hint="eastAsia" w:hAnsi="宋体" w:cs="宋体"/>
          <w:bCs/>
          <w:sz w:val="24"/>
          <w:szCs w:val="24"/>
          <w:u w:val="single"/>
        </w:rPr>
        <w:t xml:space="preserve">                      </w:t>
      </w:r>
    </w:p>
    <w:p w14:paraId="4C93FA71">
      <w:pPr>
        <w:pStyle w:val="17"/>
        <w:spacing w:line="360" w:lineRule="auto"/>
        <w:ind w:firstLine="480" w:firstLineChars="200"/>
        <w:contextualSpacing/>
        <w:rPr>
          <w:rFonts w:hint="eastAsia"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502E083E">
      <w:pPr>
        <w:pStyle w:val="17"/>
        <w:spacing w:line="360" w:lineRule="auto"/>
        <w:ind w:firstLine="482" w:firstLineChars="200"/>
        <w:contextualSpacing/>
        <w:rPr>
          <w:rFonts w:hint="eastAsia" w:hAnsi="宋体" w:cs="宋体"/>
          <w:b/>
          <w:bCs/>
          <w:sz w:val="24"/>
          <w:szCs w:val="24"/>
        </w:rPr>
      </w:pPr>
      <w:r>
        <w:rPr>
          <w:rFonts w:hint="eastAsia" w:hAnsi="宋体" w:cs="宋体"/>
          <w:b/>
          <w:bCs/>
          <w:sz w:val="24"/>
          <w:szCs w:val="24"/>
        </w:rPr>
        <w:t>二、质疑项目基本情况：</w:t>
      </w:r>
    </w:p>
    <w:p w14:paraId="46C591F9">
      <w:pPr>
        <w:pStyle w:val="17"/>
        <w:spacing w:line="360" w:lineRule="auto"/>
        <w:ind w:left="25" w:leftChars="12" w:firstLine="472" w:firstLineChars="197"/>
        <w:contextualSpacing/>
        <w:rPr>
          <w:rFonts w:hint="eastAsia" w:hAnsi="宋体" w:cs="宋体"/>
          <w:sz w:val="24"/>
          <w:szCs w:val="24"/>
        </w:rPr>
      </w:pPr>
      <w:r>
        <w:rPr>
          <w:rFonts w:hint="eastAsia" w:hAnsi="宋体" w:cs="宋体"/>
          <w:bCs/>
          <w:sz w:val="24"/>
          <w:szCs w:val="24"/>
        </w:rPr>
        <w:t>质疑</w:t>
      </w:r>
      <w:r>
        <w:rPr>
          <w:rFonts w:hint="eastAsia" w:hAnsi="宋体" w:cs="宋体"/>
          <w:sz w:val="24"/>
          <w:szCs w:val="24"/>
        </w:rPr>
        <w:t>项目的名称：</w:t>
      </w:r>
      <w:r>
        <w:rPr>
          <w:rFonts w:hint="eastAsia" w:hAnsi="宋体" w:cs="宋体"/>
          <w:bCs/>
          <w:sz w:val="24"/>
          <w:szCs w:val="24"/>
          <w:u w:val="single"/>
        </w:rPr>
        <w:t xml:space="preserve">                                     </w:t>
      </w:r>
    </w:p>
    <w:p w14:paraId="1D1FC416">
      <w:pPr>
        <w:pStyle w:val="17"/>
        <w:spacing w:line="360" w:lineRule="auto"/>
        <w:ind w:left="25" w:leftChars="12" w:firstLine="472" w:firstLineChars="197"/>
        <w:contextualSpacing/>
        <w:rPr>
          <w:rFonts w:hint="eastAsia" w:hAnsi="宋体" w:cs="宋体"/>
          <w:sz w:val="24"/>
          <w:szCs w:val="24"/>
        </w:rPr>
      </w:pPr>
      <w:r>
        <w:rPr>
          <w:rFonts w:hint="eastAsia" w:hAnsi="宋体" w:cs="宋体"/>
          <w:bCs/>
          <w:sz w:val="24"/>
          <w:szCs w:val="24"/>
        </w:rPr>
        <w:t>质疑</w:t>
      </w:r>
      <w:r>
        <w:rPr>
          <w:rFonts w:hint="eastAsia" w:hAnsi="宋体" w:cs="宋体"/>
          <w:sz w:val="24"/>
          <w:szCs w:val="24"/>
        </w:rPr>
        <w:t>项目的编号：</w:t>
      </w:r>
      <w:r>
        <w:rPr>
          <w:rFonts w:hint="eastAsia" w:hAnsi="宋体" w:cs="宋体"/>
          <w:bCs/>
          <w:sz w:val="24"/>
          <w:szCs w:val="24"/>
          <w:u w:val="single"/>
        </w:rPr>
        <w:t xml:space="preserve">                                     </w:t>
      </w:r>
    </w:p>
    <w:p w14:paraId="68181EF6">
      <w:pPr>
        <w:pStyle w:val="17"/>
        <w:spacing w:line="360" w:lineRule="auto"/>
        <w:ind w:left="25" w:leftChars="12" w:firstLine="472" w:firstLineChars="197"/>
        <w:contextualSpacing/>
        <w:rPr>
          <w:rFonts w:hint="eastAsia" w:hAnsi="宋体" w:cs="宋体"/>
          <w:sz w:val="24"/>
          <w:szCs w:val="24"/>
        </w:rPr>
      </w:pPr>
      <w:r>
        <w:rPr>
          <w:rFonts w:hint="eastAsia" w:hAnsi="宋体" w:cs="宋体"/>
          <w:sz w:val="24"/>
          <w:szCs w:val="24"/>
        </w:rPr>
        <w:t>采购人名称：</w:t>
      </w:r>
      <w:r>
        <w:rPr>
          <w:rFonts w:hint="eastAsia" w:hAnsi="宋体" w:cs="宋体"/>
          <w:bCs/>
          <w:sz w:val="24"/>
          <w:szCs w:val="24"/>
          <w:u w:val="single"/>
        </w:rPr>
        <w:t xml:space="preserve">                                         </w:t>
      </w:r>
    </w:p>
    <w:p w14:paraId="5C02A7F8">
      <w:pPr>
        <w:pStyle w:val="17"/>
        <w:spacing w:line="360" w:lineRule="auto"/>
        <w:ind w:left="25" w:leftChars="12" w:firstLine="472" w:firstLineChars="197"/>
        <w:contextualSpacing/>
        <w:rPr>
          <w:rFonts w:hint="eastAsia" w:hAnsi="宋体" w:cs="宋体"/>
          <w:sz w:val="24"/>
          <w:szCs w:val="24"/>
        </w:rPr>
      </w:pPr>
      <w:r>
        <w:rPr>
          <w:rFonts w:hint="eastAsia" w:hAnsi="宋体" w:cs="宋体"/>
          <w:sz w:val="24"/>
          <w:szCs w:val="24"/>
        </w:rPr>
        <w:t>质疑事项：</w:t>
      </w:r>
    </w:p>
    <w:p w14:paraId="4C6AEC30">
      <w:pPr>
        <w:pStyle w:val="17"/>
        <w:spacing w:line="360" w:lineRule="auto"/>
        <w:ind w:left="25" w:leftChars="12" w:firstLine="352" w:firstLineChars="147"/>
        <w:contextualSpacing/>
        <w:rPr>
          <w:rFonts w:hint="eastAsia" w:hAnsi="宋体" w:cs="宋体"/>
          <w:sz w:val="24"/>
          <w:szCs w:val="24"/>
        </w:rPr>
      </w:pPr>
      <w:r>
        <w:rPr>
          <w:rFonts w:hint="eastAsia" w:hAnsi="宋体" w:cs="宋体"/>
          <w:sz w:val="24"/>
          <w:szCs w:val="24"/>
        </w:rPr>
        <w:t>□采购文件   采购文件获取日期：</w:t>
      </w:r>
      <w:r>
        <w:rPr>
          <w:rFonts w:hint="eastAsia" w:hAnsi="宋体" w:cs="宋体"/>
          <w:bCs/>
          <w:sz w:val="24"/>
          <w:szCs w:val="24"/>
          <w:u w:val="single"/>
        </w:rPr>
        <w:t xml:space="preserve">                                   </w:t>
      </w:r>
    </w:p>
    <w:p w14:paraId="35E12AB4">
      <w:pPr>
        <w:pStyle w:val="17"/>
        <w:spacing w:line="360" w:lineRule="auto"/>
        <w:ind w:left="25" w:leftChars="12" w:firstLine="352" w:firstLineChars="147"/>
        <w:contextualSpacing/>
        <w:rPr>
          <w:rFonts w:hint="eastAsia" w:hAnsi="宋体" w:cs="宋体"/>
          <w:sz w:val="24"/>
          <w:szCs w:val="24"/>
        </w:rPr>
      </w:pPr>
      <w:r>
        <w:rPr>
          <w:rFonts w:hint="eastAsia" w:hAnsi="宋体" w:cs="宋体"/>
          <w:sz w:val="24"/>
          <w:szCs w:val="24"/>
        </w:rPr>
        <w:t xml:space="preserve">□采购过程   </w:t>
      </w:r>
    </w:p>
    <w:p w14:paraId="51403969">
      <w:pPr>
        <w:pStyle w:val="17"/>
        <w:spacing w:line="360" w:lineRule="auto"/>
        <w:ind w:left="25" w:leftChars="12" w:firstLine="352" w:firstLineChars="147"/>
        <w:contextualSpacing/>
        <w:rPr>
          <w:rFonts w:hint="eastAsia" w:hAnsi="宋体" w:cs="宋体"/>
          <w:bCs/>
          <w:sz w:val="24"/>
          <w:szCs w:val="24"/>
          <w:u w:val="single"/>
        </w:rPr>
      </w:pPr>
      <w:r>
        <w:rPr>
          <w:rFonts w:hint="eastAsia" w:hAnsi="宋体" w:cs="宋体"/>
          <w:sz w:val="24"/>
          <w:szCs w:val="24"/>
        </w:rPr>
        <w:t xml:space="preserve">□成交结果   </w:t>
      </w:r>
    </w:p>
    <w:p w14:paraId="5F91F071">
      <w:pPr>
        <w:pStyle w:val="17"/>
        <w:spacing w:line="360" w:lineRule="auto"/>
        <w:ind w:left="25" w:leftChars="12" w:firstLine="472" w:firstLineChars="196"/>
        <w:contextualSpacing/>
        <w:rPr>
          <w:rFonts w:hint="eastAsia" w:hAnsi="宋体" w:cs="宋体"/>
          <w:b/>
          <w:sz w:val="24"/>
          <w:szCs w:val="24"/>
        </w:rPr>
      </w:pPr>
      <w:r>
        <w:rPr>
          <w:rFonts w:hint="eastAsia" w:hAnsi="宋体" w:cs="宋体"/>
          <w:b/>
          <w:sz w:val="24"/>
          <w:szCs w:val="24"/>
        </w:rPr>
        <w:t>三、质疑事项具体内容</w:t>
      </w:r>
    </w:p>
    <w:p w14:paraId="648D201F">
      <w:pPr>
        <w:pStyle w:val="17"/>
        <w:spacing w:line="360" w:lineRule="auto"/>
        <w:ind w:left="25" w:leftChars="12" w:firstLine="472" w:firstLineChars="197"/>
        <w:contextualSpacing/>
        <w:rPr>
          <w:rFonts w:hint="eastAsia" w:hAnsi="宋体" w:cs="宋体"/>
          <w:sz w:val="24"/>
          <w:szCs w:val="24"/>
        </w:rPr>
      </w:pPr>
      <w:r>
        <w:rPr>
          <w:rFonts w:hint="eastAsia" w:hAnsi="宋体" w:cs="宋体"/>
          <w:sz w:val="24"/>
          <w:szCs w:val="24"/>
        </w:rPr>
        <w:t>质疑事项1：</w:t>
      </w:r>
      <w:r>
        <w:rPr>
          <w:rFonts w:hint="eastAsia" w:hAnsi="宋体" w:cs="宋体"/>
          <w:bCs/>
          <w:sz w:val="24"/>
          <w:szCs w:val="24"/>
          <w:u w:val="single"/>
        </w:rPr>
        <w:t xml:space="preserve">                                                                    </w:t>
      </w:r>
    </w:p>
    <w:p w14:paraId="663BA700">
      <w:pPr>
        <w:pStyle w:val="17"/>
        <w:spacing w:line="360" w:lineRule="auto"/>
        <w:ind w:left="25" w:leftChars="12" w:firstLine="472" w:firstLineChars="197"/>
        <w:contextualSpacing/>
        <w:rPr>
          <w:rFonts w:hint="eastAsia" w:hAnsi="宋体" w:cs="宋体"/>
          <w:sz w:val="24"/>
          <w:szCs w:val="24"/>
        </w:rPr>
      </w:pPr>
      <w:r>
        <w:rPr>
          <w:rFonts w:hint="eastAsia" w:hAnsi="宋体" w:cs="宋体"/>
          <w:sz w:val="24"/>
          <w:szCs w:val="24"/>
        </w:rPr>
        <w:t>事实依据：</w:t>
      </w:r>
      <w:r>
        <w:rPr>
          <w:rFonts w:hint="eastAsia" w:hAnsi="宋体" w:cs="宋体"/>
          <w:bCs/>
          <w:sz w:val="24"/>
          <w:szCs w:val="24"/>
          <w:u w:val="single"/>
        </w:rPr>
        <w:t xml:space="preserve">                                                                      </w:t>
      </w:r>
    </w:p>
    <w:p w14:paraId="0B4F7317">
      <w:pPr>
        <w:pStyle w:val="17"/>
        <w:spacing w:line="360" w:lineRule="auto"/>
        <w:ind w:left="25" w:leftChars="12" w:firstLine="472" w:firstLineChars="197"/>
        <w:contextualSpacing/>
        <w:rPr>
          <w:rFonts w:hint="eastAsia" w:hAnsi="宋体" w:cs="宋体"/>
          <w:sz w:val="24"/>
          <w:szCs w:val="24"/>
        </w:rPr>
      </w:pPr>
      <w:r>
        <w:rPr>
          <w:rFonts w:hint="eastAsia" w:hAnsi="宋体" w:cs="宋体"/>
          <w:sz w:val="24"/>
          <w:szCs w:val="24"/>
        </w:rPr>
        <w:t>法律依据：</w:t>
      </w:r>
      <w:r>
        <w:rPr>
          <w:rFonts w:hint="eastAsia" w:hAnsi="宋体" w:cs="宋体"/>
          <w:sz w:val="24"/>
          <w:szCs w:val="24"/>
          <w:u w:val="single"/>
        </w:rPr>
        <w:t xml:space="preserve">                                                        </w:t>
      </w:r>
      <w:r>
        <w:rPr>
          <w:rFonts w:hint="eastAsia" w:hAnsi="宋体" w:cs="宋体"/>
          <w:bCs/>
          <w:sz w:val="24"/>
          <w:szCs w:val="24"/>
          <w:u w:val="single"/>
        </w:rPr>
        <w:t xml:space="preserve">               </w:t>
      </w:r>
    </w:p>
    <w:p w14:paraId="47274FDC">
      <w:pPr>
        <w:pStyle w:val="17"/>
        <w:spacing w:line="360" w:lineRule="auto"/>
        <w:ind w:left="25" w:leftChars="12" w:firstLine="472" w:firstLineChars="197"/>
        <w:contextualSpacing/>
        <w:rPr>
          <w:rFonts w:hint="eastAsia" w:hAnsi="宋体" w:cs="宋体"/>
          <w:sz w:val="24"/>
          <w:szCs w:val="24"/>
        </w:rPr>
      </w:pPr>
      <w:r>
        <w:rPr>
          <w:rFonts w:hint="eastAsia" w:hAnsi="宋体" w:cs="宋体"/>
          <w:sz w:val="24"/>
          <w:szCs w:val="24"/>
        </w:rPr>
        <w:t>质疑事项2</w:t>
      </w:r>
    </w:p>
    <w:p w14:paraId="39DAAB28">
      <w:pPr>
        <w:pStyle w:val="17"/>
        <w:spacing w:line="360" w:lineRule="auto"/>
        <w:ind w:left="25" w:leftChars="12" w:firstLine="472" w:firstLineChars="197"/>
        <w:contextualSpacing/>
        <w:rPr>
          <w:rFonts w:hint="eastAsia" w:hAnsi="宋体" w:cs="宋体"/>
          <w:sz w:val="24"/>
          <w:szCs w:val="24"/>
        </w:rPr>
      </w:pPr>
      <w:r>
        <w:rPr>
          <w:rFonts w:hint="eastAsia" w:hAnsi="宋体" w:cs="宋体"/>
          <w:sz w:val="24"/>
          <w:szCs w:val="24"/>
        </w:rPr>
        <w:t>……</w:t>
      </w:r>
    </w:p>
    <w:p w14:paraId="41156379">
      <w:pPr>
        <w:pStyle w:val="17"/>
        <w:spacing w:line="360" w:lineRule="auto"/>
        <w:ind w:left="25" w:leftChars="12" w:firstLine="472" w:firstLineChars="197"/>
        <w:contextualSpacing/>
        <w:rPr>
          <w:rFonts w:hint="eastAsia" w:hAnsi="宋体" w:cs="宋体"/>
          <w:sz w:val="24"/>
          <w:szCs w:val="24"/>
        </w:rPr>
      </w:pPr>
      <w:r>
        <w:rPr>
          <w:rFonts w:hint="eastAsia" w:hAnsi="宋体" w:cs="宋体"/>
          <w:sz w:val="24"/>
          <w:szCs w:val="24"/>
        </w:rPr>
        <w:t>四、与质疑事项相关的质疑请求：</w:t>
      </w:r>
    </w:p>
    <w:p w14:paraId="42167BE1">
      <w:pPr>
        <w:pStyle w:val="17"/>
        <w:spacing w:line="360" w:lineRule="auto"/>
        <w:ind w:left="25" w:leftChars="12" w:firstLine="472" w:firstLineChars="197"/>
        <w:contextualSpacing/>
        <w:rPr>
          <w:rFonts w:hint="eastAsia" w:hAnsi="宋体" w:cs="宋体"/>
          <w:sz w:val="24"/>
          <w:szCs w:val="24"/>
        </w:rPr>
      </w:pPr>
      <w:r>
        <w:rPr>
          <w:rFonts w:hint="eastAsia" w:hAnsi="宋体" w:cs="宋体"/>
          <w:sz w:val="24"/>
          <w:szCs w:val="24"/>
        </w:rPr>
        <w:t>请求：</w:t>
      </w:r>
      <w:r>
        <w:rPr>
          <w:rFonts w:hint="eastAsia" w:hAnsi="宋体" w:cs="宋体"/>
          <w:bCs/>
          <w:sz w:val="24"/>
          <w:szCs w:val="24"/>
          <w:u w:val="single"/>
        </w:rPr>
        <w:t xml:space="preserve">                                                                </w:t>
      </w:r>
    </w:p>
    <w:p w14:paraId="2C76F225">
      <w:pPr>
        <w:pStyle w:val="17"/>
        <w:spacing w:line="360" w:lineRule="auto"/>
        <w:ind w:left="25" w:leftChars="12" w:firstLine="352" w:firstLineChars="147"/>
        <w:contextualSpacing/>
        <w:rPr>
          <w:rFonts w:hint="eastAsia" w:hAnsi="宋体" w:cs="宋体"/>
          <w:sz w:val="24"/>
          <w:szCs w:val="24"/>
        </w:rPr>
      </w:pPr>
    </w:p>
    <w:p w14:paraId="45F2708C">
      <w:pPr>
        <w:pStyle w:val="17"/>
        <w:spacing w:line="360" w:lineRule="auto"/>
        <w:ind w:left="25" w:leftChars="12" w:firstLine="472" w:firstLineChars="197"/>
        <w:contextualSpacing/>
        <w:rPr>
          <w:rFonts w:hint="eastAsia" w:hAnsi="宋体" w:cs="宋体"/>
          <w:sz w:val="24"/>
          <w:szCs w:val="24"/>
        </w:rPr>
      </w:pPr>
      <w:r>
        <w:rPr>
          <w:rFonts w:hint="eastAsia" w:hAnsi="宋体" w:cs="宋体"/>
          <w:sz w:val="24"/>
          <w:szCs w:val="24"/>
        </w:rPr>
        <w:t>签字（签章）：                                       公章：</w:t>
      </w:r>
    </w:p>
    <w:p w14:paraId="35CFC160">
      <w:pPr>
        <w:pStyle w:val="17"/>
        <w:spacing w:line="360" w:lineRule="auto"/>
        <w:ind w:firstLine="480" w:firstLineChars="200"/>
        <w:contextualSpacing/>
        <w:rPr>
          <w:rFonts w:hint="eastAsia" w:hAnsi="宋体" w:cs="宋体"/>
          <w:b/>
          <w:sz w:val="24"/>
          <w:szCs w:val="24"/>
        </w:rPr>
      </w:pPr>
      <w:r>
        <w:rPr>
          <w:rFonts w:hint="eastAsia" w:hAnsi="宋体" w:cs="宋体"/>
          <w:sz w:val="24"/>
          <w:szCs w:val="24"/>
        </w:rPr>
        <w:t>日期：</w:t>
      </w:r>
    </w:p>
    <w:p w14:paraId="1E9B6A4C">
      <w:pPr>
        <w:pStyle w:val="17"/>
        <w:spacing w:line="360" w:lineRule="auto"/>
        <w:contextualSpacing/>
        <w:rPr>
          <w:rFonts w:hint="eastAsia" w:hAnsi="宋体" w:cs="宋体"/>
          <w:b/>
          <w:sz w:val="24"/>
          <w:szCs w:val="24"/>
        </w:rPr>
      </w:pPr>
      <w:r>
        <w:rPr>
          <w:rFonts w:hint="eastAsia" w:hAnsi="宋体" w:cs="宋体"/>
          <w:b/>
          <w:sz w:val="24"/>
          <w:szCs w:val="24"/>
        </w:rPr>
        <w:t>说明：</w:t>
      </w:r>
    </w:p>
    <w:p w14:paraId="56E50745">
      <w:pPr>
        <w:pStyle w:val="17"/>
        <w:spacing w:line="360" w:lineRule="auto"/>
        <w:ind w:left="25" w:leftChars="12" w:firstLine="354" w:firstLineChars="147"/>
        <w:contextualSpacing/>
        <w:rPr>
          <w:rFonts w:hint="eastAsia" w:hAnsi="宋体" w:cs="宋体"/>
          <w:b/>
          <w:bCs/>
          <w:sz w:val="24"/>
          <w:szCs w:val="24"/>
        </w:rPr>
      </w:pPr>
      <w:r>
        <w:rPr>
          <w:rFonts w:hint="eastAsia" w:hAnsi="宋体" w:cs="宋体"/>
          <w:b/>
          <w:sz w:val="24"/>
          <w:szCs w:val="24"/>
        </w:rPr>
        <w:t>1.供应商提出质疑时，应提交质疑函和必要的证明材料</w:t>
      </w:r>
      <w:r>
        <w:rPr>
          <w:rFonts w:hint="eastAsia" w:hAnsi="宋体" w:cs="宋体"/>
          <w:b/>
          <w:bCs/>
          <w:sz w:val="24"/>
          <w:szCs w:val="24"/>
        </w:rPr>
        <w:t>。</w:t>
      </w:r>
    </w:p>
    <w:p w14:paraId="59B0FE39">
      <w:pPr>
        <w:pStyle w:val="17"/>
        <w:spacing w:line="360" w:lineRule="auto"/>
        <w:ind w:left="25" w:leftChars="12" w:firstLine="354" w:firstLineChars="147"/>
        <w:contextualSpacing/>
        <w:rPr>
          <w:rFonts w:hint="eastAsia" w:hAnsi="宋体" w:cs="宋体"/>
          <w:b/>
          <w:sz w:val="24"/>
          <w:szCs w:val="24"/>
        </w:rPr>
      </w:pPr>
      <w:r>
        <w:rPr>
          <w:rFonts w:hint="eastAsia" w:hAnsi="宋体" w:cs="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0EC6F38">
      <w:pPr>
        <w:pStyle w:val="17"/>
        <w:spacing w:line="360" w:lineRule="auto"/>
        <w:ind w:left="25" w:leftChars="12" w:firstLine="354" w:firstLineChars="147"/>
        <w:contextualSpacing/>
        <w:rPr>
          <w:rFonts w:hint="eastAsia" w:hAnsi="宋体" w:cs="宋体"/>
          <w:b/>
          <w:sz w:val="24"/>
          <w:szCs w:val="24"/>
        </w:rPr>
      </w:pPr>
      <w:r>
        <w:rPr>
          <w:rFonts w:hint="eastAsia" w:hAnsi="宋体" w:cs="宋体"/>
          <w:b/>
          <w:sz w:val="24"/>
          <w:szCs w:val="24"/>
        </w:rPr>
        <w:t>3.质疑函的质疑事项应具体、明确，并有必要的事实依据和法律依据。</w:t>
      </w:r>
    </w:p>
    <w:p w14:paraId="2408D6FB">
      <w:pPr>
        <w:pStyle w:val="17"/>
        <w:spacing w:line="360" w:lineRule="auto"/>
        <w:ind w:left="25" w:leftChars="12" w:firstLine="354" w:firstLineChars="147"/>
        <w:contextualSpacing/>
        <w:rPr>
          <w:rFonts w:hint="eastAsia" w:hAnsi="宋体" w:cs="宋体"/>
          <w:b/>
          <w:sz w:val="24"/>
          <w:szCs w:val="24"/>
        </w:rPr>
      </w:pPr>
      <w:r>
        <w:rPr>
          <w:rFonts w:hint="eastAsia" w:hAnsi="宋体" w:cs="宋体"/>
          <w:b/>
          <w:sz w:val="24"/>
          <w:szCs w:val="24"/>
        </w:rPr>
        <w:t>4.质疑函的质疑请求应与质疑事项相关。</w:t>
      </w:r>
    </w:p>
    <w:p w14:paraId="6D73B9C4">
      <w:pPr>
        <w:pStyle w:val="17"/>
        <w:spacing w:line="360" w:lineRule="auto"/>
        <w:ind w:left="25" w:leftChars="12" w:firstLine="354" w:firstLineChars="147"/>
        <w:contextualSpacing/>
        <w:rPr>
          <w:rFonts w:hint="eastAsia" w:hAnsi="宋体" w:cs="宋体"/>
          <w:b/>
        </w:rPr>
      </w:pPr>
      <w:r>
        <w:rPr>
          <w:rFonts w:hint="eastAsia" w:hAnsi="宋体" w:cs="宋体"/>
          <w:b/>
          <w:sz w:val="24"/>
          <w:szCs w:val="24"/>
        </w:rPr>
        <w:t>5.质疑供应商为法人或者其他组织的，质疑函应由法定代表人、主要负责人，或者其授权代表签字或者盖章，并加盖公章。</w:t>
      </w:r>
    </w:p>
    <w:p w14:paraId="22E4522A">
      <w:pPr>
        <w:pStyle w:val="17"/>
        <w:snapToGrid w:val="0"/>
        <w:rPr>
          <w:rFonts w:hint="eastAsia" w:hAnsi="宋体" w:cs="宋体"/>
          <w:b/>
          <w:sz w:val="24"/>
          <w:szCs w:val="24"/>
        </w:rPr>
      </w:pPr>
    </w:p>
    <w:p w14:paraId="4261B6E2">
      <w:pPr>
        <w:rPr>
          <w:rFonts w:hint="eastAsia" w:ascii="宋体" w:hAnsi="宋体" w:cs="宋体"/>
          <w:sz w:val="32"/>
          <w:szCs w:val="40"/>
        </w:rPr>
      </w:pPr>
    </w:p>
    <w:p w14:paraId="17A047F2">
      <w:pPr>
        <w:rPr>
          <w:rFonts w:hint="eastAsia" w:ascii="宋体" w:hAnsi="宋体" w:cs="宋体"/>
          <w:sz w:val="32"/>
          <w:szCs w:val="40"/>
        </w:rPr>
      </w:pPr>
    </w:p>
    <w:p w14:paraId="79C09422">
      <w:pPr>
        <w:rPr>
          <w:rFonts w:hint="eastAsia" w:ascii="宋体" w:hAnsi="宋体" w:cs="宋体"/>
          <w:sz w:val="32"/>
          <w:szCs w:val="40"/>
        </w:rPr>
      </w:pPr>
    </w:p>
    <w:p w14:paraId="4B84DDF4">
      <w:pPr>
        <w:rPr>
          <w:rFonts w:hint="eastAsia" w:ascii="宋体" w:hAnsi="宋体" w:cs="宋体"/>
          <w:sz w:val="32"/>
          <w:szCs w:val="40"/>
        </w:rPr>
      </w:pPr>
    </w:p>
    <w:p w14:paraId="6F5AAB0E">
      <w:pPr>
        <w:rPr>
          <w:rFonts w:hint="eastAsia" w:ascii="宋体" w:hAnsi="宋体" w:cs="宋体"/>
          <w:sz w:val="32"/>
          <w:szCs w:val="40"/>
        </w:rPr>
      </w:pPr>
    </w:p>
    <w:p w14:paraId="175DA900">
      <w:pPr>
        <w:rPr>
          <w:rFonts w:hint="eastAsia" w:ascii="宋体" w:hAnsi="宋体" w:cs="宋体"/>
          <w:sz w:val="32"/>
          <w:szCs w:val="40"/>
        </w:rPr>
      </w:pPr>
    </w:p>
    <w:p w14:paraId="758A27BC">
      <w:pPr>
        <w:rPr>
          <w:rFonts w:hint="eastAsia" w:ascii="宋体" w:hAnsi="宋体" w:cs="宋体"/>
          <w:sz w:val="32"/>
          <w:szCs w:val="40"/>
        </w:rPr>
      </w:pPr>
    </w:p>
    <w:p w14:paraId="4A3A12FA">
      <w:pPr>
        <w:rPr>
          <w:rFonts w:hint="eastAsia" w:ascii="宋体" w:hAnsi="宋体" w:cs="宋体"/>
          <w:sz w:val="32"/>
          <w:szCs w:val="40"/>
        </w:rPr>
      </w:pPr>
    </w:p>
    <w:p w14:paraId="7566FCE0">
      <w:pPr>
        <w:rPr>
          <w:rFonts w:hint="eastAsia" w:ascii="宋体" w:hAnsi="宋体" w:cs="宋体"/>
          <w:sz w:val="32"/>
          <w:szCs w:val="40"/>
        </w:rPr>
      </w:pPr>
    </w:p>
    <w:p w14:paraId="17A642FB">
      <w:pPr>
        <w:rPr>
          <w:rFonts w:hint="eastAsia" w:ascii="宋体" w:hAnsi="宋体" w:cs="宋体"/>
          <w:sz w:val="32"/>
          <w:szCs w:val="40"/>
        </w:rPr>
      </w:pPr>
    </w:p>
    <w:p w14:paraId="425B4E87">
      <w:pPr>
        <w:rPr>
          <w:rFonts w:hint="eastAsia" w:ascii="宋体" w:hAnsi="宋体" w:cs="宋体"/>
          <w:sz w:val="32"/>
          <w:szCs w:val="40"/>
        </w:rPr>
      </w:pPr>
    </w:p>
    <w:p w14:paraId="04720B9A">
      <w:pPr>
        <w:rPr>
          <w:rFonts w:hint="eastAsia" w:ascii="宋体" w:hAnsi="宋体" w:cs="宋体"/>
          <w:sz w:val="32"/>
          <w:szCs w:val="40"/>
        </w:rPr>
      </w:pPr>
    </w:p>
    <w:p w14:paraId="669CCF10">
      <w:pPr>
        <w:rPr>
          <w:rFonts w:hint="eastAsia" w:ascii="宋体" w:hAnsi="宋体" w:cs="宋体"/>
          <w:sz w:val="32"/>
          <w:szCs w:val="40"/>
        </w:rPr>
      </w:pPr>
    </w:p>
    <w:p w14:paraId="4B16FBAD">
      <w:pPr>
        <w:pStyle w:val="2"/>
        <w:rPr>
          <w:rFonts w:hint="eastAsia" w:ascii="宋体" w:hAnsi="宋体" w:cs="宋体"/>
          <w:sz w:val="32"/>
          <w:szCs w:val="40"/>
        </w:rPr>
      </w:pPr>
    </w:p>
    <w:p w14:paraId="04098F73">
      <w:pPr>
        <w:rPr>
          <w:rFonts w:hint="eastAsia" w:ascii="宋体" w:hAnsi="宋体" w:cs="宋体"/>
          <w:sz w:val="32"/>
          <w:szCs w:val="40"/>
        </w:rPr>
      </w:pPr>
    </w:p>
    <w:p w14:paraId="5E1138A7">
      <w:pPr>
        <w:rPr>
          <w:rFonts w:hint="eastAsia" w:ascii="宋体" w:hAnsi="宋体" w:cs="宋体"/>
          <w:sz w:val="44"/>
          <w:szCs w:val="44"/>
        </w:rPr>
      </w:pPr>
      <w:r>
        <w:rPr>
          <w:rFonts w:hint="eastAsia" w:ascii="宋体" w:hAnsi="宋体" w:cs="宋体"/>
          <w:sz w:val="44"/>
          <w:szCs w:val="44"/>
        </w:rPr>
        <w:br w:type="page"/>
      </w:r>
    </w:p>
    <w:p w14:paraId="55EA3752">
      <w:pPr>
        <w:spacing w:line="360" w:lineRule="auto"/>
        <w:jc w:val="center"/>
        <w:rPr>
          <w:rFonts w:hint="eastAsia" w:ascii="宋体" w:hAnsi="宋体" w:cs="宋体"/>
          <w:sz w:val="44"/>
          <w:szCs w:val="44"/>
        </w:rPr>
      </w:pPr>
      <w:r>
        <w:rPr>
          <w:rFonts w:hint="eastAsia" w:ascii="宋体" w:hAnsi="宋体" w:cs="宋体"/>
          <w:sz w:val="44"/>
          <w:szCs w:val="44"/>
        </w:rPr>
        <w:t>投诉书（格式）</w:t>
      </w:r>
    </w:p>
    <w:p w14:paraId="098A351D">
      <w:pPr>
        <w:pStyle w:val="17"/>
        <w:snapToGrid w:val="0"/>
        <w:spacing w:line="360" w:lineRule="auto"/>
        <w:ind w:firstLine="482" w:firstLineChars="200"/>
        <w:rPr>
          <w:rFonts w:hint="eastAsia" w:hAnsi="宋体" w:cs="宋体"/>
          <w:b/>
          <w:bCs/>
          <w:sz w:val="24"/>
          <w:szCs w:val="24"/>
        </w:rPr>
      </w:pPr>
      <w:r>
        <w:rPr>
          <w:rFonts w:hint="eastAsia" w:hAnsi="宋体" w:cs="宋体"/>
          <w:b/>
          <w:bCs/>
          <w:sz w:val="24"/>
          <w:szCs w:val="24"/>
        </w:rPr>
        <w:t>一、投诉相关主体基本情况：</w:t>
      </w:r>
    </w:p>
    <w:p w14:paraId="6B852B2C">
      <w:pPr>
        <w:pStyle w:val="17"/>
        <w:snapToGrid w:val="0"/>
        <w:spacing w:line="360" w:lineRule="auto"/>
        <w:ind w:firstLine="480" w:firstLineChars="200"/>
        <w:rPr>
          <w:rFonts w:hint="eastAsia" w:hAnsi="宋体" w:cs="宋体"/>
          <w:bCs/>
          <w:sz w:val="24"/>
          <w:szCs w:val="24"/>
          <w:u w:val="single"/>
        </w:rPr>
      </w:pPr>
      <w:r>
        <w:rPr>
          <w:rFonts w:hint="eastAsia" w:hAnsi="宋体" w:cs="宋体"/>
          <w:bCs/>
          <w:sz w:val="24"/>
          <w:szCs w:val="24"/>
        </w:rPr>
        <w:t>供应商：</w:t>
      </w:r>
      <w:r>
        <w:rPr>
          <w:rFonts w:hint="eastAsia" w:hAnsi="宋体" w:cs="宋体"/>
          <w:bCs/>
          <w:sz w:val="24"/>
          <w:szCs w:val="24"/>
          <w:u w:val="single"/>
        </w:rPr>
        <w:t xml:space="preserve">                                                                        </w:t>
      </w:r>
      <w:r>
        <w:rPr>
          <w:rFonts w:hint="eastAsia" w:hAnsi="宋体" w:cs="宋体"/>
          <w:bCs/>
          <w:sz w:val="24"/>
          <w:szCs w:val="24"/>
        </w:rPr>
        <w:t xml:space="preserve">                 </w:t>
      </w:r>
    </w:p>
    <w:p w14:paraId="46FC97EF">
      <w:pPr>
        <w:pStyle w:val="17"/>
        <w:snapToGrid w:val="0"/>
        <w:spacing w:line="360" w:lineRule="auto"/>
        <w:ind w:firstLine="480" w:firstLineChars="200"/>
        <w:rPr>
          <w:rFonts w:hint="eastAsia"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7C05D2CD">
      <w:pPr>
        <w:pStyle w:val="17"/>
        <w:snapToGrid w:val="0"/>
        <w:spacing w:line="360" w:lineRule="auto"/>
        <w:ind w:firstLine="480" w:firstLineChars="200"/>
        <w:rPr>
          <w:rFonts w:hint="eastAsia" w:hAnsi="宋体" w:cs="宋体"/>
          <w:bCs/>
          <w:sz w:val="24"/>
          <w:szCs w:val="24"/>
          <w:u w:val="single"/>
        </w:rPr>
      </w:pPr>
      <w:r>
        <w:rPr>
          <w:rFonts w:hint="eastAsia" w:hAnsi="宋体" w:cs="宋体"/>
          <w:bCs/>
          <w:sz w:val="24"/>
          <w:szCs w:val="24"/>
        </w:rPr>
        <w:t>法定代表人/主要负责人：</w:t>
      </w:r>
      <w:r>
        <w:rPr>
          <w:rFonts w:hint="eastAsia" w:hAnsi="宋体" w:cs="宋体"/>
          <w:bCs/>
          <w:sz w:val="24"/>
          <w:szCs w:val="24"/>
          <w:u w:val="single"/>
        </w:rPr>
        <w:t xml:space="preserve">                                                         </w:t>
      </w:r>
    </w:p>
    <w:p w14:paraId="2D2F1F33">
      <w:pPr>
        <w:pStyle w:val="17"/>
        <w:snapToGrid w:val="0"/>
        <w:spacing w:line="360" w:lineRule="auto"/>
        <w:ind w:firstLine="480" w:firstLineChars="200"/>
        <w:rPr>
          <w:rFonts w:hint="eastAsia" w:hAnsi="宋体" w:cs="宋体"/>
          <w:bCs/>
          <w:sz w:val="24"/>
          <w:szCs w:val="24"/>
        </w:rPr>
      </w:pPr>
      <w:r>
        <w:rPr>
          <w:rFonts w:hint="eastAsia" w:hAnsi="宋体" w:cs="宋体"/>
          <w:bCs/>
          <w:sz w:val="24"/>
          <w:szCs w:val="24"/>
        </w:rPr>
        <w:t>联系电话：</w:t>
      </w:r>
      <w:r>
        <w:rPr>
          <w:rFonts w:hint="eastAsia" w:hAnsi="宋体" w:cs="宋体"/>
          <w:bCs/>
          <w:sz w:val="24"/>
          <w:szCs w:val="24"/>
          <w:u w:val="single"/>
        </w:rPr>
        <w:t xml:space="preserve">                                         </w:t>
      </w:r>
    </w:p>
    <w:p w14:paraId="1776B6E6">
      <w:pPr>
        <w:pStyle w:val="17"/>
        <w:snapToGrid w:val="0"/>
        <w:spacing w:line="360" w:lineRule="auto"/>
        <w:ind w:firstLine="480" w:firstLineChars="200"/>
        <w:rPr>
          <w:rFonts w:hint="eastAsia" w:hAnsi="宋体" w:cs="宋体"/>
          <w:bCs/>
          <w:sz w:val="24"/>
          <w:szCs w:val="24"/>
          <w:u w:val="single"/>
        </w:rPr>
      </w:pPr>
      <w:r>
        <w:rPr>
          <w:rFonts w:hint="eastAsia" w:hAnsi="宋体" w:cs="宋体"/>
          <w:bCs/>
          <w:sz w:val="24"/>
          <w:szCs w:val="24"/>
        </w:rPr>
        <w:t>授权代表：</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p>
    <w:p w14:paraId="50889EC0">
      <w:pPr>
        <w:pStyle w:val="17"/>
        <w:snapToGrid w:val="0"/>
        <w:spacing w:line="360" w:lineRule="auto"/>
        <w:ind w:firstLine="480" w:firstLineChars="200"/>
        <w:rPr>
          <w:rFonts w:hint="eastAsia" w:hAnsi="宋体" w:cs="宋体"/>
          <w:bCs/>
          <w:sz w:val="24"/>
          <w:szCs w:val="24"/>
          <w:u w:val="single"/>
        </w:rPr>
      </w:pPr>
      <w:r>
        <w:rPr>
          <w:rFonts w:hint="eastAsia" w:hAnsi="宋体" w:cs="宋体"/>
          <w:bCs/>
          <w:sz w:val="24"/>
          <w:szCs w:val="24"/>
        </w:rPr>
        <w:t>地址：</w:t>
      </w:r>
      <w:r>
        <w:rPr>
          <w:rFonts w:hint="eastAsia" w:hAnsi="宋体" w:cs="宋体"/>
          <w:bCs/>
          <w:sz w:val="24"/>
          <w:szCs w:val="24"/>
          <w:u w:val="single"/>
        </w:rPr>
        <w:t xml:space="preserve">                                                            </w:t>
      </w:r>
    </w:p>
    <w:p w14:paraId="33AE1DD1">
      <w:pPr>
        <w:pStyle w:val="17"/>
        <w:snapToGrid w:val="0"/>
        <w:spacing w:line="360" w:lineRule="auto"/>
        <w:ind w:firstLine="480" w:firstLineChars="200"/>
        <w:rPr>
          <w:rFonts w:hint="eastAsia" w:hAnsi="宋体" w:cs="宋体"/>
          <w:bCs/>
          <w:sz w:val="24"/>
          <w:szCs w:val="24"/>
        </w:rPr>
      </w:pP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2BCF002D">
      <w:pPr>
        <w:pStyle w:val="17"/>
        <w:snapToGrid w:val="0"/>
        <w:spacing w:line="360" w:lineRule="auto"/>
        <w:ind w:firstLine="480" w:firstLineChars="200"/>
        <w:rPr>
          <w:rFonts w:hint="eastAsia" w:hAnsi="宋体" w:cs="宋体"/>
          <w:bCs/>
          <w:sz w:val="24"/>
          <w:szCs w:val="24"/>
        </w:rPr>
      </w:pPr>
      <w:r>
        <w:rPr>
          <w:rFonts w:hint="eastAsia" w:hAnsi="宋体" w:cs="宋体"/>
          <w:bCs/>
          <w:sz w:val="24"/>
          <w:szCs w:val="24"/>
        </w:rPr>
        <w:t>被投诉人1：</w:t>
      </w:r>
    </w:p>
    <w:p w14:paraId="79092252">
      <w:pPr>
        <w:pStyle w:val="17"/>
        <w:snapToGrid w:val="0"/>
        <w:spacing w:line="360" w:lineRule="auto"/>
        <w:ind w:firstLine="480" w:firstLineChars="200"/>
        <w:rPr>
          <w:rFonts w:hint="eastAsia" w:hAnsi="宋体" w:cs="宋体"/>
          <w:bCs/>
          <w:sz w:val="24"/>
          <w:szCs w:val="24"/>
          <w:u w:val="single"/>
        </w:rPr>
      </w:pPr>
      <w:r>
        <w:rPr>
          <w:rFonts w:hint="eastAsia" w:hAnsi="宋体" w:cs="宋体"/>
          <w:bCs/>
          <w:sz w:val="24"/>
          <w:szCs w:val="24"/>
        </w:rPr>
        <w:t>地址：</w:t>
      </w:r>
      <w:r>
        <w:rPr>
          <w:rFonts w:hint="eastAsia" w:hAnsi="宋体" w:cs="宋体"/>
          <w:bCs/>
          <w:sz w:val="24"/>
          <w:szCs w:val="24"/>
          <w:u w:val="single"/>
        </w:rPr>
        <w:t xml:space="preserve">                                                            </w:t>
      </w:r>
    </w:p>
    <w:p w14:paraId="1B3A2EE0">
      <w:pPr>
        <w:pStyle w:val="17"/>
        <w:snapToGrid w:val="0"/>
        <w:spacing w:line="360" w:lineRule="auto"/>
        <w:ind w:firstLine="480" w:firstLineChars="200"/>
        <w:rPr>
          <w:rFonts w:hint="eastAsia" w:hAnsi="宋体" w:cs="宋体"/>
          <w:bCs/>
          <w:sz w:val="24"/>
          <w:szCs w:val="24"/>
        </w:rPr>
      </w:pP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628E4CEA">
      <w:pPr>
        <w:pStyle w:val="17"/>
        <w:snapToGrid w:val="0"/>
        <w:spacing w:line="360" w:lineRule="auto"/>
        <w:ind w:firstLine="480" w:firstLineChars="200"/>
        <w:rPr>
          <w:rFonts w:hint="eastAsia" w:hAnsi="宋体" w:cs="宋体"/>
          <w:bCs/>
          <w:sz w:val="24"/>
          <w:szCs w:val="24"/>
          <w:u w:val="single"/>
        </w:rPr>
      </w:pPr>
      <w:r>
        <w:rPr>
          <w:rFonts w:hint="eastAsia" w:hAnsi="宋体" w:cs="宋体"/>
          <w:bCs/>
          <w:sz w:val="24"/>
          <w:szCs w:val="24"/>
        </w:rPr>
        <w:t>联系人：</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p>
    <w:p w14:paraId="559F0435">
      <w:pPr>
        <w:pStyle w:val="17"/>
        <w:snapToGrid w:val="0"/>
        <w:spacing w:line="360" w:lineRule="auto"/>
        <w:ind w:firstLine="480" w:firstLineChars="200"/>
        <w:rPr>
          <w:rFonts w:hint="eastAsia" w:hAnsi="宋体" w:cs="宋体"/>
          <w:bCs/>
          <w:sz w:val="24"/>
          <w:szCs w:val="24"/>
        </w:rPr>
      </w:pPr>
      <w:r>
        <w:rPr>
          <w:rFonts w:hint="eastAsia" w:hAnsi="宋体" w:cs="宋体"/>
          <w:bCs/>
          <w:sz w:val="24"/>
          <w:szCs w:val="24"/>
        </w:rPr>
        <w:t>被投诉人2：</w:t>
      </w:r>
    </w:p>
    <w:p w14:paraId="78F33D14">
      <w:pPr>
        <w:pStyle w:val="17"/>
        <w:snapToGrid w:val="0"/>
        <w:spacing w:line="360" w:lineRule="auto"/>
        <w:ind w:firstLine="480" w:firstLineChars="200"/>
        <w:rPr>
          <w:rFonts w:hint="eastAsia" w:hAnsi="宋体" w:cs="宋体"/>
          <w:bCs/>
          <w:sz w:val="24"/>
          <w:szCs w:val="24"/>
        </w:rPr>
      </w:pPr>
      <w:r>
        <w:rPr>
          <w:rFonts w:hint="eastAsia" w:hAnsi="宋体" w:cs="宋体"/>
          <w:bCs/>
          <w:sz w:val="24"/>
          <w:szCs w:val="24"/>
        </w:rPr>
        <w:t>……</w:t>
      </w:r>
    </w:p>
    <w:p w14:paraId="362BEE74">
      <w:pPr>
        <w:pStyle w:val="17"/>
        <w:snapToGrid w:val="0"/>
        <w:spacing w:line="360" w:lineRule="auto"/>
        <w:ind w:firstLine="480" w:firstLineChars="200"/>
        <w:rPr>
          <w:rFonts w:hint="eastAsia" w:hAnsi="宋体" w:cs="宋体"/>
          <w:bCs/>
          <w:sz w:val="24"/>
          <w:szCs w:val="24"/>
          <w:u w:val="single"/>
        </w:rPr>
      </w:pPr>
      <w:r>
        <w:rPr>
          <w:rFonts w:hint="eastAsia" w:hAnsi="宋体" w:cs="宋体"/>
          <w:bCs/>
          <w:sz w:val="24"/>
          <w:szCs w:val="24"/>
        </w:rPr>
        <w:t>相关供应商：</w:t>
      </w:r>
      <w:r>
        <w:rPr>
          <w:rFonts w:hint="eastAsia" w:hAnsi="宋体" w:cs="宋体"/>
          <w:bCs/>
          <w:sz w:val="24"/>
          <w:szCs w:val="24"/>
          <w:u w:val="single"/>
        </w:rPr>
        <w:t xml:space="preserve">                                                                       </w:t>
      </w:r>
    </w:p>
    <w:p w14:paraId="135ED08F">
      <w:pPr>
        <w:pStyle w:val="17"/>
        <w:snapToGrid w:val="0"/>
        <w:spacing w:line="360" w:lineRule="auto"/>
        <w:ind w:firstLine="480" w:firstLineChars="200"/>
        <w:rPr>
          <w:rFonts w:hint="eastAsia" w:hAnsi="宋体" w:cs="宋体"/>
          <w:bCs/>
          <w:sz w:val="24"/>
          <w:szCs w:val="24"/>
          <w:u w:val="single"/>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p>
    <w:p w14:paraId="66A53333">
      <w:pPr>
        <w:pStyle w:val="17"/>
        <w:snapToGrid w:val="0"/>
        <w:spacing w:line="360" w:lineRule="auto"/>
        <w:ind w:firstLine="480" w:firstLineChars="200"/>
        <w:rPr>
          <w:rFonts w:hint="eastAsia" w:hAnsi="宋体" w:cs="宋体"/>
          <w:bCs/>
          <w:sz w:val="24"/>
          <w:szCs w:val="24"/>
        </w:rPr>
      </w:pPr>
      <w:r>
        <w:rPr>
          <w:rFonts w:hint="eastAsia" w:hAnsi="宋体" w:cs="宋体"/>
          <w:bCs/>
          <w:sz w:val="24"/>
          <w:szCs w:val="24"/>
        </w:rPr>
        <w:t>联系人：</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r>
        <w:rPr>
          <w:rFonts w:hint="eastAsia" w:hAnsi="宋体" w:cs="宋体"/>
          <w:bCs/>
          <w:sz w:val="24"/>
          <w:szCs w:val="24"/>
        </w:rPr>
        <w:t xml:space="preserve">                </w:t>
      </w:r>
    </w:p>
    <w:p w14:paraId="76743BF3">
      <w:pPr>
        <w:pStyle w:val="17"/>
        <w:snapToGrid w:val="0"/>
        <w:spacing w:line="360" w:lineRule="auto"/>
        <w:ind w:firstLine="482" w:firstLineChars="200"/>
        <w:rPr>
          <w:rFonts w:hint="eastAsia" w:hAnsi="宋体" w:cs="宋体"/>
          <w:b/>
          <w:bCs/>
          <w:sz w:val="24"/>
          <w:szCs w:val="24"/>
        </w:rPr>
      </w:pPr>
      <w:r>
        <w:rPr>
          <w:rFonts w:hint="eastAsia" w:hAnsi="宋体" w:cs="宋体"/>
          <w:b/>
          <w:bCs/>
          <w:sz w:val="24"/>
          <w:szCs w:val="24"/>
        </w:rPr>
        <w:t>二、投诉项目基本情况：</w:t>
      </w:r>
    </w:p>
    <w:p w14:paraId="51C0DB51">
      <w:pPr>
        <w:pStyle w:val="17"/>
        <w:spacing w:line="360" w:lineRule="auto"/>
        <w:ind w:left="25" w:leftChars="12" w:firstLine="472" w:firstLineChars="197"/>
        <w:rPr>
          <w:rFonts w:hint="eastAsia" w:hAnsi="宋体" w:cs="宋体"/>
          <w:sz w:val="24"/>
          <w:szCs w:val="24"/>
        </w:rPr>
      </w:pPr>
      <w:r>
        <w:rPr>
          <w:rFonts w:hint="eastAsia" w:hAnsi="宋体" w:cs="宋体"/>
          <w:bCs/>
          <w:sz w:val="24"/>
          <w:szCs w:val="24"/>
        </w:rPr>
        <w:t>采购</w:t>
      </w:r>
      <w:r>
        <w:rPr>
          <w:rFonts w:hint="eastAsia" w:hAnsi="宋体" w:cs="宋体"/>
          <w:sz w:val="24"/>
          <w:szCs w:val="24"/>
        </w:rPr>
        <w:t>项目的名称：</w:t>
      </w:r>
      <w:r>
        <w:rPr>
          <w:rFonts w:hint="eastAsia" w:hAnsi="宋体" w:cs="宋体"/>
          <w:bCs/>
          <w:sz w:val="24"/>
          <w:szCs w:val="24"/>
          <w:u w:val="single"/>
        </w:rPr>
        <w:t xml:space="preserve">                                                                   </w:t>
      </w:r>
    </w:p>
    <w:p w14:paraId="36A92790">
      <w:pPr>
        <w:pStyle w:val="17"/>
        <w:spacing w:line="360" w:lineRule="auto"/>
        <w:ind w:left="25" w:leftChars="12" w:firstLine="472" w:firstLineChars="197"/>
        <w:rPr>
          <w:rFonts w:hint="eastAsia" w:hAnsi="宋体" w:cs="宋体"/>
          <w:sz w:val="24"/>
          <w:szCs w:val="24"/>
        </w:rPr>
      </w:pPr>
      <w:r>
        <w:rPr>
          <w:rFonts w:hint="eastAsia" w:hAnsi="宋体" w:cs="宋体"/>
          <w:bCs/>
          <w:sz w:val="24"/>
          <w:szCs w:val="24"/>
        </w:rPr>
        <w:t>采购</w:t>
      </w:r>
      <w:r>
        <w:rPr>
          <w:rFonts w:hint="eastAsia" w:hAnsi="宋体" w:cs="宋体"/>
          <w:sz w:val="24"/>
          <w:szCs w:val="24"/>
        </w:rPr>
        <w:t>项目的编号：</w:t>
      </w:r>
      <w:r>
        <w:rPr>
          <w:rFonts w:hint="eastAsia" w:hAnsi="宋体" w:cs="宋体"/>
          <w:bCs/>
          <w:sz w:val="24"/>
          <w:szCs w:val="24"/>
          <w:u w:val="single"/>
        </w:rPr>
        <w:t xml:space="preserve">                                          </w:t>
      </w:r>
    </w:p>
    <w:p w14:paraId="4A3725A5">
      <w:pPr>
        <w:pStyle w:val="17"/>
        <w:spacing w:line="360" w:lineRule="auto"/>
        <w:ind w:left="25" w:leftChars="12" w:firstLine="472" w:firstLineChars="197"/>
        <w:rPr>
          <w:rFonts w:hint="eastAsia" w:hAnsi="宋体" w:cs="宋体"/>
          <w:bCs/>
          <w:sz w:val="24"/>
          <w:szCs w:val="24"/>
          <w:u w:val="single"/>
        </w:rPr>
      </w:pPr>
      <w:r>
        <w:rPr>
          <w:rFonts w:hint="eastAsia" w:hAnsi="宋体" w:cs="宋体"/>
          <w:sz w:val="24"/>
          <w:szCs w:val="24"/>
        </w:rPr>
        <w:t>采购人名称：</w:t>
      </w:r>
      <w:r>
        <w:rPr>
          <w:rFonts w:hint="eastAsia" w:hAnsi="宋体" w:cs="宋体"/>
          <w:bCs/>
          <w:sz w:val="24"/>
          <w:szCs w:val="24"/>
          <w:u w:val="single"/>
        </w:rPr>
        <w:t xml:space="preserve">                                                                        </w:t>
      </w:r>
    </w:p>
    <w:p w14:paraId="3BEAAFBC">
      <w:pPr>
        <w:pStyle w:val="17"/>
        <w:spacing w:line="360" w:lineRule="auto"/>
        <w:ind w:left="25" w:leftChars="12" w:firstLine="472" w:firstLineChars="197"/>
        <w:rPr>
          <w:rFonts w:hint="eastAsia" w:hAnsi="宋体" w:cs="宋体"/>
          <w:bCs/>
          <w:sz w:val="24"/>
          <w:szCs w:val="24"/>
          <w:u w:val="single"/>
        </w:rPr>
      </w:pPr>
      <w:r>
        <w:rPr>
          <w:rFonts w:hint="eastAsia" w:hAnsi="宋体" w:cs="宋体"/>
          <w:sz w:val="24"/>
          <w:szCs w:val="24"/>
        </w:rPr>
        <w:t>代理机构名称：</w:t>
      </w:r>
      <w:r>
        <w:rPr>
          <w:rFonts w:hint="eastAsia" w:hAnsi="宋体" w:cs="宋体"/>
          <w:bCs/>
          <w:sz w:val="24"/>
          <w:szCs w:val="24"/>
          <w:u w:val="single"/>
        </w:rPr>
        <w:t xml:space="preserve">                                                                      </w:t>
      </w:r>
    </w:p>
    <w:p w14:paraId="4A65856D">
      <w:pPr>
        <w:pStyle w:val="17"/>
        <w:spacing w:line="360" w:lineRule="auto"/>
        <w:ind w:left="25" w:leftChars="12" w:firstLine="472" w:firstLineChars="197"/>
        <w:rPr>
          <w:rFonts w:hint="eastAsia" w:hAnsi="宋体" w:cs="宋体"/>
          <w:bCs/>
          <w:sz w:val="24"/>
          <w:szCs w:val="24"/>
          <w:u w:val="single"/>
        </w:rPr>
      </w:pPr>
      <w:r>
        <w:rPr>
          <w:rFonts w:hint="eastAsia" w:hAnsi="宋体" w:cs="宋体"/>
          <w:bCs/>
          <w:sz w:val="24"/>
          <w:szCs w:val="24"/>
        </w:rPr>
        <w:t>采购文件公告：</w:t>
      </w:r>
      <w:r>
        <w:rPr>
          <w:rFonts w:hint="eastAsia" w:hAnsi="宋体" w:cs="宋体"/>
          <w:bCs/>
          <w:sz w:val="24"/>
          <w:szCs w:val="24"/>
          <w:u w:val="single"/>
        </w:rPr>
        <w:t>是/否</w:t>
      </w:r>
      <w:r>
        <w:rPr>
          <w:rFonts w:hint="eastAsia" w:hAnsi="宋体" w:cs="宋体"/>
          <w:bCs/>
          <w:sz w:val="24"/>
          <w:szCs w:val="24"/>
        </w:rPr>
        <w:t>公告期限：</w:t>
      </w:r>
      <w:r>
        <w:rPr>
          <w:rFonts w:hint="eastAsia" w:hAnsi="宋体" w:cs="宋体"/>
          <w:bCs/>
          <w:sz w:val="24"/>
          <w:szCs w:val="24"/>
          <w:u w:val="single"/>
        </w:rPr>
        <w:t xml:space="preserve">                                                       </w:t>
      </w:r>
    </w:p>
    <w:p w14:paraId="412FF156">
      <w:pPr>
        <w:pStyle w:val="17"/>
        <w:spacing w:line="360" w:lineRule="auto"/>
        <w:ind w:left="25" w:leftChars="12" w:firstLine="472" w:firstLineChars="197"/>
        <w:rPr>
          <w:rFonts w:hint="eastAsia" w:hAnsi="宋体" w:cs="宋体"/>
          <w:b/>
          <w:sz w:val="24"/>
          <w:szCs w:val="24"/>
        </w:rPr>
      </w:pPr>
      <w:r>
        <w:rPr>
          <w:rFonts w:hint="eastAsia" w:hAnsi="宋体" w:cs="宋体"/>
          <w:bCs/>
          <w:sz w:val="24"/>
          <w:szCs w:val="24"/>
        </w:rPr>
        <w:t>采购结果公告：</w:t>
      </w:r>
      <w:r>
        <w:rPr>
          <w:rFonts w:hint="eastAsia" w:hAnsi="宋体" w:cs="宋体"/>
          <w:bCs/>
          <w:sz w:val="24"/>
          <w:szCs w:val="24"/>
          <w:u w:val="single"/>
        </w:rPr>
        <w:t>是/否</w:t>
      </w:r>
      <w:r>
        <w:rPr>
          <w:rFonts w:hint="eastAsia" w:hAnsi="宋体" w:cs="宋体"/>
          <w:bCs/>
          <w:sz w:val="24"/>
          <w:szCs w:val="24"/>
        </w:rPr>
        <w:t>公告期限：</w:t>
      </w:r>
      <w:r>
        <w:rPr>
          <w:rFonts w:hint="eastAsia" w:hAnsi="宋体" w:cs="宋体"/>
          <w:bCs/>
          <w:sz w:val="24"/>
          <w:szCs w:val="24"/>
          <w:u w:val="single"/>
        </w:rPr>
        <w:t xml:space="preserve">                                                       </w:t>
      </w:r>
    </w:p>
    <w:p w14:paraId="27688F51">
      <w:pPr>
        <w:pStyle w:val="17"/>
        <w:spacing w:line="360" w:lineRule="auto"/>
        <w:ind w:left="25" w:leftChars="12" w:firstLine="472" w:firstLineChars="196"/>
        <w:rPr>
          <w:rFonts w:hint="eastAsia" w:hAnsi="宋体" w:cs="宋体"/>
          <w:b/>
          <w:sz w:val="24"/>
          <w:szCs w:val="24"/>
        </w:rPr>
      </w:pPr>
      <w:r>
        <w:rPr>
          <w:rFonts w:hint="eastAsia" w:hAnsi="宋体" w:cs="宋体"/>
          <w:b/>
          <w:sz w:val="24"/>
          <w:szCs w:val="24"/>
        </w:rPr>
        <w:t>三、质疑基本情况</w:t>
      </w:r>
    </w:p>
    <w:p w14:paraId="558B8FEC">
      <w:pPr>
        <w:pStyle w:val="17"/>
        <w:spacing w:line="360" w:lineRule="auto"/>
        <w:ind w:firstLine="480" w:firstLineChars="200"/>
        <w:rPr>
          <w:rFonts w:hint="eastAsia" w:hAnsi="宋体" w:cs="宋体"/>
          <w:sz w:val="24"/>
          <w:szCs w:val="24"/>
        </w:rPr>
      </w:pPr>
      <w:r>
        <w:rPr>
          <w:rFonts w:hint="eastAsia" w:hAnsi="宋体" w:cs="宋体"/>
          <w:sz w:val="24"/>
          <w:szCs w:val="24"/>
        </w:rPr>
        <w:t>投诉人于</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日，向</w:t>
      </w:r>
      <w:r>
        <w:rPr>
          <w:rFonts w:hint="eastAsia" w:hAnsi="宋体" w:cs="宋体"/>
          <w:sz w:val="24"/>
          <w:szCs w:val="24"/>
          <w:u w:val="single"/>
        </w:rPr>
        <w:t xml:space="preserve">                                </w:t>
      </w:r>
      <w:r>
        <w:rPr>
          <w:rFonts w:hint="eastAsia" w:hAnsi="宋体" w:cs="宋体"/>
          <w:sz w:val="24"/>
          <w:szCs w:val="24"/>
        </w:rPr>
        <w:t>提出质疑，质疑事项为：</w:t>
      </w:r>
    </w:p>
    <w:p w14:paraId="36DFF61E">
      <w:pPr>
        <w:pStyle w:val="17"/>
        <w:spacing w:line="360" w:lineRule="auto"/>
        <w:ind w:firstLine="241"/>
        <w:rPr>
          <w:rFonts w:hint="eastAsia" w:hAnsi="宋体" w:cs="宋体"/>
          <w:bCs/>
          <w:sz w:val="24"/>
          <w:szCs w:val="24"/>
          <w:u w:val="single"/>
        </w:rPr>
      </w:pPr>
      <w:r>
        <w:rPr>
          <w:rFonts w:hint="eastAsia" w:hAnsi="宋体" w:cs="宋体"/>
          <w:sz w:val="24"/>
          <w:szCs w:val="24"/>
        </w:rPr>
        <w:t xml:space="preserve">    </w:t>
      </w:r>
      <w:r>
        <w:rPr>
          <w:rFonts w:hint="eastAsia" w:hAnsi="宋体" w:cs="宋体"/>
          <w:bCs/>
          <w:sz w:val="24"/>
          <w:szCs w:val="24"/>
          <w:u w:val="single"/>
        </w:rPr>
        <w:t xml:space="preserve">                                                                                      </w:t>
      </w:r>
    </w:p>
    <w:p w14:paraId="45724D77">
      <w:pPr>
        <w:pStyle w:val="17"/>
        <w:spacing w:line="360" w:lineRule="auto"/>
        <w:ind w:firstLine="241"/>
        <w:rPr>
          <w:rFonts w:hint="eastAsia" w:hAnsi="宋体" w:cs="宋体"/>
          <w:bCs/>
          <w:sz w:val="24"/>
          <w:szCs w:val="24"/>
          <w:u w:val="single"/>
        </w:rPr>
      </w:pPr>
      <w:r>
        <w:rPr>
          <w:rFonts w:hint="eastAsia" w:hAnsi="宋体" w:cs="宋体"/>
          <w:bCs/>
          <w:sz w:val="24"/>
          <w:szCs w:val="24"/>
        </w:rPr>
        <w:t xml:space="preserve">    </w:t>
      </w:r>
      <w:r>
        <w:rPr>
          <w:rFonts w:hint="eastAsia" w:hAnsi="宋体" w:cs="宋体"/>
          <w:bCs/>
          <w:sz w:val="24"/>
          <w:szCs w:val="24"/>
          <w:u w:val="single"/>
        </w:rPr>
        <w:t xml:space="preserve">                                                                                      </w:t>
      </w:r>
    </w:p>
    <w:p w14:paraId="4C1C468F">
      <w:pPr>
        <w:pStyle w:val="17"/>
        <w:spacing w:line="360" w:lineRule="auto"/>
        <w:ind w:firstLine="480" w:firstLineChars="200"/>
        <w:rPr>
          <w:rFonts w:hint="eastAsia" w:hAnsi="宋体" w:cs="宋体"/>
          <w:sz w:val="24"/>
          <w:szCs w:val="24"/>
        </w:rPr>
      </w:pPr>
      <w:r>
        <w:rPr>
          <w:rFonts w:hint="eastAsia" w:hAnsi="宋体" w:cs="宋体"/>
          <w:bCs/>
          <w:sz w:val="24"/>
          <w:szCs w:val="24"/>
          <w:u w:val="single"/>
        </w:rPr>
        <w:t>采购人/代理机构</w:t>
      </w:r>
      <w:r>
        <w:rPr>
          <w:rFonts w:hint="eastAsia" w:hAnsi="宋体" w:cs="宋体"/>
          <w:bCs/>
          <w:sz w:val="24"/>
          <w:szCs w:val="24"/>
        </w:rPr>
        <w:t>于</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r>
        <w:rPr>
          <w:rFonts w:hint="eastAsia" w:hAnsi="宋体" w:cs="宋体"/>
          <w:bCs/>
          <w:sz w:val="24"/>
          <w:szCs w:val="24"/>
        </w:rPr>
        <w:t xml:space="preserve">就质疑事项作出了答复/没有在法定期限内作出答复。                                                                                             </w:t>
      </w:r>
    </w:p>
    <w:p w14:paraId="7428CA66">
      <w:pPr>
        <w:pStyle w:val="17"/>
        <w:spacing w:line="360" w:lineRule="auto"/>
        <w:ind w:left="25" w:leftChars="12" w:firstLine="472" w:firstLineChars="196"/>
        <w:rPr>
          <w:rFonts w:hint="eastAsia" w:hAnsi="宋体" w:cs="宋体"/>
          <w:b/>
          <w:sz w:val="24"/>
          <w:szCs w:val="24"/>
        </w:rPr>
      </w:pPr>
      <w:r>
        <w:rPr>
          <w:rFonts w:hint="eastAsia" w:hAnsi="宋体" w:cs="宋体"/>
          <w:b/>
          <w:sz w:val="24"/>
          <w:szCs w:val="24"/>
        </w:rPr>
        <w:t>四、投诉事项具体内容</w:t>
      </w:r>
    </w:p>
    <w:p w14:paraId="4611B416">
      <w:pPr>
        <w:pStyle w:val="17"/>
        <w:spacing w:line="360" w:lineRule="auto"/>
        <w:ind w:left="25" w:leftChars="12" w:firstLine="472" w:firstLineChars="197"/>
        <w:rPr>
          <w:rFonts w:hint="eastAsia" w:hAnsi="宋体" w:cs="宋体"/>
          <w:bCs/>
          <w:sz w:val="24"/>
          <w:szCs w:val="24"/>
          <w:u w:val="single"/>
        </w:rPr>
      </w:pPr>
      <w:r>
        <w:rPr>
          <w:rFonts w:hint="eastAsia" w:hAnsi="宋体" w:cs="宋体"/>
          <w:sz w:val="24"/>
          <w:szCs w:val="24"/>
        </w:rPr>
        <w:t>投诉事项1：</w:t>
      </w:r>
      <w:r>
        <w:rPr>
          <w:rFonts w:hint="eastAsia" w:hAnsi="宋体" w:cs="宋体"/>
          <w:bCs/>
          <w:sz w:val="24"/>
          <w:szCs w:val="24"/>
          <w:u w:val="single"/>
        </w:rPr>
        <w:t xml:space="preserve">                                                                           </w:t>
      </w:r>
    </w:p>
    <w:p w14:paraId="3070EDC0">
      <w:pPr>
        <w:pStyle w:val="17"/>
        <w:spacing w:line="360" w:lineRule="auto"/>
        <w:ind w:firstLine="480" w:firstLineChars="200"/>
        <w:rPr>
          <w:rFonts w:hint="eastAsia" w:hAnsi="宋体" w:cs="宋体"/>
          <w:bCs/>
          <w:sz w:val="24"/>
          <w:szCs w:val="24"/>
          <w:u w:val="single"/>
        </w:rPr>
      </w:pPr>
      <w:r>
        <w:rPr>
          <w:rFonts w:hint="eastAsia" w:hAnsi="宋体" w:cs="宋体"/>
          <w:bCs/>
          <w:sz w:val="24"/>
          <w:szCs w:val="24"/>
        </w:rPr>
        <w:t>事实依据：</w:t>
      </w:r>
      <w:r>
        <w:rPr>
          <w:rFonts w:hint="eastAsia" w:hAnsi="宋体" w:cs="宋体"/>
          <w:sz w:val="24"/>
          <w:szCs w:val="24"/>
        </w:rPr>
        <w:t xml:space="preserve"> </w:t>
      </w:r>
      <w:r>
        <w:rPr>
          <w:rFonts w:hint="eastAsia" w:hAnsi="宋体" w:cs="宋体"/>
          <w:bCs/>
          <w:sz w:val="24"/>
          <w:szCs w:val="24"/>
          <w:u w:val="single"/>
        </w:rPr>
        <w:t xml:space="preserve">                                                                                      </w:t>
      </w:r>
    </w:p>
    <w:p w14:paraId="0AEAE772">
      <w:pPr>
        <w:pStyle w:val="17"/>
        <w:spacing w:line="360" w:lineRule="auto"/>
        <w:ind w:left="25" w:leftChars="12" w:firstLine="472" w:firstLineChars="197"/>
        <w:rPr>
          <w:rFonts w:hint="eastAsia" w:hAnsi="宋体" w:cs="宋体"/>
          <w:sz w:val="24"/>
          <w:szCs w:val="24"/>
        </w:rPr>
      </w:pPr>
      <w:r>
        <w:rPr>
          <w:rFonts w:hint="eastAsia" w:hAnsi="宋体" w:cs="宋体"/>
          <w:bCs/>
          <w:sz w:val="24"/>
          <w:szCs w:val="24"/>
          <w:u w:val="single"/>
        </w:rPr>
        <w:t xml:space="preserve">                                                                                        </w:t>
      </w:r>
    </w:p>
    <w:p w14:paraId="74FFB145">
      <w:pPr>
        <w:pStyle w:val="17"/>
        <w:spacing w:line="360" w:lineRule="auto"/>
        <w:ind w:firstLine="480" w:firstLineChars="200"/>
        <w:rPr>
          <w:rFonts w:hint="eastAsia" w:hAnsi="宋体" w:cs="宋体"/>
          <w:bCs/>
          <w:sz w:val="24"/>
          <w:szCs w:val="24"/>
          <w:u w:val="single"/>
        </w:rPr>
      </w:pPr>
      <w:r>
        <w:rPr>
          <w:rFonts w:hint="eastAsia" w:hAnsi="宋体" w:cs="宋体"/>
          <w:bCs/>
          <w:sz w:val="24"/>
          <w:szCs w:val="24"/>
        </w:rPr>
        <w:t>法律依据：</w:t>
      </w:r>
      <w:r>
        <w:rPr>
          <w:rFonts w:hint="eastAsia" w:hAnsi="宋体" w:cs="宋体"/>
          <w:sz w:val="24"/>
          <w:szCs w:val="24"/>
        </w:rPr>
        <w:t xml:space="preserve"> </w:t>
      </w:r>
      <w:r>
        <w:rPr>
          <w:rFonts w:hint="eastAsia" w:hAnsi="宋体" w:cs="宋体"/>
          <w:bCs/>
          <w:sz w:val="24"/>
          <w:szCs w:val="24"/>
          <w:u w:val="single"/>
        </w:rPr>
        <w:t xml:space="preserve">                                                                                      </w:t>
      </w:r>
    </w:p>
    <w:p w14:paraId="14225F2D">
      <w:pPr>
        <w:pStyle w:val="17"/>
        <w:spacing w:line="360" w:lineRule="auto"/>
        <w:ind w:left="25" w:leftChars="12" w:firstLine="352" w:firstLineChars="147"/>
        <w:rPr>
          <w:rFonts w:hint="eastAsia" w:hAnsi="宋体" w:cs="宋体"/>
          <w:bCs/>
          <w:sz w:val="24"/>
          <w:szCs w:val="24"/>
          <w:u w:val="single"/>
        </w:rPr>
      </w:pPr>
      <w:r>
        <w:rPr>
          <w:rFonts w:hint="eastAsia" w:hAnsi="宋体" w:cs="宋体"/>
          <w:bCs/>
          <w:sz w:val="24"/>
          <w:szCs w:val="24"/>
        </w:rPr>
        <w:t xml:space="preserve"> </w:t>
      </w:r>
      <w:r>
        <w:rPr>
          <w:rFonts w:hint="eastAsia" w:hAnsi="宋体" w:cs="宋体"/>
          <w:bCs/>
          <w:sz w:val="24"/>
          <w:szCs w:val="24"/>
          <w:u w:val="single"/>
        </w:rPr>
        <w:t xml:space="preserve">                                                                                        </w:t>
      </w:r>
    </w:p>
    <w:p w14:paraId="4C9C7565">
      <w:pPr>
        <w:pStyle w:val="17"/>
        <w:spacing w:line="360" w:lineRule="auto"/>
        <w:ind w:left="25" w:leftChars="12" w:firstLine="472" w:firstLineChars="197"/>
        <w:rPr>
          <w:rFonts w:hint="eastAsia" w:hAnsi="宋体" w:cs="宋体"/>
          <w:bCs/>
          <w:sz w:val="24"/>
          <w:szCs w:val="24"/>
        </w:rPr>
      </w:pPr>
      <w:r>
        <w:rPr>
          <w:rFonts w:hint="eastAsia" w:hAnsi="宋体" w:cs="宋体"/>
          <w:sz w:val="24"/>
          <w:szCs w:val="24"/>
        </w:rPr>
        <w:t xml:space="preserve">投诉事项2  </w:t>
      </w:r>
      <w:r>
        <w:rPr>
          <w:rFonts w:hint="eastAsia" w:hAnsi="宋体" w:cs="宋体"/>
          <w:bCs/>
          <w:sz w:val="24"/>
          <w:szCs w:val="24"/>
        </w:rPr>
        <w:t xml:space="preserve">   </w:t>
      </w:r>
    </w:p>
    <w:p w14:paraId="649D1AF4">
      <w:pPr>
        <w:pStyle w:val="17"/>
        <w:spacing w:line="360" w:lineRule="auto"/>
        <w:ind w:left="25" w:leftChars="12" w:firstLine="472" w:firstLineChars="197"/>
        <w:rPr>
          <w:rFonts w:hint="eastAsia" w:hAnsi="宋体" w:cs="宋体"/>
          <w:bCs/>
          <w:sz w:val="24"/>
          <w:szCs w:val="24"/>
        </w:rPr>
      </w:pPr>
      <w:r>
        <w:rPr>
          <w:rFonts w:hint="eastAsia" w:hAnsi="宋体" w:cs="宋体"/>
          <w:bCs/>
          <w:sz w:val="24"/>
          <w:szCs w:val="24"/>
        </w:rPr>
        <w:t>……</w:t>
      </w:r>
    </w:p>
    <w:p w14:paraId="5A29B1E8">
      <w:pPr>
        <w:pStyle w:val="17"/>
        <w:spacing w:line="360" w:lineRule="auto"/>
        <w:ind w:left="25" w:leftChars="12" w:firstLine="472" w:firstLineChars="196"/>
        <w:rPr>
          <w:rFonts w:hint="eastAsia" w:hAnsi="宋体" w:cs="宋体"/>
          <w:b/>
          <w:sz w:val="24"/>
          <w:szCs w:val="24"/>
        </w:rPr>
      </w:pPr>
      <w:r>
        <w:rPr>
          <w:rFonts w:hint="eastAsia" w:hAnsi="宋体" w:cs="宋体"/>
          <w:b/>
          <w:sz w:val="24"/>
          <w:szCs w:val="24"/>
        </w:rPr>
        <w:t>五、与投诉事项相关的投诉请求：</w:t>
      </w:r>
    </w:p>
    <w:p w14:paraId="3B744DD8">
      <w:pPr>
        <w:pStyle w:val="17"/>
        <w:spacing w:line="360" w:lineRule="auto"/>
        <w:ind w:left="25" w:leftChars="12" w:firstLine="472" w:firstLineChars="197"/>
        <w:rPr>
          <w:rFonts w:hint="eastAsia" w:hAnsi="宋体" w:cs="宋体"/>
          <w:sz w:val="24"/>
          <w:szCs w:val="24"/>
        </w:rPr>
      </w:pPr>
      <w:r>
        <w:rPr>
          <w:rFonts w:hint="eastAsia" w:hAnsi="宋体" w:cs="宋体"/>
          <w:sz w:val="24"/>
          <w:szCs w:val="24"/>
        </w:rPr>
        <w:t>请求：</w:t>
      </w:r>
      <w:r>
        <w:rPr>
          <w:rFonts w:hint="eastAsia" w:hAnsi="宋体" w:cs="宋体"/>
          <w:bCs/>
          <w:sz w:val="24"/>
          <w:szCs w:val="24"/>
          <w:u w:val="single"/>
        </w:rPr>
        <w:t xml:space="preserve">                                                                                 </w:t>
      </w:r>
    </w:p>
    <w:p w14:paraId="424DA13D">
      <w:pPr>
        <w:pStyle w:val="17"/>
        <w:spacing w:line="360" w:lineRule="auto"/>
        <w:ind w:left="25" w:leftChars="12" w:firstLine="352" w:firstLineChars="147"/>
        <w:rPr>
          <w:rFonts w:hint="eastAsia" w:hAnsi="宋体" w:cs="宋体"/>
          <w:sz w:val="24"/>
          <w:szCs w:val="24"/>
        </w:rPr>
      </w:pPr>
    </w:p>
    <w:p w14:paraId="2F3F1FF8">
      <w:pPr>
        <w:pStyle w:val="17"/>
        <w:spacing w:line="360" w:lineRule="auto"/>
        <w:ind w:left="25" w:leftChars="12" w:firstLine="472" w:firstLineChars="197"/>
        <w:rPr>
          <w:rFonts w:hint="eastAsia" w:hAnsi="宋体" w:cs="宋体"/>
          <w:sz w:val="24"/>
          <w:szCs w:val="24"/>
        </w:rPr>
      </w:pPr>
      <w:r>
        <w:rPr>
          <w:rFonts w:hint="eastAsia" w:hAnsi="宋体" w:cs="宋体"/>
          <w:sz w:val="24"/>
          <w:szCs w:val="24"/>
        </w:rPr>
        <w:t>签字（签章）：                                       公章：</w:t>
      </w:r>
    </w:p>
    <w:p w14:paraId="0FF8E403">
      <w:pPr>
        <w:pStyle w:val="17"/>
        <w:spacing w:line="360" w:lineRule="auto"/>
        <w:ind w:left="25" w:leftChars="12" w:firstLine="352" w:firstLineChars="147"/>
        <w:rPr>
          <w:rFonts w:hint="eastAsia" w:hAnsi="宋体" w:cs="宋体"/>
          <w:sz w:val="24"/>
          <w:szCs w:val="24"/>
        </w:rPr>
      </w:pPr>
    </w:p>
    <w:p w14:paraId="5D566C46">
      <w:pPr>
        <w:pStyle w:val="17"/>
        <w:spacing w:line="360" w:lineRule="auto"/>
        <w:ind w:left="25" w:leftChars="12" w:firstLine="472" w:firstLineChars="197"/>
        <w:rPr>
          <w:rFonts w:hint="eastAsia" w:hAnsi="宋体" w:cs="宋体"/>
          <w:sz w:val="24"/>
          <w:szCs w:val="24"/>
        </w:rPr>
      </w:pPr>
      <w:r>
        <w:rPr>
          <w:rFonts w:hint="eastAsia" w:hAnsi="宋体" w:cs="宋体"/>
          <w:sz w:val="24"/>
          <w:szCs w:val="24"/>
        </w:rPr>
        <w:t>日期：</w:t>
      </w:r>
    </w:p>
    <w:p w14:paraId="2A2A7DAF">
      <w:pPr>
        <w:pStyle w:val="17"/>
        <w:spacing w:line="360" w:lineRule="auto"/>
        <w:ind w:left="25" w:leftChars="12" w:firstLine="472" w:firstLineChars="197"/>
        <w:rPr>
          <w:rFonts w:hint="eastAsia" w:hAnsi="宋体" w:cs="宋体"/>
          <w:b/>
          <w:sz w:val="24"/>
          <w:szCs w:val="24"/>
        </w:rPr>
      </w:pPr>
      <w:r>
        <w:rPr>
          <w:rFonts w:hint="eastAsia" w:hAnsi="宋体" w:cs="宋体"/>
          <w:bCs/>
          <w:sz w:val="24"/>
          <w:szCs w:val="24"/>
        </w:rPr>
        <w:t xml:space="preserve">                                                                                 </w:t>
      </w:r>
    </w:p>
    <w:p w14:paraId="16D9D2C1">
      <w:pPr>
        <w:pStyle w:val="17"/>
        <w:snapToGrid w:val="0"/>
        <w:spacing w:line="360" w:lineRule="auto"/>
        <w:rPr>
          <w:rFonts w:hint="eastAsia" w:hAnsi="宋体" w:cs="宋体"/>
          <w:b/>
          <w:sz w:val="24"/>
          <w:szCs w:val="24"/>
        </w:rPr>
      </w:pPr>
      <w:r>
        <w:rPr>
          <w:rFonts w:hint="eastAsia" w:hAnsi="宋体" w:cs="宋体"/>
          <w:b/>
          <w:sz w:val="24"/>
          <w:szCs w:val="24"/>
        </w:rPr>
        <w:t>说明：</w:t>
      </w:r>
    </w:p>
    <w:p w14:paraId="562DB413">
      <w:pPr>
        <w:pStyle w:val="17"/>
        <w:spacing w:line="360" w:lineRule="auto"/>
        <w:ind w:left="25" w:leftChars="12" w:firstLine="354" w:firstLineChars="147"/>
        <w:rPr>
          <w:rFonts w:hint="eastAsia" w:hAnsi="宋体" w:cs="宋体"/>
          <w:b/>
          <w:bCs/>
          <w:sz w:val="24"/>
          <w:szCs w:val="24"/>
        </w:rPr>
      </w:pPr>
      <w:r>
        <w:rPr>
          <w:rFonts w:hint="eastAsia" w:hAnsi="宋体" w:cs="宋体"/>
          <w:b/>
          <w:sz w:val="24"/>
          <w:szCs w:val="24"/>
        </w:rPr>
        <w:t>1.投诉人提起投诉时，应当提交投诉书和必要的证明材料，并按照被投诉人和与投诉事项有关的供应商数量提供投诉书副本</w:t>
      </w:r>
      <w:r>
        <w:rPr>
          <w:rFonts w:hint="eastAsia" w:hAnsi="宋体" w:cs="宋体"/>
          <w:b/>
          <w:bCs/>
          <w:sz w:val="24"/>
          <w:szCs w:val="24"/>
        </w:rPr>
        <w:t>。</w:t>
      </w:r>
    </w:p>
    <w:p w14:paraId="5B27C293">
      <w:pPr>
        <w:pStyle w:val="17"/>
        <w:spacing w:line="360" w:lineRule="auto"/>
        <w:ind w:left="25" w:leftChars="12" w:firstLine="354" w:firstLineChars="147"/>
        <w:rPr>
          <w:rFonts w:hint="eastAsia" w:hAnsi="宋体" w:cs="宋体"/>
          <w:b/>
          <w:sz w:val="24"/>
          <w:szCs w:val="24"/>
        </w:rPr>
      </w:pPr>
      <w:r>
        <w:rPr>
          <w:rFonts w:hint="eastAsia" w:hAnsi="宋体" w:cs="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1137CEF">
      <w:pPr>
        <w:pStyle w:val="17"/>
        <w:spacing w:line="360" w:lineRule="auto"/>
        <w:ind w:left="25" w:leftChars="12" w:firstLine="354" w:firstLineChars="147"/>
        <w:rPr>
          <w:rFonts w:hint="eastAsia" w:hAnsi="宋体" w:cs="宋体"/>
          <w:b/>
          <w:sz w:val="24"/>
          <w:szCs w:val="24"/>
        </w:rPr>
      </w:pPr>
      <w:r>
        <w:rPr>
          <w:rFonts w:hint="eastAsia" w:hAnsi="宋体" w:cs="宋体"/>
          <w:b/>
          <w:sz w:val="24"/>
          <w:szCs w:val="24"/>
        </w:rPr>
        <w:t>3.投诉书应简要列明质疑事项，质疑函、质疑答复等作为附件材料提供。</w:t>
      </w:r>
    </w:p>
    <w:p w14:paraId="7321B4AF">
      <w:pPr>
        <w:pStyle w:val="17"/>
        <w:spacing w:line="360" w:lineRule="auto"/>
        <w:ind w:left="25" w:leftChars="12" w:firstLine="354" w:firstLineChars="147"/>
        <w:rPr>
          <w:rFonts w:hint="eastAsia" w:hAnsi="宋体" w:cs="宋体"/>
          <w:b/>
          <w:sz w:val="24"/>
          <w:szCs w:val="24"/>
        </w:rPr>
      </w:pPr>
      <w:r>
        <w:rPr>
          <w:rFonts w:hint="eastAsia" w:hAnsi="宋体" w:cs="宋体"/>
          <w:b/>
          <w:sz w:val="24"/>
          <w:szCs w:val="24"/>
        </w:rPr>
        <w:t>4.投诉书的投诉事项应具体、明确，并有必要的事实依据和法律依据。</w:t>
      </w:r>
    </w:p>
    <w:p w14:paraId="4842C08B">
      <w:pPr>
        <w:pStyle w:val="17"/>
        <w:spacing w:line="360" w:lineRule="auto"/>
        <w:ind w:left="25" w:leftChars="12" w:firstLine="354" w:firstLineChars="147"/>
        <w:rPr>
          <w:rFonts w:hint="eastAsia" w:hAnsi="宋体" w:cs="宋体"/>
          <w:b/>
          <w:sz w:val="24"/>
          <w:szCs w:val="24"/>
        </w:rPr>
      </w:pPr>
      <w:r>
        <w:rPr>
          <w:rFonts w:hint="eastAsia" w:hAnsi="宋体" w:cs="宋体"/>
          <w:b/>
          <w:sz w:val="24"/>
          <w:szCs w:val="24"/>
        </w:rPr>
        <w:t>5.投诉书的投诉请求应与投诉事项相关。</w:t>
      </w:r>
    </w:p>
    <w:p w14:paraId="6F546B29">
      <w:pPr>
        <w:pStyle w:val="17"/>
        <w:spacing w:line="360" w:lineRule="auto"/>
        <w:ind w:left="25" w:leftChars="12" w:firstLine="354" w:firstLineChars="147"/>
        <w:rPr>
          <w:rFonts w:hint="eastAsia" w:hAnsi="宋体" w:cs="宋体"/>
          <w:b/>
          <w:sz w:val="24"/>
          <w:szCs w:val="24"/>
        </w:rPr>
      </w:pPr>
      <w:r>
        <w:rPr>
          <w:rFonts w:hint="eastAsia" w:hAnsi="宋体" w:cs="宋体"/>
          <w:b/>
          <w:sz w:val="24"/>
          <w:szCs w:val="24"/>
        </w:rPr>
        <w:t>6.投诉人为法人或者其他组织的，投诉书应由法定代表人、主要负责人，或者其授权代表签字或者盖章，并加盖公章。</w:t>
      </w:r>
    </w:p>
    <w:p w14:paraId="03D70830">
      <w:pPr>
        <w:rPr>
          <w:rFonts w:ascii="宋体" w:hAnsi="宋体" w:cs="宋体"/>
          <w:b/>
          <w:color w:val="auto"/>
          <w:sz w:val="24"/>
          <w:highlight w:val="none"/>
        </w:rPr>
      </w:pPr>
    </w:p>
    <w:p w14:paraId="442619F6">
      <w:pPr>
        <w:pStyle w:val="3"/>
        <w:jc w:val="center"/>
        <w:rPr>
          <w:rFonts w:ascii="宋体" w:hAnsi="宋体" w:cs="宋体"/>
          <w:color w:val="auto"/>
          <w:highlight w:val="none"/>
        </w:rPr>
      </w:pPr>
      <w:bookmarkStart w:id="184" w:name="_Toc74323461"/>
      <w:r>
        <w:rPr>
          <w:rFonts w:hint="eastAsia" w:ascii="宋体" w:hAnsi="宋体" w:cs="宋体"/>
          <w:color w:val="auto"/>
          <w:highlight w:val="none"/>
        </w:rPr>
        <w:t>第六章 合同文本</w:t>
      </w:r>
      <w:bookmarkEnd w:id="184"/>
    </w:p>
    <w:p w14:paraId="441AB5CD">
      <w:pPr>
        <w:spacing w:line="360" w:lineRule="auto"/>
        <w:ind w:right="800"/>
        <w:rPr>
          <w:rFonts w:hint="eastAsia" w:ascii="宋体" w:hAnsi="宋体" w:cs="宋体"/>
          <w:bCs/>
          <w:szCs w:val="21"/>
          <w:u w:val="single"/>
        </w:rPr>
      </w:pPr>
      <w:r>
        <w:rPr>
          <w:rFonts w:hint="eastAsia" w:ascii="宋体" w:hAnsi="宋体" w:cs="宋体"/>
          <w:szCs w:val="21"/>
        </w:rPr>
        <w:t>采购计划号：</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bCs/>
          <w:szCs w:val="21"/>
        </w:rPr>
        <w:t>合同编号：</w:t>
      </w:r>
      <w:r>
        <w:rPr>
          <w:rFonts w:hint="eastAsia" w:ascii="宋体" w:hAnsi="宋体" w:cs="宋体"/>
          <w:szCs w:val="21"/>
          <w:u w:val="single"/>
        </w:rPr>
        <w:t xml:space="preserve">                  </w:t>
      </w:r>
    </w:p>
    <w:p w14:paraId="661C8021">
      <w:pPr>
        <w:spacing w:line="360" w:lineRule="auto"/>
        <w:rPr>
          <w:rFonts w:hint="eastAsia" w:ascii="宋体" w:hAnsi="宋体" w:cs="宋体"/>
          <w:szCs w:val="21"/>
          <w:u w:val="single"/>
        </w:rPr>
      </w:pPr>
      <w:r>
        <w:rPr>
          <w:rFonts w:hint="eastAsia" w:ascii="宋体" w:hAnsi="宋体" w:cs="宋体"/>
          <w:szCs w:val="21"/>
        </w:rPr>
        <w:t>采购人（甲方）：</w:t>
      </w:r>
      <w:r>
        <w:rPr>
          <w:rFonts w:hint="eastAsia" w:ascii="宋体" w:hAnsi="宋体" w:cs="宋体"/>
          <w:szCs w:val="21"/>
          <w:u w:val="single"/>
        </w:rPr>
        <w:t xml:space="preserve">                     </w:t>
      </w:r>
      <w:r>
        <w:rPr>
          <w:rFonts w:hint="eastAsia" w:ascii="宋体" w:hAnsi="宋体" w:cs="宋体"/>
          <w:szCs w:val="21"/>
        </w:rPr>
        <w:t xml:space="preserve">   供应商（乙方）：</w:t>
      </w:r>
      <w:r>
        <w:rPr>
          <w:rFonts w:hint="eastAsia" w:ascii="宋体" w:hAnsi="宋体" w:cs="宋体"/>
          <w:szCs w:val="21"/>
          <w:u w:val="single"/>
        </w:rPr>
        <w:t xml:space="preserve">                    </w:t>
      </w:r>
      <w:r>
        <w:rPr>
          <w:rFonts w:hint="eastAsia" w:ascii="宋体" w:hAnsi="宋体" w:cs="宋体"/>
          <w:szCs w:val="21"/>
        </w:rPr>
        <w:t xml:space="preserve">    </w:t>
      </w:r>
    </w:p>
    <w:p w14:paraId="466FB121">
      <w:pPr>
        <w:spacing w:line="360" w:lineRule="auto"/>
        <w:rPr>
          <w:rFonts w:hint="eastAsia" w:ascii="宋体" w:hAnsi="宋体" w:cs="宋体"/>
          <w:szCs w:val="21"/>
          <w:u w:val="single"/>
        </w:rPr>
      </w:pPr>
      <w:r>
        <w:rPr>
          <w:rFonts w:hint="eastAsia" w:ascii="宋体" w:hAnsi="宋体" w:cs="宋体"/>
          <w:szCs w:val="21"/>
        </w:rPr>
        <w:t>项目名称：</w:t>
      </w:r>
      <w:r>
        <w:rPr>
          <w:rFonts w:hint="eastAsia" w:ascii="宋体" w:hAnsi="宋体" w:cs="宋体"/>
          <w:szCs w:val="21"/>
          <w:u w:val="single"/>
        </w:rPr>
        <w:t xml:space="preserve">                           </w:t>
      </w:r>
      <w:r>
        <w:rPr>
          <w:rFonts w:hint="eastAsia" w:ascii="宋体" w:hAnsi="宋体" w:cs="宋体"/>
          <w:szCs w:val="21"/>
        </w:rPr>
        <w:t xml:space="preserve">   项目编号：</w:t>
      </w:r>
      <w:r>
        <w:rPr>
          <w:rFonts w:hint="eastAsia" w:ascii="宋体" w:hAnsi="宋体" w:cs="宋体"/>
          <w:szCs w:val="21"/>
          <w:u w:val="single"/>
        </w:rPr>
        <w:t xml:space="preserve">                          </w:t>
      </w:r>
    </w:p>
    <w:p w14:paraId="76E6E441">
      <w:pPr>
        <w:spacing w:line="360" w:lineRule="auto"/>
        <w:rPr>
          <w:rFonts w:hint="eastAsia" w:ascii="宋体" w:hAnsi="宋体" w:cs="宋体"/>
          <w:szCs w:val="21"/>
          <w:u w:val="single"/>
        </w:rPr>
      </w:pPr>
      <w:r>
        <w:rPr>
          <w:rFonts w:hint="eastAsia" w:ascii="宋体" w:hAnsi="宋体" w:cs="宋体"/>
          <w:szCs w:val="21"/>
        </w:rPr>
        <w:t>签订地点：</w:t>
      </w:r>
      <w:r>
        <w:rPr>
          <w:rFonts w:hint="eastAsia" w:ascii="宋体" w:hAnsi="宋体" w:cs="宋体"/>
          <w:szCs w:val="21"/>
          <w:u w:val="single"/>
        </w:rPr>
        <w:t xml:space="preserve">                           </w:t>
      </w:r>
      <w:r>
        <w:rPr>
          <w:rFonts w:hint="eastAsia" w:ascii="宋体" w:hAnsi="宋体" w:cs="宋体"/>
          <w:szCs w:val="21"/>
        </w:rPr>
        <w:t xml:space="preserve">   签订时间：</w:t>
      </w:r>
      <w:r>
        <w:rPr>
          <w:rFonts w:hint="eastAsia" w:ascii="宋体" w:hAnsi="宋体" w:cs="宋体"/>
          <w:szCs w:val="21"/>
          <w:u w:val="single"/>
        </w:rPr>
        <w:t xml:space="preserve">                        </w:t>
      </w:r>
    </w:p>
    <w:p w14:paraId="5FAAA62C">
      <w:pPr>
        <w:spacing w:line="360" w:lineRule="auto"/>
        <w:rPr>
          <w:rFonts w:hint="eastAsia" w:ascii="宋体" w:hAnsi="宋体" w:cs="宋体"/>
          <w:szCs w:val="21"/>
        </w:rPr>
      </w:pPr>
      <w:r>
        <w:rPr>
          <w:rFonts w:hint="eastAsia" w:ascii="宋体" w:hAnsi="宋体" w:cs="宋体"/>
          <w:szCs w:val="21"/>
        </w:rPr>
        <w:t>本合同是否为中小企业预留合同：</w:t>
      </w:r>
      <w:r>
        <w:rPr>
          <w:rFonts w:hint="eastAsia" w:ascii="宋体" w:hAnsi="宋体" w:cs="宋体"/>
          <w:szCs w:val="21"/>
          <w:u w:val="single"/>
          <w:lang w:eastAsia="zh-CN"/>
        </w:rPr>
        <w:t>否</w:t>
      </w:r>
      <w:r>
        <w:rPr>
          <w:rFonts w:hint="eastAsia" w:ascii="宋体" w:hAnsi="宋体" w:cs="宋体"/>
          <w:szCs w:val="21"/>
        </w:rPr>
        <w:t>。</w:t>
      </w:r>
    </w:p>
    <w:p w14:paraId="77D1A39C">
      <w:pPr>
        <w:spacing w:line="360" w:lineRule="auto"/>
        <w:ind w:firstLine="420" w:firstLineChars="200"/>
        <w:rPr>
          <w:rFonts w:hint="eastAsia" w:ascii="宋体" w:hAnsi="宋体" w:cs="宋体"/>
          <w:szCs w:val="21"/>
        </w:rPr>
      </w:pPr>
      <w:r>
        <w:rPr>
          <w:rFonts w:hint="eastAsia" w:ascii="宋体" w:hAnsi="宋体" w:cs="宋体"/>
          <w:szCs w:val="21"/>
        </w:rPr>
        <w:t>根据《中华人民共和国政府采购法》《中华人民共和国民法典》等法律、法规规定，按照磋商文件规定条款和乙方响应文件及其承诺，甲乙双方签订本合同。</w:t>
      </w:r>
    </w:p>
    <w:p w14:paraId="73660CD6">
      <w:pPr>
        <w:spacing w:line="360" w:lineRule="auto"/>
        <w:ind w:firstLine="422" w:firstLineChars="200"/>
        <w:rPr>
          <w:rFonts w:hint="eastAsia" w:ascii="宋体" w:hAnsi="宋体" w:cs="宋体"/>
          <w:b/>
          <w:szCs w:val="21"/>
        </w:rPr>
      </w:pPr>
      <w:r>
        <w:rPr>
          <w:rFonts w:hint="eastAsia" w:ascii="宋体" w:hAnsi="宋体" w:cs="宋体"/>
          <w:b/>
          <w:szCs w:val="21"/>
        </w:rPr>
        <w:t>第一条　合同标的</w:t>
      </w:r>
    </w:p>
    <w:p w14:paraId="455786AC">
      <w:pPr>
        <w:spacing w:line="360" w:lineRule="auto"/>
        <w:ind w:firstLine="420" w:firstLineChars="200"/>
        <w:rPr>
          <w:rFonts w:hint="eastAsia" w:ascii="宋体" w:hAnsi="宋体" w:cs="宋体"/>
          <w:szCs w:val="21"/>
        </w:rPr>
      </w:pPr>
      <w:r>
        <w:rPr>
          <w:rFonts w:hint="eastAsia" w:ascii="宋体" w:hAnsi="宋体" w:cs="宋体"/>
          <w:szCs w:val="21"/>
        </w:rPr>
        <w:t>1、项目一览表</w:t>
      </w:r>
    </w:p>
    <w:tbl>
      <w:tblPr>
        <w:tblStyle w:val="29"/>
        <w:tblW w:w="865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801"/>
      </w:tblGrid>
      <w:tr w14:paraId="447B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0ED007C3">
            <w:pPr>
              <w:spacing w:line="360" w:lineRule="auto"/>
              <w:jc w:val="center"/>
              <w:rPr>
                <w:rFonts w:hint="eastAsia" w:ascii="宋体" w:hAnsi="宋体" w:cs="宋体"/>
                <w:szCs w:val="21"/>
              </w:rPr>
            </w:pPr>
            <w:r>
              <w:rPr>
                <w:rFonts w:hint="eastAsia" w:ascii="宋体" w:hAnsi="宋体" w:cs="宋体"/>
                <w:szCs w:val="21"/>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2A21BB06">
            <w:pPr>
              <w:spacing w:line="360" w:lineRule="auto"/>
              <w:jc w:val="center"/>
              <w:rPr>
                <w:rFonts w:hint="eastAsia" w:ascii="宋体" w:hAnsi="宋体" w:cs="宋体"/>
                <w:szCs w:val="21"/>
              </w:rPr>
            </w:pPr>
            <w:r>
              <w:rPr>
                <w:rFonts w:hint="eastAsia" w:ascii="宋体" w:hAnsi="宋体" w:cs="宋体"/>
                <w:szCs w:val="21"/>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63D2328C">
            <w:pPr>
              <w:spacing w:line="360" w:lineRule="auto"/>
              <w:jc w:val="center"/>
              <w:rPr>
                <w:rFonts w:hint="eastAsia" w:ascii="宋体" w:hAnsi="宋体" w:cs="宋体"/>
                <w:szCs w:val="21"/>
              </w:rPr>
            </w:pPr>
            <w:r>
              <w:rPr>
                <w:rFonts w:hint="eastAsia" w:ascii="宋体" w:hAnsi="宋体" w:cs="宋体"/>
                <w:szCs w:val="21"/>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371B628">
            <w:pPr>
              <w:spacing w:line="360" w:lineRule="auto"/>
              <w:jc w:val="center"/>
              <w:rPr>
                <w:rFonts w:hint="eastAsia" w:ascii="宋体" w:hAnsi="宋体" w:cs="宋体"/>
                <w:szCs w:val="21"/>
              </w:rPr>
            </w:pPr>
            <w:r>
              <w:rPr>
                <w:rFonts w:hint="eastAsia" w:ascii="宋体" w:hAnsi="宋体" w:cs="宋体"/>
                <w:szCs w:val="21"/>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861C7EB">
            <w:pPr>
              <w:spacing w:line="360" w:lineRule="auto"/>
              <w:jc w:val="center"/>
              <w:rPr>
                <w:rFonts w:hint="eastAsia" w:ascii="宋体" w:hAnsi="宋体" w:cs="宋体"/>
                <w:szCs w:val="21"/>
              </w:rPr>
            </w:pPr>
            <w:r>
              <w:rPr>
                <w:rFonts w:hint="eastAsia" w:ascii="宋体" w:hAnsi="宋体" w:cs="宋体"/>
                <w:szCs w:val="21"/>
              </w:rPr>
              <w:t>单位</w:t>
            </w:r>
          </w:p>
        </w:tc>
        <w:tc>
          <w:tcPr>
            <w:tcW w:w="1801" w:type="dxa"/>
            <w:tcBorders>
              <w:top w:val="single" w:color="auto" w:sz="4" w:space="0"/>
              <w:left w:val="single" w:color="auto" w:sz="4" w:space="0"/>
              <w:bottom w:val="single" w:color="auto" w:sz="4" w:space="0"/>
              <w:right w:val="single" w:color="auto" w:sz="4" w:space="0"/>
            </w:tcBorders>
            <w:noWrap w:val="0"/>
            <w:vAlign w:val="center"/>
          </w:tcPr>
          <w:p w14:paraId="7EEC78C9">
            <w:pPr>
              <w:spacing w:line="360" w:lineRule="auto"/>
              <w:jc w:val="center"/>
              <w:rPr>
                <w:rFonts w:hint="default" w:ascii="宋体" w:hAnsi="宋体" w:eastAsia="宋体" w:cs="宋体"/>
                <w:szCs w:val="21"/>
                <w:lang w:val="en-US" w:eastAsia="zh-CN"/>
              </w:rPr>
            </w:pPr>
            <w:r>
              <w:rPr>
                <w:rFonts w:hint="eastAsia" w:ascii="宋体" w:hAnsi="宋体" w:cs="宋体"/>
                <w:szCs w:val="21"/>
                <w:lang w:eastAsia="zh-CN"/>
              </w:rPr>
              <w:t>折扣</w:t>
            </w:r>
          </w:p>
        </w:tc>
      </w:tr>
      <w:tr w14:paraId="20E0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243779E">
            <w:pPr>
              <w:spacing w:line="360" w:lineRule="auto"/>
              <w:jc w:val="center"/>
              <w:rPr>
                <w:rFonts w:hint="eastAsia" w:ascii="宋体" w:hAnsi="宋体" w:cs="宋体"/>
                <w:szCs w:val="21"/>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FB95428">
            <w:pPr>
              <w:spacing w:line="360" w:lineRule="auto"/>
              <w:jc w:val="center"/>
              <w:rPr>
                <w:rFonts w:hint="eastAsia" w:ascii="宋体" w:hAnsi="宋体" w:cs="宋体"/>
                <w:szCs w:val="21"/>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0ADABA58">
            <w:pPr>
              <w:spacing w:line="360" w:lineRule="auto"/>
              <w:jc w:val="center"/>
              <w:rPr>
                <w:rFonts w:hint="eastAsia" w:ascii="宋体" w:hAnsi="宋体" w:cs="宋体"/>
                <w:szCs w:val="21"/>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C9FE022">
            <w:pPr>
              <w:spacing w:line="360" w:lineRule="auto"/>
              <w:jc w:val="center"/>
              <w:rPr>
                <w:rFonts w:hint="eastAsia" w:ascii="宋体" w:hAnsi="宋体" w:cs="宋体"/>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F02F53A">
            <w:pPr>
              <w:spacing w:line="360" w:lineRule="auto"/>
              <w:jc w:val="center"/>
              <w:rPr>
                <w:rFonts w:hint="eastAsia" w:ascii="宋体" w:hAnsi="宋体" w:cs="宋体"/>
                <w:szCs w:val="21"/>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14:paraId="0C01685A">
            <w:pPr>
              <w:spacing w:line="360" w:lineRule="auto"/>
              <w:jc w:val="center"/>
              <w:rPr>
                <w:rFonts w:hint="eastAsia" w:ascii="宋体" w:hAnsi="宋体" w:cs="宋体"/>
                <w:szCs w:val="21"/>
                <w:lang w:eastAsia="zh-CN"/>
              </w:rPr>
            </w:pPr>
          </w:p>
        </w:tc>
      </w:tr>
    </w:tbl>
    <w:p w14:paraId="0121BC9E">
      <w:pPr>
        <w:spacing w:line="360" w:lineRule="auto"/>
        <w:ind w:firstLine="420" w:firstLineChars="200"/>
        <w:rPr>
          <w:rFonts w:hint="eastAsia" w:ascii="宋体" w:hAnsi="宋体" w:cs="宋体"/>
          <w:szCs w:val="21"/>
        </w:rPr>
      </w:pPr>
      <w:r>
        <w:rPr>
          <w:rFonts w:hint="eastAsia" w:ascii="宋体" w:hAnsi="宋体" w:cs="宋体"/>
          <w:szCs w:val="21"/>
        </w:rPr>
        <w:t>2、合同合计金额</w:t>
      </w:r>
      <w:r>
        <w:rPr>
          <w:rFonts w:hint="eastAsia" w:ascii="宋体" w:hAnsi="宋体" w:eastAsia="宋体" w:cs="宋体"/>
          <w:sz w:val="21"/>
          <w:szCs w:val="21"/>
        </w:rPr>
        <w:t>包含</w:t>
      </w:r>
      <w:r>
        <w:rPr>
          <w:rFonts w:hint="eastAsia" w:ascii="宋体" w:hAnsi="宋体" w:cs="宋体"/>
          <w:sz w:val="21"/>
          <w:szCs w:val="21"/>
          <w:lang w:val="en-US" w:eastAsia="zh-CN"/>
        </w:rPr>
        <w:t>乙方</w:t>
      </w:r>
      <w:r>
        <w:rPr>
          <w:rFonts w:hint="eastAsia" w:ascii="宋体" w:hAnsi="宋体" w:eastAsia="宋体" w:cs="宋体"/>
          <w:sz w:val="21"/>
          <w:szCs w:val="21"/>
        </w:rPr>
        <w:t>完成本项目服务所有内容及相关其他相关服务的成本、利润、税金、人员差旅费用、交通费用、住宿费用、检测方法、技术措施费、检测费、鉴定费等费用及其他所有可能发生的一切费用。除签订的合同价款外，</w:t>
      </w:r>
      <w:r>
        <w:rPr>
          <w:rFonts w:hint="eastAsia" w:ascii="宋体" w:hAnsi="宋体" w:cs="宋体"/>
          <w:sz w:val="21"/>
          <w:szCs w:val="21"/>
          <w:lang w:val="en-US" w:eastAsia="zh-CN"/>
        </w:rPr>
        <w:t>甲方</w:t>
      </w:r>
      <w:r>
        <w:rPr>
          <w:rFonts w:hint="eastAsia" w:ascii="宋体" w:hAnsi="宋体" w:eastAsia="宋体" w:cs="宋体"/>
          <w:sz w:val="21"/>
          <w:szCs w:val="21"/>
        </w:rPr>
        <w:t>不再支付任何额外费用。</w:t>
      </w:r>
      <w:r>
        <w:rPr>
          <w:rFonts w:hint="eastAsia" w:ascii="宋体" w:hAnsi="宋体" w:cs="宋体"/>
          <w:szCs w:val="21"/>
        </w:rPr>
        <w:t>如磋商文件对其另有规定的，从其规定。</w:t>
      </w:r>
    </w:p>
    <w:p w14:paraId="1C6208CB">
      <w:pPr>
        <w:spacing w:line="360" w:lineRule="auto"/>
        <w:ind w:firstLine="422" w:firstLineChars="200"/>
        <w:rPr>
          <w:rFonts w:hint="eastAsia" w:ascii="宋体" w:hAnsi="宋体" w:cs="宋体"/>
          <w:b/>
          <w:szCs w:val="21"/>
        </w:rPr>
      </w:pPr>
      <w:r>
        <w:rPr>
          <w:rFonts w:hint="eastAsia" w:ascii="宋体" w:hAnsi="宋体" w:cs="宋体"/>
          <w:b/>
          <w:szCs w:val="21"/>
        </w:rPr>
        <w:t>第二条　质量保证</w:t>
      </w:r>
    </w:p>
    <w:p w14:paraId="76F92933">
      <w:pPr>
        <w:snapToGrid w:val="0"/>
        <w:spacing w:line="360" w:lineRule="auto"/>
        <w:ind w:firstLine="420" w:firstLineChars="200"/>
        <w:rPr>
          <w:rFonts w:hint="eastAsia" w:ascii="宋体" w:hAnsi="宋体" w:cs="宋体"/>
          <w:szCs w:val="21"/>
        </w:rPr>
      </w:pPr>
      <w:r>
        <w:rPr>
          <w:rFonts w:hint="eastAsia" w:ascii="宋体" w:hAnsi="宋体" w:cs="宋体"/>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14:paraId="3B160AE2">
      <w:pPr>
        <w:spacing w:line="360" w:lineRule="auto"/>
        <w:ind w:firstLine="422" w:firstLineChars="200"/>
        <w:rPr>
          <w:rFonts w:hint="eastAsia" w:ascii="宋体" w:hAnsi="宋体" w:cs="宋体"/>
          <w:szCs w:val="21"/>
        </w:rPr>
      </w:pPr>
      <w:r>
        <w:rPr>
          <w:rFonts w:hint="eastAsia" w:ascii="宋体" w:hAnsi="宋体" w:cs="宋体"/>
          <w:b/>
          <w:szCs w:val="21"/>
        </w:rPr>
        <w:t>第三条　权利保证</w:t>
      </w:r>
    </w:p>
    <w:p w14:paraId="08235F2D">
      <w:pPr>
        <w:snapToGrid w:val="0"/>
        <w:spacing w:line="360" w:lineRule="auto"/>
        <w:ind w:firstLine="420" w:firstLineChars="200"/>
        <w:rPr>
          <w:rFonts w:hint="eastAsia" w:ascii="宋体" w:hAnsi="宋体" w:cs="宋体"/>
          <w:szCs w:val="21"/>
        </w:rPr>
      </w:pPr>
      <w:r>
        <w:rPr>
          <w:rFonts w:hint="eastAsia" w:ascii="宋体" w:hAnsi="宋体" w:cs="宋体"/>
          <w:szCs w:val="21"/>
        </w:rPr>
        <w:t>1、乙方应保证所提供服务在使用时不会侵犯任何第三方的专利权、商标权、工业设计权等知识产权及其他合法权利，且所有权、处分权等没有受到任何限制。</w:t>
      </w:r>
    </w:p>
    <w:p w14:paraId="3BBBD4FC">
      <w:pPr>
        <w:snapToGrid w:val="0"/>
        <w:spacing w:line="360" w:lineRule="auto"/>
        <w:ind w:firstLine="420" w:firstLineChars="200"/>
        <w:rPr>
          <w:rFonts w:hint="eastAsia" w:ascii="宋体" w:hAnsi="宋体" w:cs="宋体"/>
          <w:szCs w:val="21"/>
        </w:rPr>
      </w:pPr>
      <w:r>
        <w:rPr>
          <w:rFonts w:hint="eastAsia" w:ascii="宋体" w:hAnsi="宋体" w:cs="宋体"/>
          <w:szCs w:val="21"/>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4378CEB5">
      <w:pPr>
        <w:spacing w:line="360" w:lineRule="auto"/>
        <w:ind w:firstLine="422" w:firstLineChars="200"/>
        <w:rPr>
          <w:rFonts w:hint="eastAsia" w:ascii="宋体" w:hAnsi="宋体" w:cs="宋体"/>
          <w:szCs w:val="21"/>
        </w:rPr>
      </w:pPr>
      <w:r>
        <w:rPr>
          <w:rFonts w:hint="eastAsia" w:ascii="宋体" w:hAnsi="宋体" w:cs="宋体"/>
          <w:b/>
          <w:szCs w:val="21"/>
        </w:rPr>
        <w:t>第四条　交付和验收</w:t>
      </w:r>
    </w:p>
    <w:p w14:paraId="248154AE">
      <w:pPr>
        <w:snapToGrid w:val="0"/>
        <w:spacing w:line="360" w:lineRule="auto"/>
        <w:ind w:firstLine="420" w:firstLineChars="200"/>
        <w:rPr>
          <w:rFonts w:hint="eastAsia" w:ascii="宋体" w:hAnsi="宋体" w:cs="宋体"/>
          <w:szCs w:val="21"/>
        </w:rPr>
      </w:pPr>
      <w:r>
        <w:rPr>
          <w:rFonts w:hint="eastAsia" w:ascii="宋体" w:hAnsi="宋体" w:cs="宋体"/>
          <w:szCs w:val="21"/>
        </w:rPr>
        <w:t>(1)服务期限：自签订合同之日起一年。</w:t>
      </w:r>
    </w:p>
    <w:p w14:paraId="6C4AD5A0">
      <w:pPr>
        <w:numPr>
          <w:ilvl w:val="0"/>
          <w:numId w:val="3"/>
        </w:numPr>
        <w:snapToGrid w:val="0"/>
        <w:spacing w:line="360" w:lineRule="auto"/>
        <w:ind w:firstLine="420" w:firstLineChars="200"/>
        <w:rPr>
          <w:rFonts w:hint="eastAsia" w:ascii="宋体" w:hAnsi="宋体" w:cs="宋体"/>
          <w:szCs w:val="21"/>
        </w:rPr>
      </w:pPr>
      <w:r>
        <w:rPr>
          <w:rFonts w:hint="eastAsia" w:ascii="宋体" w:hAnsi="宋体" w:cs="宋体"/>
          <w:szCs w:val="21"/>
        </w:rPr>
        <w:t>服务地点：广西岑溪市甲方指定地点。</w:t>
      </w:r>
    </w:p>
    <w:p w14:paraId="2C56803F">
      <w:pPr>
        <w:snapToGrid w:val="0"/>
        <w:spacing w:line="360" w:lineRule="auto"/>
        <w:ind w:firstLine="420" w:firstLineChars="200"/>
        <w:rPr>
          <w:rFonts w:hint="eastAsia" w:ascii="宋体" w:hAnsi="宋体" w:cs="宋体"/>
          <w:szCs w:val="21"/>
        </w:rPr>
      </w:pPr>
      <w:r>
        <w:rPr>
          <w:rFonts w:hint="eastAsia" w:ascii="宋体" w:hAnsi="宋体" w:cs="宋体"/>
          <w:szCs w:val="21"/>
        </w:rPr>
        <w:t>2、乙方应按响应文件的承诺向甲方提供相应的服务，并提供所服务内容的相关技术资料。</w:t>
      </w:r>
    </w:p>
    <w:p w14:paraId="311B59BA">
      <w:pPr>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bCs/>
          <w:szCs w:val="21"/>
        </w:rPr>
        <w:t>验收标准：</w:t>
      </w:r>
      <w:r>
        <w:rPr>
          <w:rFonts w:hint="eastAsia" w:ascii="宋体" w:hAnsi="宋体" w:cs="宋体"/>
          <w:szCs w:val="20"/>
        </w:rPr>
        <w:t>符合国家规定的质量标准和现行技术规范、规程要求并通过有关部门审查。</w:t>
      </w:r>
    </w:p>
    <w:p w14:paraId="4EB031D2">
      <w:pPr>
        <w:snapToGrid w:val="0"/>
        <w:spacing w:line="360" w:lineRule="auto"/>
        <w:ind w:firstLine="420" w:firstLineChars="200"/>
        <w:rPr>
          <w:rFonts w:hint="eastAsia" w:ascii="宋体" w:hAnsi="宋体" w:cs="宋体"/>
          <w:bCs/>
          <w:szCs w:val="21"/>
        </w:rPr>
      </w:pPr>
      <w:r>
        <w:rPr>
          <w:rFonts w:hint="eastAsia" w:ascii="宋体" w:hAnsi="宋体" w:cs="宋体"/>
          <w:bCs/>
          <w:szCs w:val="21"/>
        </w:rPr>
        <w:t>4、验收费用按下列方式</w:t>
      </w:r>
      <w:r>
        <w:rPr>
          <w:rFonts w:hint="eastAsia" w:ascii="宋体" w:hAnsi="宋体" w:cs="宋体"/>
          <w:bCs/>
          <w:szCs w:val="21"/>
          <w:u w:val="single"/>
        </w:rPr>
        <w:t xml:space="preserve"> </w:t>
      </w:r>
      <w:r>
        <w:rPr>
          <w:rFonts w:hint="eastAsia" w:ascii="宋体" w:hAnsi="宋体" w:cs="宋体"/>
          <w:u w:val="single"/>
        </w:rPr>
        <w:t xml:space="preserve">② </w:t>
      </w:r>
      <w:r>
        <w:rPr>
          <w:rFonts w:hint="eastAsia" w:ascii="宋体" w:hAnsi="宋体" w:cs="宋体"/>
          <w:bCs/>
          <w:szCs w:val="21"/>
        </w:rPr>
        <w:t>确定：</w:t>
      </w:r>
    </w:p>
    <w:p w14:paraId="1FBDEE41">
      <w:pPr>
        <w:snapToGrid w:val="0"/>
        <w:spacing w:line="360" w:lineRule="auto"/>
        <w:ind w:firstLine="420" w:firstLineChars="200"/>
        <w:rPr>
          <w:rFonts w:hint="eastAsia" w:ascii="宋体" w:hAnsi="宋体" w:cs="宋体"/>
          <w:bCs/>
          <w:szCs w:val="21"/>
        </w:rPr>
      </w:pPr>
      <w:r>
        <w:rPr>
          <w:rFonts w:hint="eastAsia" w:ascii="宋体" w:hAnsi="宋体" w:cs="宋体"/>
          <w:bCs/>
          <w:szCs w:val="21"/>
        </w:rPr>
        <w:t>①甲方支付；</w:t>
      </w:r>
    </w:p>
    <w:p w14:paraId="3515BEFA">
      <w:pPr>
        <w:snapToGrid w:val="0"/>
        <w:spacing w:line="360" w:lineRule="auto"/>
        <w:ind w:firstLine="420" w:firstLineChars="200"/>
        <w:rPr>
          <w:rFonts w:hint="eastAsia" w:ascii="宋体" w:hAnsi="宋体" w:cs="宋体"/>
          <w:bCs/>
          <w:szCs w:val="21"/>
        </w:rPr>
      </w:pPr>
      <w:r>
        <w:rPr>
          <w:rFonts w:hint="eastAsia" w:ascii="宋体" w:hAnsi="宋体" w:cs="宋体"/>
          <w:bCs/>
          <w:szCs w:val="21"/>
        </w:rPr>
        <w:t>②乙方支付。</w:t>
      </w:r>
    </w:p>
    <w:p w14:paraId="75994612">
      <w:pPr>
        <w:snapToGrid w:val="0"/>
        <w:spacing w:line="360" w:lineRule="auto"/>
        <w:ind w:firstLine="422" w:firstLineChars="200"/>
        <w:rPr>
          <w:rFonts w:hint="eastAsia" w:ascii="宋体" w:hAnsi="宋体" w:cs="宋体"/>
          <w:b/>
          <w:szCs w:val="21"/>
        </w:rPr>
      </w:pPr>
      <w:r>
        <w:rPr>
          <w:rFonts w:hint="eastAsia" w:ascii="宋体" w:hAnsi="宋体" w:cs="宋体"/>
          <w:b/>
          <w:szCs w:val="21"/>
        </w:rPr>
        <w:t>第五条  售后服务及培训</w:t>
      </w:r>
    </w:p>
    <w:p w14:paraId="4C765F80">
      <w:pPr>
        <w:snapToGrid w:val="0"/>
        <w:spacing w:line="360" w:lineRule="auto"/>
        <w:ind w:firstLine="420" w:firstLineChars="200"/>
        <w:rPr>
          <w:rFonts w:hint="eastAsia" w:ascii="宋体" w:hAnsi="宋体" w:cs="宋体"/>
          <w:szCs w:val="21"/>
        </w:rPr>
      </w:pPr>
      <w:r>
        <w:rPr>
          <w:rFonts w:hint="eastAsia" w:ascii="宋体" w:hAnsi="宋体" w:cs="宋体"/>
          <w:szCs w:val="21"/>
        </w:rPr>
        <w:t>1、乙方应按照国家有关法律法规和本合同所附的《售后服务承诺》要求为甲方提供相应的售后服务。</w:t>
      </w:r>
    </w:p>
    <w:p w14:paraId="3B24FF14">
      <w:pPr>
        <w:spacing w:line="360" w:lineRule="auto"/>
        <w:ind w:firstLine="420" w:firstLineChars="200"/>
        <w:rPr>
          <w:rFonts w:hint="eastAsia" w:ascii="宋体" w:hAnsi="宋体" w:cs="宋体"/>
          <w:szCs w:val="21"/>
        </w:rPr>
      </w:pPr>
      <w:r>
        <w:rPr>
          <w:rFonts w:hint="eastAsia" w:ascii="宋体" w:hAnsi="宋体" w:cs="宋体"/>
          <w:szCs w:val="21"/>
        </w:rPr>
        <w:t>2、甲方应提供必要测试条件（如场地、电源、水源等）。</w:t>
      </w:r>
    </w:p>
    <w:p w14:paraId="24210B53">
      <w:pPr>
        <w:spacing w:line="360" w:lineRule="auto"/>
        <w:ind w:firstLine="420" w:firstLineChars="200"/>
        <w:rPr>
          <w:rFonts w:hint="eastAsia" w:ascii="宋体" w:hAnsi="宋体" w:cs="宋体"/>
          <w:szCs w:val="21"/>
        </w:rPr>
      </w:pPr>
      <w:r>
        <w:rPr>
          <w:rFonts w:hint="eastAsia" w:ascii="宋体" w:hAnsi="宋体" w:cs="宋体"/>
          <w:szCs w:val="21"/>
        </w:rPr>
        <w:t>3、乙方负责甲方有关人员的培训。培训时间、地点：</w:t>
      </w:r>
      <w:r>
        <w:rPr>
          <w:rFonts w:hint="eastAsia" w:ascii="宋体" w:hAnsi="宋体" w:cs="宋体"/>
          <w:szCs w:val="21"/>
          <w:u w:val="single"/>
        </w:rPr>
        <w:t xml:space="preserve">                    </w:t>
      </w:r>
      <w:r>
        <w:rPr>
          <w:rFonts w:hint="eastAsia" w:ascii="宋体" w:hAnsi="宋体" w:cs="宋体"/>
          <w:szCs w:val="21"/>
        </w:rPr>
        <w:t>。</w:t>
      </w:r>
    </w:p>
    <w:p w14:paraId="0BC079B3">
      <w:pPr>
        <w:snapToGrid w:val="0"/>
        <w:spacing w:line="360" w:lineRule="auto"/>
        <w:ind w:firstLine="422" w:firstLineChars="200"/>
        <w:rPr>
          <w:rFonts w:hint="eastAsia" w:ascii="宋体" w:hAnsi="宋体" w:cs="宋体"/>
          <w:szCs w:val="21"/>
          <w:u w:val="single"/>
        </w:rPr>
      </w:pPr>
      <w:r>
        <w:rPr>
          <w:rFonts w:hint="eastAsia" w:ascii="宋体" w:hAnsi="宋体" w:cs="宋体"/>
          <w:b/>
          <w:szCs w:val="21"/>
        </w:rPr>
        <w:t>第六条　付款方式</w:t>
      </w:r>
    </w:p>
    <w:p w14:paraId="45132018">
      <w:pPr>
        <w:spacing w:line="360" w:lineRule="auto"/>
        <w:ind w:firstLine="420" w:firstLineChars="200"/>
        <w:rPr>
          <w:rFonts w:hint="eastAsia" w:ascii="宋体" w:hAnsi="宋体" w:cs="宋体"/>
          <w:szCs w:val="21"/>
          <w:u w:val="single"/>
        </w:rPr>
      </w:pPr>
      <w:r>
        <w:rPr>
          <w:rFonts w:hint="eastAsia" w:ascii="宋体" w:hAnsi="宋体" w:cs="宋体"/>
          <w:szCs w:val="21"/>
        </w:rPr>
        <w:t>甲乙双方同意本合同金额的支付按以下第</w:t>
      </w:r>
      <w:r>
        <w:rPr>
          <w:rFonts w:hint="eastAsia" w:ascii="宋体" w:hAnsi="宋体" w:cs="宋体"/>
          <w:szCs w:val="21"/>
          <w:u w:val="single"/>
        </w:rPr>
        <w:t>2</w:t>
      </w:r>
      <w:r>
        <w:rPr>
          <w:rFonts w:hint="eastAsia" w:ascii="宋体" w:hAnsi="宋体" w:cs="宋体"/>
          <w:szCs w:val="21"/>
        </w:rPr>
        <w:t>项约定执行：</w:t>
      </w:r>
    </w:p>
    <w:p w14:paraId="1A59B86B">
      <w:pPr>
        <w:spacing w:line="360" w:lineRule="auto"/>
        <w:ind w:firstLine="420" w:firstLineChars="200"/>
        <w:rPr>
          <w:rFonts w:hint="eastAsia" w:ascii="宋体" w:hAnsi="宋体" w:cs="宋体"/>
          <w:szCs w:val="21"/>
        </w:rPr>
      </w:pPr>
      <w:r>
        <w:rPr>
          <w:rFonts w:hint="eastAsia" w:ascii="宋体" w:hAnsi="宋体" w:cs="宋体"/>
          <w:szCs w:val="21"/>
        </w:rPr>
        <w:t>1、一次性支付</w:t>
      </w:r>
    </w:p>
    <w:p w14:paraId="3356D3B6">
      <w:pPr>
        <w:spacing w:line="360" w:lineRule="auto"/>
        <w:ind w:firstLine="420" w:firstLineChars="200"/>
        <w:rPr>
          <w:rFonts w:hint="eastAsia" w:ascii="宋体" w:hAnsi="宋体" w:cs="宋体"/>
          <w:szCs w:val="21"/>
        </w:rPr>
      </w:pPr>
      <w:r>
        <w:rPr>
          <w:rFonts w:hint="eastAsia" w:ascii="宋体" w:hAnsi="宋体" w:cs="宋体"/>
          <w:szCs w:val="21"/>
        </w:rPr>
        <w:t>2、分期支付</w:t>
      </w:r>
    </w:p>
    <w:p w14:paraId="7B2AC106">
      <w:pPr>
        <w:snapToGrid w:val="0"/>
        <w:spacing w:line="360" w:lineRule="auto"/>
        <w:ind w:firstLine="420" w:firstLineChars="200"/>
        <w:rPr>
          <w:rFonts w:hint="eastAsia" w:ascii="宋体" w:hAnsi="宋体" w:cs="宋体"/>
          <w:b w:val="0"/>
          <w:bCs/>
          <w:szCs w:val="21"/>
        </w:rPr>
      </w:pPr>
      <w:r>
        <w:rPr>
          <w:rFonts w:hint="eastAsia" w:ascii="宋体" w:hAnsi="宋体" w:cs="宋体"/>
          <w:b w:val="0"/>
          <w:bCs/>
          <w:szCs w:val="21"/>
          <w:lang w:val="en-US" w:eastAsia="zh-CN"/>
        </w:rPr>
        <w:t>（1）</w:t>
      </w:r>
      <w:r>
        <w:rPr>
          <w:rFonts w:hint="eastAsia" w:ascii="宋体" w:hAnsi="宋体" w:cs="宋体"/>
          <w:b w:val="0"/>
          <w:bCs/>
          <w:szCs w:val="21"/>
        </w:rPr>
        <w:t xml:space="preserve">合同正式生效后，甲乙双方根据每月按项目数量结算一次。 </w:t>
      </w:r>
    </w:p>
    <w:p w14:paraId="40F6A055">
      <w:pPr>
        <w:snapToGrid w:val="0"/>
        <w:spacing w:line="360" w:lineRule="auto"/>
        <w:ind w:firstLine="420" w:firstLineChars="200"/>
        <w:rPr>
          <w:rFonts w:hint="eastAsia" w:ascii="宋体" w:hAnsi="宋体" w:cs="宋体"/>
          <w:b w:val="0"/>
          <w:bCs/>
          <w:szCs w:val="21"/>
        </w:rPr>
      </w:pPr>
      <w:r>
        <w:rPr>
          <w:rFonts w:hint="eastAsia" w:ascii="宋体" w:hAnsi="宋体" w:cs="宋体"/>
          <w:b w:val="0"/>
          <w:bCs/>
          <w:szCs w:val="21"/>
          <w:lang w:val="en-US" w:eastAsia="zh-CN"/>
        </w:rPr>
        <w:t>（2）</w:t>
      </w:r>
      <w:r>
        <w:rPr>
          <w:rFonts w:hint="eastAsia" w:ascii="宋体" w:hAnsi="宋体" w:cs="宋体"/>
          <w:b w:val="0"/>
          <w:bCs/>
          <w:szCs w:val="21"/>
        </w:rPr>
        <w:t>结算公式: 结算价格=每月实际项目数量×基准价×</w:t>
      </w:r>
      <w:r>
        <w:rPr>
          <w:rFonts w:hint="eastAsia" w:ascii="宋体" w:hAnsi="宋体" w:cs="宋体"/>
          <w:b w:val="0"/>
          <w:bCs/>
          <w:szCs w:val="21"/>
          <w:lang w:eastAsia="zh-CN"/>
        </w:rPr>
        <w:t>折扣</w:t>
      </w:r>
      <w:r>
        <w:rPr>
          <w:rFonts w:hint="eastAsia" w:ascii="宋体" w:hAnsi="宋体" w:cs="宋体"/>
          <w:b w:val="0"/>
          <w:bCs/>
          <w:szCs w:val="21"/>
        </w:rPr>
        <w:t xml:space="preserve"> </w:t>
      </w:r>
    </w:p>
    <w:p w14:paraId="07E116EB">
      <w:pPr>
        <w:snapToGrid w:val="0"/>
        <w:spacing w:line="360" w:lineRule="auto"/>
        <w:ind w:firstLine="420" w:firstLineChars="200"/>
        <w:rPr>
          <w:rFonts w:hint="eastAsia" w:ascii="宋体" w:hAnsi="宋体" w:cs="宋体"/>
          <w:b w:val="0"/>
          <w:bCs/>
          <w:szCs w:val="21"/>
        </w:rPr>
      </w:pPr>
      <w:r>
        <w:rPr>
          <w:rFonts w:hint="eastAsia" w:ascii="宋体" w:hAnsi="宋体" w:cs="宋体"/>
          <w:b w:val="0"/>
          <w:bCs/>
          <w:szCs w:val="21"/>
          <w:lang w:val="en-US" w:eastAsia="zh-CN"/>
        </w:rPr>
        <w:t>（3）</w:t>
      </w:r>
      <w:r>
        <w:rPr>
          <w:rFonts w:hint="eastAsia" w:ascii="宋体" w:hAnsi="宋体" w:cs="宋体"/>
          <w:b w:val="0"/>
          <w:bCs/>
          <w:szCs w:val="21"/>
          <w:lang w:eastAsia="zh-CN"/>
        </w:rPr>
        <w:t>乙方</w:t>
      </w:r>
      <w:r>
        <w:rPr>
          <w:rFonts w:hint="eastAsia" w:ascii="宋体" w:hAnsi="宋体" w:cs="宋体"/>
          <w:b w:val="0"/>
          <w:bCs/>
          <w:szCs w:val="21"/>
        </w:rPr>
        <w:t>须向</w:t>
      </w:r>
      <w:r>
        <w:rPr>
          <w:rFonts w:hint="eastAsia" w:ascii="宋体" w:hAnsi="宋体" w:cs="宋体"/>
          <w:b w:val="0"/>
          <w:bCs/>
          <w:szCs w:val="21"/>
          <w:lang w:eastAsia="zh-CN"/>
        </w:rPr>
        <w:t>甲方</w:t>
      </w:r>
      <w:r>
        <w:rPr>
          <w:rFonts w:hint="eastAsia" w:ascii="宋体" w:hAnsi="宋体" w:cs="宋体"/>
          <w:b w:val="0"/>
          <w:bCs/>
          <w:szCs w:val="21"/>
        </w:rPr>
        <w:t>提供每月所发生的鉴定服务内容明细清单列表，根据</w:t>
      </w:r>
      <w:r>
        <w:rPr>
          <w:rFonts w:hint="eastAsia" w:ascii="宋体" w:hAnsi="宋体" w:eastAsia="宋体" w:cs="宋体"/>
          <w:sz w:val="21"/>
          <w:szCs w:val="21"/>
        </w:rPr>
        <w:t>广西壮族自治区物价局、广西壮族自治区司法厅</w:t>
      </w:r>
      <w:r>
        <w:rPr>
          <w:rFonts w:hint="eastAsia" w:ascii="宋体" w:hAnsi="宋体" w:eastAsia="宋体" w:cs="宋体"/>
          <w:sz w:val="21"/>
          <w:szCs w:val="21"/>
          <w:lang w:eastAsia="zh-CN"/>
        </w:rPr>
        <w:t>印发的</w:t>
      </w:r>
      <w:r>
        <w:rPr>
          <w:rFonts w:hint="eastAsia" w:ascii="宋体" w:hAnsi="宋体" w:eastAsia="宋体" w:cs="宋体"/>
          <w:sz w:val="21"/>
          <w:szCs w:val="21"/>
        </w:rPr>
        <w:t>《广西壮族自治区司法鉴定收费管理办法》桂发改收费规[2023]1185号</w:t>
      </w:r>
      <w:r>
        <w:rPr>
          <w:rFonts w:hint="eastAsia" w:ascii="宋体" w:hAnsi="宋体" w:eastAsia="宋体" w:cs="宋体"/>
          <w:sz w:val="21"/>
          <w:szCs w:val="21"/>
          <w:lang w:eastAsia="zh-CN"/>
        </w:rPr>
        <w:t>文件</w:t>
      </w:r>
      <w:r>
        <w:rPr>
          <w:rFonts w:hint="eastAsia" w:ascii="宋体" w:hAnsi="宋体" w:cs="宋体"/>
          <w:b w:val="0"/>
          <w:bCs/>
          <w:szCs w:val="21"/>
        </w:rPr>
        <w:t>的相关规定</w:t>
      </w:r>
      <w:r>
        <w:rPr>
          <w:rFonts w:hint="eastAsia" w:ascii="宋体" w:hAnsi="宋体" w:cs="宋体"/>
          <w:b w:val="0"/>
          <w:bCs/>
          <w:szCs w:val="21"/>
          <w:lang w:eastAsia="zh-CN"/>
        </w:rPr>
        <w:t>（如项目执行期间，</w:t>
      </w:r>
      <w:r>
        <w:rPr>
          <w:rFonts w:hint="eastAsia" w:ascii="宋体" w:hAnsi="宋体" w:cs="宋体"/>
          <w:b w:val="0"/>
          <w:bCs/>
          <w:szCs w:val="21"/>
          <w:lang w:val="en-US" w:eastAsia="zh-CN"/>
        </w:rPr>
        <w:t>若有新标准出台，则以新标准为准。</w:t>
      </w:r>
      <w:r>
        <w:rPr>
          <w:rFonts w:hint="eastAsia" w:ascii="宋体" w:hAnsi="宋体" w:cs="宋体"/>
          <w:b w:val="0"/>
          <w:bCs/>
          <w:szCs w:val="21"/>
          <w:lang w:eastAsia="zh-CN"/>
        </w:rPr>
        <w:t>）</w:t>
      </w:r>
    </w:p>
    <w:p w14:paraId="52712B09">
      <w:pPr>
        <w:snapToGrid w:val="0"/>
        <w:spacing w:line="360" w:lineRule="auto"/>
        <w:ind w:firstLine="422" w:firstLineChars="200"/>
        <w:rPr>
          <w:rFonts w:hint="eastAsia" w:ascii="宋体" w:hAnsi="宋体" w:cs="宋体"/>
          <w:b/>
          <w:szCs w:val="21"/>
        </w:rPr>
      </w:pPr>
      <w:r>
        <w:rPr>
          <w:rFonts w:hint="eastAsia" w:ascii="宋体" w:hAnsi="宋体" w:cs="宋体"/>
          <w:b/>
          <w:szCs w:val="21"/>
        </w:rPr>
        <w:t>第七条　履约保证金</w:t>
      </w:r>
    </w:p>
    <w:p w14:paraId="1B8E864C">
      <w:pPr>
        <w:spacing w:line="360" w:lineRule="auto"/>
        <w:ind w:firstLine="420" w:firstLineChars="200"/>
        <w:rPr>
          <w:rFonts w:hint="eastAsia" w:ascii="宋体" w:hAnsi="宋体" w:cs="宋体"/>
          <w:szCs w:val="21"/>
        </w:rPr>
      </w:pPr>
      <w:r>
        <w:rPr>
          <w:rFonts w:hint="eastAsia" w:ascii="宋体" w:hAnsi="宋体" w:cs="宋体"/>
          <w:szCs w:val="21"/>
        </w:rPr>
        <w:t>履约保证金金额：无。</w:t>
      </w:r>
    </w:p>
    <w:p w14:paraId="5F69E497">
      <w:pPr>
        <w:spacing w:line="360" w:lineRule="auto"/>
        <w:ind w:firstLine="422" w:firstLineChars="200"/>
        <w:rPr>
          <w:rFonts w:hint="eastAsia" w:ascii="宋体" w:hAnsi="宋体" w:cs="宋体"/>
          <w:b/>
          <w:szCs w:val="21"/>
        </w:rPr>
      </w:pPr>
      <w:r>
        <w:rPr>
          <w:rFonts w:hint="eastAsia" w:ascii="宋体" w:hAnsi="宋体" w:cs="宋体"/>
          <w:b/>
          <w:szCs w:val="21"/>
        </w:rPr>
        <w:t>第八条  税费</w:t>
      </w:r>
    </w:p>
    <w:p w14:paraId="1DFE3A69">
      <w:pPr>
        <w:spacing w:line="360" w:lineRule="auto"/>
        <w:ind w:firstLine="420" w:firstLineChars="200"/>
        <w:rPr>
          <w:rFonts w:hint="eastAsia" w:ascii="宋体" w:hAnsi="宋体" w:cs="宋体"/>
          <w:szCs w:val="21"/>
        </w:rPr>
      </w:pPr>
      <w:r>
        <w:rPr>
          <w:rFonts w:hint="eastAsia" w:ascii="宋体" w:hAnsi="宋体" w:cs="宋体"/>
          <w:szCs w:val="21"/>
        </w:rPr>
        <w:t>本合同执行中相关的一切税费均由乙方负担，合同另有约定的除外。</w:t>
      </w:r>
    </w:p>
    <w:p w14:paraId="0E6224FC">
      <w:pPr>
        <w:spacing w:line="360" w:lineRule="auto"/>
        <w:ind w:firstLine="422" w:firstLineChars="200"/>
        <w:rPr>
          <w:rFonts w:hint="eastAsia" w:ascii="宋体" w:hAnsi="宋体" w:cs="宋体"/>
          <w:b/>
          <w:szCs w:val="21"/>
        </w:rPr>
      </w:pPr>
      <w:r>
        <w:rPr>
          <w:rFonts w:hint="eastAsia" w:ascii="宋体" w:hAnsi="宋体" w:cs="宋体"/>
          <w:b/>
          <w:szCs w:val="21"/>
        </w:rPr>
        <w:t>第九条　违约责任</w:t>
      </w:r>
    </w:p>
    <w:p w14:paraId="2DAD02DF">
      <w:pPr>
        <w:pStyle w:val="11"/>
        <w:rPr>
          <w:rFonts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、鉴定报告鉴定结论累计出现2次错误的，</w:t>
      </w:r>
      <w:r>
        <w:rPr>
          <w:rFonts w:hint="eastAsia" w:ascii="宋体" w:hAnsi="宋体" w:cs="宋体"/>
          <w:sz w:val="21"/>
          <w:szCs w:val="21"/>
          <w:lang w:eastAsia="zh-CN"/>
        </w:rPr>
        <w:t>处以</w:t>
      </w:r>
      <w:r>
        <w:rPr>
          <w:rFonts w:hint="eastAsia" w:ascii="宋体" w:hAnsi="宋体" w:cs="宋体"/>
          <w:sz w:val="21"/>
          <w:szCs w:val="21"/>
          <w:lang w:val="en-US" w:eastAsia="zh-CN"/>
        </w:rPr>
        <w:t>1000元人民币</w:t>
      </w:r>
      <w:r>
        <w:rPr>
          <w:rFonts w:hint="eastAsia" w:ascii="宋体" w:hAnsi="宋体" w:cs="宋体"/>
          <w:sz w:val="21"/>
          <w:szCs w:val="21"/>
        </w:rPr>
        <w:t>的</w:t>
      </w:r>
      <w:r>
        <w:rPr>
          <w:rFonts w:hint="eastAsia"/>
          <w:lang w:val="en-US" w:eastAsia="zh-CN"/>
        </w:rPr>
        <w:t>违约金</w:t>
      </w:r>
      <w:r>
        <w:rPr>
          <w:rFonts w:hint="eastAsia" w:ascii="宋体" w:hAnsi="宋体" w:cs="宋体"/>
          <w:sz w:val="21"/>
          <w:szCs w:val="21"/>
        </w:rPr>
        <w:t>。</w:t>
      </w:r>
    </w:p>
    <w:p w14:paraId="2A6FA8E2">
      <w:pPr>
        <w:snapToGrid w:val="0"/>
        <w:spacing w:line="360" w:lineRule="auto"/>
        <w:ind w:firstLine="420" w:firstLineChars="200"/>
        <w:rPr>
          <w:rFonts w:hint="eastAsia" w:ascii="宋体" w:hAnsi="宋体" w:cs="宋体"/>
          <w:szCs w:val="21"/>
        </w:rPr>
      </w:pPr>
      <w:r>
        <w:rPr>
          <w:rFonts w:hint="eastAsia" w:ascii="宋体" w:hAnsi="宋体" w:cs="宋体"/>
          <w:sz w:val="21"/>
          <w:szCs w:val="21"/>
          <w:lang w:val="en-US" w:eastAsia="zh-CN"/>
        </w:rPr>
        <w:t>2</w:t>
      </w:r>
      <w:r>
        <w:rPr>
          <w:rFonts w:hint="eastAsia" w:ascii="宋体" w:hAnsi="宋体" w:cs="宋体"/>
          <w:sz w:val="21"/>
          <w:szCs w:val="21"/>
        </w:rPr>
        <w:t>、除</w:t>
      </w:r>
      <w:r>
        <w:rPr>
          <w:rFonts w:hint="eastAsia" w:ascii="宋体" w:hAnsi="宋体" w:cs="宋体"/>
          <w:sz w:val="21"/>
          <w:szCs w:val="21"/>
          <w:lang w:eastAsia="zh-CN"/>
        </w:rPr>
        <w:t>甲方</w:t>
      </w:r>
      <w:r>
        <w:rPr>
          <w:rFonts w:hint="eastAsia" w:ascii="宋体" w:hAnsi="宋体" w:cs="宋体"/>
          <w:sz w:val="21"/>
          <w:szCs w:val="21"/>
        </w:rPr>
        <w:t>在</w:t>
      </w:r>
      <w:r>
        <w:rPr>
          <w:rFonts w:hint="eastAsia"/>
          <w:lang w:eastAsia="zh-CN"/>
        </w:rPr>
        <w:t>竞争性</w:t>
      </w:r>
      <w:r>
        <w:rPr>
          <w:rFonts w:hint="eastAsia" w:ascii="宋体" w:hAnsi="宋体" w:cs="宋体"/>
          <w:sz w:val="21"/>
          <w:szCs w:val="21"/>
        </w:rPr>
        <w:t>磋商文件中明确外，</w:t>
      </w:r>
      <w:r>
        <w:rPr>
          <w:rFonts w:hint="eastAsia" w:ascii="宋体" w:hAnsi="宋体" w:cs="宋体"/>
          <w:sz w:val="21"/>
          <w:szCs w:val="21"/>
          <w:lang w:eastAsia="zh-CN"/>
        </w:rPr>
        <w:t>乙方</w:t>
      </w:r>
      <w:r>
        <w:rPr>
          <w:rFonts w:hint="eastAsia" w:ascii="宋体" w:hAnsi="宋体" w:cs="宋体"/>
          <w:sz w:val="21"/>
          <w:szCs w:val="21"/>
        </w:rPr>
        <w:t>不得以任何方式转包、分包或挂靠本项目。如发现</w:t>
      </w:r>
      <w:r>
        <w:rPr>
          <w:rFonts w:hint="eastAsia" w:ascii="宋体" w:hAnsi="宋体" w:cs="宋体"/>
          <w:sz w:val="21"/>
          <w:szCs w:val="21"/>
          <w:lang w:eastAsia="zh-CN"/>
        </w:rPr>
        <w:t>乙方</w:t>
      </w:r>
      <w:r>
        <w:rPr>
          <w:rFonts w:hint="eastAsia" w:ascii="宋体" w:hAnsi="宋体" w:cs="宋体"/>
          <w:sz w:val="21"/>
          <w:szCs w:val="21"/>
        </w:rPr>
        <w:t>以转包、分包或挂靠的方式谋取成交，</w:t>
      </w:r>
      <w:r>
        <w:rPr>
          <w:rFonts w:hint="eastAsia" w:ascii="宋体" w:hAnsi="宋体" w:cs="宋体"/>
          <w:sz w:val="21"/>
          <w:szCs w:val="21"/>
          <w:lang w:eastAsia="zh-CN"/>
        </w:rPr>
        <w:t>甲方</w:t>
      </w:r>
      <w:r>
        <w:rPr>
          <w:rFonts w:hint="eastAsia" w:ascii="宋体" w:hAnsi="宋体" w:cs="宋体"/>
          <w:sz w:val="21"/>
          <w:szCs w:val="21"/>
        </w:rPr>
        <w:t>有权解除合同</w:t>
      </w:r>
      <w:r>
        <w:rPr>
          <w:rFonts w:hint="eastAsia" w:ascii="宋体" w:hAnsi="宋体" w:cs="宋体"/>
          <w:sz w:val="21"/>
          <w:szCs w:val="21"/>
          <w:lang w:eastAsia="zh-CN"/>
        </w:rPr>
        <w:t>乙方</w:t>
      </w:r>
      <w:r>
        <w:rPr>
          <w:rFonts w:hint="eastAsia" w:ascii="宋体" w:hAnsi="宋体" w:cs="宋体"/>
          <w:sz w:val="21"/>
          <w:szCs w:val="21"/>
        </w:rPr>
        <w:t>应向</w:t>
      </w:r>
      <w:r>
        <w:rPr>
          <w:rFonts w:hint="eastAsia" w:ascii="宋体" w:hAnsi="宋体" w:cs="宋体"/>
          <w:sz w:val="21"/>
          <w:szCs w:val="21"/>
          <w:lang w:eastAsia="zh-CN"/>
        </w:rPr>
        <w:t>甲方</w:t>
      </w:r>
      <w:r>
        <w:rPr>
          <w:rFonts w:hint="eastAsia" w:ascii="宋体" w:hAnsi="宋体" w:cs="宋体"/>
          <w:sz w:val="21"/>
          <w:szCs w:val="21"/>
        </w:rPr>
        <w:t>支付</w:t>
      </w:r>
      <w:r>
        <w:rPr>
          <w:rFonts w:hint="eastAsia" w:ascii="宋体" w:hAnsi="宋体" w:cs="宋体"/>
          <w:sz w:val="21"/>
          <w:szCs w:val="21"/>
          <w:lang w:val="en-US" w:eastAsia="zh-CN"/>
        </w:rPr>
        <w:t>10000元人民币</w:t>
      </w:r>
      <w:r>
        <w:rPr>
          <w:rFonts w:hint="eastAsia" w:ascii="宋体" w:hAnsi="宋体" w:cs="宋体"/>
          <w:sz w:val="21"/>
          <w:szCs w:val="21"/>
        </w:rPr>
        <w:t>违约金，造成一切损失由</w:t>
      </w:r>
      <w:r>
        <w:rPr>
          <w:rFonts w:hint="eastAsia" w:ascii="宋体" w:hAnsi="宋体" w:cs="宋体"/>
          <w:sz w:val="21"/>
          <w:szCs w:val="21"/>
          <w:lang w:eastAsia="zh-CN"/>
        </w:rPr>
        <w:t>乙方</w:t>
      </w:r>
      <w:r>
        <w:rPr>
          <w:rFonts w:hint="eastAsia" w:ascii="宋体" w:hAnsi="宋体" w:cs="宋体"/>
          <w:sz w:val="21"/>
          <w:szCs w:val="21"/>
        </w:rPr>
        <w:t>承担。</w:t>
      </w:r>
    </w:p>
    <w:p w14:paraId="60CB6A76">
      <w:pPr>
        <w:snapToGrid w:val="0"/>
        <w:spacing w:line="360" w:lineRule="auto"/>
        <w:ind w:firstLine="420" w:firstLineChars="20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 xml:space="preserve">、除不可抗力原因外，乙方没有按照合同规定的时间提供服务的，甲方可要求乙方支付违约金。每推迟一天按合同金额的3‰支付违约金，该违约金累计不超过合同金额的10%。                                  </w:t>
      </w:r>
    </w:p>
    <w:p w14:paraId="79B824D5">
      <w:pPr>
        <w:snapToGrid w:val="0"/>
        <w:spacing w:line="360" w:lineRule="auto"/>
        <w:ind w:firstLine="420" w:firstLineChars="20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、乙方提供的服务如侵犯了第三方合法权益而引发的任何纠纷或者诉讼，均由乙方负责交涉并承担全部责任。</w:t>
      </w:r>
    </w:p>
    <w:p w14:paraId="3EEFD384">
      <w:pPr>
        <w:spacing w:line="360" w:lineRule="auto"/>
        <w:ind w:firstLine="422" w:firstLineChars="200"/>
        <w:rPr>
          <w:rFonts w:hint="eastAsia" w:ascii="宋体" w:hAnsi="宋体" w:cs="宋体"/>
          <w:b/>
          <w:szCs w:val="21"/>
        </w:rPr>
      </w:pPr>
      <w:r>
        <w:rPr>
          <w:rFonts w:hint="eastAsia" w:ascii="宋体" w:hAnsi="宋体" w:cs="宋体"/>
          <w:b/>
          <w:szCs w:val="21"/>
        </w:rPr>
        <w:t>第十条  不可抗力事件处理</w:t>
      </w:r>
    </w:p>
    <w:p w14:paraId="5960AE85">
      <w:pPr>
        <w:spacing w:line="360" w:lineRule="auto"/>
        <w:ind w:firstLine="420" w:firstLineChars="200"/>
        <w:rPr>
          <w:rFonts w:hint="eastAsia" w:ascii="宋体" w:hAnsi="宋体" w:cs="宋体"/>
          <w:szCs w:val="21"/>
        </w:rPr>
      </w:pPr>
      <w:r>
        <w:rPr>
          <w:rFonts w:hint="eastAsia" w:ascii="宋体" w:hAnsi="宋体" w:cs="宋体"/>
          <w:szCs w:val="21"/>
        </w:rPr>
        <w:t>1、在合同有效期内，任何一方因不可抗力事件导致不能履行合同，则合同履行期可延长，其延长期与不可抗力影响期相同。</w:t>
      </w:r>
    </w:p>
    <w:p w14:paraId="2DB8AA4A">
      <w:pPr>
        <w:spacing w:line="360" w:lineRule="auto"/>
        <w:ind w:firstLine="420" w:firstLineChars="200"/>
        <w:rPr>
          <w:rFonts w:hint="eastAsia" w:ascii="宋体" w:hAnsi="宋体" w:cs="宋体"/>
          <w:szCs w:val="21"/>
        </w:rPr>
      </w:pPr>
      <w:r>
        <w:rPr>
          <w:rFonts w:hint="eastAsia" w:ascii="宋体" w:hAnsi="宋体" w:cs="宋体"/>
          <w:szCs w:val="21"/>
        </w:rPr>
        <w:t>2、不可抗力事件发生后，应立即通知对方，并寄送有关权威机构出具的证明。</w:t>
      </w:r>
    </w:p>
    <w:p w14:paraId="6BD35377">
      <w:pPr>
        <w:spacing w:line="360" w:lineRule="auto"/>
        <w:ind w:firstLine="420" w:firstLineChars="200"/>
        <w:rPr>
          <w:rFonts w:hint="eastAsia" w:ascii="宋体" w:hAnsi="宋体" w:cs="宋体"/>
          <w:szCs w:val="21"/>
        </w:rPr>
      </w:pPr>
      <w:r>
        <w:rPr>
          <w:rFonts w:hint="eastAsia" w:ascii="宋体" w:hAnsi="宋体" w:cs="宋体"/>
          <w:szCs w:val="21"/>
        </w:rPr>
        <w:t>3、不可抗力事件延续一百二十天以上，双方应通过友好协商，确定是否继续履行合同。</w:t>
      </w:r>
    </w:p>
    <w:p w14:paraId="40D98D2A">
      <w:pPr>
        <w:spacing w:line="360" w:lineRule="auto"/>
        <w:ind w:firstLine="422" w:firstLineChars="200"/>
        <w:rPr>
          <w:rFonts w:hint="eastAsia" w:ascii="宋体" w:hAnsi="宋体" w:cs="宋体"/>
          <w:szCs w:val="21"/>
        </w:rPr>
      </w:pPr>
      <w:r>
        <w:rPr>
          <w:rFonts w:hint="eastAsia" w:ascii="宋体" w:hAnsi="宋体" w:cs="宋体"/>
          <w:b/>
          <w:szCs w:val="21"/>
        </w:rPr>
        <w:t>第十一条  合同争议解决</w:t>
      </w:r>
    </w:p>
    <w:p w14:paraId="070D301D">
      <w:pPr>
        <w:snapToGrid w:val="0"/>
        <w:spacing w:line="360" w:lineRule="auto"/>
        <w:ind w:firstLine="420" w:firstLineChars="200"/>
        <w:rPr>
          <w:rFonts w:hint="eastAsia" w:ascii="宋体" w:hAnsi="宋体" w:cs="宋体"/>
          <w:szCs w:val="21"/>
        </w:rPr>
      </w:pPr>
      <w:r>
        <w:rPr>
          <w:rFonts w:hint="eastAsia" w:ascii="宋体" w:hAnsi="宋体" w:cs="宋体"/>
          <w:szCs w:val="21"/>
        </w:rPr>
        <w:t>1、因服务质量问题发生争议的，应邀请国家认可的质量检测机构进行鉴定。服务符合标准的，鉴定费由甲方承担；服务不符合标准的，鉴定费由乙方承担。</w:t>
      </w:r>
    </w:p>
    <w:p w14:paraId="55DA7499">
      <w:pPr>
        <w:snapToGrid w:val="0"/>
        <w:spacing w:line="360" w:lineRule="auto"/>
        <w:ind w:firstLine="420" w:firstLineChars="200"/>
        <w:rPr>
          <w:rFonts w:hint="eastAsia" w:ascii="宋体" w:hAnsi="宋体" w:cs="宋体"/>
          <w:szCs w:val="21"/>
        </w:rPr>
      </w:pPr>
      <w:r>
        <w:rPr>
          <w:rFonts w:hint="eastAsia" w:ascii="宋体" w:hAnsi="宋体" w:cs="宋体"/>
          <w:szCs w:val="21"/>
        </w:rPr>
        <w:t>2、因履行本合同引起的或者与本合同有关的争议，甲乙双方应首先通过友好协商解决，如果协商不能解决，可向甲方所在地有管辖权的人民法院提起诉讼。</w:t>
      </w:r>
    </w:p>
    <w:p w14:paraId="1AF110CB">
      <w:pPr>
        <w:snapToGrid w:val="0"/>
        <w:spacing w:line="360" w:lineRule="auto"/>
        <w:ind w:firstLine="420" w:firstLineChars="200"/>
        <w:rPr>
          <w:rFonts w:hint="eastAsia" w:ascii="宋体" w:hAnsi="宋体" w:cs="宋体"/>
          <w:szCs w:val="21"/>
        </w:rPr>
      </w:pPr>
      <w:r>
        <w:rPr>
          <w:rFonts w:hint="eastAsia" w:ascii="宋体" w:hAnsi="宋体" w:cs="宋体"/>
          <w:szCs w:val="21"/>
        </w:rPr>
        <w:t>3、诉讼期间，本合同继续履行。</w:t>
      </w:r>
    </w:p>
    <w:p w14:paraId="0DE084ED">
      <w:pPr>
        <w:spacing w:line="360" w:lineRule="auto"/>
        <w:ind w:firstLine="422" w:firstLineChars="200"/>
        <w:rPr>
          <w:rFonts w:hint="eastAsia" w:ascii="宋体" w:hAnsi="宋体" w:cs="宋体"/>
          <w:b/>
          <w:szCs w:val="21"/>
        </w:rPr>
      </w:pPr>
      <w:r>
        <w:rPr>
          <w:rFonts w:hint="eastAsia" w:ascii="宋体" w:hAnsi="宋体" w:cs="宋体"/>
          <w:b/>
          <w:szCs w:val="21"/>
        </w:rPr>
        <w:t>第十二条  合同生效及其它</w:t>
      </w:r>
    </w:p>
    <w:p w14:paraId="29FDF8AA">
      <w:pPr>
        <w:spacing w:line="360" w:lineRule="auto"/>
        <w:ind w:firstLine="420" w:firstLineChars="200"/>
        <w:rPr>
          <w:rFonts w:hint="eastAsia" w:ascii="宋体" w:hAnsi="宋体" w:cs="宋体"/>
          <w:szCs w:val="21"/>
        </w:rPr>
      </w:pPr>
      <w:r>
        <w:rPr>
          <w:rFonts w:hint="eastAsia" w:ascii="宋体" w:hAnsi="宋体" w:cs="宋体"/>
          <w:szCs w:val="21"/>
        </w:rPr>
        <w:t>1、合同经双方法定代表人或者授权代表签字并加盖单位公章后生效（委托代理人签字的需后附授权委托书，格式自拟）。</w:t>
      </w:r>
    </w:p>
    <w:p w14:paraId="4F2B6744">
      <w:pPr>
        <w:spacing w:line="360" w:lineRule="auto"/>
        <w:ind w:firstLine="420" w:firstLineChars="200"/>
        <w:rPr>
          <w:rFonts w:hint="eastAsia" w:ascii="宋体" w:hAnsi="宋体" w:cs="宋体"/>
          <w:szCs w:val="21"/>
        </w:rPr>
      </w:pPr>
      <w:r>
        <w:rPr>
          <w:rFonts w:hint="eastAsia" w:ascii="宋体" w:hAnsi="宋体" w:cs="宋体"/>
          <w:szCs w:val="21"/>
        </w:rPr>
        <w:t>2、合同执行中涉及采购资金和采购内容修改或者补充的，并签书面补充协议报财政部门备案，方可作为主合同不可分割的一部分。</w:t>
      </w:r>
    </w:p>
    <w:p w14:paraId="1EFDBE95">
      <w:pPr>
        <w:spacing w:line="360" w:lineRule="auto"/>
        <w:ind w:firstLine="420" w:firstLineChars="200"/>
        <w:rPr>
          <w:rFonts w:hint="eastAsia" w:ascii="宋体" w:hAnsi="宋体" w:cs="宋体"/>
          <w:szCs w:val="21"/>
        </w:rPr>
      </w:pPr>
      <w:r>
        <w:rPr>
          <w:rFonts w:hint="eastAsia" w:ascii="宋体" w:hAnsi="宋体" w:cs="宋体"/>
          <w:szCs w:val="21"/>
        </w:rPr>
        <w:t>3、本合同未尽事宜，遵照《中华人民共和国民法典》有关条文执行。</w:t>
      </w:r>
    </w:p>
    <w:p w14:paraId="31E34CB4">
      <w:pPr>
        <w:spacing w:line="360" w:lineRule="auto"/>
        <w:ind w:firstLine="422" w:firstLineChars="200"/>
        <w:rPr>
          <w:rFonts w:hint="eastAsia" w:ascii="宋体" w:hAnsi="宋体" w:cs="宋体"/>
          <w:b/>
          <w:szCs w:val="21"/>
        </w:rPr>
      </w:pPr>
      <w:r>
        <w:rPr>
          <w:rFonts w:hint="eastAsia" w:ascii="宋体" w:hAnsi="宋体" w:cs="宋体"/>
          <w:b/>
          <w:szCs w:val="21"/>
        </w:rPr>
        <w:t>第十三条　合同的变更、终止与转让</w:t>
      </w:r>
    </w:p>
    <w:p w14:paraId="42D8F3F8">
      <w:pPr>
        <w:spacing w:line="360" w:lineRule="auto"/>
        <w:ind w:firstLine="420" w:firstLineChars="200"/>
        <w:rPr>
          <w:rFonts w:hint="eastAsia" w:ascii="宋体" w:hAnsi="宋体" w:cs="宋体"/>
          <w:b w:val="0"/>
          <w:bCs/>
          <w:szCs w:val="21"/>
          <w:lang w:eastAsia="zh-CN"/>
        </w:rPr>
      </w:pPr>
      <w:r>
        <w:rPr>
          <w:rFonts w:hint="eastAsia" w:ascii="宋体" w:hAnsi="宋体" w:cs="宋体"/>
          <w:b w:val="0"/>
          <w:bCs/>
          <w:szCs w:val="21"/>
          <w:lang w:eastAsia="zh-CN"/>
        </w:rPr>
        <w:t>1、除《中华人民共和国政府采购法》第五十条规定的情形外，本合同一经签订，甲乙双方不得擅自变更、中止或者终止合同。</w:t>
      </w:r>
    </w:p>
    <w:p w14:paraId="088A37F0">
      <w:pPr>
        <w:spacing w:line="360" w:lineRule="auto"/>
        <w:ind w:firstLine="420" w:firstLineChars="200"/>
        <w:rPr>
          <w:rFonts w:hint="eastAsia" w:ascii="宋体" w:hAnsi="宋体" w:cs="宋体"/>
          <w:b w:val="0"/>
          <w:bCs/>
          <w:szCs w:val="21"/>
          <w:lang w:eastAsia="zh-CN"/>
        </w:rPr>
      </w:pPr>
      <w:r>
        <w:rPr>
          <w:rFonts w:hint="eastAsia" w:ascii="宋体" w:hAnsi="宋体" w:cs="宋体"/>
          <w:b w:val="0"/>
          <w:bCs/>
          <w:szCs w:val="21"/>
          <w:lang w:eastAsia="zh-CN"/>
        </w:rPr>
        <w:t>2、采购合同继续履行将损害国家利益和社会公共利益的，双方当事人应当变更、中止或者终止合同。有过错的一方应当承担赔偿责任，双方都有过错的，各自承担相应的责任。</w:t>
      </w:r>
    </w:p>
    <w:p w14:paraId="58D49491">
      <w:pPr>
        <w:spacing w:line="360" w:lineRule="auto"/>
        <w:ind w:firstLine="420" w:firstLineChars="200"/>
        <w:rPr>
          <w:rFonts w:hint="eastAsia" w:ascii="宋体" w:hAnsi="宋体" w:cs="宋体"/>
          <w:b w:val="0"/>
          <w:bCs/>
          <w:szCs w:val="21"/>
        </w:rPr>
      </w:pPr>
      <w:r>
        <w:rPr>
          <w:rFonts w:hint="eastAsia" w:ascii="宋体" w:hAnsi="宋体" w:cs="宋体"/>
          <w:b w:val="0"/>
          <w:bCs/>
          <w:szCs w:val="21"/>
          <w:lang w:eastAsia="zh-CN"/>
        </w:rPr>
        <w:t>3、乙方不得擅自转让其应履行的合同义务。</w:t>
      </w:r>
    </w:p>
    <w:p w14:paraId="27F22127">
      <w:pPr>
        <w:spacing w:line="360" w:lineRule="auto"/>
        <w:ind w:firstLine="422" w:firstLineChars="200"/>
        <w:rPr>
          <w:rFonts w:hint="eastAsia" w:ascii="宋体" w:hAnsi="宋体" w:cs="宋体"/>
          <w:b/>
          <w:szCs w:val="21"/>
        </w:rPr>
      </w:pPr>
      <w:r>
        <w:rPr>
          <w:rFonts w:hint="eastAsia" w:ascii="宋体" w:hAnsi="宋体" w:cs="宋体"/>
          <w:b/>
          <w:szCs w:val="21"/>
        </w:rPr>
        <w:t>第十四条　签订本合同依据</w:t>
      </w:r>
    </w:p>
    <w:p w14:paraId="12ED3C0D">
      <w:pPr>
        <w:spacing w:line="360" w:lineRule="auto"/>
        <w:ind w:firstLine="420" w:firstLineChars="200"/>
        <w:rPr>
          <w:rFonts w:hint="eastAsia" w:ascii="宋体" w:hAnsi="宋体" w:cs="宋体"/>
          <w:szCs w:val="21"/>
        </w:rPr>
      </w:pPr>
      <w:r>
        <w:rPr>
          <w:rFonts w:hint="eastAsia" w:ascii="宋体" w:hAnsi="宋体" w:cs="宋体"/>
          <w:szCs w:val="21"/>
        </w:rPr>
        <w:t>1、成交通知书；</w:t>
      </w:r>
    </w:p>
    <w:p w14:paraId="55529FDA">
      <w:pPr>
        <w:spacing w:line="360" w:lineRule="auto"/>
        <w:ind w:firstLine="420" w:firstLineChars="200"/>
        <w:rPr>
          <w:rFonts w:hint="eastAsia" w:ascii="宋体" w:hAnsi="宋体" w:cs="宋体"/>
          <w:szCs w:val="21"/>
        </w:rPr>
      </w:pPr>
      <w:r>
        <w:rPr>
          <w:rFonts w:hint="eastAsia" w:ascii="宋体" w:hAnsi="宋体" w:cs="宋体"/>
          <w:szCs w:val="21"/>
        </w:rPr>
        <w:t>2、竞标报价表；</w:t>
      </w:r>
    </w:p>
    <w:p w14:paraId="702F000B">
      <w:pPr>
        <w:spacing w:line="360" w:lineRule="auto"/>
        <w:ind w:firstLine="420" w:firstLineChars="200"/>
        <w:rPr>
          <w:rFonts w:hint="eastAsia" w:ascii="宋体" w:hAnsi="宋体" w:cs="宋体"/>
          <w:szCs w:val="21"/>
        </w:rPr>
      </w:pPr>
      <w:r>
        <w:rPr>
          <w:rFonts w:hint="eastAsia" w:ascii="宋体" w:hAnsi="宋体" w:cs="宋体"/>
          <w:szCs w:val="21"/>
        </w:rPr>
        <w:t>3、商务条款偏离表和技术需求偏离表；</w:t>
      </w:r>
    </w:p>
    <w:p w14:paraId="7BD2E2DF">
      <w:pPr>
        <w:spacing w:line="360" w:lineRule="auto"/>
        <w:ind w:firstLine="420" w:firstLineChars="200"/>
        <w:rPr>
          <w:rFonts w:hint="eastAsia" w:ascii="宋体" w:hAnsi="宋体" w:cs="宋体"/>
          <w:szCs w:val="21"/>
        </w:rPr>
      </w:pPr>
      <w:r>
        <w:rPr>
          <w:rFonts w:hint="eastAsia" w:ascii="宋体" w:hAnsi="宋体" w:cs="宋体"/>
          <w:szCs w:val="21"/>
        </w:rPr>
        <w:t>4、服务方案；</w:t>
      </w:r>
    </w:p>
    <w:p w14:paraId="487EB1A1">
      <w:pPr>
        <w:spacing w:line="360" w:lineRule="auto"/>
        <w:ind w:firstLine="420" w:firstLineChars="200"/>
        <w:rPr>
          <w:rFonts w:hint="eastAsia" w:ascii="宋体" w:hAnsi="宋体" w:cs="宋体"/>
          <w:szCs w:val="21"/>
        </w:rPr>
      </w:pPr>
      <w:r>
        <w:rPr>
          <w:rFonts w:hint="eastAsia" w:ascii="宋体" w:hAnsi="宋体" w:cs="宋体"/>
          <w:szCs w:val="21"/>
        </w:rPr>
        <w:t>5、响应文件中的其他相关文件。</w:t>
      </w:r>
    </w:p>
    <w:p w14:paraId="0A802E69">
      <w:pPr>
        <w:spacing w:line="360" w:lineRule="auto"/>
        <w:ind w:firstLine="420" w:firstLineChars="200"/>
        <w:rPr>
          <w:rFonts w:hint="eastAsia" w:ascii="宋体" w:hAnsi="宋体" w:cs="宋体"/>
          <w:szCs w:val="21"/>
        </w:rPr>
      </w:pPr>
      <w:r>
        <w:rPr>
          <w:rFonts w:hint="eastAsia" w:ascii="宋体" w:hAnsi="宋体" w:cs="宋体"/>
          <w:szCs w:val="21"/>
        </w:rPr>
        <w:t>6、上述合同文件互相补充和解释。如果合同文件之间存在矛盾或者不一致之处，以上述文件的排列顺序在先者为准。</w:t>
      </w:r>
    </w:p>
    <w:p w14:paraId="2F47571B">
      <w:pPr>
        <w:spacing w:line="360" w:lineRule="auto"/>
        <w:ind w:firstLine="422" w:firstLineChars="200"/>
        <w:rPr>
          <w:rFonts w:hint="eastAsia" w:ascii="宋体" w:hAnsi="宋体" w:cs="宋体"/>
          <w:szCs w:val="21"/>
        </w:rPr>
      </w:pPr>
      <w:r>
        <w:rPr>
          <w:rFonts w:hint="eastAsia" w:ascii="宋体" w:hAnsi="宋体" w:cs="宋体"/>
          <w:b/>
          <w:szCs w:val="21"/>
        </w:rPr>
        <w:t>第十五条　</w:t>
      </w:r>
      <w:r>
        <w:rPr>
          <w:rFonts w:hint="eastAsia" w:ascii="宋体" w:hAnsi="宋体" w:cs="宋体"/>
          <w:szCs w:val="21"/>
        </w:rPr>
        <w:t>本合同自签订之日起2个工作日内，甲方应当将采购合同在广西壮族自治区财政厅指定的媒体上公告。</w:t>
      </w:r>
    </w:p>
    <w:tbl>
      <w:tblPr>
        <w:tblStyle w:val="29"/>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3C2D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6D37DC84">
            <w:pPr>
              <w:snapToGrid w:val="0"/>
              <w:spacing w:line="360" w:lineRule="auto"/>
              <w:rPr>
                <w:rFonts w:hint="eastAsia" w:ascii="宋体" w:hAnsi="宋体" w:cs="宋体"/>
                <w:szCs w:val="21"/>
              </w:rPr>
            </w:pPr>
            <w:r>
              <w:rPr>
                <w:rFonts w:hint="eastAsia" w:ascii="宋体" w:hAnsi="宋体" w:cs="宋体"/>
                <w:szCs w:val="21"/>
              </w:rPr>
              <w:t>甲方：（章）</w:t>
            </w:r>
          </w:p>
          <w:p w14:paraId="496AB41E">
            <w:pPr>
              <w:snapToGrid w:val="0"/>
              <w:spacing w:line="360" w:lineRule="auto"/>
              <w:rPr>
                <w:rFonts w:hint="eastAsia" w:ascii="宋体" w:hAnsi="宋体" w:cs="宋体"/>
                <w:szCs w:val="21"/>
              </w:rPr>
            </w:pPr>
          </w:p>
          <w:p w14:paraId="4C004906">
            <w:pPr>
              <w:snapToGrid w:val="0"/>
              <w:spacing w:line="360" w:lineRule="auto"/>
              <w:rPr>
                <w:rFonts w:hint="eastAsia" w:ascii="宋体" w:hAnsi="宋体" w:cs="宋体"/>
                <w:szCs w:val="21"/>
              </w:rPr>
            </w:pPr>
          </w:p>
          <w:p w14:paraId="194EFE42">
            <w:pPr>
              <w:snapToGrid w:val="0"/>
              <w:spacing w:line="360" w:lineRule="auto"/>
              <w:ind w:firstLine="945" w:firstLineChars="450"/>
              <w:jc w:val="right"/>
              <w:rPr>
                <w:rFonts w:hint="eastAsia" w:ascii="宋体" w:hAnsi="宋体" w:cs="宋体"/>
                <w:szCs w:val="21"/>
              </w:rPr>
            </w:pPr>
          </w:p>
          <w:p w14:paraId="6AB5750B">
            <w:pPr>
              <w:snapToGrid w:val="0"/>
              <w:spacing w:line="360" w:lineRule="auto"/>
              <w:ind w:firstLine="945" w:firstLineChars="450"/>
              <w:jc w:val="right"/>
              <w:rPr>
                <w:rFonts w:hint="eastAsia" w:ascii="宋体" w:hAnsi="宋体" w:cs="宋体"/>
                <w:szCs w:val="21"/>
              </w:rPr>
            </w:pPr>
            <w:r>
              <w:rPr>
                <w:rFonts w:hint="eastAsia" w:ascii="宋体" w:hAnsi="宋体" w:cs="宋体"/>
                <w:szCs w:val="21"/>
              </w:rPr>
              <w:t>年   月   日</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2A33428C">
            <w:pPr>
              <w:snapToGrid w:val="0"/>
              <w:spacing w:line="360" w:lineRule="auto"/>
              <w:rPr>
                <w:rFonts w:hint="eastAsia" w:ascii="宋体" w:hAnsi="宋体" w:cs="宋体"/>
                <w:szCs w:val="21"/>
              </w:rPr>
            </w:pPr>
            <w:r>
              <w:rPr>
                <w:rFonts w:hint="eastAsia" w:ascii="宋体" w:hAnsi="宋体" w:cs="宋体"/>
                <w:szCs w:val="21"/>
              </w:rPr>
              <w:t xml:space="preserve">乙方：（章）       </w:t>
            </w:r>
          </w:p>
          <w:p w14:paraId="7593E640">
            <w:pPr>
              <w:snapToGrid w:val="0"/>
              <w:spacing w:line="360" w:lineRule="auto"/>
              <w:rPr>
                <w:rFonts w:hint="eastAsia" w:ascii="宋体" w:hAnsi="宋体" w:cs="宋体"/>
                <w:szCs w:val="21"/>
              </w:rPr>
            </w:pPr>
          </w:p>
          <w:p w14:paraId="39B87ECE">
            <w:pPr>
              <w:snapToGrid w:val="0"/>
              <w:spacing w:line="360" w:lineRule="auto"/>
              <w:rPr>
                <w:rFonts w:hint="eastAsia" w:ascii="宋体" w:hAnsi="宋体" w:cs="宋体"/>
                <w:szCs w:val="21"/>
              </w:rPr>
            </w:pPr>
            <w:r>
              <w:rPr>
                <w:rFonts w:hint="eastAsia" w:ascii="宋体" w:hAnsi="宋体" w:cs="宋体"/>
                <w:szCs w:val="21"/>
              </w:rPr>
              <w:t xml:space="preserve">       </w:t>
            </w:r>
          </w:p>
          <w:p w14:paraId="07FA708F">
            <w:pPr>
              <w:snapToGrid w:val="0"/>
              <w:spacing w:line="360" w:lineRule="auto"/>
              <w:jc w:val="right"/>
              <w:rPr>
                <w:rFonts w:hint="eastAsia" w:ascii="宋体" w:hAnsi="宋体" w:cs="宋体"/>
                <w:szCs w:val="21"/>
              </w:rPr>
            </w:pPr>
          </w:p>
          <w:p w14:paraId="47895A20">
            <w:pPr>
              <w:snapToGrid w:val="0"/>
              <w:spacing w:line="360" w:lineRule="auto"/>
              <w:jc w:val="right"/>
              <w:rPr>
                <w:rFonts w:hint="eastAsia" w:ascii="宋体" w:hAnsi="宋体" w:cs="宋体"/>
                <w:szCs w:val="21"/>
              </w:rPr>
            </w:pPr>
            <w:r>
              <w:rPr>
                <w:rFonts w:hint="eastAsia" w:ascii="宋体" w:hAnsi="宋体" w:cs="宋体"/>
                <w:szCs w:val="21"/>
              </w:rPr>
              <w:t xml:space="preserve"> 年   月   日</w:t>
            </w:r>
          </w:p>
        </w:tc>
      </w:tr>
      <w:tr w14:paraId="0481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002A4583">
            <w:pPr>
              <w:snapToGrid w:val="0"/>
              <w:spacing w:line="360" w:lineRule="auto"/>
              <w:rPr>
                <w:rFonts w:hint="eastAsia" w:ascii="宋体" w:hAnsi="宋体" w:cs="宋体"/>
                <w:szCs w:val="21"/>
              </w:rPr>
            </w:pPr>
            <w:r>
              <w:rPr>
                <w:rFonts w:hint="eastAsia" w:ascii="宋体" w:hAnsi="宋体" w:cs="宋体"/>
                <w:szCs w:val="21"/>
              </w:rPr>
              <w:t xml:space="preserve">单位地址：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0B4F144">
            <w:pPr>
              <w:snapToGrid w:val="0"/>
              <w:spacing w:line="360" w:lineRule="auto"/>
              <w:rPr>
                <w:rFonts w:hint="eastAsia" w:ascii="宋体" w:hAnsi="宋体" w:cs="宋体"/>
                <w:szCs w:val="21"/>
              </w:rPr>
            </w:pPr>
            <w:r>
              <w:rPr>
                <w:rFonts w:hint="eastAsia" w:ascii="宋体" w:hAnsi="宋体" w:cs="宋体"/>
                <w:szCs w:val="21"/>
              </w:rPr>
              <w:t xml:space="preserve">单位地址： </w:t>
            </w:r>
          </w:p>
        </w:tc>
      </w:tr>
      <w:tr w14:paraId="5A4F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A69D915">
            <w:pPr>
              <w:snapToGrid w:val="0"/>
              <w:spacing w:line="360" w:lineRule="auto"/>
              <w:rPr>
                <w:rFonts w:hint="eastAsia" w:ascii="宋体" w:hAnsi="宋体" w:cs="宋体"/>
                <w:szCs w:val="21"/>
              </w:rPr>
            </w:pPr>
            <w:r>
              <w:rPr>
                <w:rFonts w:hint="eastAsia" w:ascii="宋体" w:hAnsi="宋体" w:cs="宋体"/>
                <w:szCs w:val="21"/>
              </w:rPr>
              <w:t>法定代表人：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1C7FD87">
            <w:pPr>
              <w:snapToGrid w:val="0"/>
              <w:spacing w:line="360" w:lineRule="auto"/>
              <w:rPr>
                <w:rFonts w:hint="eastAsia" w:ascii="宋体" w:hAnsi="宋体" w:cs="宋体"/>
                <w:szCs w:val="21"/>
              </w:rPr>
            </w:pPr>
            <w:r>
              <w:rPr>
                <w:rFonts w:hint="eastAsia" w:ascii="宋体" w:hAnsi="宋体" w:cs="宋体"/>
                <w:szCs w:val="21"/>
              </w:rPr>
              <w:t>法定代表人：</w:t>
            </w:r>
          </w:p>
        </w:tc>
      </w:tr>
      <w:tr w14:paraId="54D5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1B2FEE98">
            <w:pPr>
              <w:snapToGrid w:val="0"/>
              <w:spacing w:line="360" w:lineRule="auto"/>
              <w:rPr>
                <w:rFonts w:hint="eastAsia" w:ascii="宋体" w:hAnsi="宋体" w:cs="宋体"/>
                <w:szCs w:val="21"/>
              </w:rPr>
            </w:pPr>
            <w:r>
              <w:rPr>
                <w:rFonts w:hint="eastAsia" w:ascii="宋体" w:hAnsi="宋体" w:cs="宋体"/>
                <w:szCs w:val="21"/>
              </w:rPr>
              <w:t>委托代理人：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3376AFFD">
            <w:pPr>
              <w:snapToGrid w:val="0"/>
              <w:spacing w:line="360" w:lineRule="auto"/>
              <w:rPr>
                <w:rFonts w:hint="eastAsia" w:ascii="宋体" w:hAnsi="宋体" w:cs="宋体"/>
                <w:szCs w:val="21"/>
              </w:rPr>
            </w:pPr>
            <w:r>
              <w:rPr>
                <w:rFonts w:hint="eastAsia" w:ascii="宋体" w:hAnsi="宋体" w:cs="宋体"/>
                <w:szCs w:val="21"/>
              </w:rPr>
              <w:t>委托代理人：</w:t>
            </w:r>
          </w:p>
        </w:tc>
      </w:tr>
      <w:tr w14:paraId="6B47E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6AABFBA">
            <w:pPr>
              <w:snapToGrid w:val="0"/>
              <w:spacing w:line="360" w:lineRule="auto"/>
              <w:rPr>
                <w:rFonts w:hint="eastAsia" w:ascii="宋体" w:hAnsi="宋体" w:cs="宋体"/>
                <w:szCs w:val="21"/>
              </w:rPr>
            </w:pPr>
            <w:r>
              <w:rPr>
                <w:rFonts w:hint="eastAsia" w:ascii="宋体" w:hAnsi="宋体" w:cs="宋体"/>
                <w:szCs w:val="21"/>
              </w:rPr>
              <w:t>电话：</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79E782F6">
            <w:pPr>
              <w:snapToGrid w:val="0"/>
              <w:spacing w:line="360" w:lineRule="auto"/>
              <w:rPr>
                <w:rFonts w:hint="eastAsia" w:ascii="宋体" w:hAnsi="宋体" w:cs="宋体"/>
                <w:szCs w:val="21"/>
              </w:rPr>
            </w:pPr>
            <w:r>
              <w:rPr>
                <w:rFonts w:hint="eastAsia" w:ascii="宋体" w:hAnsi="宋体" w:cs="宋体"/>
                <w:szCs w:val="21"/>
              </w:rPr>
              <w:t>电话：</w:t>
            </w:r>
          </w:p>
        </w:tc>
      </w:tr>
      <w:tr w14:paraId="5454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E68D5B7">
            <w:pPr>
              <w:snapToGrid w:val="0"/>
              <w:spacing w:line="360" w:lineRule="auto"/>
              <w:rPr>
                <w:rFonts w:hint="eastAsia" w:ascii="宋体" w:hAnsi="宋体" w:cs="宋体"/>
                <w:szCs w:val="21"/>
              </w:rPr>
            </w:pPr>
            <w:r>
              <w:rPr>
                <w:rFonts w:hint="eastAsia" w:ascii="宋体" w:hAnsi="宋体" w:cs="宋体"/>
                <w:szCs w:val="21"/>
              </w:rPr>
              <w:t xml:space="preserve">开户银行：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53662DD8">
            <w:pPr>
              <w:snapToGrid w:val="0"/>
              <w:spacing w:line="360" w:lineRule="auto"/>
              <w:rPr>
                <w:rFonts w:hint="eastAsia" w:ascii="宋体" w:hAnsi="宋体" w:cs="宋体"/>
                <w:szCs w:val="21"/>
              </w:rPr>
            </w:pPr>
            <w:r>
              <w:rPr>
                <w:rFonts w:hint="eastAsia" w:ascii="宋体" w:hAnsi="宋体" w:cs="宋体"/>
                <w:szCs w:val="21"/>
              </w:rPr>
              <w:t xml:space="preserve">开户银行： </w:t>
            </w:r>
          </w:p>
        </w:tc>
      </w:tr>
      <w:tr w14:paraId="2DBA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7323F306">
            <w:pPr>
              <w:snapToGrid w:val="0"/>
              <w:spacing w:line="360" w:lineRule="auto"/>
              <w:rPr>
                <w:rFonts w:hint="eastAsia" w:ascii="宋体" w:hAnsi="宋体" w:cs="宋体"/>
                <w:szCs w:val="21"/>
              </w:rPr>
            </w:pPr>
            <w:r>
              <w:rPr>
                <w:rFonts w:hint="eastAsia" w:ascii="宋体" w:hAnsi="宋体" w:cs="宋体"/>
                <w:szCs w:val="21"/>
              </w:rPr>
              <w:t>账号：</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452A87A">
            <w:pPr>
              <w:snapToGrid w:val="0"/>
              <w:spacing w:line="360" w:lineRule="auto"/>
              <w:rPr>
                <w:rFonts w:hint="eastAsia" w:ascii="宋体" w:hAnsi="宋体" w:cs="宋体"/>
                <w:szCs w:val="21"/>
              </w:rPr>
            </w:pPr>
            <w:r>
              <w:rPr>
                <w:rFonts w:hint="eastAsia" w:ascii="宋体" w:hAnsi="宋体" w:cs="宋体"/>
                <w:szCs w:val="21"/>
              </w:rPr>
              <w:t>账号：</w:t>
            </w:r>
          </w:p>
        </w:tc>
      </w:tr>
      <w:tr w14:paraId="71A5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84413DF">
            <w:pPr>
              <w:snapToGrid w:val="0"/>
              <w:spacing w:line="360" w:lineRule="auto"/>
              <w:rPr>
                <w:rFonts w:hint="eastAsia" w:ascii="宋体" w:hAnsi="宋体" w:cs="宋体"/>
                <w:szCs w:val="21"/>
              </w:rPr>
            </w:pPr>
            <w:r>
              <w:rPr>
                <w:rFonts w:hint="eastAsia" w:ascii="宋体" w:hAnsi="宋体" w:cs="宋体"/>
                <w:szCs w:val="21"/>
              </w:rPr>
              <w:t>邮政编码：</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5F274FD2">
            <w:pPr>
              <w:snapToGrid w:val="0"/>
              <w:spacing w:line="360" w:lineRule="auto"/>
              <w:rPr>
                <w:rFonts w:hint="eastAsia" w:ascii="宋体" w:hAnsi="宋体" w:cs="宋体"/>
                <w:szCs w:val="21"/>
              </w:rPr>
            </w:pPr>
            <w:r>
              <w:rPr>
                <w:rFonts w:hint="eastAsia" w:ascii="宋体" w:hAnsi="宋体" w:cs="宋体"/>
                <w:szCs w:val="21"/>
              </w:rPr>
              <w:t>邮政编码：</w:t>
            </w:r>
          </w:p>
        </w:tc>
      </w:tr>
    </w:tbl>
    <w:p w14:paraId="6F013EC3">
      <w:pPr>
        <w:widowControl/>
        <w:jc w:val="left"/>
        <w:rPr>
          <w:rFonts w:hint="eastAsia" w:ascii="宋体" w:hAnsi="宋体" w:cs="宋体"/>
          <w:sz w:val="20"/>
          <w:szCs w:val="20"/>
        </w:rPr>
      </w:pPr>
    </w:p>
    <w:p w14:paraId="0AA4FA7E">
      <w:pPr>
        <w:rPr>
          <w:rFonts w:hint="eastAsia" w:ascii="宋体" w:hAnsi="宋体" w:cs="宋体"/>
          <w:b/>
          <w:szCs w:val="21"/>
          <w:highlight w:val="none"/>
        </w:rPr>
      </w:pPr>
      <w:r>
        <w:rPr>
          <w:rFonts w:hint="eastAsia" w:ascii="宋体" w:hAnsi="宋体" w:cs="宋体"/>
          <w:b/>
          <w:szCs w:val="21"/>
          <w:highlight w:val="none"/>
        </w:rPr>
        <w:br w:type="page"/>
      </w:r>
    </w:p>
    <w:p w14:paraId="59BCE187">
      <w:pPr>
        <w:snapToGrid w:val="0"/>
        <w:spacing w:line="360" w:lineRule="auto"/>
        <w:jc w:val="center"/>
        <w:rPr>
          <w:rFonts w:ascii="宋体" w:hAnsi="宋体" w:cs="宋体"/>
          <w:b/>
          <w:szCs w:val="21"/>
          <w:highlight w:val="none"/>
        </w:rPr>
      </w:pPr>
      <w:r>
        <w:rPr>
          <w:rFonts w:hint="eastAsia" w:ascii="宋体" w:hAnsi="宋体" w:cs="宋体"/>
          <w:b/>
          <w:szCs w:val="21"/>
          <w:highlight w:val="none"/>
        </w:rPr>
        <w:t>合 同 附 件</w:t>
      </w:r>
    </w:p>
    <w:tbl>
      <w:tblPr>
        <w:tblStyle w:val="29"/>
        <w:tblW w:w="0" w:type="auto"/>
        <w:tblInd w:w="0" w:type="dxa"/>
        <w:tblLayout w:type="fixed"/>
        <w:tblCellMar>
          <w:top w:w="0" w:type="dxa"/>
          <w:left w:w="108" w:type="dxa"/>
          <w:bottom w:w="0" w:type="dxa"/>
          <w:right w:w="108" w:type="dxa"/>
        </w:tblCellMar>
      </w:tblPr>
      <w:tblGrid>
        <w:gridCol w:w="4248"/>
        <w:gridCol w:w="4274"/>
      </w:tblGrid>
      <w:tr w14:paraId="0CBA2856">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right w:val="single" w:color="auto" w:sz="4" w:space="0"/>
            </w:tcBorders>
            <w:noWrap/>
          </w:tcPr>
          <w:p w14:paraId="4BE4B337">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1. 供应商承诺具体事项：</w:t>
            </w:r>
          </w:p>
        </w:tc>
      </w:tr>
      <w:tr w14:paraId="4DF48555">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right w:val="single" w:color="auto" w:sz="4" w:space="0"/>
            </w:tcBorders>
            <w:noWrap/>
          </w:tcPr>
          <w:p w14:paraId="1EF619BA">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2. 售后服务具体事项：</w:t>
            </w:r>
          </w:p>
        </w:tc>
      </w:tr>
      <w:tr w14:paraId="05F400DB">
        <w:tblPrEx>
          <w:tblCellMar>
            <w:top w:w="0" w:type="dxa"/>
            <w:left w:w="108" w:type="dxa"/>
            <w:bottom w:w="0" w:type="dxa"/>
            <w:right w:w="108" w:type="dxa"/>
          </w:tblCellMar>
        </w:tblPrEx>
        <w:trPr>
          <w:trHeight w:val="1088" w:hRule="atLeast"/>
        </w:trPr>
        <w:tc>
          <w:tcPr>
            <w:tcW w:w="8522" w:type="dxa"/>
            <w:gridSpan w:val="2"/>
            <w:tcBorders>
              <w:top w:val="single" w:color="auto" w:sz="4" w:space="0"/>
              <w:left w:val="single" w:color="auto" w:sz="4" w:space="0"/>
              <w:right w:val="single" w:color="auto" w:sz="4" w:space="0"/>
            </w:tcBorders>
            <w:noWrap/>
          </w:tcPr>
          <w:p w14:paraId="48A2FEE1">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3. 保修期责任：</w:t>
            </w:r>
          </w:p>
        </w:tc>
      </w:tr>
      <w:tr w14:paraId="0EE3A51F">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right w:val="single" w:color="auto" w:sz="4" w:space="0"/>
            </w:tcBorders>
            <w:noWrap/>
          </w:tcPr>
          <w:p w14:paraId="36393CB6">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4. 其他具体事项：</w:t>
            </w:r>
          </w:p>
        </w:tc>
      </w:tr>
      <w:tr w14:paraId="79676E15">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noWrap/>
            <w:vAlign w:val="center"/>
          </w:tcPr>
          <w:p w14:paraId="186810B9">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甲方（章）</w:t>
            </w:r>
          </w:p>
          <w:p w14:paraId="63BF4ECD">
            <w:pPr>
              <w:snapToGrid w:val="0"/>
              <w:spacing w:line="360" w:lineRule="auto"/>
              <w:ind w:firstLine="422" w:firstLineChars="200"/>
              <w:rPr>
                <w:rFonts w:ascii="宋体" w:hAnsi="宋体" w:cs="宋体"/>
                <w:b/>
                <w:szCs w:val="21"/>
                <w:highlight w:val="none"/>
              </w:rPr>
            </w:pPr>
          </w:p>
          <w:p w14:paraId="1EEB7AB8">
            <w:pPr>
              <w:snapToGrid w:val="0"/>
              <w:spacing w:line="360" w:lineRule="auto"/>
              <w:rPr>
                <w:rFonts w:ascii="宋体" w:hAnsi="宋体" w:cs="宋体"/>
                <w:b/>
                <w:szCs w:val="21"/>
                <w:highlight w:val="none"/>
              </w:rPr>
            </w:pPr>
          </w:p>
          <w:p w14:paraId="109BFB70">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cBorders>
            <w:noWrap/>
            <w:vAlign w:val="center"/>
          </w:tcPr>
          <w:p w14:paraId="5CFFBD07">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乙方（章）</w:t>
            </w:r>
          </w:p>
          <w:p w14:paraId="5A96F0F0">
            <w:pPr>
              <w:snapToGrid w:val="0"/>
              <w:spacing w:line="360" w:lineRule="auto"/>
              <w:ind w:firstLine="422" w:firstLineChars="200"/>
              <w:rPr>
                <w:rFonts w:ascii="宋体" w:hAnsi="宋体" w:cs="宋体"/>
                <w:b/>
                <w:szCs w:val="21"/>
                <w:highlight w:val="none"/>
              </w:rPr>
            </w:pPr>
          </w:p>
          <w:p w14:paraId="7DF09D09">
            <w:pPr>
              <w:snapToGrid w:val="0"/>
              <w:spacing w:line="360" w:lineRule="auto"/>
              <w:rPr>
                <w:rFonts w:ascii="宋体" w:hAnsi="宋体" w:cs="宋体"/>
                <w:b/>
                <w:szCs w:val="21"/>
                <w:highlight w:val="none"/>
              </w:rPr>
            </w:pPr>
          </w:p>
          <w:p w14:paraId="280FAA42">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 xml:space="preserve">                年   月   日</w:t>
            </w:r>
          </w:p>
        </w:tc>
      </w:tr>
    </w:tbl>
    <w:p w14:paraId="045C803E">
      <w:pPr>
        <w:snapToGrid w:val="0"/>
        <w:spacing w:line="360" w:lineRule="auto"/>
        <w:jc w:val="left"/>
        <w:rPr>
          <w:rFonts w:ascii="宋体" w:hAnsi="宋体" w:cs="宋体"/>
          <w:szCs w:val="21"/>
          <w:highlight w:val="none"/>
        </w:rPr>
      </w:pPr>
      <w:r>
        <w:rPr>
          <w:rFonts w:hint="eastAsia" w:ascii="宋体" w:hAnsi="宋体" w:cs="宋体"/>
          <w:szCs w:val="21"/>
          <w:highlight w:val="none"/>
        </w:rPr>
        <w:t xml:space="preserve">   注：售后服务事项填不下时可另加附页</w:t>
      </w:r>
    </w:p>
    <w:p w14:paraId="6C607F6B">
      <w:pPr>
        <w:snapToGrid w:val="0"/>
        <w:spacing w:line="360" w:lineRule="auto"/>
        <w:jc w:val="left"/>
        <w:rPr>
          <w:rFonts w:ascii="宋体" w:hAnsi="宋体" w:cs="宋体"/>
          <w:szCs w:val="21"/>
          <w:highlight w:val="none"/>
        </w:rPr>
      </w:pPr>
    </w:p>
    <w:p w14:paraId="38590F01">
      <w:pPr>
        <w:spacing w:before="4" w:line="360" w:lineRule="auto"/>
        <w:rPr>
          <w:rFonts w:ascii="宋体" w:hAnsi="宋体" w:cs="宋体"/>
          <w:sz w:val="6"/>
          <w:szCs w:val="6"/>
          <w:highlight w:val="none"/>
        </w:rPr>
      </w:pPr>
    </w:p>
    <w:p w14:paraId="1E0307C5">
      <w:pPr>
        <w:pStyle w:val="73"/>
        <w:spacing w:line="360" w:lineRule="auto"/>
        <w:rPr>
          <w:rFonts w:ascii="宋体" w:hAnsi="宋体" w:eastAsia="宋体" w:cs="宋体"/>
          <w:sz w:val="21"/>
          <w:szCs w:val="21"/>
          <w:highlight w:val="none"/>
        </w:rPr>
      </w:pPr>
    </w:p>
    <w:p w14:paraId="6C2E8826">
      <w:pPr>
        <w:spacing w:before="4" w:line="360" w:lineRule="auto"/>
        <w:rPr>
          <w:rFonts w:ascii="宋体" w:hAnsi="宋体" w:cs="宋体"/>
          <w:sz w:val="6"/>
          <w:szCs w:val="6"/>
          <w:highlight w:val="none"/>
        </w:rPr>
      </w:pPr>
    </w:p>
    <w:p w14:paraId="3643EABE">
      <w:pPr>
        <w:pStyle w:val="73"/>
        <w:pageBreakBefore w:val="0"/>
        <w:widowControl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p w14:paraId="470B5A61">
      <w:pPr>
        <w:pageBreakBefore w:val="0"/>
        <w:widowControl w:val="0"/>
        <w:kinsoku/>
        <w:wordWrap/>
        <w:overflowPunct/>
        <w:topLinePunct w:val="0"/>
        <w:bidi w:val="0"/>
        <w:spacing w:before="4" w:line="360" w:lineRule="auto"/>
        <w:textAlignment w:val="auto"/>
        <w:rPr>
          <w:rFonts w:hint="eastAsia" w:ascii="宋体" w:hAnsi="宋体" w:cs="宋体"/>
          <w:color w:val="auto"/>
          <w:sz w:val="6"/>
          <w:szCs w:val="6"/>
          <w:highlight w:val="none"/>
        </w:rPr>
      </w:pPr>
    </w:p>
    <w:p w14:paraId="34B8E08F">
      <w:pPr>
        <w:spacing w:before="4" w:line="360" w:lineRule="auto"/>
        <w:rPr>
          <w:rFonts w:ascii="宋体" w:hAnsi="宋体" w:cs="宋体"/>
          <w:color w:val="auto"/>
          <w:sz w:val="6"/>
          <w:szCs w:val="6"/>
          <w:highlight w:val="none"/>
        </w:rPr>
      </w:pPr>
    </w:p>
    <w:sectPr>
      <w:footerReference r:id="rId8" w:type="first"/>
      <w:footerReference r:id="rId7" w:type="default"/>
      <w:pgSz w:w="11906" w:h="16838"/>
      <w:pgMar w:top="1440" w:right="1499"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BF39F">
    <w:pPr>
      <w:pStyle w:val="20"/>
      <w:tabs>
        <w:tab w:val="center" w:pos="4439"/>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168277">
                          <w:pPr>
                            <w:pStyle w:val="2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xfas8BAACqAwAADgAAAGRycy9lMm9Eb2MueG1srVPNjtMwEL4j8Q6W&#10;7zRpV6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0cf1KHLW5W6o399jDRSnjR1GGGJYXLoCTPXad3Sjvzp56qHX2z7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VPF9qzwEAAKoDAAAOAAAAAAAAAAEAIAAAAB4BAABkcnMv&#10;ZTJvRG9jLnhtbFBLBQYAAAAABgAGAFkBAABfBQAAAAA=&#10;">
              <v:fill on="f" focussize="0,0"/>
              <v:stroke on="f"/>
              <v:imagedata o:title=""/>
              <o:lock v:ext="edit" aspectratio="f"/>
              <v:textbox inset="0mm,0mm,0mm,0mm" style="mso-fit-shape-to-text:t;">
                <w:txbxContent>
                  <w:p w14:paraId="1C168277">
                    <w:pPr>
                      <w:pStyle w:val="20"/>
                    </w:pPr>
                    <w:r>
                      <w:fldChar w:fldCharType="begin"/>
                    </w:r>
                    <w:r>
                      <w:instrText xml:space="preserve"> PAGE  \* MERGEFORMAT </w:instrText>
                    </w:r>
                    <w:r>
                      <w:fldChar w:fldCharType="separate"/>
                    </w:r>
                    <w:r>
                      <w:t>2</w:t>
                    </w:r>
                    <w:r>
                      <w:fldChar w:fldCharType="end"/>
                    </w:r>
                  </w:p>
                </w:txbxContent>
              </v:textbox>
            </v:shape>
          </w:pict>
        </mc:Fallback>
      </mc:AlternateContent>
    </w:r>
  </w:p>
  <w:p w14:paraId="412308BD">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DF523">
    <w:pPr>
      <w:pStyle w:val="20"/>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EAB90DD"/>
                      </w:txbxContent>
                    </wps:txbx>
                    <wps:bodyPr wrap="none" lIns="0" tIns="0" rIns="0" bIns="0" upright="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ai988BAACqAwAADgAAAGRycy9lMm9Eb2MueG1srVPNjtMwEL4j8Q6W&#10;7zRpta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0cf1KHLW5W6o399jDRSnjR1GGGJYXLoCTPXad3Sjvzp56qHX2z7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qpqL3zwEAAKoDAAAOAAAAAAAAAAEAIAAAAB4BAABkcnMv&#10;ZTJvRG9jLnhtbFBLBQYAAAAABgAGAFkBAABfBQAAAAA=&#10;">
              <v:fill on="f" focussize="0,0"/>
              <v:stroke on="f"/>
              <v:imagedata o:title=""/>
              <o:lock v:ext="edit" aspectratio="f"/>
              <v:textbox inset="0mm,0mm,0mm,0mm" style="mso-fit-shape-to-text:t;">
                <w:txbxContent>
                  <w:p w14:paraId="7EAB90DD"/>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37ECC">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EFFD229">
                          <w:pPr>
                            <w:pStyle w:val="20"/>
                            <w:jc w:val="center"/>
                          </w:pPr>
                          <w:r>
                            <w:fldChar w:fldCharType="begin"/>
                          </w:r>
                          <w:r>
                            <w:instrText xml:space="preserve"> PAGE  \* MERGEFORMAT </w:instrText>
                          </w:r>
                          <w:r>
                            <w:fldChar w:fldCharType="separate"/>
                          </w:r>
                          <w:r>
                            <w:t>41</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FpqSs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evl&#10;apkU6gNWVPgQqDQOd35I1VMcKZiIDy3Y9CVKjPKk7/mqrxoik+nSerVel5SSlJsdwikerwfA+FZ5&#10;y5JRc6AHzLqK03uMY+lckro5f6+NobiojPsrQJhjROUtmG4nJuPEyYrDfpho7H1zJnY9bULNHS0+&#10;Z+adI6HT0swGzMZ+No4B9KHLW5W6Y7g9RhopT5o6jLDEMDn0hJnrtG5pR/70c9XjL7b9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cWmpKzwEAAKoDAAAOAAAAAAAAAAEAIAAAAB4BAABkcnMv&#10;ZTJvRG9jLnhtbFBLBQYAAAAABgAGAFkBAABfBQAAAAA=&#10;">
              <v:fill on="f" focussize="0,0"/>
              <v:stroke on="f"/>
              <v:imagedata o:title=""/>
              <o:lock v:ext="edit" aspectratio="f"/>
              <v:textbox inset="0mm,0mm,0mm,0mm" style="mso-fit-shape-to-text:t;">
                <w:txbxContent>
                  <w:p w14:paraId="1EFFD229">
                    <w:pPr>
                      <w:pStyle w:val="20"/>
                      <w:jc w:val="center"/>
                    </w:pPr>
                    <w:r>
                      <w:fldChar w:fldCharType="begin"/>
                    </w:r>
                    <w:r>
                      <w:instrText xml:space="preserve"> PAGE  \* MERGEFORMAT </w:instrText>
                    </w:r>
                    <w:r>
                      <w:fldChar w:fldCharType="separate"/>
                    </w:r>
                    <w:r>
                      <w:t>41</w:t>
                    </w:r>
                    <w:r>
                      <w:fldChar w:fldCharType="end"/>
                    </w:r>
                  </w:p>
                </w:txbxContent>
              </v:textbox>
            </v:shape>
          </w:pict>
        </mc:Fallback>
      </mc:AlternateContent>
    </w:r>
  </w:p>
  <w:p w14:paraId="5BA48124">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75648">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053EF2">
                          <w:pPr>
                            <w:pStyle w:val="20"/>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Qz9l8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J2&#10;WVV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xDP2XzwEAAKoDAAAOAAAAAAAAAAEAIAAAAB4BAABkcnMv&#10;ZTJvRG9jLnhtbFBLBQYAAAAABgAGAFkBAABfBQAAAAA=&#10;">
              <v:fill on="f" focussize="0,0"/>
              <v:stroke on="f"/>
              <v:imagedata o:title=""/>
              <o:lock v:ext="edit" aspectratio="f"/>
              <v:textbox inset="0mm,0mm,0mm,0mm" style="mso-fit-shape-to-text:t;">
                <w:txbxContent>
                  <w:p w14:paraId="42053EF2">
                    <w:pPr>
                      <w:pStyle w:val="20"/>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DADED">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E1EDF">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1F6"/>
    <w:multiLevelType w:val="singleLevel"/>
    <w:tmpl w:val="845B51F6"/>
    <w:lvl w:ilvl="0" w:tentative="0">
      <w:start w:val="2"/>
      <w:numFmt w:val="chineseCounting"/>
      <w:suff w:val="nothing"/>
      <w:lvlText w:val="%1、"/>
      <w:lvlJc w:val="left"/>
      <w:rPr>
        <w:rFonts w:hint="eastAsia"/>
      </w:rPr>
    </w:lvl>
  </w:abstractNum>
  <w:abstractNum w:abstractNumId="1">
    <w:nsid w:val="4063FDB4"/>
    <w:multiLevelType w:val="singleLevel"/>
    <w:tmpl w:val="4063FDB4"/>
    <w:lvl w:ilvl="0" w:tentative="0">
      <w:start w:val="2"/>
      <w:numFmt w:val="decimal"/>
      <w:lvlText w:val="(%1)"/>
      <w:lvlJc w:val="left"/>
      <w:pPr>
        <w:tabs>
          <w:tab w:val="left" w:pos="312"/>
        </w:tabs>
      </w:pPr>
    </w:lvl>
  </w:abstractNum>
  <w:abstractNum w:abstractNumId="2">
    <w:nsid w:val="60F326A6"/>
    <w:multiLevelType w:val="singleLevel"/>
    <w:tmpl w:val="60F326A6"/>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MmM4NjdjN2I0YzJiNjIxNGUwOTY0ODUxYmRhMWYifQ=="/>
  </w:docVars>
  <w:rsids>
    <w:rsidRoot w:val="00F34B14"/>
    <w:rsid w:val="000002E0"/>
    <w:rsid w:val="00000672"/>
    <w:rsid w:val="00001013"/>
    <w:rsid w:val="00001799"/>
    <w:rsid w:val="00001AF2"/>
    <w:rsid w:val="00001ECA"/>
    <w:rsid w:val="00002D29"/>
    <w:rsid w:val="00003B93"/>
    <w:rsid w:val="0000474D"/>
    <w:rsid w:val="00005FDF"/>
    <w:rsid w:val="0000644A"/>
    <w:rsid w:val="000070B3"/>
    <w:rsid w:val="000076B8"/>
    <w:rsid w:val="000109DC"/>
    <w:rsid w:val="00010D39"/>
    <w:rsid w:val="0001172C"/>
    <w:rsid w:val="00011BC9"/>
    <w:rsid w:val="00012854"/>
    <w:rsid w:val="00012EA6"/>
    <w:rsid w:val="00013359"/>
    <w:rsid w:val="000139CF"/>
    <w:rsid w:val="00013AA4"/>
    <w:rsid w:val="00013DFE"/>
    <w:rsid w:val="000141EA"/>
    <w:rsid w:val="00016ABC"/>
    <w:rsid w:val="000177DB"/>
    <w:rsid w:val="000179C9"/>
    <w:rsid w:val="00017CCC"/>
    <w:rsid w:val="00020227"/>
    <w:rsid w:val="00020263"/>
    <w:rsid w:val="00020455"/>
    <w:rsid w:val="00020813"/>
    <w:rsid w:val="000215D0"/>
    <w:rsid w:val="000220B2"/>
    <w:rsid w:val="0002264C"/>
    <w:rsid w:val="00022731"/>
    <w:rsid w:val="00022792"/>
    <w:rsid w:val="00024463"/>
    <w:rsid w:val="00025461"/>
    <w:rsid w:val="00025636"/>
    <w:rsid w:val="00025E36"/>
    <w:rsid w:val="00026855"/>
    <w:rsid w:val="00026886"/>
    <w:rsid w:val="0002785D"/>
    <w:rsid w:val="000307BE"/>
    <w:rsid w:val="000329E0"/>
    <w:rsid w:val="000352E9"/>
    <w:rsid w:val="00035494"/>
    <w:rsid w:val="00036125"/>
    <w:rsid w:val="00036A07"/>
    <w:rsid w:val="0003780B"/>
    <w:rsid w:val="00040571"/>
    <w:rsid w:val="00040631"/>
    <w:rsid w:val="00040973"/>
    <w:rsid w:val="0004156E"/>
    <w:rsid w:val="00041713"/>
    <w:rsid w:val="0004440C"/>
    <w:rsid w:val="00046B5E"/>
    <w:rsid w:val="000470CB"/>
    <w:rsid w:val="000509D9"/>
    <w:rsid w:val="000512AF"/>
    <w:rsid w:val="00051ACB"/>
    <w:rsid w:val="000533E7"/>
    <w:rsid w:val="00055D41"/>
    <w:rsid w:val="00056EF6"/>
    <w:rsid w:val="00057CD6"/>
    <w:rsid w:val="00060DCE"/>
    <w:rsid w:val="000610E3"/>
    <w:rsid w:val="000614F3"/>
    <w:rsid w:val="000623B4"/>
    <w:rsid w:val="00062405"/>
    <w:rsid w:val="000634A7"/>
    <w:rsid w:val="00063B0B"/>
    <w:rsid w:val="00063F81"/>
    <w:rsid w:val="00064847"/>
    <w:rsid w:val="00065E08"/>
    <w:rsid w:val="000673E2"/>
    <w:rsid w:val="00067EF1"/>
    <w:rsid w:val="0007063F"/>
    <w:rsid w:val="000707FD"/>
    <w:rsid w:val="00070949"/>
    <w:rsid w:val="000711E4"/>
    <w:rsid w:val="00071E9B"/>
    <w:rsid w:val="000720A1"/>
    <w:rsid w:val="000724D9"/>
    <w:rsid w:val="00072AED"/>
    <w:rsid w:val="00073F47"/>
    <w:rsid w:val="0007492F"/>
    <w:rsid w:val="00074ED8"/>
    <w:rsid w:val="00075B7E"/>
    <w:rsid w:val="00077ACA"/>
    <w:rsid w:val="00077C70"/>
    <w:rsid w:val="000813B5"/>
    <w:rsid w:val="0008191E"/>
    <w:rsid w:val="00081BA3"/>
    <w:rsid w:val="00081D2E"/>
    <w:rsid w:val="00081F89"/>
    <w:rsid w:val="00082619"/>
    <w:rsid w:val="00082D02"/>
    <w:rsid w:val="0008381A"/>
    <w:rsid w:val="00083871"/>
    <w:rsid w:val="00083B91"/>
    <w:rsid w:val="0008473C"/>
    <w:rsid w:val="0008520B"/>
    <w:rsid w:val="000857DE"/>
    <w:rsid w:val="000860BD"/>
    <w:rsid w:val="000871B8"/>
    <w:rsid w:val="00087B0A"/>
    <w:rsid w:val="000916DA"/>
    <w:rsid w:val="00091AAB"/>
    <w:rsid w:val="00092442"/>
    <w:rsid w:val="000929EF"/>
    <w:rsid w:val="00092C26"/>
    <w:rsid w:val="000933BE"/>
    <w:rsid w:val="00094428"/>
    <w:rsid w:val="0009560F"/>
    <w:rsid w:val="0009588E"/>
    <w:rsid w:val="000959EE"/>
    <w:rsid w:val="00096DB9"/>
    <w:rsid w:val="00097183"/>
    <w:rsid w:val="000972CB"/>
    <w:rsid w:val="00097608"/>
    <w:rsid w:val="000A0F35"/>
    <w:rsid w:val="000A1175"/>
    <w:rsid w:val="000A13F3"/>
    <w:rsid w:val="000A1C18"/>
    <w:rsid w:val="000A23B1"/>
    <w:rsid w:val="000A2B0E"/>
    <w:rsid w:val="000A398F"/>
    <w:rsid w:val="000A448C"/>
    <w:rsid w:val="000A509C"/>
    <w:rsid w:val="000A54A7"/>
    <w:rsid w:val="000A5A17"/>
    <w:rsid w:val="000A6007"/>
    <w:rsid w:val="000A65A6"/>
    <w:rsid w:val="000A70E3"/>
    <w:rsid w:val="000A7275"/>
    <w:rsid w:val="000A7A12"/>
    <w:rsid w:val="000A7A72"/>
    <w:rsid w:val="000B1202"/>
    <w:rsid w:val="000B1801"/>
    <w:rsid w:val="000B1D0C"/>
    <w:rsid w:val="000B2273"/>
    <w:rsid w:val="000B2BC6"/>
    <w:rsid w:val="000B2D03"/>
    <w:rsid w:val="000B37F2"/>
    <w:rsid w:val="000B3815"/>
    <w:rsid w:val="000B3C7B"/>
    <w:rsid w:val="000B3E68"/>
    <w:rsid w:val="000B4321"/>
    <w:rsid w:val="000B6A6B"/>
    <w:rsid w:val="000B6C95"/>
    <w:rsid w:val="000B79FC"/>
    <w:rsid w:val="000C1679"/>
    <w:rsid w:val="000C1EE3"/>
    <w:rsid w:val="000C3AE7"/>
    <w:rsid w:val="000C3CC9"/>
    <w:rsid w:val="000C59C6"/>
    <w:rsid w:val="000C6DE4"/>
    <w:rsid w:val="000C7202"/>
    <w:rsid w:val="000D0A89"/>
    <w:rsid w:val="000D1389"/>
    <w:rsid w:val="000D1798"/>
    <w:rsid w:val="000D2626"/>
    <w:rsid w:val="000D4016"/>
    <w:rsid w:val="000D411D"/>
    <w:rsid w:val="000D4589"/>
    <w:rsid w:val="000D4809"/>
    <w:rsid w:val="000D73DD"/>
    <w:rsid w:val="000E1C51"/>
    <w:rsid w:val="000E28AB"/>
    <w:rsid w:val="000E2E3E"/>
    <w:rsid w:val="000E3583"/>
    <w:rsid w:val="000E3AF0"/>
    <w:rsid w:val="000E4E04"/>
    <w:rsid w:val="000E693B"/>
    <w:rsid w:val="000E6D5C"/>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1D1B"/>
    <w:rsid w:val="00102676"/>
    <w:rsid w:val="00103646"/>
    <w:rsid w:val="00103918"/>
    <w:rsid w:val="00104897"/>
    <w:rsid w:val="00104EDE"/>
    <w:rsid w:val="00104F54"/>
    <w:rsid w:val="00105CDA"/>
    <w:rsid w:val="00106BEE"/>
    <w:rsid w:val="0010711C"/>
    <w:rsid w:val="00107368"/>
    <w:rsid w:val="00107BDF"/>
    <w:rsid w:val="00107C74"/>
    <w:rsid w:val="0011091C"/>
    <w:rsid w:val="00111266"/>
    <w:rsid w:val="001112EB"/>
    <w:rsid w:val="0011247D"/>
    <w:rsid w:val="00113678"/>
    <w:rsid w:val="00113A7D"/>
    <w:rsid w:val="00113C3E"/>
    <w:rsid w:val="00115E11"/>
    <w:rsid w:val="00115EEE"/>
    <w:rsid w:val="00115F56"/>
    <w:rsid w:val="00116CA9"/>
    <w:rsid w:val="00116F38"/>
    <w:rsid w:val="001170A4"/>
    <w:rsid w:val="00117AE7"/>
    <w:rsid w:val="00117B85"/>
    <w:rsid w:val="00117CBD"/>
    <w:rsid w:val="0012006A"/>
    <w:rsid w:val="00121979"/>
    <w:rsid w:val="00122064"/>
    <w:rsid w:val="00124341"/>
    <w:rsid w:val="00124492"/>
    <w:rsid w:val="00124B12"/>
    <w:rsid w:val="001250A0"/>
    <w:rsid w:val="001263B8"/>
    <w:rsid w:val="00130217"/>
    <w:rsid w:val="00130783"/>
    <w:rsid w:val="00130A47"/>
    <w:rsid w:val="00130FB0"/>
    <w:rsid w:val="00132B47"/>
    <w:rsid w:val="001337F8"/>
    <w:rsid w:val="001348B4"/>
    <w:rsid w:val="0013506E"/>
    <w:rsid w:val="001351CB"/>
    <w:rsid w:val="00135530"/>
    <w:rsid w:val="00135947"/>
    <w:rsid w:val="001359A2"/>
    <w:rsid w:val="00135F92"/>
    <w:rsid w:val="00136020"/>
    <w:rsid w:val="00136445"/>
    <w:rsid w:val="00136A9C"/>
    <w:rsid w:val="00137389"/>
    <w:rsid w:val="00140132"/>
    <w:rsid w:val="00141C9C"/>
    <w:rsid w:val="0014277F"/>
    <w:rsid w:val="001434BE"/>
    <w:rsid w:val="00143AAD"/>
    <w:rsid w:val="00144050"/>
    <w:rsid w:val="00144369"/>
    <w:rsid w:val="0014479F"/>
    <w:rsid w:val="001452B4"/>
    <w:rsid w:val="00145320"/>
    <w:rsid w:val="001476D3"/>
    <w:rsid w:val="001509CF"/>
    <w:rsid w:val="00150D1D"/>
    <w:rsid w:val="001525AA"/>
    <w:rsid w:val="00152A87"/>
    <w:rsid w:val="00152AC1"/>
    <w:rsid w:val="00153BB5"/>
    <w:rsid w:val="00154518"/>
    <w:rsid w:val="00155DD9"/>
    <w:rsid w:val="00156359"/>
    <w:rsid w:val="00156DD6"/>
    <w:rsid w:val="0016086E"/>
    <w:rsid w:val="001609B9"/>
    <w:rsid w:val="00160D0C"/>
    <w:rsid w:val="00160DD1"/>
    <w:rsid w:val="00161172"/>
    <w:rsid w:val="00161998"/>
    <w:rsid w:val="00161E65"/>
    <w:rsid w:val="00162597"/>
    <w:rsid w:val="001629AF"/>
    <w:rsid w:val="001629FD"/>
    <w:rsid w:val="0016428A"/>
    <w:rsid w:val="001647C9"/>
    <w:rsid w:val="00165627"/>
    <w:rsid w:val="001661A3"/>
    <w:rsid w:val="00167226"/>
    <w:rsid w:val="0016782B"/>
    <w:rsid w:val="0016784D"/>
    <w:rsid w:val="00167853"/>
    <w:rsid w:val="00167887"/>
    <w:rsid w:val="00172CA8"/>
    <w:rsid w:val="00172D06"/>
    <w:rsid w:val="00173256"/>
    <w:rsid w:val="00173B0E"/>
    <w:rsid w:val="00173E03"/>
    <w:rsid w:val="0017512C"/>
    <w:rsid w:val="001756AF"/>
    <w:rsid w:val="0017586A"/>
    <w:rsid w:val="00175BA6"/>
    <w:rsid w:val="00176CA7"/>
    <w:rsid w:val="00176D0C"/>
    <w:rsid w:val="00176F8E"/>
    <w:rsid w:val="001778C5"/>
    <w:rsid w:val="00177E56"/>
    <w:rsid w:val="00177F0A"/>
    <w:rsid w:val="00180DA0"/>
    <w:rsid w:val="00181EAD"/>
    <w:rsid w:val="00182862"/>
    <w:rsid w:val="00184F57"/>
    <w:rsid w:val="00185091"/>
    <w:rsid w:val="00185544"/>
    <w:rsid w:val="00185617"/>
    <w:rsid w:val="00186FE1"/>
    <w:rsid w:val="00187A14"/>
    <w:rsid w:val="0019171E"/>
    <w:rsid w:val="00192368"/>
    <w:rsid w:val="001923A0"/>
    <w:rsid w:val="001928B1"/>
    <w:rsid w:val="00193537"/>
    <w:rsid w:val="00193846"/>
    <w:rsid w:val="00195424"/>
    <w:rsid w:val="001955FF"/>
    <w:rsid w:val="00197EDD"/>
    <w:rsid w:val="001A02B3"/>
    <w:rsid w:val="001A04BB"/>
    <w:rsid w:val="001A08D0"/>
    <w:rsid w:val="001A1B39"/>
    <w:rsid w:val="001A2120"/>
    <w:rsid w:val="001A28C6"/>
    <w:rsid w:val="001A2E69"/>
    <w:rsid w:val="001A3C34"/>
    <w:rsid w:val="001A3EDE"/>
    <w:rsid w:val="001A4222"/>
    <w:rsid w:val="001A50EA"/>
    <w:rsid w:val="001A5E24"/>
    <w:rsid w:val="001A661D"/>
    <w:rsid w:val="001A6795"/>
    <w:rsid w:val="001A6B27"/>
    <w:rsid w:val="001A6D8B"/>
    <w:rsid w:val="001A6DAA"/>
    <w:rsid w:val="001A7717"/>
    <w:rsid w:val="001A793A"/>
    <w:rsid w:val="001B125A"/>
    <w:rsid w:val="001B1EBA"/>
    <w:rsid w:val="001B2142"/>
    <w:rsid w:val="001B2F2B"/>
    <w:rsid w:val="001B327A"/>
    <w:rsid w:val="001B35DE"/>
    <w:rsid w:val="001B3A13"/>
    <w:rsid w:val="001B3F5C"/>
    <w:rsid w:val="001B57C9"/>
    <w:rsid w:val="001B59FF"/>
    <w:rsid w:val="001B6512"/>
    <w:rsid w:val="001B65D7"/>
    <w:rsid w:val="001B6752"/>
    <w:rsid w:val="001B6768"/>
    <w:rsid w:val="001B6F1F"/>
    <w:rsid w:val="001B7ECC"/>
    <w:rsid w:val="001C025B"/>
    <w:rsid w:val="001C115F"/>
    <w:rsid w:val="001C1DED"/>
    <w:rsid w:val="001C1EAB"/>
    <w:rsid w:val="001C25A7"/>
    <w:rsid w:val="001C2775"/>
    <w:rsid w:val="001C318C"/>
    <w:rsid w:val="001C35C4"/>
    <w:rsid w:val="001C4287"/>
    <w:rsid w:val="001C4479"/>
    <w:rsid w:val="001C5190"/>
    <w:rsid w:val="001C6081"/>
    <w:rsid w:val="001C73EB"/>
    <w:rsid w:val="001C7B48"/>
    <w:rsid w:val="001D0CFB"/>
    <w:rsid w:val="001D1A0D"/>
    <w:rsid w:val="001D343C"/>
    <w:rsid w:val="001D56E2"/>
    <w:rsid w:val="001D58A1"/>
    <w:rsid w:val="001D58C2"/>
    <w:rsid w:val="001D5A8A"/>
    <w:rsid w:val="001D61CA"/>
    <w:rsid w:val="001D6E87"/>
    <w:rsid w:val="001D735E"/>
    <w:rsid w:val="001D73C8"/>
    <w:rsid w:val="001D7BC6"/>
    <w:rsid w:val="001E129E"/>
    <w:rsid w:val="001E175C"/>
    <w:rsid w:val="001E1B0E"/>
    <w:rsid w:val="001E3B63"/>
    <w:rsid w:val="001E5A94"/>
    <w:rsid w:val="001F13FD"/>
    <w:rsid w:val="001F2A2E"/>
    <w:rsid w:val="001F3356"/>
    <w:rsid w:val="001F3C63"/>
    <w:rsid w:val="001F4460"/>
    <w:rsid w:val="001F6C96"/>
    <w:rsid w:val="001F711A"/>
    <w:rsid w:val="001F75B0"/>
    <w:rsid w:val="0020057C"/>
    <w:rsid w:val="0020083C"/>
    <w:rsid w:val="00200CE5"/>
    <w:rsid w:val="00200F7C"/>
    <w:rsid w:val="002014DB"/>
    <w:rsid w:val="0020150B"/>
    <w:rsid w:val="00201E12"/>
    <w:rsid w:val="00202295"/>
    <w:rsid w:val="002033B5"/>
    <w:rsid w:val="0020382C"/>
    <w:rsid w:val="0020437A"/>
    <w:rsid w:val="0020454C"/>
    <w:rsid w:val="00204740"/>
    <w:rsid w:val="00205129"/>
    <w:rsid w:val="0020521F"/>
    <w:rsid w:val="0020532C"/>
    <w:rsid w:val="002114C7"/>
    <w:rsid w:val="00212FEE"/>
    <w:rsid w:val="0021302C"/>
    <w:rsid w:val="00213B1C"/>
    <w:rsid w:val="00213F1E"/>
    <w:rsid w:val="00214202"/>
    <w:rsid w:val="002148E3"/>
    <w:rsid w:val="0021552D"/>
    <w:rsid w:val="002156AE"/>
    <w:rsid w:val="00215E99"/>
    <w:rsid w:val="0022054D"/>
    <w:rsid w:val="0022107B"/>
    <w:rsid w:val="00223DDB"/>
    <w:rsid w:val="00223FA4"/>
    <w:rsid w:val="00223FB0"/>
    <w:rsid w:val="0022405A"/>
    <w:rsid w:val="00224067"/>
    <w:rsid w:val="0022421C"/>
    <w:rsid w:val="00224C4A"/>
    <w:rsid w:val="00224E83"/>
    <w:rsid w:val="00225664"/>
    <w:rsid w:val="0022663D"/>
    <w:rsid w:val="00227C56"/>
    <w:rsid w:val="00227F2D"/>
    <w:rsid w:val="00231851"/>
    <w:rsid w:val="002319FB"/>
    <w:rsid w:val="00231B89"/>
    <w:rsid w:val="00231F11"/>
    <w:rsid w:val="00231F5E"/>
    <w:rsid w:val="002346B4"/>
    <w:rsid w:val="00234F6E"/>
    <w:rsid w:val="002355BE"/>
    <w:rsid w:val="002358EA"/>
    <w:rsid w:val="00236578"/>
    <w:rsid w:val="00236DE9"/>
    <w:rsid w:val="00237342"/>
    <w:rsid w:val="00237D5A"/>
    <w:rsid w:val="00240D75"/>
    <w:rsid w:val="002415AE"/>
    <w:rsid w:val="00241D3C"/>
    <w:rsid w:val="00242109"/>
    <w:rsid w:val="00243189"/>
    <w:rsid w:val="002439AB"/>
    <w:rsid w:val="00243C19"/>
    <w:rsid w:val="00244AE8"/>
    <w:rsid w:val="00244DC9"/>
    <w:rsid w:val="00245587"/>
    <w:rsid w:val="00245F2B"/>
    <w:rsid w:val="002466CD"/>
    <w:rsid w:val="00247F3A"/>
    <w:rsid w:val="00250122"/>
    <w:rsid w:val="0025024D"/>
    <w:rsid w:val="00250755"/>
    <w:rsid w:val="00251043"/>
    <w:rsid w:val="00251C4A"/>
    <w:rsid w:val="0025271C"/>
    <w:rsid w:val="0025277A"/>
    <w:rsid w:val="002533CD"/>
    <w:rsid w:val="002535EA"/>
    <w:rsid w:val="00254EAB"/>
    <w:rsid w:val="002557AF"/>
    <w:rsid w:val="0025589C"/>
    <w:rsid w:val="00255B62"/>
    <w:rsid w:val="002566B1"/>
    <w:rsid w:val="002575E3"/>
    <w:rsid w:val="00257A74"/>
    <w:rsid w:val="00257C5D"/>
    <w:rsid w:val="002603C1"/>
    <w:rsid w:val="002609A1"/>
    <w:rsid w:val="002612B1"/>
    <w:rsid w:val="00265A12"/>
    <w:rsid w:val="00266165"/>
    <w:rsid w:val="00266F2C"/>
    <w:rsid w:val="0027125E"/>
    <w:rsid w:val="00271767"/>
    <w:rsid w:val="00272293"/>
    <w:rsid w:val="002723C8"/>
    <w:rsid w:val="00273633"/>
    <w:rsid w:val="00273C2A"/>
    <w:rsid w:val="00273CBE"/>
    <w:rsid w:val="002746B1"/>
    <w:rsid w:val="00274BAD"/>
    <w:rsid w:val="002807B0"/>
    <w:rsid w:val="00282D56"/>
    <w:rsid w:val="002835B0"/>
    <w:rsid w:val="00283C74"/>
    <w:rsid w:val="0028407E"/>
    <w:rsid w:val="0028410F"/>
    <w:rsid w:val="00284572"/>
    <w:rsid w:val="002850AA"/>
    <w:rsid w:val="00285221"/>
    <w:rsid w:val="00286FB5"/>
    <w:rsid w:val="00287763"/>
    <w:rsid w:val="00290606"/>
    <w:rsid w:val="002909B2"/>
    <w:rsid w:val="00291D6D"/>
    <w:rsid w:val="00291FF1"/>
    <w:rsid w:val="00292AA2"/>
    <w:rsid w:val="00293361"/>
    <w:rsid w:val="00294F10"/>
    <w:rsid w:val="002952B1"/>
    <w:rsid w:val="00295D11"/>
    <w:rsid w:val="00296FB6"/>
    <w:rsid w:val="002A0001"/>
    <w:rsid w:val="002A0BD9"/>
    <w:rsid w:val="002A0C3A"/>
    <w:rsid w:val="002A0DF8"/>
    <w:rsid w:val="002A0F1C"/>
    <w:rsid w:val="002A1130"/>
    <w:rsid w:val="002A1880"/>
    <w:rsid w:val="002A23B7"/>
    <w:rsid w:val="002A3A57"/>
    <w:rsid w:val="002A4B4F"/>
    <w:rsid w:val="002A57A8"/>
    <w:rsid w:val="002A6DEF"/>
    <w:rsid w:val="002A770B"/>
    <w:rsid w:val="002B013E"/>
    <w:rsid w:val="002B058D"/>
    <w:rsid w:val="002B0C16"/>
    <w:rsid w:val="002B2456"/>
    <w:rsid w:val="002B2AC5"/>
    <w:rsid w:val="002B3528"/>
    <w:rsid w:val="002B3539"/>
    <w:rsid w:val="002B4395"/>
    <w:rsid w:val="002B4532"/>
    <w:rsid w:val="002B4DD9"/>
    <w:rsid w:val="002B5042"/>
    <w:rsid w:val="002B69CC"/>
    <w:rsid w:val="002B6D71"/>
    <w:rsid w:val="002C03AE"/>
    <w:rsid w:val="002C0C1C"/>
    <w:rsid w:val="002C41BF"/>
    <w:rsid w:val="002C54C2"/>
    <w:rsid w:val="002C5D34"/>
    <w:rsid w:val="002C60BB"/>
    <w:rsid w:val="002C661A"/>
    <w:rsid w:val="002D0D6F"/>
    <w:rsid w:val="002D25FC"/>
    <w:rsid w:val="002D4AC6"/>
    <w:rsid w:val="002D59BF"/>
    <w:rsid w:val="002D5BF5"/>
    <w:rsid w:val="002D5EE8"/>
    <w:rsid w:val="002D7360"/>
    <w:rsid w:val="002D7648"/>
    <w:rsid w:val="002D7C80"/>
    <w:rsid w:val="002E109C"/>
    <w:rsid w:val="002E113D"/>
    <w:rsid w:val="002E193E"/>
    <w:rsid w:val="002E1A94"/>
    <w:rsid w:val="002E1D55"/>
    <w:rsid w:val="002E26C4"/>
    <w:rsid w:val="002E2734"/>
    <w:rsid w:val="002E30A5"/>
    <w:rsid w:val="002E47E4"/>
    <w:rsid w:val="002E4BF9"/>
    <w:rsid w:val="002E4D61"/>
    <w:rsid w:val="002E68A7"/>
    <w:rsid w:val="002E6E6C"/>
    <w:rsid w:val="002F016E"/>
    <w:rsid w:val="002F0522"/>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B84"/>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CC1"/>
    <w:rsid w:val="00312504"/>
    <w:rsid w:val="00312B89"/>
    <w:rsid w:val="00313026"/>
    <w:rsid w:val="00313913"/>
    <w:rsid w:val="0031421F"/>
    <w:rsid w:val="00314B31"/>
    <w:rsid w:val="00315A65"/>
    <w:rsid w:val="003165D7"/>
    <w:rsid w:val="0031666B"/>
    <w:rsid w:val="00316ABE"/>
    <w:rsid w:val="00317BA7"/>
    <w:rsid w:val="00320BE2"/>
    <w:rsid w:val="00321886"/>
    <w:rsid w:val="00321EDC"/>
    <w:rsid w:val="00323694"/>
    <w:rsid w:val="00323BE7"/>
    <w:rsid w:val="00324C3A"/>
    <w:rsid w:val="00324D63"/>
    <w:rsid w:val="003255AF"/>
    <w:rsid w:val="003256EB"/>
    <w:rsid w:val="003259DB"/>
    <w:rsid w:val="0032795B"/>
    <w:rsid w:val="003303CD"/>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4AE9"/>
    <w:rsid w:val="00355C0D"/>
    <w:rsid w:val="003566A9"/>
    <w:rsid w:val="00356988"/>
    <w:rsid w:val="003569D3"/>
    <w:rsid w:val="00356CE9"/>
    <w:rsid w:val="003570BB"/>
    <w:rsid w:val="00357128"/>
    <w:rsid w:val="0035755E"/>
    <w:rsid w:val="00357A80"/>
    <w:rsid w:val="00361441"/>
    <w:rsid w:val="00361B8B"/>
    <w:rsid w:val="00363F39"/>
    <w:rsid w:val="003640FC"/>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91A"/>
    <w:rsid w:val="00374E79"/>
    <w:rsid w:val="0037529A"/>
    <w:rsid w:val="00375388"/>
    <w:rsid w:val="00375559"/>
    <w:rsid w:val="00375FB9"/>
    <w:rsid w:val="00376170"/>
    <w:rsid w:val="00376851"/>
    <w:rsid w:val="00376FA2"/>
    <w:rsid w:val="00377133"/>
    <w:rsid w:val="00377A3B"/>
    <w:rsid w:val="00377E3C"/>
    <w:rsid w:val="00380874"/>
    <w:rsid w:val="00380BBE"/>
    <w:rsid w:val="00381D70"/>
    <w:rsid w:val="0038235E"/>
    <w:rsid w:val="003829D0"/>
    <w:rsid w:val="0038326A"/>
    <w:rsid w:val="0038444F"/>
    <w:rsid w:val="003861F0"/>
    <w:rsid w:val="00387051"/>
    <w:rsid w:val="00387ECF"/>
    <w:rsid w:val="0039021B"/>
    <w:rsid w:val="00390429"/>
    <w:rsid w:val="003906A0"/>
    <w:rsid w:val="003923D5"/>
    <w:rsid w:val="003931AF"/>
    <w:rsid w:val="0039366C"/>
    <w:rsid w:val="00393EC8"/>
    <w:rsid w:val="00395E42"/>
    <w:rsid w:val="00396409"/>
    <w:rsid w:val="00396A2D"/>
    <w:rsid w:val="00396FC3"/>
    <w:rsid w:val="003A1431"/>
    <w:rsid w:val="003A1A94"/>
    <w:rsid w:val="003A204E"/>
    <w:rsid w:val="003A2D25"/>
    <w:rsid w:val="003A5101"/>
    <w:rsid w:val="003A5728"/>
    <w:rsid w:val="003A60E7"/>
    <w:rsid w:val="003A7092"/>
    <w:rsid w:val="003A72A1"/>
    <w:rsid w:val="003A7611"/>
    <w:rsid w:val="003A7D1F"/>
    <w:rsid w:val="003B0B6A"/>
    <w:rsid w:val="003B22F7"/>
    <w:rsid w:val="003B29CF"/>
    <w:rsid w:val="003B3A90"/>
    <w:rsid w:val="003B3D01"/>
    <w:rsid w:val="003B534F"/>
    <w:rsid w:val="003B7377"/>
    <w:rsid w:val="003B7A79"/>
    <w:rsid w:val="003C0FE1"/>
    <w:rsid w:val="003C151A"/>
    <w:rsid w:val="003C350C"/>
    <w:rsid w:val="003C3733"/>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0F4"/>
    <w:rsid w:val="003E59BB"/>
    <w:rsid w:val="003E6225"/>
    <w:rsid w:val="003E65AC"/>
    <w:rsid w:val="003E66AE"/>
    <w:rsid w:val="003E72B9"/>
    <w:rsid w:val="003E7612"/>
    <w:rsid w:val="003E7ED4"/>
    <w:rsid w:val="003F0CAA"/>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1CA"/>
    <w:rsid w:val="00404681"/>
    <w:rsid w:val="00405445"/>
    <w:rsid w:val="00405AC1"/>
    <w:rsid w:val="00406923"/>
    <w:rsid w:val="0040763D"/>
    <w:rsid w:val="00410D17"/>
    <w:rsid w:val="00412AA9"/>
    <w:rsid w:val="00413442"/>
    <w:rsid w:val="00413821"/>
    <w:rsid w:val="00413BA5"/>
    <w:rsid w:val="004141A3"/>
    <w:rsid w:val="00414909"/>
    <w:rsid w:val="0041582F"/>
    <w:rsid w:val="00416112"/>
    <w:rsid w:val="00417A1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6823"/>
    <w:rsid w:val="004371D5"/>
    <w:rsid w:val="0044006B"/>
    <w:rsid w:val="0044033F"/>
    <w:rsid w:val="00440630"/>
    <w:rsid w:val="00441F0F"/>
    <w:rsid w:val="00442965"/>
    <w:rsid w:val="004432B6"/>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1FC2"/>
    <w:rsid w:val="00464AB7"/>
    <w:rsid w:val="00465DE5"/>
    <w:rsid w:val="00467EF8"/>
    <w:rsid w:val="00471AC3"/>
    <w:rsid w:val="00472429"/>
    <w:rsid w:val="004725E5"/>
    <w:rsid w:val="00472751"/>
    <w:rsid w:val="00473128"/>
    <w:rsid w:val="00475078"/>
    <w:rsid w:val="00475767"/>
    <w:rsid w:val="004779A0"/>
    <w:rsid w:val="004808E3"/>
    <w:rsid w:val="00481016"/>
    <w:rsid w:val="0048204C"/>
    <w:rsid w:val="004821BB"/>
    <w:rsid w:val="0048237A"/>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A1405"/>
    <w:rsid w:val="004A15BD"/>
    <w:rsid w:val="004A1E28"/>
    <w:rsid w:val="004A1FC6"/>
    <w:rsid w:val="004A2E5F"/>
    <w:rsid w:val="004A38C2"/>
    <w:rsid w:val="004A3C03"/>
    <w:rsid w:val="004A3DB7"/>
    <w:rsid w:val="004A463B"/>
    <w:rsid w:val="004A5088"/>
    <w:rsid w:val="004A5255"/>
    <w:rsid w:val="004A6B28"/>
    <w:rsid w:val="004A6CB0"/>
    <w:rsid w:val="004A70FF"/>
    <w:rsid w:val="004A7EDE"/>
    <w:rsid w:val="004B0D93"/>
    <w:rsid w:val="004B1FA4"/>
    <w:rsid w:val="004B29AC"/>
    <w:rsid w:val="004B35DF"/>
    <w:rsid w:val="004B3627"/>
    <w:rsid w:val="004B4922"/>
    <w:rsid w:val="004B57DF"/>
    <w:rsid w:val="004B5976"/>
    <w:rsid w:val="004B722E"/>
    <w:rsid w:val="004B72E8"/>
    <w:rsid w:val="004C01A5"/>
    <w:rsid w:val="004C041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B2B"/>
    <w:rsid w:val="004D4F35"/>
    <w:rsid w:val="004D51EE"/>
    <w:rsid w:val="004D5D45"/>
    <w:rsid w:val="004D618D"/>
    <w:rsid w:val="004D62A9"/>
    <w:rsid w:val="004D6FC3"/>
    <w:rsid w:val="004D7476"/>
    <w:rsid w:val="004D7716"/>
    <w:rsid w:val="004E0306"/>
    <w:rsid w:val="004E0572"/>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0E50"/>
    <w:rsid w:val="004F1D2A"/>
    <w:rsid w:val="004F243F"/>
    <w:rsid w:val="004F252C"/>
    <w:rsid w:val="004F36A3"/>
    <w:rsid w:val="004F3E0C"/>
    <w:rsid w:val="004F4308"/>
    <w:rsid w:val="004F7160"/>
    <w:rsid w:val="00500258"/>
    <w:rsid w:val="00500B2D"/>
    <w:rsid w:val="00501A99"/>
    <w:rsid w:val="00503180"/>
    <w:rsid w:val="005038A4"/>
    <w:rsid w:val="00504CD4"/>
    <w:rsid w:val="0050524B"/>
    <w:rsid w:val="00505450"/>
    <w:rsid w:val="00505FC6"/>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608F"/>
    <w:rsid w:val="00516480"/>
    <w:rsid w:val="00520EF8"/>
    <w:rsid w:val="005210F7"/>
    <w:rsid w:val="00521753"/>
    <w:rsid w:val="0052239D"/>
    <w:rsid w:val="005224EE"/>
    <w:rsid w:val="00522879"/>
    <w:rsid w:val="00523BB1"/>
    <w:rsid w:val="00524B23"/>
    <w:rsid w:val="0052570E"/>
    <w:rsid w:val="005260CD"/>
    <w:rsid w:val="00526265"/>
    <w:rsid w:val="0052655D"/>
    <w:rsid w:val="005265E0"/>
    <w:rsid w:val="00526BC3"/>
    <w:rsid w:val="00530064"/>
    <w:rsid w:val="00531761"/>
    <w:rsid w:val="0053248F"/>
    <w:rsid w:val="005327AB"/>
    <w:rsid w:val="0053332A"/>
    <w:rsid w:val="0053358A"/>
    <w:rsid w:val="00534668"/>
    <w:rsid w:val="00534DDD"/>
    <w:rsid w:val="00535291"/>
    <w:rsid w:val="00535A94"/>
    <w:rsid w:val="00537874"/>
    <w:rsid w:val="0053795F"/>
    <w:rsid w:val="00537D3D"/>
    <w:rsid w:val="00540511"/>
    <w:rsid w:val="00540578"/>
    <w:rsid w:val="00540808"/>
    <w:rsid w:val="0054080E"/>
    <w:rsid w:val="00540D1A"/>
    <w:rsid w:val="00540DE5"/>
    <w:rsid w:val="00540EA1"/>
    <w:rsid w:val="00541E5A"/>
    <w:rsid w:val="0054358E"/>
    <w:rsid w:val="00543AF4"/>
    <w:rsid w:val="00543F53"/>
    <w:rsid w:val="00544191"/>
    <w:rsid w:val="0054440C"/>
    <w:rsid w:val="005448EC"/>
    <w:rsid w:val="00544C0A"/>
    <w:rsid w:val="00544F39"/>
    <w:rsid w:val="005457FB"/>
    <w:rsid w:val="00546B96"/>
    <w:rsid w:val="00546F90"/>
    <w:rsid w:val="00547EFB"/>
    <w:rsid w:val="00550192"/>
    <w:rsid w:val="005522F2"/>
    <w:rsid w:val="005531DF"/>
    <w:rsid w:val="00553874"/>
    <w:rsid w:val="00553DCE"/>
    <w:rsid w:val="005541E0"/>
    <w:rsid w:val="00554577"/>
    <w:rsid w:val="00554AD8"/>
    <w:rsid w:val="00554F78"/>
    <w:rsid w:val="00555DA1"/>
    <w:rsid w:val="005560F8"/>
    <w:rsid w:val="00556BF7"/>
    <w:rsid w:val="00556E53"/>
    <w:rsid w:val="00557F60"/>
    <w:rsid w:val="00561730"/>
    <w:rsid w:val="00561B97"/>
    <w:rsid w:val="00562149"/>
    <w:rsid w:val="005640EB"/>
    <w:rsid w:val="005666A4"/>
    <w:rsid w:val="00567B5D"/>
    <w:rsid w:val="00570757"/>
    <w:rsid w:val="00573733"/>
    <w:rsid w:val="00573F8B"/>
    <w:rsid w:val="00574554"/>
    <w:rsid w:val="00574E06"/>
    <w:rsid w:val="005751BB"/>
    <w:rsid w:val="00576089"/>
    <w:rsid w:val="005764B1"/>
    <w:rsid w:val="00576852"/>
    <w:rsid w:val="00576D06"/>
    <w:rsid w:val="005779E4"/>
    <w:rsid w:val="00580EC7"/>
    <w:rsid w:val="0058289C"/>
    <w:rsid w:val="005836C7"/>
    <w:rsid w:val="0058408E"/>
    <w:rsid w:val="005844C3"/>
    <w:rsid w:val="00585374"/>
    <w:rsid w:val="005854CA"/>
    <w:rsid w:val="00585FAB"/>
    <w:rsid w:val="00590B77"/>
    <w:rsid w:val="00590D9A"/>
    <w:rsid w:val="005913A3"/>
    <w:rsid w:val="00591A5A"/>
    <w:rsid w:val="0059339D"/>
    <w:rsid w:val="005940D4"/>
    <w:rsid w:val="00594A7B"/>
    <w:rsid w:val="0059580E"/>
    <w:rsid w:val="00595D90"/>
    <w:rsid w:val="00596A6F"/>
    <w:rsid w:val="00596FCE"/>
    <w:rsid w:val="005A11BC"/>
    <w:rsid w:val="005A1525"/>
    <w:rsid w:val="005A1E17"/>
    <w:rsid w:val="005A252B"/>
    <w:rsid w:val="005A2A8F"/>
    <w:rsid w:val="005A3008"/>
    <w:rsid w:val="005A3204"/>
    <w:rsid w:val="005A3341"/>
    <w:rsid w:val="005A3C3D"/>
    <w:rsid w:val="005A46EC"/>
    <w:rsid w:val="005A5EAE"/>
    <w:rsid w:val="005A6407"/>
    <w:rsid w:val="005A726C"/>
    <w:rsid w:val="005B07EC"/>
    <w:rsid w:val="005B2B11"/>
    <w:rsid w:val="005B32A4"/>
    <w:rsid w:val="005B3371"/>
    <w:rsid w:val="005B338D"/>
    <w:rsid w:val="005B33A1"/>
    <w:rsid w:val="005B3852"/>
    <w:rsid w:val="005B3BAF"/>
    <w:rsid w:val="005B4DA3"/>
    <w:rsid w:val="005B5BEE"/>
    <w:rsid w:val="005B77D2"/>
    <w:rsid w:val="005C0195"/>
    <w:rsid w:val="005C019B"/>
    <w:rsid w:val="005C08D0"/>
    <w:rsid w:val="005C1AED"/>
    <w:rsid w:val="005C2136"/>
    <w:rsid w:val="005C30F5"/>
    <w:rsid w:val="005C3840"/>
    <w:rsid w:val="005C51A5"/>
    <w:rsid w:val="005C557A"/>
    <w:rsid w:val="005C566F"/>
    <w:rsid w:val="005C5C47"/>
    <w:rsid w:val="005C61DD"/>
    <w:rsid w:val="005C6438"/>
    <w:rsid w:val="005C6B8B"/>
    <w:rsid w:val="005C727F"/>
    <w:rsid w:val="005D02E3"/>
    <w:rsid w:val="005D1F34"/>
    <w:rsid w:val="005D2C1F"/>
    <w:rsid w:val="005D34B2"/>
    <w:rsid w:val="005D3B54"/>
    <w:rsid w:val="005D40CD"/>
    <w:rsid w:val="005D6B59"/>
    <w:rsid w:val="005D784B"/>
    <w:rsid w:val="005E03E4"/>
    <w:rsid w:val="005E0454"/>
    <w:rsid w:val="005E05F6"/>
    <w:rsid w:val="005E1B9D"/>
    <w:rsid w:val="005E1BDA"/>
    <w:rsid w:val="005E2442"/>
    <w:rsid w:val="005E3111"/>
    <w:rsid w:val="005E3CA0"/>
    <w:rsid w:val="005E3F85"/>
    <w:rsid w:val="005E4A5F"/>
    <w:rsid w:val="005E516A"/>
    <w:rsid w:val="005E57B0"/>
    <w:rsid w:val="005E5B01"/>
    <w:rsid w:val="005E6D3B"/>
    <w:rsid w:val="005F009E"/>
    <w:rsid w:val="005F0DF1"/>
    <w:rsid w:val="005F1516"/>
    <w:rsid w:val="005F1A6F"/>
    <w:rsid w:val="005F229E"/>
    <w:rsid w:val="005F2564"/>
    <w:rsid w:val="005F3822"/>
    <w:rsid w:val="005F4635"/>
    <w:rsid w:val="005F4900"/>
    <w:rsid w:val="005F4E52"/>
    <w:rsid w:val="005F6D58"/>
    <w:rsid w:val="005F7383"/>
    <w:rsid w:val="0060058E"/>
    <w:rsid w:val="00602A3C"/>
    <w:rsid w:val="00603EFD"/>
    <w:rsid w:val="0060475B"/>
    <w:rsid w:val="00604BED"/>
    <w:rsid w:val="00604FB6"/>
    <w:rsid w:val="00605387"/>
    <w:rsid w:val="00606302"/>
    <w:rsid w:val="006076FD"/>
    <w:rsid w:val="00610811"/>
    <w:rsid w:val="0061143F"/>
    <w:rsid w:val="006114D8"/>
    <w:rsid w:val="00613553"/>
    <w:rsid w:val="00613601"/>
    <w:rsid w:val="00613791"/>
    <w:rsid w:val="006150D6"/>
    <w:rsid w:val="00615245"/>
    <w:rsid w:val="0061590D"/>
    <w:rsid w:val="00617EEE"/>
    <w:rsid w:val="00620A1F"/>
    <w:rsid w:val="0062169D"/>
    <w:rsid w:val="0062181E"/>
    <w:rsid w:val="0062211B"/>
    <w:rsid w:val="00622BB7"/>
    <w:rsid w:val="00622C1E"/>
    <w:rsid w:val="00623389"/>
    <w:rsid w:val="00623DAA"/>
    <w:rsid w:val="00623FAF"/>
    <w:rsid w:val="006265C4"/>
    <w:rsid w:val="0062678A"/>
    <w:rsid w:val="006270AF"/>
    <w:rsid w:val="00634367"/>
    <w:rsid w:val="00635C7B"/>
    <w:rsid w:val="00636CE3"/>
    <w:rsid w:val="00640082"/>
    <w:rsid w:val="00640291"/>
    <w:rsid w:val="00640EFE"/>
    <w:rsid w:val="00641D6D"/>
    <w:rsid w:val="00641FAC"/>
    <w:rsid w:val="00643664"/>
    <w:rsid w:val="00643CAA"/>
    <w:rsid w:val="00644F16"/>
    <w:rsid w:val="006455EB"/>
    <w:rsid w:val="006456C2"/>
    <w:rsid w:val="00645A65"/>
    <w:rsid w:val="00646959"/>
    <w:rsid w:val="006477F0"/>
    <w:rsid w:val="006478E4"/>
    <w:rsid w:val="0065171A"/>
    <w:rsid w:val="00652680"/>
    <w:rsid w:val="00653CDE"/>
    <w:rsid w:val="00654585"/>
    <w:rsid w:val="0065566E"/>
    <w:rsid w:val="00655AB6"/>
    <w:rsid w:val="00655EFA"/>
    <w:rsid w:val="00656061"/>
    <w:rsid w:val="00656281"/>
    <w:rsid w:val="0065636A"/>
    <w:rsid w:val="00657003"/>
    <w:rsid w:val="00660238"/>
    <w:rsid w:val="006602EF"/>
    <w:rsid w:val="00661277"/>
    <w:rsid w:val="006619E0"/>
    <w:rsid w:val="00663FEA"/>
    <w:rsid w:val="00664803"/>
    <w:rsid w:val="006657C5"/>
    <w:rsid w:val="00665D7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5549"/>
    <w:rsid w:val="006A703E"/>
    <w:rsid w:val="006A7BE3"/>
    <w:rsid w:val="006A7D32"/>
    <w:rsid w:val="006B01D1"/>
    <w:rsid w:val="006B0DF4"/>
    <w:rsid w:val="006B16EA"/>
    <w:rsid w:val="006B1780"/>
    <w:rsid w:val="006B21DC"/>
    <w:rsid w:val="006B224E"/>
    <w:rsid w:val="006B376E"/>
    <w:rsid w:val="006B4589"/>
    <w:rsid w:val="006B5157"/>
    <w:rsid w:val="006B610E"/>
    <w:rsid w:val="006B6805"/>
    <w:rsid w:val="006B6C07"/>
    <w:rsid w:val="006B6DE0"/>
    <w:rsid w:val="006C16C3"/>
    <w:rsid w:val="006C2187"/>
    <w:rsid w:val="006C27D9"/>
    <w:rsid w:val="006C32F4"/>
    <w:rsid w:val="006C3C54"/>
    <w:rsid w:val="006C4B6B"/>
    <w:rsid w:val="006C4CE1"/>
    <w:rsid w:val="006C4F9F"/>
    <w:rsid w:val="006C71A2"/>
    <w:rsid w:val="006C73EC"/>
    <w:rsid w:val="006D0C1D"/>
    <w:rsid w:val="006D28F3"/>
    <w:rsid w:val="006D2E9D"/>
    <w:rsid w:val="006D4A4E"/>
    <w:rsid w:val="006D4C42"/>
    <w:rsid w:val="006D5389"/>
    <w:rsid w:val="006D53A2"/>
    <w:rsid w:val="006D5809"/>
    <w:rsid w:val="006D607E"/>
    <w:rsid w:val="006D6E12"/>
    <w:rsid w:val="006D70CB"/>
    <w:rsid w:val="006D715C"/>
    <w:rsid w:val="006D7363"/>
    <w:rsid w:val="006D774E"/>
    <w:rsid w:val="006E0754"/>
    <w:rsid w:val="006E2668"/>
    <w:rsid w:val="006E2D39"/>
    <w:rsid w:val="006E2FE9"/>
    <w:rsid w:val="006E32B0"/>
    <w:rsid w:val="006E348E"/>
    <w:rsid w:val="006E396A"/>
    <w:rsid w:val="006E3D63"/>
    <w:rsid w:val="006E58BF"/>
    <w:rsid w:val="006E5DD8"/>
    <w:rsid w:val="006E5EA1"/>
    <w:rsid w:val="006E6DEE"/>
    <w:rsid w:val="006E7D4B"/>
    <w:rsid w:val="006F018A"/>
    <w:rsid w:val="006F0760"/>
    <w:rsid w:val="006F11E2"/>
    <w:rsid w:val="006F2574"/>
    <w:rsid w:val="006F279A"/>
    <w:rsid w:val="006F3231"/>
    <w:rsid w:val="006F3DE3"/>
    <w:rsid w:val="006F4787"/>
    <w:rsid w:val="006F61D8"/>
    <w:rsid w:val="006F62B7"/>
    <w:rsid w:val="006F70BC"/>
    <w:rsid w:val="006F726C"/>
    <w:rsid w:val="006F7E7C"/>
    <w:rsid w:val="0070174E"/>
    <w:rsid w:val="007018DB"/>
    <w:rsid w:val="00701DE6"/>
    <w:rsid w:val="00702740"/>
    <w:rsid w:val="0070381B"/>
    <w:rsid w:val="0070796C"/>
    <w:rsid w:val="007109BB"/>
    <w:rsid w:val="00710EBF"/>
    <w:rsid w:val="007110B8"/>
    <w:rsid w:val="0071209F"/>
    <w:rsid w:val="007125A2"/>
    <w:rsid w:val="00713DD9"/>
    <w:rsid w:val="00713F79"/>
    <w:rsid w:val="007148A8"/>
    <w:rsid w:val="00716AC8"/>
    <w:rsid w:val="00716E54"/>
    <w:rsid w:val="0072033C"/>
    <w:rsid w:val="00720B1B"/>
    <w:rsid w:val="00721062"/>
    <w:rsid w:val="00721E5D"/>
    <w:rsid w:val="007229D4"/>
    <w:rsid w:val="007230F8"/>
    <w:rsid w:val="007233F4"/>
    <w:rsid w:val="00724044"/>
    <w:rsid w:val="007243F2"/>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414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89C"/>
    <w:rsid w:val="00747DE2"/>
    <w:rsid w:val="007502D0"/>
    <w:rsid w:val="007504BF"/>
    <w:rsid w:val="007506CD"/>
    <w:rsid w:val="0075267F"/>
    <w:rsid w:val="007526EC"/>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153"/>
    <w:rsid w:val="007777CC"/>
    <w:rsid w:val="00777B32"/>
    <w:rsid w:val="0078051E"/>
    <w:rsid w:val="00781089"/>
    <w:rsid w:val="00781CB6"/>
    <w:rsid w:val="007838F3"/>
    <w:rsid w:val="007856FE"/>
    <w:rsid w:val="00785F46"/>
    <w:rsid w:val="007865F4"/>
    <w:rsid w:val="00786D5C"/>
    <w:rsid w:val="00786E96"/>
    <w:rsid w:val="00787BB6"/>
    <w:rsid w:val="00787DFF"/>
    <w:rsid w:val="00787F93"/>
    <w:rsid w:val="00791E6D"/>
    <w:rsid w:val="00791EB5"/>
    <w:rsid w:val="0079343F"/>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3BF0"/>
    <w:rsid w:val="007B7490"/>
    <w:rsid w:val="007C0525"/>
    <w:rsid w:val="007C13F7"/>
    <w:rsid w:val="007C1D77"/>
    <w:rsid w:val="007C218D"/>
    <w:rsid w:val="007C2D28"/>
    <w:rsid w:val="007C3E22"/>
    <w:rsid w:val="007C58C1"/>
    <w:rsid w:val="007C6218"/>
    <w:rsid w:val="007C6484"/>
    <w:rsid w:val="007C67C6"/>
    <w:rsid w:val="007C78BE"/>
    <w:rsid w:val="007C7A5D"/>
    <w:rsid w:val="007C7E59"/>
    <w:rsid w:val="007D0476"/>
    <w:rsid w:val="007D0B91"/>
    <w:rsid w:val="007D0FE7"/>
    <w:rsid w:val="007D1452"/>
    <w:rsid w:val="007D1563"/>
    <w:rsid w:val="007D3DCB"/>
    <w:rsid w:val="007D460C"/>
    <w:rsid w:val="007D4996"/>
    <w:rsid w:val="007D4AD3"/>
    <w:rsid w:val="007D5D19"/>
    <w:rsid w:val="007D5FDC"/>
    <w:rsid w:val="007D6176"/>
    <w:rsid w:val="007D69CD"/>
    <w:rsid w:val="007D6D68"/>
    <w:rsid w:val="007E194F"/>
    <w:rsid w:val="007E32DA"/>
    <w:rsid w:val="007E4998"/>
    <w:rsid w:val="007E4A9C"/>
    <w:rsid w:val="007E6914"/>
    <w:rsid w:val="007E7F78"/>
    <w:rsid w:val="007F0179"/>
    <w:rsid w:val="007F2C13"/>
    <w:rsid w:val="007F2CEC"/>
    <w:rsid w:val="007F2ED1"/>
    <w:rsid w:val="007F3435"/>
    <w:rsid w:val="007F505D"/>
    <w:rsid w:val="007F531B"/>
    <w:rsid w:val="007F55DE"/>
    <w:rsid w:val="007F762D"/>
    <w:rsid w:val="007F78F0"/>
    <w:rsid w:val="007F78FF"/>
    <w:rsid w:val="008001C5"/>
    <w:rsid w:val="00800F6C"/>
    <w:rsid w:val="00800FC1"/>
    <w:rsid w:val="00801065"/>
    <w:rsid w:val="00802C0B"/>
    <w:rsid w:val="00805040"/>
    <w:rsid w:val="008051FC"/>
    <w:rsid w:val="008055A9"/>
    <w:rsid w:val="008056C4"/>
    <w:rsid w:val="008057FD"/>
    <w:rsid w:val="00805D8B"/>
    <w:rsid w:val="0081010F"/>
    <w:rsid w:val="00810BB6"/>
    <w:rsid w:val="00810E8E"/>
    <w:rsid w:val="00812C44"/>
    <w:rsid w:val="008135E1"/>
    <w:rsid w:val="00813779"/>
    <w:rsid w:val="00813E26"/>
    <w:rsid w:val="0081481D"/>
    <w:rsid w:val="00814BE8"/>
    <w:rsid w:val="00814F6E"/>
    <w:rsid w:val="00815B84"/>
    <w:rsid w:val="00816342"/>
    <w:rsid w:val="008166F6"/>
    <w:rsid w:val="00816BE9"/>
    <w:rsid w:val="00817D10"/>
    <w:rsid w:val="00822518"/>
    <w:rsid w:val="008226F5"/>
    <w:rsid w:val="00823FC6"/>
    <w:rsid w:val="00824306"/>
    <w:rsid w:val="00825C74"/>
    <w:rsid w:val="00825CFA"/>
    <w:rsid w:val="00826AB9"/>
    <w:rsid w:val="00826E0E"/>
    <w:rsid w:val="00827D11"/>
    <w:rsid w:val="00827E0F"/>
    <w:rsid w:val="00827F6E"/>
    <w:rsid w:val="00831758"/>
    <w:rsid w:val="008317D9"/>
    <w:rsid w:val="00831AEC"/>
    <w:rsid w:val="0083279F"/>
    <w:rsid w:val="00832CE9"/>
    <w:rsid w:val="008334DB"/>
    <w:rsid w:val="00833B7F"/>
    <w:rsid w:val="00833E8E"/>
    <w:rsid w:val="00834906"/>
    <w:rsid w:val="00836075"/>
    <w:rsid w:val="00836417"/>
    <w:rsid w:val="00836D47"/>
    <w:rsid w:val="00837526"/>
    <w:rsid w:val="008407A7"/>
    <w:rsid w:val="0084322B"/>
    <w:rsid w:val="00843F81"/>
    <w:rsid w:val="00844087"/>
    <w:rsid w:val="008448F1"/>
    <w:rsid w:val="0084519E"/>
    <w:rsid w:val="00845CAE"/>
    <w:rsid w:val="008462C5"/>
    <w:rsid w:val="008462FA"/>
    <w:rsid w:val="00846370"/>
    <w:rsid w:val="00846873"/>
    <w:rsid w:val="008477E7"/>
    <w:rsid w:val="00847C2B"/>
    <w:rsid w:val="00850272"/>
    <w:rsid w:val="008506B9"/>
    <w:rsid w:val="0085086F"/>
    <w:rsid w:val="00851822"/>
    <w:rsid w:val="00851C16"/>
    <w:rsid w:val="008532BF"/>
    <w:rsid w:val="008539B2"/>
    <w:rsid w:val="00853BF4"/>
    <w:rsid w:val="00854294"/>
    <w:rsid w:val="00854295"/>
    <w:rsid w:val="0085572E"/>
    <w:rsid w:val="0085788B"/>
    <w:rsid w:val="00857A9E"/>
    <w:rsid w:val="00857DE2"/>
    <w:rsid w:val="0086003D"/>
    <w:rsid w:val="00863A8E"/>
    <w:rsid w:val="0086407F"/>
    <w:rsid w:val="008645E3"/>
    <w:rsid w:val="0086486A"/>
    <w:rsid w:val="00864E79"/>
    <w:rsid w:val="0086572B"/>
    <w:rsid w:val="00866615"/>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6D2"/>
    <w:rsid w:val="008838AD"/>
    <w:rsid w:val="00885BC9"/>
    <w:rsid w:val="008864B3"/>
    <w:rsid w:val="008865E5"/>
    <w:rsid w:val="008871B0"/>
    <w:rsid w:val="00890B57"/>
    <w:rsid w:val="008916BA"/>
    <w:rsid w:val="0089217C"/>
    <w:rsid w:val="00892790"/>
    <w:rsid w:val="00893671"/>
    <w:rsid w:val="00895838"/>
    <w:rsid w:val="00895A1E"/>
    <w:rsid w:val="00895A72"/>
    <w:rsid w:val="00895CDF"/>
    <w:rsid w:val="00896679"/>
    <w:rsid w:val="00896D8C"/>
    <w:rsid w:val="008A0673"/>
    <w:rsid w:val="008A0FC9"/>
    <w:rsid w:val="008A1956"/>
    <w:rsid w:val="008A1A7C"/>
    <w:rsid w:val="008A2CE2"/>
    <w:rsid w:val="008A40D3"/>
    <w:rsid w:val="008A469C"/>
    <w:rsid w:val="008A50FB"/>
    <w:rsid w:val="008A51D1"/>
    <w:rsid w:val="008A5DCE"/>
    <w:rsid w:val="008A75D3"/>
    <w:rsid w:val="008B05DD"/>
    <w:rsid w:val="008B07B8"/>
    <w:rsid w:val="008B17E8"/>
    <w:rsid w:val="008B2C45"/>
    <w:rsid w:val="008B2E7C"/>
    <w:rsid w:val="008B399A"/>
    <w:rsid w:val="008B45F0"/>
    <w:rsid w:val="008B4A70"/>
    <w:rsid w:val="008B502F"/>
    <w:rsid w:val="008B6DFC"/>
    <w:rsid w:val="008B7227"/>
    <w:rsid w:val="008C02FB"/>
    <w:rsid w:val="008C04E0"/>
    <w:rsid w:val="008C191C"/>
    <w:rsid w:val="008C1DA4"/>
    <w:rsid w:val="008C2138"/>
    <w:rsid w:val="008C29B0"/>
    <w:rsid w:val="008C2CD5"/>
    <w:rsid w:val="008C33AE"/>
    <w:rsid w:val="008C3618"/>
    <w:rsid w:val="008C39E7"/>
    <w:rsid w:val="008C43AD"/>
    <w:rsid w:val="008C6118"/>
    <w:rsid w:val="008C6341"/>
    <w:rsid w:val="008C653D"/>
    <w:rsid w:val="008C731F"/>
    <w:rsid w:val="008C74D9"/>
    <w:rsid w:val="008D2050"/>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227"/>
    <w:rsid w:val="008E562C"/>
    <w:rsid w:val="008E6540"/>
    <w:rsid w:val="008E6FBE"/>
    <w:rsid w:val="008E77D4"/>
    <w:rsid w:val="008E7ADD"/>
    <w:rsid w:val="008F091F"/>
    <w:rsid w:val="008F17B2"/>
    <w:rsid w:val="008F22B3"/>
    <w:rsid w:val="008F357B"/>
    <w:rsid w:val="008F44CA"/>
    <w:rsid w:val="008F49D3"/>
    <w:rsid w:val="008F6519"/>
    <w:rsid w:val="008F7012"/>
    <w:rsid w:val="008F7ADA"/>
    <w:rsid w:val="008F7B17"/>
    <w:rsid w:val="00900042"/>
    <w:rsid w:val="0090034B"/>
    <w:rsid w:val="0090087C"/>
    <w:rsid w:val="00901121"/>
    <w:rsid w:val="00902623"/>
    <w:rsid w:val="00902A67"/>
    <w:rsid w:val="00902C5E"/>
    <w:rsid w:val="00904BE4"/>
    <w:rsid w:val="0090504A"/>
    <w:rsid w:val="009051F5"/>
    <w:rsid w:val="00905221"/>
    <w:rsid w:val="00905664"/>
    <w:rsid w:val="00905A7C"/>
    <w:rsid w:val="00905D7E"/>
    <w:rsid w:val="00907037"/>
    <w:rsid w:val="00907259"/>
    <w:rsid w:val="00910C5D"/>
    <w:rsid w:val="0091112C"/>
    <w:rsid w:val="0091160A"/>
    <w:rsid w:val="00912E04"/>
    <w:rsid w:val="00913258"/>
    <w:rsid w:val="00913851"/>
    <w:rsid w:val="00913BB0"/>
    <w:rsid w:val="0091456C"/>
    <w:rsid w:val="00914C58"/>
    <w:rsid w:val="00914D7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21B1"/>
    <w:rsid w:val="009327F0"/>
    <w:rsid w:val="00932ED7"/>
    <w:rsid w:val="0093422D"/>
    <w:rsid w:val="0093483B"/>
    <w:rsid w:val="00934CF9"/>
    <w:rsid w:val="00934DD7"/>
    <w:rsid w:val="00935CB2"/>
    <w:rsid w:val="009369A9"/>
    <w:rsid w:val="00936CF7"/>
    <w:rsid w:val="00937783"/>
    <w:rsid w:val="00937EAD"/>
    <w:rsid w:val="00937F28"/>
    <w:rsid w:val="00940FE1"/>
    <w:rsid w:val="00941474"/>
    <w:rsid w:val="00942306"/>
    <w:rsid w:val="009424B8"/>
    <w:rsid w:val="009432E2"/>
    <w:rsid w:val="00944668"/>
    <w:rsid w:val="00944DC6"/>
    <w:rsid w:val="009458B0"/>
    <w:rsid w:val="00945B52"/>
    <w:rsid w:val="00945B7A"/>
    <w:rsid w:val="00945F05"/>
    <w:rsid w:val="00946348"/>
    <w:rsid w:val="00947224"/>
    <w:rsid w:val="00947797"/>
    <w:rsid w:val="009478A2"/>
    <w:rsid w:val="009533BD"/>
    <w:rsid w:val="009536FB"/>
    <w:rsid w:val="00953808"/>
    <w:rsid w:val="009539A6"/>
    <w:rsid w:val="00954032"/>
    <w:rsid w:val="00954537"/>
    <w:rsid w:val="0095472D"/>
    <w:rsid w:val="00955342"/>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70F18"/>
    <w:rsid w:val="00971CF1"/>
    <w:rsid w:val="00971F5D"/>
    <w:rsid w:val="009721E9"/>
    <w:rsid w:val="00973772"/>
    <w:rsid w:val="0097560A"/>
    <w:rsid w:val="00975E1E"/>
    <w:rsid w:val="00975E70"/>
    <w:rsid w:val="009761DE"/>
    <w:rsid w:val="009766FA"/>
    <w:rsid w:val="00977CD6"/>
    <w:rsid w:val="0098048B"/>
    <w:rsid w:val="00980908"/>
    <w:rsid w:val="00980DF9"/>
    <w:rsid w:val="00981CD8"/>
    <w:rsid w:val="0098243D"/>
    <w:rsid w:val="00982D26"/>
    <w:rsid w:val="00983B6E"/>
    <w:rsid w:val="00983FE5"/>
    <w:rsid w:val="009849E9"/>
    <w:rsid w:val="00984AFF"/>
    <w:rsid w:val="009859E4"/>
    <w:rsid w:val="00985D7F"/>
    <w:rsid w:val="00987812"/>
    <w:rsid w:val="00990225"/>
    <w:rsid w:val="00991307"/>
    <w:rsid w:val="00991FAA"/>
    <w:rsid w:val="00992A13"/>
    <w:rsid w:val="00994AAD"/>
    <w:rsid w:val="00995150"/>
    <w:rsid w:val="00995D67"/>
    <w:rsid w:val="00997613"/>
    <w:rsid w:val="009A013B"/>
    <w:rsid w:val="009A02F4"/>
    <w:rsid w:val="009A06BF"/>
    <w:rsid w:val="009A0D17"/>
    <w:rsid w:val="009A2494"/>
    <w:rsid w:val="009A32B1"/>
    <w:rsid w:val="009A33A3"/>
    <w:rsid w:val="009A36F2"/>
    <w:rsid w:val="009A40C3"/>
    <w:rsid w:val="009A40D5"/>
    <w:rsid w:val="009A5268"/>
    <w:rsid w:val="009A57D0"/>
    <w:rsid w:val="009A6559"/>
    <w:rsid w:val="009A68FC"/>
    <w:rsid w:val="009A6CE4"/>
    <w:rsid w:val="009A7514"/>
    <w:rsid w:val="009A7E7A"/>
    <w:rsid w:val="009B0925"/>
    <w:rsid w:val="009B1584"/>
    <w:rsid w:val="009B18F0"/>
    <w:rsid w:val="009B1F4C"/>
    <w:rsid w:val="009B2471"/>
    <w:rsid w:val="009B314F"/>
    <w:rsid w:val="009B439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2B2"/>
    <w:rsid w:val="009C7547"/>
    <w:rsid w:val="009D05EC"/>
    <w:rsid w:val="009D18D4"/>
    <w:rsid w:val="009D1FCF"/>
    <w:rsid w:val="009D2F60"/>
    <w:rsid w:val="009D3A2E"/>
    <w:rsid w:val="009D5ADE"/>
    <w:rsid w:val="009D5BAC"/>
    <w:rsid w:val="009D5C56"/>
    <w:rsid w:val="009D6265"/>
    <w:rsid w:val="009D64BD"/>
    <w:rsid w:val="009D6CB1"/>
    <w:rsid w:val="009E0286"/>
    <w:rsid w:val="009E153F"/>
    <w:rsid w:val="009E18C5"/>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21B"/>
    <w:rsid w:val="00A054E0"/>
    <w:rsid w:val="00A05D91"/>
    <w:rsid w:val="00A0740B"/>
    <w:rsid w:val="00A07ED3"/>
    <w:rsid w:val="00A10CA8"/>
    <w:rsid w:val="00A11042"/>
    <w:rsid w:val="00A12579"/>
    <w:rsid w:val="00A12CDC"/>
    <w:rsid w:val="00A133D8"/>
    <w:rsid w:val="00A15655"/>
    <w:rsid w:val="00A160B0"/>
    <w:rsid w:val="00A1740C"/>
    <w:rsid w:val="00A17904"/>
    <w:rsid w:val="00A20069"/>
    <w:rsid w:val="00A2244D"/>
    <w:rsid w:val="00A2253D"/>
    <w:rsid w:val="00A2267F"/>
    <w:rsid w:val="00A22CDB"/>
    <w:rsid w:val="00A247B8"/>
    <w:rsid w:val="00A2495A"/>
    <w:rsid w:val="00A24C7A"/>
    <w:rsid w:val="00A24D8F"/>
    <w:rsid w:val="00A25B8B"/>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951"/>
    <w:rsid w:val="00A43A26"/>
    <w:rsid w:val="00A447A0"/>
    <w:rsid w:val="00A459F5"/>
    <w:rsid w:val="00A45FC0"/>
    <w:rsid w:val="00A46B74"/>
    <w:rsid w:val="00A47BF7"/>
    <w:rsid w:val="00A47ECC"/>
    <w:rsid w:val="00A50171"/>
    <w:rsid w:val="00A504FA"/>
    <w:rsid w:val="00A5102E"/>
    <w:rsid w:val="00A5132E"/>
    <w:rsid w:val="00A51375"/>
    <w:rsid w:val="00A51533"/>
    <w:rsid w:val="00A531D4"/>
    <w:rsid w:val="00A54572"/>
    <w:rsid w:val="00A575B8"/>
    <w:rsid w:val="00A619BB"/>
    <w:rsid w:val="00A61C60"/>
    <w:rsid w:val="00A61ECB"/>
    <w:rsid w:val="00A6410C"/>
    <w:rsid w:val="00A647B1"/>
    <w:rsid w:val="00A64DEF"/>
    <w:rsid w:val="00A654D2"/>
    <w:rsid w:val="00A665DF"/>
    <w:rsid w:val="00A67FCC"/>
    <w:rsid w:val="00A70AA5"/>
    <w:rsid w:val="00A70C03"/>
    <w:rsid w:val="00A71256"/>
    <w:rsid w:val="00A7217B"/>
    <w:rsid w:val="00A722D7"/>
    <w:rsid w:val="00A723A3"/>
    <w:rsid w:val="00A73861"/>
    <w:rsid w:val="00A739A6"/>
    <w:rsid w:val="00A740ED"/>
    <w:rsid w:val="00A74C29"/>
    <w:rsid w:val="00A74C62"/>
    <w:rsid w:val="00A75EF9"/>
    <w:rsid w:val="00A7657C"/>
    <w:rsid w:val="00A8311C"/>
    <w:rsid w:val="00A835D0"/>
    <w:rsid w:val="00A84C5F"/>
    <w:rsid w:val="00A85930"/>
    <w:rsid w:val="00A863F7"/>
    <w:rsid w:val="00A86604"/>
    <w:rsid w:val="00A87519"/>
    <w:rsid w:val="00A9246D"/>
    <w:rsid w:val="00A92CCA"/>
    <w:rsid w:val="00A93BD0"/>
    <w:rsid w:val="00A93CC2"/>
    <w:rsid w:val="00A9460D"/>
    <w:rsid w:val="00A94D4B"/>
    <w:rsid w:val="00A974CC"/>
    <w:rsid w:val="00AA2001"/>
    <w:rsid w:val="00AA2B5C"/>
    <w:rsid w:val="00AA32D2"/>
    <w:rsid w:val="00AA3B8B"/>
    <w:rsid w:val="00AA4016"/>
    <w:rsid w:val="00AA4C1F"/>
    <w:rsid w:val="00AA5328"/>
    <w:rsid w:val="00AA5393"/>
    <w:rsid w:val="00AA63D4"/>
    <w:rsid w:val="00AB03FD"/>
    <w:rsid w:val="00AB2000"/>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5E9"/>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297"/>
    <w:rsid w:val="00AE33A6"/>
    <w:rsid w:val="00AE3513"/>
    <w:rsid w:val="00AE3729"/>
    <w:rsid w:val="00AE4A3E"/>
    <w:rsid w:val="00AE4CCE"/>
    <w:rsid w:val="00AE5C6A"/>
    <w:rsid w:val="00AE7280"/>
    <w:rsid w:val="00AF01FA"/>
    <w:rsid w:val="00AF033A"/>
    <w:rsid w:val="00AF1658"/>
    <w:rsid w:val="00AF1699"/>
    <w:rsid w:val="00AF1FD3"/>
    <w:rsid w:val="00AF2910"/>
    <w:rsid w:val="00AF34B8"/>
    <w:rsid w:val="00AF3896"/>
    <w:rsid w:val="00AF39C9"/>
    <w:rsid w:val="00AF3FC2"/>
    <w:rsid w:val="00AF4DEC"/>
    <w:rsid w:val="00B003FF"/>
    <w:rsid w:val="00B0098A"/>
    <w:rsid w:val="00B00A5F"/>
    <w:rsid w:val="00B029B8"/>
    <w:rsid w:val="00B02F60"/>
    <w:rsid w:val="00B02F94"/>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78B"/>
    <w:rsid w:val="00B31825"/>
    <w:rsid w:val="00B31A5C"/>
    <w:rsid w:val="00B32265"/>
    <w:rsid w:val="00B3276D"/>
    <w:rsid w:val="00B33B06"/>
    <w:rsid w:val="00B33C19"/>
    <w:rsid w:val="00B35A15"/>
    <w:rsid w:val="00B35B45"/>
    <w:rsid w:val="00B36165"/>
    <w:rsid w:val="00B36A99"/>
    <w:rsid w:val="00B42264"/>
    <w:rsid w:val="00B434B2"/>
    <w:rsid w:val="00B43D45"/>
    <w:rsid w:val="00B459AF"/>
    <w:rsid w:val="00B468F2"/>
    <w:rsid w:val="00B469DE"/>
    <w:rsid w:val="00B47286"/>
    <w:rsid w:val="00B47EB4"/>
    <w:rsid w:val="00B50234"/>
    <w:rsid w:val="00B51BF4"/>
    <w:rsid w:val="00B52C68"/>
    <w:rsid w:val="00B5372B"/>
    <w:rsid w:val="00B542FE"/>
    <w:rsid w:val="00B55A1B"/>
    <w:rsid w:val="00B561DB"/>
    <w:rsid w:val="00B56DF9"/>
    <w:rsid w:val="00B56E80"/>
    <w:rsid w:val="00B571F1"/>
    <w:rsid w:val="00B600BD"/>
    <w:rsid w:val="00B60E4E"/>
    <w:rsid w:val="00B61274"/>
    <w:rsid w:val="00B61DCE"/>
    <w:rsid w:val="00B62188"/>
    <w:rsid w:val="00B62F79"/>
    <w:rsid w:val="00B62F82"/>
    <w:rsid w:val="00B6306A"/>
    <w:rsid w:val="00B635E3"/>
    <w:rsid w:val="00B662FF"/>
    <w:rsid w:val="00B66679"/>
    <w:rsid w:val="00B70145"/>
    <w:rsid w:val="00B71A92"/>
    <w:rsid w:val="00B721D8"/>
    <w:rsid w:val="00B730CA"/>
    <w:rsid w:val="00B732EA"/>
    <w:rsid w:val="00B73747"/>
    <w:rsid w:val="00B747C5"/>
    <w:rsid w:val="00B74F2F"/>
    <w:rsid w:val="00B753ED"/>
    <w:rsid w:val="00B7665F"/>
    <w:rsid w:val="00B769BC"/>
    <w:rsid w:val="00B770F7"/>
    <w:rsid w:val="00B77349"/>
    <w:rsid w:val="00B7761E"/>
    <w:rsid w:val="00B80A3D"/>
    <w:rsid w:val="00B80B04"/>
    <w:rsid w:val="00B821E4"/>
    <w:rsid w:val="00B823E0"/>
    <w:rsid w:val="00B8260D"/>
    <w:rsid w:val="00B82B78"/>
    <w:rsid w:val="00B845B4"/>
    <w:rsid w:val="00B84662"/>
    <w:rsid w:val="00B84C74"/>
    <w:rsid w:val="00B84CE9"/>
    <w:rsid w:val="00B85191"/>
    <w:rsid w:val="00B858A1"/>
    <w:rsid w:val="00B85FEC"/>
    <w:rsid w:val="00B864A3"/>
    <w:rsid w:val="00B86C2A"/>
    <w:rsid w:val="00B902A5"/>
    <w:rsid w:val="00B90420"/>
    <w:rsid w:val="00B90848"/>
    <w:rsid w:val="00B91146"/>
    <w:rsid w:val="00B913E4"/>
    <w:rsid w:val="00B91DB9"/>
    <w:rsid w:val="00B91FF3"/>
    <w:rsid w:val="00B925F8"/>
    <w:rsid w:val="00B93EFE"/>
    <w:rsid w:val="00B944B9"/>
    <w:rsid w:val="00B94956"/>
    <w:rsid w:val="00B94C7F"/>
    <w:rsid w:val="00B94E93"/>
    <w:rsid w:val="00B956B5"/>
    <w:rsid w:val="00B95956"/>
    <w:rsid w:val="00B96DF2"/>
    <w:rsid w:val="00B96E18"/>
    <w:rsid w:val="00B96F5A"/>
    <w:rsid w:val="00BA0B39"/>
    <w:rsid w:val="00BA0CB2"/>
    <w:rsid w:val="00BA0E26"/>
    <w:rsid w:val="00BA138B"/>
    <w:rsid w:val="00BA305B"/>
    <w:rsid w:val="00BA31BF"/>
    <w:rsid w:val="00BA3C0F"/>
    <w:rsid w:val="00BA3FC7"/>
    <w:rsid w:val="00BA478B"/>
    <w:rsid w:val="00BA5224"/>
    <w:rsid w:val="00BA575E"/>
    <w:rsid w:val="00BA76B7"/>
    <w:rsid w:val="00BA7E3B"/>
    <w:rsid w:val="00BB078D"/>
    <w:rsid w:val="00BB079C"/>
    <w:rsid w:val="00BB0D7A"/>
    <w:rsid w:val="00BB10E1"/>
    <w:rsid w:val="00BB2471"/>
    <w:rsid w:val="00BB3035"/>
    <w:rsid w:val="00BB39C1"/>
    <w:rsid w:val="00BB3DF5"/>
    <w:rsid w:val="00BB3EA7"/>
    <w:rsid w:val="00BB5D16"/>
    <w:rsid w:val="00BB6180"/>
    <w:rsid w:val="00BB69E6"/>
    <w:rsid w:val="00BB7323"/>
    <w:rsid w:val="00BB7BE5"/>
    <w:rsid w:val="00BC08BD"/>
    <w:rsid w:val="00BC11E8"/>
    <w:rsid w:val="00BC1B7A"/>
    <w:rsid w:val="00BC2C17"/>
    <w:rsid w:val="00BC3ACD"/>
    <w:rsid w:val="00BC3B20"/>
    <w:rsid w:val="00BC3EE4"/>
    <w:rsid w:val="00BC588C"/>
    <w:rsid w:val="00BC6E73"/>
    <w:rsid w:val="00BC74D3"/>
    <w:rsid w:val="00BD0014"/>
    <w:rsid w:val="00BD01D8"/>
    <w:rsid w:val="00BD255F"/>
    <w:rsid w:val="00BD2895"/>
    <w:rsid w:val="00BD4236"/>
    <w:rsid w:val="00BD483B"/>
    <w:rsid w:val="00BD51F9"/>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22E9"/>
    <w:rsid w:val="00BF4342"/>
    <w:rsid w:val="00BF4704"/>
    <w:rsid w:val="00BF4FFC"/>
    <w:rsid w:val="00BF5050"/>
    <w:rsid w:val="00BF50D1"/>
    <w:rsid w:val="00BF5422"/>
    <w:rsid w:val="00BF59B1"/>
    <w:rsid w:val="00BF6625"/>
    <w:rsid w:val="00BF6A78"/>
    <w:rsid w:val="00BF7695"/>
    <w:rsid w:val="00BF79B4"/>
    <w:rsid w:val="00BF7C61"/>
    <w:rsid w:val="00C01427"/>
    <w:rsid w:val="00C014C7"/>
    <w:rsid w:val="00C031CF"/>
    <w:rsid w:val="00C047AB"/>
    <w:rsid w:val="00C058AF"/>
    <w:rsid w:val="00C075B6"/>
    <w:rsid w:val="00C124C1"/>
    <w:rsid w:val="00C128AE"/>
    <w:rsid w:val="00C12BA8"/>
    <w:rsid w:val="00C13094"/>
    <w:rsid w:val="00C136D6"/>
    <w:rsid w:val="00C13D5B"/>
    <w:rsid w:val="00C141D7"/>
    <w:rsid w:val="00C14CD5"/>
    <w:rsid w:val="00C1711B"/>
    <w:rsid w:val="00C17AE2"/>
    <w:rsid w:val="00C20140"/>
    <w:rsid w:val="00C20F27"/>
    <w:rsid w:val="00C215CF"/>
    <w:rsid w:val="00C2244B"/>
    <w:rsid w:val="00C22711"/>
    <w:rsid w:val="00C2280A"/>
    <w:rsid w:val="00C22B0D"/>
    <w:rsid w:val="00C22BFF"/>
    <w:rsid w:val="00C23522"/>
    <w:rsid w:val="00C240C1"/>
    <w:rsid w:val="00C244A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48D9"/>
    <w:rsid w:val="00C35D01"/>
    <w:rsid w:val="00C360B3"/>
    <w:rsid w:val="00C37027"/>
    <w:rsid w:val="00C373BF"/>
    <w:rsid w:val="00C37B19"/>
    <w:rsid w:val="00C41349"/>
    <w:rsid w:val="00C413CB"/>
    <w:rsid w:val="00C42752"/>
    <w:rsid w:val="00C42973"/>
    <w:rsid w:val="00C46B95"/>
    <w:rsid w:val="00C4712A"/>
    <w:rsid w:val="00C5034F"/>
    <w:rsid w:val="00C50830"/>
    <w:rsid w:val="00C52479"/>
    <w:rsid w:val="00C5266E"/>
    <w:rsid w:val="00C52C59"/>
    <w:rsid w:val="00C5349E"/>
    <w:rsid w:val="00C539FF"/>
    <w:rsid w:val="00C544BD"/>
    <w:rsid w:val="00C54D3D"/>
    <w:rsid w:val="00C55A30"/>
    <w:rsid w:val="00C56384"/>
    <w:rsid w:val="00C60F8C"/>
    <w:rsid w:val="00C61424"/>
    <w:rsid w:val="00C61794"/>
    <w:rsid w:val="00C62A48"/>
    <w:rsid w:val="00C62AC4"/>
    <w:rsid w:val="00C62B59"/>
    <w:rsid w:val="00C62F96"/>
    <w:rsid w:val="00C631E1"/>
    <w:rsid w:val="00C638D8"/>
    <w:rsid w:val="00C63A43"/>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945"/>
    <w:rsid w:val="00C91A45"/>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010"/>
    <w:rsid w:val="00CB53E8"/>
    <w:rsid w:val="00CB594A"/>
    <w:rsid w:val="00CB5CB2"/>
    <w:rsid w:val="00CB6979"/>
    <w:rsid w:val="00CB7DDE"/>
    <w:rsid w:val="00CC0A3D"/>
    <w:rsid w:val="00CC2FF0"/>
    <w:rsid w:val="00CC3C53"/>
    <w:rsid w:val="00CC3D24"/>
    <w:rsid w:val="00CC3F91"/>
    <w:rsid w:val="00CC47EE"/>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5DAD"/>
    <w:rsid w:val="00CD72C5"/>
    <w:rsid w:val="00CD79A7"/>
    <w:rsid w:val="00CD7FAD"/>
    <w:rsid w:val="00CE0789"/>
    <w:rsid w:val="00CE0E8D"/>
    <w:rsid w:val="00CE1A03"/>
    <w:rsid w:val="00CE2346"/>
    <w:rsid w:val="00CE25B2"/>
    <w:rsid w:val="00CE3529"/>
    <w:rsid w:val="00CE35C8"/>
    <w:rsid w:val="00CE3962"/>
    <w:rsid w:val="00CE4D0A"/>
    <w:rsid w:val="00CE4D1A"/>
    <w:rsid w:val="00CE4E8A"/>
    <w:rsid w:val="00CE5105"/>
    <w:rsid w:val="00CE56BD"/>
    <w:rsid w:val="00CE5EC0"/>
    <w:rsid w:val="00CE68AD"/>
    <w:rsid w:val="00CE6F9F"/>
    <w:rsid w:val="00CE781A"/>
    <w:rsid w:val="00CE7B08"/>
    <w:rsid w:val="00CE7D52"/>
    <w:rsid w:val="00CF0AB7"/>
    <w:rsid w:val="00CF1D74"/>
    <w:rsid w:val="00CF2BE2"/>
    <w:rsid w:val="00CF3DEB"/>
    <w:rsid w:val="00CF55F9"/>
    <w:rsid w:val="00CF7074"/>
    <w:rsid w:val="00CF7495"/>
    <w:rsid w:val="00D01CF9"/>
    <w:rsid w:val="00D02880"/>
    <w:rsid w:val="00D0334D"/>
    <w:rsid w:val="00D0374D"/>
    <w:rsid w:val="00D06D7B"/>
    <w:rsid w:val="00D06DA5"/>
    <w:rsid w:val="00D07191"/>
    <w:rsid w:val="00D07F1D"/>
    <w:rsid w:val="00D10558"/>
    <w:rsid w:val="00D11D4D"/>
    <w:rsid w:val="00D11DB1"/>
    <w:rsid w:val="00D11ED1"/>
    <w:rsid w:val="00D126DC"/>
    <w:rsid w:val="00D12B03"/>
    <w:rsid w:val="00D13E70"/>
    <w:rsid w:val="00D13EE7"/>
    <w:rsid w:val="00D15FCD"/>
    <w:rsid w:val="00D16C58"/>
    <w:rsid w:val="00D17019"/>
    <w:rsid w:val="00D17FC8"/>
    <w:rsid w:val="00D2015B"/>
    <w:rsid w:val="00D20B44"/>
    <w:rsid w:val="00D21168"/>
    <w:rsid w:val="00D2385D"/>
    <w:rsid w:val="00D2438C"/>
    <w:rsid w:val="00D2585A"/>
    <w:rsid w:val="00D259B0"/>
    <w:rsid w:val="00D259C2"/>
    <w:rsid w:val="00D26C3F"/>
    <w:rsid w:val="00D27185"/>
    <w:rsid w:val="00D3028A"/>
    <w:rsid w:val="00D33488"/>
    <w:rsid w:val="00D33AB3"/>
    <w:rsid w:val="00D33F24"/>
    <w:rsid w:val="00D34160"/>
    <w:rsid w:val="00D346B8"/>
    <w:rsid w:val="00D34DCA"/>
    <w:rsid w:val="00D35AC8"/>
    <w:rsid w:val="00D36F87"/>
    <w:rsid w:val="00D37E4E"/>
    <w:rsid w:val="00D417D8"/>
    <w:rsid w:val="00D41F78"/>
    <w:rsid w:val="00D42E6C"/>
    <w:rsid w:val="00D4351C"/>
    <w:rsid w:val="00D43B80"/>
    <w:rsid w:val="00D44988"/>
    <w:rsid w:val="00D45B4C"/>
    <w:rsid w:val="00D45BA4"/>
    <w:rsid w:val="00D471AF"/>
    <w:rsid w:val="00D471E2"/>
    <w:rsid w:val="00D4724F"/>
    <w:rsid w:val="00D50519"/>
    <w:rsid w:val="00D50779"/>
    <w:rsid w:val="00D51601"/>
    <w:rsid w:val="00D51ECB"/>
    <w:rsid w:val="00D5264C"/>
    <w:rsid w:val="00D52BBC"/>
    <w:rsid w:val="00D537FE"/>
    <w:rsid w:val="00D53CC9"/>
    <w:rsid w:val="00D54A6A"/>
    <w:rsid w:val="00D54B8F"/>
    <w:rsid w:val="00D55848"/>
    <w:rsid w:val="00D55951"/>
    <w:rsid w:val="00D559F0"/>
    <w:rsid w:val="00D5650F"/>
    <w:rsid w:val="00D57EB6"/>
    <w:rsid w:val="00D608C0"/>
    <w:rsid w:val="00D60D6D"/>
    <w:rsid w:val="00D6128C"/>
    <w:rsid w:val="00D63B22"/>
    <w:rsid w:val="00D66D8B"/>
    <w:rsid w:val="00D70849"/>
    <w:rsid w:val="00D72297"/>
    <w:rsid w:val="00D72A1C"/>
    <w:rsid w:val="00D7308F"/>
    <w:rsid w:val="00D7313E"/>
    <w:rsid w:val="00D73580"/>
    <w:rsid w:val="00D73802"/>
    <w:rsid w:val="00D73C2C"/>
    <w:rsid w:val="00D73D52"/>
    <w:rsid w:val="00D745E7"/>
    <w:rsid w:val="00D75FDA"/>
    <w:rsid w:val="00D774E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0485"/>
    <w:rsid w:val="00DA1A3A"/>
    <w:rsid w:val="00DA2351"/>
    <w:rsid w:val="00DA249E"/>
    <w:rsid w:val="00DA2D3D"/>
    <w:rsid w:val="00DA3855"/>
    <w:rsid w:val="00DA39BA"/>
    <w:rsid w:val="00DA4C30"/>
    <w:rsid w:val="00DA6A44"/>
    <w:rsid w:val="00DA7A3C"/>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2DE8"/>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8BA"/>
    <w:rsid w:val="00DD2A18"/>
    <w:rsid w:val="00DD3044"/>
    <w:rsid w:val="00DD3985"/>
    <w:rsid w:val="00DD61E8"/>
    <w:rsid w:val="00DD62C0"/>
    <w:rsid w:val="00DD64DE"/>
    <w:rsid w:val="00DD66DE"/>
    <w:rsid w:val="00DD7859"/>
    <w:rsid w:val="00DD7B41"/>
    <w:rsid w:val="00DE0784"/>
    <w:rsid w:val="00DE0A1D"/>
    <w:rsid w:val="00DE15B2"/>
    <w:rsid w:val="00DE1A9A"/>
    <w:rsid w:val="00DE3D2C"/>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C9C"/>
    <w:rsid w:val="00E0219D"/>
    <w:rsid w:val="00E04C0F"/>
    <w:rsid w:val="00E0570B"/>
    <w:rsid w:val="00E069C5"/>
    <w:rsid w:val="00E10913"/>
    <w:rsid w:val="00E10B87"/>
    <w:rsid w:val="00E121CE"/>
    <w:rsid w:val="00E12209"/>
    <w:rsid w:val="00E1478B"/>
    <w:rsid w:val="00E14FAC"/>
    <w:rsid w:val="00E15007"/>
    <w:rsid w:val="00E16277"/>
    <w:rsid w:val="00E16EC7"/>
    <w:rsid w:val="00E17DCC"/>
    <w:rsid w:val="00E219CE"/>
    <w:rsid w:val="00E21D93"/>
    <w:rsid w:val="00E22D2A"/>
    <w:rsid w:val="00E24071"/>
    <w:rsid w:val="00E24DCA"/>
    <w:rsid w:val="00E24EBC"/>
    <w:rsid w:val="00E2522C"/>
    <w:rsid w:val="00E2552F"/>
    <w:rsid w:val="00E2599B"/>
    <w:rsid w:val="00E2710C"/>
    <w:rsid w:val="00E272BD"/>
    <w:rsid w:val="00E27428"/>
    <w:rsid w:val="00E305B4"/>
    <w:rsid w:val="00E31AFA"/>
    <w:rsid w:val="00E31CB7"/>
    <w:rsid w:val="00E31FA7"/>
    <w:rsid w:val="00E324EE"/>
    <w:rsid w:val="00E34DB1"/>
    <w:rsid w:val="00E35931"/>
    <w:rsid w:val="00E359FF"/>
    <w:rsid w:val="00E3699A"/>
    <w:rsid w:val="00E402C5"/>
    <w:rsid w:val="00E402F4"/>
    <w:rsid w:val="00E405F1"/>
    <w:rsid w:val="00E417DB"/>
    <w:rsid w:val="00E43054"/>
    <w:rsid w:val="00E43655"/>
    <w:rsid w:val="00E44440"/>
    <w:rsid w:val="00E46013"/>
    <w:rsid w:val="00E47099"/>
    <w:rsid w:val="00E47284"/>
    <w:rsid w:val="00E477C3"/>
    <w:rsid w:val="00E51E16"/>
    <w:rsid w:val="00E52DED"/>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EC2"/>
    <w:rsid w:val="00E80F0A"/>
    <w:rsid w:val="00E815D4"/>
    <w:rsid w:val="00E8291B"/>
    <w:rsid w:val="00E82E70"/>
    <w:rsid w:val="00E82F92"/>
    <w:rsid w:val="00E8395F"/>
    <w:rsid w:val="00E8410F"/>
    <w:rsid w:val="00E849D7"/>
    <w:rsid w:val="00E85E41"/>
    <w:rsid w:val="00E85EA1"/>
    <w:rsid w:val="00E86703"/>
    <w:rsid w:val="00E900DA"/>
    <w:rsid w:val="00E91044"/>
    <w:rsid w:val="00E910D3"/>
    <w:rsid w:val="00E9209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3B50"/>
    <w:rsid w:val="00EB430A"/>
    <w:rsid w:val="00EB559F"/>
    <w:rsid w:val="00EB566C"/>
    <w:rsid w:val="00EB5A18"/>
    <w:rsid w:val="00EB5F3D"/>
    <w:rsid w:val="00EB6C97"/>
    <w:rsid w:val="00EC1CEB"/>
    <w:rsid w:val="00EC1DC0"/>
    <w:rsid w:val="00EC1DC2"/>
    <w:rsid w:val="00EC1E09"/>
    <w:rsid w:val="00EC210E"/>
    <w:rsid w:val="00EC21EC"/>
    <w:rsid w:val="00EC24B8"/>
    <w:rsid w:val="00EC268C"/>
    <w:rsid w:val="00EC3753"/>
    <w:rsid w:val="00EC4E71"/>
    <w:rsid w:val="00EC5F1C"/>
    <w:rsid w:val="00ED0365"/>
    <w:rsid w:val="00ED0865"/>
    <w:rsid w:val="00ED0C1C"/>
    <w:rsid w:val="00ED1C60"/>
    <w:rsid w:val="00ED2EB9"/>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73D0"/>
    <w:rsid w:val="00EE7CB0"/>
    <w:rsid w:val="00EF08A8"/>
    <w:rsid w:val="00EF167B"/>
    <w:rsid w:val="00EF2496"/>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3A85"/>
    <w:rsid w:val="00F0459B"/>
    <w:rsid w:val="00F04E15"/>
    <w:rsid w:val="00F05DF3"/>
    <w:rsid w:val="00F06829"/>
    <w:rsid w:val="00F069EA"/>
    <w:rsid w:val="00F070E5"/>
    <w:rsid w:val="00F07DDE"/>
    <w:rsid w:val="00F11675"/>
    <w:rsid w:val="00F123DA"/>
    <w:rsid w:val="00F12557"/>
    <w:rsid w:val="00F13599"/>
    <w:rsid w:val="00F13B28"/>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2FCF"/>
    <w:rsid w:val="00F436B2"/>
    <w:rsid w:val="00F43813"/>
    <w:rsid w:val="00F43C9F"/>
    <w:rsid w:val="00F43FEE"/>
    <w:rsid w:val="00F4492F"/>
    <w:rsid w:val="00F45A72"/>
    <w:rsid w:val="00F46723"/>
    <w:rsid w:val="00F4706D"/>
    <w:rsid w:val="00F476E1"/>
    <w:rsid w:val="00F47D1D"/>
    <w:rsid w:val="00F47F29"/>
    <w:rsid w:val="00F50016"/>
    <w:rsid w:val="00F5118A"/>
    <w:rsid w:val="00F51A21"/>
    <w:rsid w:val="00F52614"/>
    <w:rsid w:val="00F5276E"/>
    <w:rsid w:val="00F52E9F"/>
    <w:rsid w:val="00F53304"/>
    <w:rsid w:val="00F53B81"/>
    <w:rsid w:val="00F540FE"/>
    <w:rsid w:val="00F5459A"/>
    <w:rsid w:val="00F556FF"/>
    <w:rsid w:val="00F55D12"/>
    <w:rsid w:val="00F5687F"/>
    <w:rsid w:val="00F56D3F"/>
    <w:rsid w:val="00F575C7"/>
    <w:rsid w:val="00F57FD0"/>
    <w:rsid w:val="00F60305"/>
    <w:rsid w:val="00F61B12"/>
    <w:rsid w:val="00F61C70"/>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6152"/>
    <w:rsid w:val="00F77F4E"/>
    <w:rsid w:val="00F80047"/>
    <w:rsid w:val="00F800C7"/>
    <w:rsid w:val="00F8104D"/>
    <w:rsid w:val="00F8153F"/>
    <w:rsid w:val="00F81587"/>
    <w:rsid w:val="00F8288F"/>
    <w:rsid w:val="00F8376E"/>
    <w:rsid w:val="00F83C52"/>
    <w:rsid w:val="00F84802"/>
    <w:rsid w:val="00F85B72"/>
    <w:rsid w:val="00F86540"/>
    <w:rsid w:val="00F865CE"/>
    <w:rsid w:val="00F8766F"/>
    <w:rsid w:val="00F90282"/>
    <w:rsid w:val="00F91082"/>
    <w:rsid w:val="00F9116D"/>
    <w:rsid w:val="00F91342"/>
    <w:rsid w:val="00F91A9A"/>
    <w:rsid w:val="00F92634"/>
    <w:rsid w:val="00F933F3"/>
    <w:rsid w:val="00F93ABB"/>
    <w:rsid w:val="00F94D79"/>
    <w:rsid w:val="00F9658C"/>
    <w:rsid w:val="00F96EEB"/>
    <w:rsid w:val="00F97A7F"/>
    <w:rsid w:val="00F97CD0"/>
    <w:rsid w:val="00FA0889"/>
    <w:rsid w:val="00FA16E7"/>
    <w:rsid w:val="00FA31C7"/>
    <w:rsid w:val="00FA472D"/>
    <w:rsid w:val="00FA681F"/>
    <w:rsid w:val="00FB0CBF"/>
    <w:rsid w:val="00FB18F6"/>
    <w:rsid w:val="00FB2A52"/>
    <w:rsid w:val="00FB3F92"/>
    <w:rsid w:val="00FB52C7"/>
    <w:rsid w:val="00FB57DC"/>
    <w:rsid w:val="00FB6E19"/>
    <w:rsid w:val="00FB71F6"/>
    <w:rsid w:val="00FC07AF"/>
    <w:rsid w:val="00FC0AF8"/>
    <w:rsid w:val="00FC0B69"/>
    <w:rsid w:val="00FC1483"/>
    <w:rsid w:val="00FC1C47"/>
    <w:rsid w:val="00FC3102"/>
    <w:rsid w:val="00FC39ED"/>
    <w:rsid w:val="00FC4419"/>
    <w:rsid w:val="00FC47E2"/>
    <w:rsid w:val="00FC4AA5"/>
    <w:rsid w:val="00FC4B88"/>
    <w:rsid w:val="00FC4BB8"/>
    <w:rsid w:val="00FC5148"/>
    <w:rsid w:val="00FC6524"/>
    <w:rsid w:val="00FC6B58"/>
    <w:rsid w:val="00FC75AC"/>
    <w:rsid w:val="00FC7984"/>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1D4062"/>
    <w:rsid w:val="012C5FAF"/>
    <w:rsid w:val="0144588D"/>
    <w:rsid w:val="01AF3D99"/>
    <w:rsid w:val="0227136C"/>
    <w:rsid w:val="022B7DBF"/>
    <w:rsid w:val="02511F9D"/>
    <w:rsid w:val="02542238"/>
    <w:rsid w:val="02D236C4"/>
    <w:rsid w:val="02D74B40"/>
    <w:rsid w:val="03181B96"/>
    <w:rsid w:val="035C0C84"/>
    <w:rsid w:val="03A314B8"/>
    <w:rsid w:val="03D357B6"/>
    <w:rsid w:val="03D82B98"/>
    <w:rsid w:val="03EF7C67"/>
    <w:rsid w:val="03F83E8B"/>
    <w:rsid w:val="05484847"/>
    <w:rsid w:val="0560706F"/>
    <w:rsid w:val="05962A91"/>
    <w:rsid w:val="05C56868"/>
    <w:rsid w:val="05DC1E73"/>
    <w:rsid w:val="063D4CBA"/>
    <w:rsid w:val="064A2C47"/>
    <w:rsid w:val="06901DC6"/>
    <w:rsid w:val="06D03D80"/>
    <w:rsid w:val="06DE121A"/>
    <w:rsid w:val="06FC22C5"/>
    <w:rsid w:val="07213690"/>
    <w:rsid w:val="077A356B"/>
    <w:rsid w:val="078821CB"/>
    <w:rsid w:val="07A539BD"/>
    <w:rsid w:val="07B72767"/>
    <w:rsid w:val="08077E72"/>
    <w:rsid w:val="08097C77"/>
    <w:rsid w:val="082D2938"/>
    <w:rsid w:val="08367AFD"/>
    <w:rsid w:val="08882DD0"/>
    <w:rsid w:val="0904737E"/>
    <w:rsid w:val="09055FC7"/>
    <w:rsid w:val="093A1985"/>
    <w:rsid w:val="094D65AA"/>
    <w:rsid w:val="09CC2AAC"/>
    <w:rsid w:val="0A316988"/>
    <w:rsid w:val="0A3476EE"/>
    <w:rsid w:val="0A370A52"/>
    <w:rsid w:val="0A652D3E"/>
    <w:rsid w:val="0A9F39E3"/>
    <w:rsid w:val="0B18600A"/>
    <w:rsid w:val="0B326F2A"/>
    <w:rsid w:val="0B7900C7"/>
    <w:rsid w:val="0B892115"/>
    <w:rsid w:val="0BD95485"/>
    <w:rsid w:val="0C00574C"/>
    <w:rsid w:val="0C1E2888"/>
    <w:rsid w:val="0C92213C"/>
    <w:rsid w:val="0C9933AE"/>
    <w:rsid w:val="0CC2027E"/>
    <w:rsid w:val="0D1C7D1F"/>
    <w:rsid w:val="0D270472"/>
    <w:rsid w:val="0D2A1D10"/>
    <w:rsid w:val="0D84032B"/>
    <w:rsid w:val="0D9D0734"/>
    <w:rsid w:val="0DD73F33"/>
    <w:rsid w:val="0DE16873"/>
    <w:rsid w:val="0F2A74C4"/>
    <w:rsid w:val="0FB87823"/>
    <w:rsid w:val="0FEE54E3"/>
    <w:rsid w:val="102D5D89"/>
    <w:rsid w:val="10412B23"/>
    <w:rsid w:val="10A27F31"/>
    <w:rsid w:val="10DB57FB"/>
    <w:rsid w:val="11184903"/>
    <w:rsid w:val="1178687D"/>
    <w:rsid w:val="118653FD"/>
    <w:rsid w:val="11927058"/>
    <w:rsid w:val="11CF19D2"/>
    <w:rsid w:val="11F020C0"/>
    <w:rsid w:val="120E171E"/>
    <w:rsid w:val="121E7B6F"/>
    <w:rsid w:val="124A70DD"/>
    <w:rsid w:val="128E2859"/>
    <w:rsid w:val="12F6691D"/>
    <w:rsid w:val="135326FB"/>
    <w:rsid w:val="13AF4F03"/>
    <w:rsid w:val="13CB6CB8"/>
    <w:rsid w:val="143E5385"/>
    <w:rsid w:val="144B7D94"/>
    <w:rsid w:val="14736E66"/>
    <w:rsid w:val="147F458F"/>
    <w:rsid w:val="1487326E"/>
    <w:rsid w:val="14AE1576"/>
    <w:rsid w:val="1517430A"/>
    <w:rsid w:val="1534169A"/>
    <w:rsid w:val="15396078"/>
    <w:rsid w:val="156536E2"/>
    <w:rsid w:val="157C797D"/>
    <w:rsid w:val="158C4A9F"/>
    <w:rsid w:val="15C03E03"/>
    <w:rsid w:val="15FA276E"/>
    <w:rsid w:val="162A25EB"/>
    <w:rsid w:val="16735895"/>
    <w:rsid w:val="16E82A20"/>
    <w:rsid w:val="16FD2A55"/>
    <w:rsid w:val="17067C1A"/>
    <w:rsid w:val="17366761"/>
    <w:rsid w:val="177C01F0"/>
    <w:rsid w:val="179E3EFA"/>
    <w:rsid w:val="17CE6630"/>
    <w:rsid w:val="17E72CD8"/>
    <w:rsid w:val="17FB2C27"/>
    <w:rsid w:val="18550677"/>
    <w:rsid w:val="194505FE"/>
    <w:rsid w:val="199649B5"/>
    <w:rsid w:val="1A4742D0"/>
    <w:rsid w:val="1A491A28"/>
    <w:rsid w:val="1A590030"/>
    <w:rsid w:val="1A641E02"/>
    <w:rsid w:val="1AB0209A"/>
    <w:rsid w:val="1ABD57E6"/>
    <w:rsid w:val="1AD3076B"/>
    <w:rsid w:val="1AFF0AFE"/>
    <w:rsid w:val="1B264883"/>
    <w:rsid w:val="1B4F19F8"/>
    <w:rsid w:val="1B740D26"/>
    <w:rsid w:val="1BA9716A"/>
    <w:rsid w:val="1C2A481A"/>
    <w:rsid w:val="1CA76EDA"/>
    <w:rsid w:val="1CBF6811"/>
    <w:rsid w:val="1CE075DD"/>
    <w:rsid w:val="1D061E52"/>
    <w:rsid w:val="1D352737"/>
    <w:rsid w:val="1D42230C"/>
    <w:rsid w:val="1D984C89"/>
    <w:rsid w:val="1E1D2535"/>
    <w:rsid w:val="1E225B42"/>
    <w:rsid w:val="1E7768B6"/>
    <w:rsid w:val="1ECC44FA"/>
    <w:rsid w:val="1F063325"/>
    <w:rsid w:val="1FBC5DF5"/>
    <w:rsid w:val="1FF90588"/>
    <w:rsid w:val="208E0DAC"/>
    <w:rsid w:val="2091237A"/>
    <w:rsid w:val="20992FDD"/>
    <w:rsid w:val="209A7FC0"/>
    <w:rsid w:val="20C3623F"/>
    <w:rsid w:val="20C850C3"/>
    <w:rsid w:val="21781212"/>
    <w:rsid w:val="21B83F86"/>
    <w:rsid w:val="21F9027E"/>
    <w:rsid w:val="221178A8"/>
    <w:rsid w:val="221213CF"/>
    <w:rsid w:val="22327A92"/>
    <w:rsid w:val="22877591"/>
    <w:rsid w:val="229959E3"/>
    <w:rsid w:val="22E5250A"/>
    <w:rsid w:val="22F1348C"/>
    <w:rsid w:val="231D53A2"/>
    <w:rsid w:val="23447C29"/>
    <w:rsid w:val="23501763"/>
    <w:rsid w:val="236D5383"/>
    <w:rsid w:val="23B7504C"/>
    <w:rsid w:val="23C2014D"/>
    <w:rsid w:val="23C82101"/>
    <w:rsid w:val="23E8590D"/>
    <w:rsid w:val="24256858"/>
    <w:rsid w:val="242A28CA"/>
    <w:rsid w:val="24571307"/>
    <w:rsid w:val="248D7C2D"/>
    <w:rsid w:val="24B46637"/>
    <w:rsid w:val="24B473B2"/>
    <w:rsid w:val="25110A2A"/>
    <w:rsid w:val="25331C52"/>
    <w:rsid w:val="25626093"/>
    <w:rsid w:val="256C0944"/>
    <w:rsid w:val="262D5DE0"/>
    <w:rsid w:val="26446DE3"/>
    <w:rsid w:val="26555BF8"/>
    <w:rsid w:val="26877DFE"/>
    <w:rsid w:val="269669E7"/>
    <w:rsid w:val="26A270C1"/>
    <w:rsid w:val="26D44D6F"/>
    <w:rsid w:val="26D7699F"/>
    <w:rsid w:val="26DB29B3"/>
    <w:rsid w:val="270D284F"/>
    <w:rsid w:val="271500AC"/>
    <w:rsid w:val="27535D9E"/>
    <w:rsid w:val="276D3CE7"/>
    <w:rsid w:val="278C15A4"/>
    <w:rsid w:val="279F590E"/>
    <w:rsid w:val="283319E6"/>
    <w:rsid w:val="28C17575"/>
    <w:rsid w:val="28EC18AC"/>
    <w:rsid w:val="296E0ED8"/>
    <w:rsid w:val="29796548"/>
    <w:rsid w:val="298E66C4"/>
    <w:rsid w:val="29BF49A7"/>
    <w:rsid w:val="29D75F7F"/>
    <w:rsid w:val="29E91134"/>
    <w:rsid w:val="2A1A518F"/>
    <w:rsid w:val="2A1B4A63"/>
    <w:rsid w:val="2A491627"/>
    <w:rsid w:val="2A4E6009"/>
    <w:rsid w:val="2A5B7B1F"/>
    <w:rsid w:val="2A954DED"/>
    <w:rsid w:val="2B0019BA"/>
    <w:rsid w:val="2B0F45C8"/>
    <w:rsid w:val="2B1716CE"/>
    <w:rsid w:val="2B345518"/>
    <w:rsid w:val="2B774624"/>
    <w:rsid w:val="2BCA6741"/>
    <w:rsid w:val="2C22657D"/>
    <w:rsid w:val="2C3F197A"/>
    <w:rsid w:val="2C7A72BE"/>
    <w:rsid w:val="2C9A7D75"/>
    <w:rsid w:val="2CA60F5C"/>
    <w:rsid w:val="2CBD20B5"/>
    <w:rsid w:val="2CC17412"/>
    <w:rsid w:val="2CDC5849"/>
    <w:rsid w:val="2CE960BE"/>
    <w:rsid w:val="2D661FB6"/>
    <w:rsid w:val="2D76092E"/>
    <w:rsid w:val="2D7C1E99"/>
    <w:rsid w:val="2D824FB8"/>
    <w:rsid w:val="2D87488E"/>
    <w:rsid w:val="2DB93D24"/>
    <w:rsid w:val="2DE955A4"/>
    <w:rsid w:val="2E9976CE"/>
    <w:rsid w:val="2EE30245"/>
    <w:rsid w:val="2EF01DEE"/>
    <w:rsid w:val="2EFD6BC4"/>
    <w:rsid w:val="2F02653D"/>
    <w:rsid w:val="2F3D50C2"/>
    <w:rsid w:val="2F401D3C"/>
    <w:rsid w:val="2F545D48"/>
    <w:rsid w:val="2F5B24E1"/>
    <w:rsid w:val="2F6C3F70"/>
    <w:rsid w:val="2F803CE6"/>
    <w:rsid w:val="2F961140"/>
    <w:rsid w:val="2FA95C88"/>
    <w:rsid w:val="2FB87618"/>
    <w:rsid w:val="3041370F"/>
    <w:rsid w:val="30B87FED"/>
    <w:rsid w:val="30D7574D"/>
    <w:rsid w:val="312B50A3"/>
    <w:rsid w:val="3162173B"/>
    <w:rsid w:val="31894FD2"/>
    <w:rsid w:val="31D62237"/>
    <w:rsid w:val="31DE4721"/>
    <w:rsid w:val="31E75CF0"/>
    <w:rsid w:val="323C501B"/>
    <w:rsid w:val="32453A27"/>
    <w:rsid w:val="324E37D2"/>
    <w:rsid w:val="3263064A"/>
    <w:rsid w:val="326A2217"/>
    <w:rsid w:val="32923D9A"/>
    <w:rsid w:val="329B4993"/>
    <w:rsid w:val="32A43132"/>
    <w:rsid w:val="32AC0C06"/>
    <w:rsid w:val="32AC4DF2"/>
    <w:rsid w:val="32F756B3"/>
    <w:rsid w:val="32FD2A2C"/>
    <w:rsid w:val="333252F7"/>
    <w:rsid w:val="33344EF5"/>
    <w:rsid w:val="333700DC"/>
    <w:rsid w:val="33796418"/>
    <w:rsid w:val="33C11593"/>
    <w:rsid w:val="33C5616B"/>
    <w:rsid w:val="33D605BE"/>
    <w:rsid w:val="33D71350"/>
    <w:rsid w:val="34720260"/>
    <w:rsid w:val="34744F5A"/>
    <w:rsid w:val="34843083"/>
    <w:rsid w:val="34B32468"/>
    <w:rsid w:val="3511077F"/>
    <w:rsid w:val="3537750C"/>
    <w:rsid w:val="3537798C"/>
    <w:rsid w:val="35C13FC9"/>
    <w:rsid w:val="35C96FA8"/>
    <w:rsid w:val="36372B05"/>
    <w:rsid w:val="364257B6"/>
    <w:rsid w:val="36AA1648"/>
    <w:rsid w:val="372F4937"/>
    <w:rsid w:val="37573C1C"/>
    <w:rsid w:val="37EA5922"/>
    <w:rsid w:val="38276B93"/>
    <w:rsid w:val="382E58B8"/>
    <w:rsid w:val="383A3B15"/>
    <w:rsid w:val="389D3921"/>
    <w:rsid w:val="38AC3431"/>
    <w:rsid w:val="38AF1198"/>
    <w:rsid w:val="38DE55D9"/>
    <w:rsid w:val="38F35529"/>
    <w:rsid w:val="39040E73"/>
    <w:rsid w:val="392F2E16"/>
    <w:rsid w:val="39C77710"/>
    <w:rsid w:val="39D11C3E"/>
    <w:rsid w:val="39E00529"/>
    <w:rsid w:val="39E3559D"/>
    <w:rsid w:val="39E85D69"/>
    <w:rsid w:val="39E97163"/>
    <w:rsid w:val="3A0B64A7"/>
    <w:rsid w:val="3A255BB6"/>
    <w:rsid w:val="3A574DDA"/>
    <w:rsid w:val="3A69778A"/>
    <w:rsid w:val="3AC94579"/>
    <w:rsid w:val="3AD3075A"/>
    <w:rsid w:val="3AE80991"/>
    <w:rsid w:val="3AEF3ACE"/>
    <w:rsid w:val="3AF74C02"/>
    <w:rsid w:val="3B0E30E3"/>
    <w:rsid w:val="3B5F467B"/>
    <w:rsid w:val="3BA42928"/>
    <w:rsid w:val="3BC431AC"/>
    <w:rsid w:val="3BDB4442"/>
    <w:rsid w:val="3C0059A5"/>
    <w:rsid w:val="3C134E78"/>
    <w:rsid w:val="3C54118C"/>
    <w:rsid w:val="3CDA48CF"/>
    <w:rsid w:val="3CDA6007"/>
    <w:rsid w:val="3DD671C7"/>
    <w:rsid w:val="3DF6345D"/>
    <w:rsid w:val="3DFD6502"/>
    <w:rsid w:val="3E2B5515"/>
    <w:rsid w:val="3E4D4F28"/>
    <w:rsid w:val="3E69714D"/>
    <w:rsid w:val="3EA47CB6"/>
    <w:rsid w:val="3ED92EC4"/>
    <w:rsid w:val="3EE13701"/>
    <w:rsid w:val="3EED47C8"/>
    <w:rsid w:val="3F004D0D"/>
    <w:rsid w:val="3F136539"/>
    <w:rsid w:val="3F1A4BB3"/>
    <w:rsid w:val="3FA04C43"/>
    <w:rsid w:val="40154CEE"/>
    <w:rsid w:val="40192BA6"/>
    <w:rsid w:val="4046205B"/>
    <w:rsid w:val="405575E4"/>
    <w:rsid w:val="40E634D8"/>
    <w:rsid w:val="40E748E8"/>
    <w:rsid w:val="411B561D"/>
    <w:rsid w:val="41766EA9"/>
    <w:rsid w:val="419E7FFC"/>
    <w:rsid w:val="41E44F4A"/>
    <w:rsid w:val="42164036"/>
    <w:rsid w:val="421F73BE"/>
    <w:rsid w:val="421F7AC5"/>
    <w:rsid w:val="423C1CEE"/>
    <w:rsid w:val="42550A18"/>
    <w:rsid w:val="4276070E"/>
    <w:rsid w:val="42985594"/>
    <w:rsid w:val="429D496A"/>
    <w:rsid w:val="42A6360C"/>
    <w:rsid w:val="42E670C1"/>
    <w:rsid w:val="42F473A1"/>
    <w:rsid w:val="43616864"/>
    <w:rsid w:val="437217EA"/>
    <w:rsid w:val="43996CCD"/>
    <w:rsid w:val="43AB7156"/>
    <w:rsid w:val="43EA577A"/>
    <w:rsid w:val="441822E7"/>
    <w:rsid w:val="441E62C0"/>
    <w:rsid w:val="44531571"/>
    <w:rsid w:val="44753296"/>
    <w:rsid w:val="45064201"/>
    <w:rsid w:val="45091C30"/>
    <w:rsid w:val="450F427E"/>
    <w:rsid w:val="45325D14"/>
    <w:rsid w:val="453874A3"/>
    <w:rsid w:val="454A5161"/>
    <w:rsid w:val="454E4C3A"/>
    <w:rsid w:val="45811C7C"/>
    <w:rsid w:val="45906116"/>
    <w:rsid w:val="45931B8C"/>
    <w:rsid w:val="45990FA1"/>
    <w:rsid w:val="459B56C8"/>
    <w:rsid w:val="45EF2552"/>
    <w:rsid w:val="45F2294E"/>
    <w:rsid w:val="46390B44"/>
    <w:rsid w:val="4646138E"/>
    <w:rsid w:val="4654337F"/>
    <w:rsid w:val="468B3EFB"/>
    <w:rsid w:val="46A00372"/>
    <w:rsid w:val="46C83579"/>
    <w:rsid w:val="470A6193"/>
    <w:rsid w:val="471D61EA"/>
    <w:rsid w:val="47385210"/>
    <w:rsid w:val="475510F8"/>
    <w:rsid w:val="47A7451D"/>
    <w:rsid w:val="47AD69A5"/>
    <w:rsid w:val="47DC4F5C"/>
    <w:rsid w:val="48037925"/>
    <w:rsid w:val="48360F8E"/>
    <w:rsid w:val="48B40671"/>
    <w:rsid w:val="48B678AB"/>
    <w:rsid w:val="48DB6D9A"/>
    <w:rsid w:val="497A13FE"/>
    <w:rsid w:val="499B5738"/>
    <w:rsid w:val="499F244D"/>
    <w:rsid w:val="49AC70F5"/>
    <w:rsid w:val="4A6A3171"/>
    <w:rsid w:val="4A973F3F"/>
    <w:rsid w:val="4AAF5028"/>
    <w:rsid w:val="4AE178D7"/>
    <w:rsid w:val="4AEE2390"/>
    <w:rsid w:val="4AF96BC7"/>
    <w:rsid w:val="4B862A85"/>
    <w:rsid w:val="4BA95F1B"/>
    <w:rsid w:val="4BE91727"/>
    <w:rsid w:val="4C131BDF"/>
    <w:rsid w:val="4C433C79"/>
    <w:rsid w:val="4CBE1552"/>
    <w:rsid w:val="4CEF36E2"/>
    <w:rsid w:val="4CEF4DC5"/>
    <w:rsid w:val="4D1B237D"/>
    <w:rsid w:val="4D812CAB"/>
    <w:rsid w:val="4DFD78AB"/>
    <w:rsid w:val="4E165AE9"/>
    <w:rsid w:val="4E257655"/>
    <w:rsid w:val="4EF90150"/>
    <w:rsid w:val="4F141555"/>
    <w:rsid w:val="4F372380"/>
    <w:rsid w:val="4F372FFB"/>
    <w:rsid w:val="4F385F2F"/>
    <w:rsid w:val="4F495D58"/>
    <w:rsid w:val="4FA26F09"/>
    <w:rsid w:val="4FBA6948"/>
    <w:rsid w:val="4FE94B38"/>
    <w:rsid w:val="4FF17EC2"/>
    <w:rsid w:val="5025116D"/>
    <w:rsid w:val="50A078EC"/>
    <w:rsid w:val="50A42453"/>
    <w:rsid w:val="50B136A5"/>
    <w:rsid w:val="50BB0282"/>
    <w:rsid w:val="50D878AE"/>
    <w:rsid w:val="50DD5829"/>
    <w:rsid w:val="50E33A31"/>
    <w:rsid w:val="515E1E1F"/>
    <w:rsid w:val="51661631"/>
    <w:rsid w:val="51A927D1"/>
    <w:rsid w:val="51C97CC9"/>
    <w:rsid w:val="51D43609"/>
    <w:rsid w:val="52395ECD"/>
    <w:rsid w:val="524D6E54"/>
    <w:rsid w:val="52647FE8"/>
    <w:rsid w:val="52964527"/>
    <w:rsid w:val="52C10D75"/>
    <w:rsid w:val="530D6D8F"/>
    <w:rsid w:val="531F2A5F"/>
    <w:rsid w:val="533F2FCC"/>
    <w:rsid w:val="53C27FF8"/>
    <w:rsid w:val="53EB38E9"/>
    <w:rsid w:val="54001ED5"/>
    <w:rsid w:val="54213643"/>
    <w:rsid w:val="54215404"/>
    <w:rsid w:val="547D3A6C"/>
    <w:rsid w:val="54806794"/>
    <w:rsid w:val="549A74A0"/>
    <w:rsid w:val="549C486F"/>
    <w:rsid w:val="549E1A80"/>
    <w:rsid w:val="54AF5068"/>
    <w:rsid w:val="54C55B73"/>
    <w:rsid w:val="54C658F4"/>
    <w:rsid w:val="54CF7D93"/>
    <w:rsid w:val="54D22D14"/>
    <w:rsid w:val="550C4BD7"/>
    <w:rsid w:val="55124B31"/>
    <w:rsid w:val="55327C9E"/>
    <w:rsid w:val="553F4FCA"/>
    <w:rsid w:val="55437CB7"/>
    <w:rsid w:val="554C1D56"/>
    <w:rsid w:val="55572986"/>
    <w:rsid w:val="560B3A5A"/>
    <w:rsid w:val="56352885"/>
    <w:rsid w:val="565340FA"/>
    <w:rsid w:val="565E3DEE"/>
    <w:rsid w:val="566C0451"/>
    <w:rsid w:val="567B14E9"/>
    <w:rsid w:val="56AD5F59"/>
    <w:rsid w:val="56C60774"/>
    <w:rsid w:val="56C817E9"/>
    <w:rsid w:val="571A741F"/>
    <w:rsid w:val="573E79EB"/>
    <w:rsid w:val="57601B83"/>
    <w:rsid w:val="57B12A52"/>
    <w:rsid w:val="57EE35D8"/>
    <w:rsid w:val="57FB18AC"/>
    <w:rsid w:val="58135684"/>
    <w:rsid w:val="58746535"/>
    <w:rsid w:val="587B5438"/>
    <w:rsid w:val="587C0C3F"/>
    <w:rsid w:val="58874375"/>
    <w:rsid w:val="58B02697"/>
    <w:rsid w:val="58B2640F"/>
    <w:rsid w:val="58D85002"/>
    <w:rsid w:val="593B073C"/>
    <w:rsid w:val="596811C3"/>
    <w:rsid w:val="59C304D5"/>
    <w:rsid w:val="59DF40C9"/>
    <w:rsid w:val="59EF3692"/>
    <w:rsid w:val="5A2F2CC8"/>
    <w:rsid w:val="5A675BEB"/>
    <w:rsid w:val="5A8D547E"/>
    <w:rsid w:val="5B5437AD"/>
    <w:rsid w:val="5BAC7165"/>
    <w:rsid w:val="5BD42A36"/>
    <w:rsid w:val="5C0F58C6"/>
    <w:rsid w:val="5C10702D"/>
    <w:rsid w:val="5C152601"/>
    <w:rsid w:val="5C262263"/>
    <w:rsid w:val="5C424478"/>
    <w:rsid w:val="5C591F03"/>
    <w:rsid w:val="5C8A1B2F"/>
    <w:rsid w:val="5C8F4507"/>
    <w:rsid w:val="5C9522CF"/>
    <w:rsid w:val="5CAC0D47"/>
    <w:rsid w:val="5CFB265F"/>
    <w:rsid w:val="5D3459C3"/>
    <w:rsid w:val="5D361DBB"/>
    <w:rsid w:val="5D415FB3"/>
    <w:rsid w:val="5D5A6288"/>
    <w:rsid w:val="5DCF1C3C"/>
    <w:rsid w:val="5DE676B8"/>
    <w:rsid w:val="5E50745C"/>
    <w:rsid w:val="5E7C7E7F"/>
    <w:rsid w:val="5F2B0248"/>
    <w:rsid w:val="5F557FED"/>
    <w:rsid w:val="5F561B72"/>
    <w:rsid w:val="5F590833"/>
    <w:rsid w:val="5F9023F0"/>
    <w:rsid w:val="5FDB28D2"/>
    <w:rsid w:val="5FE5356E"/>
    <w:rsid w:val="606007BB"/>
    <w:rsid w:val="60714E01"/>
    <w:rsid w:val="608A6410"/>
    <w:rsid w:val="60911FC6"/>
    <w:rsid w:val="6094289E"/>
    <w:rsid w:val="609805E0"/>
    <w:rsid w:val="60AC7F66"/>
    <w:rsid w:val="60EC26DA"/>
    <w:rsid w:val="6173696E"/>
    <w:rsid w:val="619C2BD9"/>
    <w:rsid w:val="61A00987"/>
    <w:rsid w:val="61AE798F"/>
    <w:rsid w:val="61BF10D9"/>
    <w:rsid w:val="61DC2775"/>
    <w:rsid w:val="623B30AB"/>
    <w:rsid w:val="623E48CA"/>
    <w:rsid w:val="627E303E"/>
    <w:rsid w:val="627E772B"/>
    <w:rsid w:val="62935F75"/>
    <w:rsid w:val="62AC22DC"/>
    <w:rsid w:val="636B1FDC"/>
    <w:rsid w:val="63A22BFD"/>
    <w:rsid w:val="63E566A1"/>
    <w:rsid w:val="63EA5E1E"/>
    <w:rsid w:val="64904E99"/>
    <w:rsid w:val="64995146"/>
    <w:rsid w:val="64DE2BED"/>
    <w:rsid w:val="64E44AA8"/>
    <w:rsid w:val="64E45EF7"/>
    <w:rsid w:val="650C334B"/>
    <w:rsid w:val="650F11A4"/>
    <w:rsid w:val="65624859"/>
    <w:rsid w:val="65B806E9"/>
    <w:rsid w:val="65C52E41"/>
    <w:rsid w:val="660E77E4"/>
    <w:rsid w:val="6691014E"/>
    <w:rsid w:val="66C3774A"/>
    <w:rsid w:val="66C87CCE"/>
    <w:rsid w:val="66EE6E2D"/>
    <w:rsid w:val="66F636DE"/>
    <w:rsid w:val="66FE4D45"/>
    <w:rsid w:val="677435B2"/>
    <w:rsid w:val="678809D3"/>
    <w:rsid w:val="67C654F9"/>
    <w:rsid w:val="67EC67C1"/>
    <w:rsid w:val="67EF75F1"/>
    <w:rsid w:val="684F4F11"/>
    <w:rsid w:val="68562DD6"/>
    <w:rsid w:val="69102450"/>
    <w:rsid w:val="69124F16"/>
    <w:rsid w:val="69815A80"/>
    <w:rsid w:val="69CD5C14"/>
    <w:rsid w:val="69CF0D33"/>
    <w:rsid w:val="6A372C18"/>
    <w:rsid w:val="6A6C6BC6"/>
    <w:rsid w:val="6ACF10A2"/>
    <w:rsid w:val="6AF40B09"/>
    <w:rsid w:val="6AF53699"/>
    <w:rsid w:val="6AFB1E97"/>
    <w:rsid w:val="6B3C600C"/>
    <w:rsid w:val="6B3D24B0"/>
    <w:rsid w:val="6B9946B3"/>
    <w:rsid w:val="6BE518DA"/>
    <w:rsid w:val="6C276F3A"/>
    <w:rsid w:val="6C343EB1"/>
    <w:rsid w:val="6C7007C7"/>
    <w:rsid w:val="6C7700A4"/>
    <w:rsid w:val="6C9C1458"/>
    <w:rsid w:val="6D192AA9"/>
    <w:rsid w:val="6D94487F"/>
    <w:rsid w:val="6DD86F5C"/>
    <w:rsid w:val="6DE76850"/>
    <w:rsid w:val="6E135155"/>
    <w:rsid w:val="6E6A7B15"/>
    <w:rsid w:val="6EC10D02"/>
    <w:rsid w:val="6ECD6C5A"/>
    <w:rsid w:val="6FB20BD4"/>
    <w:rsid w:val="6FBA59BE"/>
    <w:rsid w:val="70057314"/>
    <w:rsid w:val="70296B3E"/>
    <w:rsid w:val="70611204"/>
    <w:rsid w:val="70A34E7F"/>
    <w:rsid w:val="70DF6549"/>
    <w:rsid w:val="70E37B70"/>
    <w:rsid w:val="71140834"/>
    <w:rsid w:val="71362161"/>
    <w:rsid w:val="7165620F"/>
    <w:rsid w:val="717039F8"/>
    <w:rsid w:val="718A7AD1"/>
    <w:rsid w:val="71A8724B"/>
    <w:rsid w:val="71ED1E0E"/>
    <w:rsid w:val="71FA6539"/>
    <w:rsid w:val="721F7DE3"/>
    <w:rsid w:val="72526EE5"/>
    <w:rsid w:val="72822E9E"/>
    <w:rsid w:val="7294412B"/>
    <w:rsid w:val="72F35B4A"/>
    <w:rsid w:val="72FC67AC"/>
    <w:rsid w:val="731E226C"/>
    <w:rsid w:val="73571C35"/>
    <w:rsid w:val="739357C1"/>
    <w:rsid w:val="73D9089C"/>
    <w:rsid w:val="73DE4104"/>
    <w:rsid w:val="73FE1225"/>
    <w:rsid w:val="74123B99"/>
    <w:rsid w:val="746D5271"/>
    <w:rsid w:val="74770B98"/>
    <w:rsid w:val="749D2325"/>
    <w:rsid w:val="74A80D46"/>
    <w:rsid w:val="74D13AD5"/>
    <w:rsid w:val="74D54433"/>
    <w:rsid w:val="74FA2C30"/>
    <w:rsid w:val="75376F26"/>
    <w:rsid w:val="754D1541"/>
    <w:rsid w:val="754D5C4B"/>
    <w:rsid w:val="75563C1E"/>
    <w:rsid w:val="75A57A07"/>
    <w:rsid w:val="75D71930"/>
    <w:rsid w:val="766D237B"/>
    <w:rsid w:val="76A6186C"/>
    <w:rsid w:val="76C238F5"/>
    <w:rsid w:val="76C240A7"/>
    <w:rsid w:val="76DA416A"/>
    <w:rsid w:val="770025E3"/>
    <w:rsid w:val="77322671"/>
    <w:rsid w:val="775246B7"/>
    <w:rsid w:val="775A6197"/>
    <w:rsid w:val="7764731F"/>
    <w:rsid w:val="781E69D1"/>
    <w:rsid w:val="78533A23"/>
    <w:rsid w:val="785B21C7"/>
    <w:rsid w:val="7901747F"/>
    <w:rsid w:val="79272AC6"/>
    <w:rsid w:val="794C7DA8"/>
    <w:rsid w:val="799B65F3"/>
    <w:rsid w:val="79E96551"/>
    <w:rsid w:val="7A263B6B"/>
    <w:rsid w:val="7A727C72"/>
    <w:rsid w:val="7AA32F84"/>
    <w:rsid w:val="7AD54BE7"/>
    <w:rsid w:val="7AF46346"/>
    <w:rsid w:val="7B0F5EBF"/>
    <w:rsid w:val="7B130FB9"/>
    <w:rsid w:val="7B775066"/>
    <w:rsid w:val="7BD71E38"/>
    <w:rsid w:val="7BF64EDE"/>
    <w:rsid w:val="7C400C1E"/>
    <w:rsid w:val="7C6776CE"/>
    <w:rsid w:val="7C74250F"/>
    <w:rsid w:val="7CFD114A"/>
    <w:rsid w:val="7D617BA8"/>
    <w:rsid w:val="7D731D61"/>
    <w:rsid w:val="7D807FDA"/>
    <w:rsid w:val="7DD11708"/>
    <w:rsid w:val="7DEE4A4F"/>
    <w:rsid w:val="7E3808B5"/>
    <w:rsid w:val="7E790B39"/>
    <w:rsid w:val="7EAE6230"/>
    <w:rsid w:val="7EBD579E"/>
    <w:rsid w:val="7EC167BD"/>
    <w:rsid w:val="7F176368"/>
    <w:rsid w:val="7F272D9E"/>
    <w:rsid w:val="7F5D24ED"/>
    <w:rsid w:val="7F6931F3"/>
    <w:rsid w:val="7F855D7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1"/>
    <w:qFormat/>
    <w:uiPriority w:val="9"/>
    <w:pPr>
      <w:keepNext/>
      <w:keepLines/>
      <w:spacing w:before="260" w:after="260" w:line="416" w:lineRule="auto"/>
      <w:outlineLvl w:val="1"/>
    </w:pPr>
    <w:rPr>
      <w:rFonts w:ascii="Cambria" w:hAnsi="Cambria"/>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42"/>
    <w:qFormat/>
    <w:uiPriority w:val="9"/>
    <w:pPr>
      <w:keepNext/>
      <w:keepLines/>
      <w:spacing w:before="280" w:after="290" w:line="376" w:lineRule="auto"/>
      <w:outlineLvl w:val="4"/>
    </w:pPr>
    <w:rPr>
      <w:b/>
      <w:bCs/>
      <w:sz w:val="28"/>
      <w:szCs w:val="28"/>
    </w:rPr>
  </w:style>
  <w:style w:type="paragraph" w:styleId="8">
    <w:name w:val="heading 8"/>
    <w:basedOn w:val="1"/>
    <w:next w:val="1"/>
    <w:link w:val="43"/>
    <w:qFormat/>
    <w:uiPriority w:val="9"/>
    <w:pPr>
      <w:keepNext/>
      <w:keepLines/>
      <w:spacing w:before="240" w:after="64" w:line="320" w:lineRule="auto"/>
      <w:outlineLvl w:val="7"/>
    </w:pPr>
    <w:rPr>
      <w:rFonts w:ascii="等线 Light" w:hAnsi="等线 Light" w:eastAsia="等线 Light"/>
      <w:sz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9"/>
    <w:unhideWhenUsed/>
    <w:qFormat/>
    <w:uiPriority w:val="0"/>
    <w:pPr>
      <w:spacing w:after="120"/>
    </w:pPr>
  </w:style>
  <w:style w:type="paragraph" w:styleId="7">
    <w:name w:val="Normal Indent"/>
    <w:basedOn w:val="1"/>
    <w:qFormat/>
    <w:uiPriority w:val="0"/>
    <w:pPr>
      <w:ind w:firstLine="420"/>
    </w:pPr>
    <w:rPr>
      <w:szCs w:val="20"/>
    </w:rPr>
  </w:style>
  <w:style w:type="paragraph" w:styleId="9">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0">
    <w:name w:val="toa heading"/>
    <w:basedOn w:val="1"/>
    <w:next w:val="1"/>
    <w:qFormat/>
    <w:uiPriority w:val="0"/>
    <w:rPr>
      <w:rFonts w:ascii="Arial" w:hAnsi="Arial"/>
      <w:sz w:val="24"/>
    </w:rPr>
  </w:style>
  <w:style w:type="paragraph" w:styleId="11">
    <w:name w:val="annotation text"/>
    <w:basedOn w:val="1"/>
    <w:link w:val="44"/>
    <w:qFormat/>
    <w:uiPriority w:val="0"/>
    <w:pPr>
      <w:jc w:val="left"/>
    </w:pPr>
  </w:style>
  <w:style w:type="paragraph" w:styleId="12">
    <w:name w:val="Body Text 3"/>
    <w:basedOn w:val="1"/>
    <w:link w:val="45"/>
    <w:unhideWhenUsed/>
    <w:qFormat/>
    <w:uiPriority w:val="99"/>
    <w:pPr>
      <w:spacing w:after="120"/>
    </w:pPr>
    <w:rPr>
      <w:sz w:val="16"/>
      <w:szCs w:val="16"/>
    </w:rPr>
  </w:style>
  <w:style w:type="paragraph" w:styleId="13">
    <w:name w:val="Body Text Indent"/>
    <w:basedOn w:val="1"/>
    <w:next w:val="14"/>
    <w:link w:val="46"/>
    <w:qFormat/>
    <w:uiPriority w:val="0"/>
    <w:pPr>
      <w:ind w:firstLine="830" w:firstLineChars="352"/>
    </w:pPr>
    <w:rPr>
      <w:rFonts w:ascii="仿宋_GB2312" w:eastAsia="仿宋_GB2312"/>
      <w:kern w:val="0"/>
      <w:sz w:val="32"/>
      <w:szCs w:val="20"/>
    </w:rPr>
  </w:style>
  <w:style w:type="paragraph" w:styleId="14">
    <w:name w:val="envelope return"/>
    <w:basedOn w:val="1"/>
    <w:qFormat/>
    <w:uiPriority w:val="0"/>
    <w:pPr>
      <w:widowControl/>
      <w:adjustRightInd w:val="0"/>
      <w:snapToGrid w:val="0"/>
      <w:spacing w:after="200"/>
      <w:jc w:val="left"/>
    </w:pPr>
    <w:rPr>
      <w:rFonts w:ascii="Arial" w:hAnsi="Arial" w:eastAsia="微软雅黑"/>
      <w:kern w:val="0"/>
      <w:sz w:val="22"/>
      <w:szCs w:val="22"/>
    </w:rPr>
  </w:style>
  <w:style w:type="paragraph" w:styleId="15">
    <w:name w:val="List 2"/>
    <w:basedOn w:val="1"/>
    <w:unhideWhenUsed/>
    <w:qFormat/>
    <w:uiPriority w:val="99"/>
    <w:pPr>
      <w:ind w:left="100" w:leftChars="200" w:hanging="200" w:hangingChars="200"/>
      <w:contextualSpacing/>
    </w:pPr>
  </w:style>
  <w:style w:type="paragraph" w:styleId="16">
    <w:name w:val="index 4"/>
    <w:basedOn w:val="1"/>
    <w:next w:val="1"/>
    <w:semiHidden/>
    <w:qFormat/>
    <w:uiPriority w:val="99"/>
    <w:pPr>
      <w:ind w:left="600" w:leftChars="600"/>
    </w:pPr>
    <w:rPr>
      <w:szCs w:val="21"/>
    </w:rPr>
  </w:style>
  <w:style w:type="paragraph" w:styleId="17">
    <w:name w:val="Plain Text"/>
    <w:basedOn w:val="1"/>
    <w:next w:val="3"/>
    <w:link w:val="47"/>
    <w:qFormat/>
    <w:uiPriority w:val="0"/>
    <w:rPr>
      <w:rFonts w:ascii="宋体" w:hAnsi="Courier New"/>
      <w:kern w:val="0"/>
      <w:sz w:val="20"/>
      <w:szCs w:val="21"/>
    </w:rPr>
  </w:style>
  <w:style w:type="paragraph" w:styleId="18">
    <w:name w:val="Date"/>
    <w:basedOn w:val="1"/>
    <w:next w:val="1"/>
    <w:link w:val="48"/>
    <w:unhideWhenUsed/>
    <w:qFormat/>
    <w:uiPriority w:val="99"/>
    <w:pPr>
      <w:ind w:left="100" w:leftChars="2500"/>
    </w:pPr>
  </w:style>
  <w:style w:type="paragraph" w:styleId="19">
    <w:name w:val="Balloon Text"/>
    <w:basedOn w:val="1"/>
    <w:semiHidden/>
    <w:qFormat/>
    <w:uiPriority w:val="0"/>
    <w:rPr>
      <w:sz w:val="18"/>
      <w:szCs w:val="18"/>
    </w:rPr>
  </w:style>
  <w:style w:type="paragraph" w:styleId="20">
    <w:name w:val="footer"/>
    <w:basedOn w:val="1"/>
    <w:link w:val="49"/>
    <w:unhideWhenUsed/>
    <w:qFormat/>
    <w:uiPriority w:val="99"/>
    <w:pPr>
      <w:tabs>
        <w:tab w:val="center" w:pos="4153"/>
        <w:tab w:val="right" w:pos="8306"/>
      </w:tabs>
      <w:snapToGrid w:val="0"/>
      <w:jc w:val="left"/>
    </w:pPr>
    <w:rPr>
      <w:kern w:val="0"/>
      <w:sz w:val="18"/>
      <w:szCs w:val="18"/>
    </w:rPr>
  </w:style>
  <w:style w:type="paragraph" w:styleId="21">
    <w:name w:val="header"/>
    <w:basedOn w:val="1"/>
    <w:link w:val="5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unhideWhenUsed/>
    <w:qFormat/>
    <w:uiPriority w:val="39"/>
  </w:style>
  <w:style w:type="paragraph" w:styleId="23">
    <w:name w:val="toc 2"/>
    <w:basedOn w:val="1"/>
    <w:next w:val="1"/>
    <w:unhideWhenUsed/>
    <w:qFormat/>
    <w:uiPriority w:val="39"/>
    <w:pPr>
      <w:tabs>
        <w:tab w:val="right" w:leader="dot" w:pos="8296"/>
      </w:tabs>
      <w:ind w:left="420" w:leftChars="200"/>
    </w:pPr>
  </w:style>
  <w:style w:type="paragraph" w:styleId="24">
    <w:name w:val="Body Text 2"/>
    <w:basedOn w:val="1"/>
    <w:next w:val="2"/>
    <w:qFormat/>
    <w:uiPriority w:val="0"/>
    <w:pPr>
      <w:spacing w:after="120" w:line="480" w:lineRule="auto"/>
    </w:pPr>
    <w:rPr>
      <w:lang w:val="zh-CN"/>
    </w:rPr>
  </w:style>
  <w:style w:type="paragraph" w:styleId="25">
    <w:name w:val="Normal (Web)"/>
    <w:basedOn w:val="1"/>
    <w:unhideWhenUsed/>
    <w:qFormat/>
    <w:uiPriority w:val="99"/>
    <w:rPr>
      <w:rFonts w:ascii="Calibri" w:hAnsi="Calibri"/>
      <w:kern w:val="0"/>
      <w:sz w:val="24"/>
    </w:rPr>
  </w:style>
  <w:style w:type="paragraph" w:styleId="26">
    <w:name w:val="annotation subject"/>
    <w:basedOn w:val="11"/>
    <w:next w:val="11"/>
    <w:link w:val="51"/>
    <w:qFormat/>
    <w:uiPriority w:val="99"/>
    <w:rPr>
      <w:b/>
      <w:bCs/>
    </w:rPr>
  </w:style>
  <w:style w:type="paragraph" w:styleId="27">
    <w:name w:val="Body Text First Indent"/>
    <w:basedOn w:val="2"/>
    <w:qFormat/>
    <w:uiPriority w:val="0"/>
    <w:pPr>
      <w:ind w:firstLine="420" w:firstLineChars="100"/>
    </w:pPr>
    <w:rPr>
      <w:szCs w:val="20"/>
    </w:rPr>
  </w:style>
  <w:style w:type="paragraph" w:styleId="28">
    <w:name w:val="Body Text First Indent 2"/>
    <w:basedOn w:val="13"/>
    <w:qFormat/>
    <w:uiPriority w:val="99"/>
    <w:pPr>
      <w:widowControl/>
      <w:spacing w:line="360" w:lineRule="auto"/>
      <w:ind w:left="-358" w:leftChars="-128" w:firstLine="560" w:firstLineChars="200"/>
      <w:jc w:val="left"/>
    </w:pPr>
    <w:rPr>
      <w:sz w:val="28"/>
    </w:rPr>
  </w:style>
  <w:style w:type="table" w:styleId="30">
    <w:name w:val="Table Grid"/>
    <w:basedOn w:val="2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Strong"/>
    <w:basedOn w:val="31"/>
    <w:qFormat/>
    <w:uiPriority w:val="22"/>
    <w:rPr>
      <w:b/>
    </w:rPr>
  </w:style>
  <w:style w:type="character" w:styleId="33">
    <w:name w:val="endnote reference"/>
    <w:unhideWhenUsed/>
    <w:qFormat/>
    <w:uiPriority w:val="99"/>
    <w:rPr>
      <w:vertAlign w:val="superscript"/>
    </w:rPr>
  </w:style>
  <w:style w:type="character" w:styleId="34">
    <w:name w:val="Emphasis"/>
    <w:basedOn w:val="31"/>
    <w:qFormat/>
    <w:uiPriority w:val="20"/>
    <w:rPr>
      <w:i/>
    </w:rPr>
  </w:style>
  <w:style w:type="character" w:styleId="35">
    <w:name w:val="Hyperlink"/>
    <w:unhideWhenUsed/>
    <w:qFormat/>
    <w:uiPriority w:val="99"/>
    <w:rPr>
      <w:color w:val="0000FF"/>
      <w:u w:val="single"/>
    </w:rPr>
  </w:style>
  <w:style w:type="character" w:styleId="36">
    <w:name w:val="annotation reference"/>
    <w:qFormat/>
    <w:uiPriority w:val="0"/>
    <w:rPr>
      <w:sz w:val="21"/>
      <w:szCs w:val="21"/>
    </w:rPr>
  </w:style>
  <w:style w:type="character" w:styleId="37">
    <w:name w:val="HTML Sample"/>
    <w:unhideWhenUsed/>
    <w:qFormat/>
    <w:uiPriority w:val="99"/>
    <w:rPr>
      <w:rFonts w:ascii="Courier New" w:hAnsi="Courier New"/>
    </w:rPr>
  </w:style>
  <w:style w:type="paragraph" w:customStyle="1" w:styleId="3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39">
    <w:name w:val="正文文本 Char1"/>
    <w:link w:val="2"/>
    <w:qFormat/>
    <w:uiPriority w:val="0"/>
    <w:rPr>
      <w:rFonts w:ascii="Times New Roman" w:hAnsi="Times New Roman"/>
      <w:kern w:val="2"/>
      <w:sz w:val="21"/>
      <w:szCs w:val="24"/>
    </w:rPr>
  </w:style>
  <w:style w:type="character" w:customStyle="1" w:styleId="40">
    <w:name w:val="标题 1 Char"/>
    <w:link w:val="3"/>
    <w:qFormat/>
    <w:uiPriority w:val="9"/>
    <w:rPr>
      <w:b/>
      <w:bCs/>
      <w:kern w:val="44"/>
      <w:sz w:val="44"/>
      <w:szCs w:val="44"/>
    </w:rPr>
  </w:style>
  <w:style w:type="character" w:customStyle="1" w:styleId="41">
    <w:name w:val="标题 2 Char1"/>
    <w:link w:val="4"/>
    <w:qFormat/>
    <w:uiPriority w:val="9"/>
    <w:rPr>
      <w:rFonts w:ascii="Cambria" w:hAnsi="Cambria" w:eastAsia="宋体" w:cs="Times New Roman"/>
      <w:b/>
      <w:bCs/>
      <w:kern w:val="2"/>
      <w:sz w:val="32"/>
      <w:szCs w:val="32"/>
    </w:rPr>
  </w:style>
  <w:style w:type="character" w:customStyle="1" w:styleId="42">
    <w:name w:val="标题 5 Char"/>
    <w:link w:val="6"/>
    <w:semiHidden/>
    <w:qFormat/>
    <w:uiPriority w:val="9"/>
    <w:rPr>
      <w:rFonts w:ascii="Times New Roman" w:hAnsi="Times New Roman"/>
      <w:b/>
      <w:bCs/>
      <w:kern w:val="2"/>
      <w:sz w:val="28"/>
      <w:szCs w:val="28"/>
    </w:rPr>
  </w:style>
  <w:style w:type="character" w:customStyle="1" w:styleId="43">
    <w:name w:val="标题 8 Char1"/>
    <w:link w:val="8"/>
    <w:semiHidden/>
    <w:qFormat/>
    <w:uiPriority w:val="9"/>
    <w:rPr>
      <w:rFonts w:ascii="等线 Light" w:hAnsi="等线 Light" w:eastAsia="等线 Light" w:cs="Times New Roman"/>
      <w:kern w:val="2"/>
      <w:sz w:val="24"/>
      <w:szCs w:val="24"/>
    </w:rPr>
  </w:style>
  <w:style w:type="character" w:customStyle="1" w:styleId="44">
    <w:name w:val="批注文字 Char1"/>
    <w:link w:val="11"/>
    <w:qFormat/>
    <w:uiPriority w:val="0"/>
    <w:rPr>
      <w:rFonts w:ascii="Times New Roman" w:hAnsi="Times New Roman"/>
      <w:kern w:val="2"/>
      <w:sz w:val="21"/>
      <w:szCs w:val="24"/>
    </w:rPr>
  </w:style>
  <w:style w:type="character" w:customStyle="1" w:styleId="45">
    <w:name w:val="正文文本 3 Char"/>
    <w:link w:val="12"/>
    <w:semiHidden/>
    <w:qFormat/>
    <w:uiPriority w:val="99"/>
    <w:rPr>
      <w:kern w:val="2"/>
      <w:sz w:val="16"/>
      <w:szCs w:val="16"/>
    </w:rPr>
  </w:style>
  <w:style w:type="character" w:customStyle="1" w:styleId="46">
    <w:name w:val="正文文本缩进 Char"/>
    <w:link w:val="13"/>
    <w:qFormat/>
    <w:uiPriority w:val="0"/>
    <w:rPr>
      <w:rFonts w:ascii="仿宋_GB2312" w:hAnsi="Times New Roman" w:eastAsia="仿宋_GB2312" w:cs="Times New Roman"/>
      <w:sz w:val="32"/>
      <w:szCs w:val="20"/>
    </w:rPr>
  </w:style>
  <w:style w:type="character" w:customStyle="1" w:styleId="47">
    <w:name w:val="纯文本 Char1"/>
    <w:link w:val="17"/>
    <w:qFormat/>
    <w:uiPriority w:val="0"/>
    <w:rPr>
      <w:rFonts w:ascii="宋体" w:hAnsi="Courier New" w:eastAsia="宋体" w:cs="Courier New"/>
      <w:szCs w:val="21"/>
    </w:rPr>
  </w:style>
  <w:style w:type="character" w:customStyle="1" w:styleId="48">
    <w:name w:val="日期 Char"/>
    <w:link w:val="18"/>
    <w:semiHidden/>
    <w:qFormat/>
    <w:uiPriority w:val="99"/>
    <w:rPr>
      <w:rFonts w:ascii="Times New Roman" w:hAnsi="Times New Roman"/>
      <w:kern w:val="2"/>
      <w:sz w:val="21"/>
      <w:szCs w:val="24"/>
    </w:rPr>
  </w:style>
  <w:style w:type="character" w:customStyle="1" w:styleId="49">
    <w:name w:val="页脚 Char"/>
    <w:link w:val="20"/>
    <w:qFormat/>
    <w:uiPriority w:val="99"/>
    <w:rPr>
      <w:sz w:val="18"/>
      <w:szCs w:val="18"/>
    </w:rPr>
  </w:style>
  <w:style w:type="character" w:customStyle="1" w:styleId="50">
    <w:name w:val="页眉 Char"/>
    <w:link w:val="21"/>
    <w:qFormat/>
    <w:uiPriority w:val="99"/>
    <w:rPr>
      <w:sz w:val="18"/>
      <w:szCs w:val="18"/>
    </w:rPr>
  </w:style>
  <w:style w:type="character" w:customStyle="1" w:styleId="51">
    <w:name w:val="批注主题 Char"/>
    <w:link w:val="26"/>
    <w:qFormat/>
    <w:uiPriority w:val="99"/>
    <w:rPr>
      <w:rFonts w:ascii="Times New Roman" w:hAnsi="Times New Roman"/>
      <w:b/>
      <w:bCs/>
      <w:kern w:val="2"/>
      <w:sz w:val="21"/>
      <w:szCs w:val="24"/>
    </w:rPr>
  </w:style>
  <w:style w:type="paragraph" w:customStyle="1" w:styleId="52">
    <w:name w:val="表格文字"/>
    <w:basedOn w:val="1"/>
    <w:qFormat/>
    <w:uiPriority w:val="0"/>
    <w:pPr>
      <w:spacing w:before="25" w:after="25"/>
      <w:jc w:val="left"/>
    </w:pPr>
    <w:rPr>
      <w:bCs/>
      <w:spacing w:val="10"/>
      <w:kern w:val="0"/>
      <w:sz w:val="24"/>
    </w:rPr>
  </w:style>
  <w:style w:type="character" w:customStyle="1" w:styleId="53">
    <w:name w:val="标题 2 Char"/>
    <w:qFormat/>
    <w:uiPriority w:val="9"/>
    <w:rPr>
      <w:rFonts w:ascii="Cambria" w:hAnsi="Cambria" w:eastAsia="宋体" w:cs="Times New Roman"/>
      <w:b/>
      <w:bCs/>
      <w:kern w:val="2"/>
      <w:sz w:val="32"/>
      <w:szCs w:val="32"/>
    </w:rPr>
  </w:style>
  <w:style w:type="character" w:customStyle="1" w:styleId="54">
    <w:name w:val="纯文本 字符1"/>
    <w:qFormat/>
    <w:uiPriority w:val="0"/>
    <w:rPr>
      <w:rFonts w:ascii="宋体" w:hAnsi="Courier New"/>
    </w:rPr>
  </w:style>
  <w:style w:type="character" w:customStyle="1" w:styleId="55">
    <w:name w:val="textcontents"/>
    <w:qFormat/>
    <w:uiPriority w:val="0"/>
  </w:style>
  <w:style w:type="character" w:customStyle="1" w:styleId="56">
    <w:name w:val="纯文本 字符2"/>
    <w:qFormat/>
    <w:uiPriority w:val="0"/>
    <w:rPr>
      <w:rFonts w:ascii="宋体" w:hAnsi="Courier New" w:eastAsia="宋体" w:cs="Courier New"/>
      <w:szCs w:val="21"/>
    </w:rPr>
  </w:style>
  <w:style w:type="character" w:customStyle="1" w:styleId="57">
    <w:name w:val="批注文字 字符"/>
    <w:qFormat/>
    <w:uiPriority w:val="0"/>
    <w:rPr>
      <w:rFonts w:ascii="Times New Roman" w:hAnsi="Times New Roman"/>
      <w:kern w:val="2"/>
      <w:sz w:val="21"/>
      <w:szCs w:val="24"/>
    </w:rPr>
  </w:style>
  <w:style w:type="character" w:customStyle="1" w:styleId="58">
    <w:name w:val="批注文字 Char2"/>
    <w:qFormat/>
    <w:uiPriority w:val="0"/>
    <w:rPr>
      <w:rFonts w:ascii="Times New Roman" w:hAnsi="Times New Roman"/>
      <w:kern w:val="2"/>
      <w:sz w:val="21"/>
      <w:szCs w:val="24"/>
    </w:rPr>
  </w:style>
  <w:style w:type="character" w:customStyle="1" w:styleId="59">
    <w:name w:val="批注文字 字符1"/>
    <w:qFormat/>
    <w:uiPriority w:val="0"/>
    <w:rPr>
      <w:rFonts w:ascii="Times New Roman" w:hAnsi="Times New Roman"/>
      <w:kern w:val="2"/>
      <w:sz w:val="21"/>
      <w:szCs w:val="24"/>
    </w:rPr>
  </w:style>
  <w:style w:type="character" w:customStyle="1" w:styleId="60">
    <w:name w:val="标题 8 Char"/>
    <w:qFormat/>
    <w:uiPriority w:val="0"/>
    <w:rPr>
      <w:rFonts w:ascii="Arial" w:hAnsi="Arial" w:eastAsia="黑体"/>
      <w:kern w:val="2"/>
      <w:sz w:val="24"/>
      <w:szCs w:val="24"/>
    </w:rPr>
  </w:style>
  <w:style w:type="character" w:customStyle="1" w:styleId="61">
    <w:name w:val="批注文字 Char"/>
    <w:qFormat/>
    <w:uiPriority w:val="0"/>
    <w:rPr>
      <w:rFonts w:ascii="Times New Roman" w:hAnsi="Times New Roman"/>
      <w:kern w:val="2"/>
      <w:sz w:val="21"/>
      <w:szCs w:val="24"/>
    </w:rPr>
  </w:style>
  <w:style w:type="character" w:customStyle="1" w:styleId="62">
    <w:name w:val="标题 1 字符1"/>
    <w:qFormat/>
    <w:uiPriority w:val="0"/>
    <w:rPr>
      <w:b/>
      <w:bCs/>
      <w:kern w:val="44"/>
      <w:sz w:val="44"/>
      <w:szCs w:val="44"/>
    </w:rPr>
  </w:style>
  <w:style w:type="character" w:customStyle="1" w:styleId="63">
    <w:name w:val="纯文本 字符"/>
    <w:qFormat/>
    <w:uiPriority w:val="0"/>
    <w:rPr>
      <w:rFonts w:ascii="宋体" w:hAnsi="Courier New" w:eastAsia="宋体" w:cs="Courier New"/>
      <w:szCs w:val="21"/>
    </w:rPr>
  </w:style>
  <w:style w:type="character" w:customStyle="1" w:styleId="64">
    <w:name w:val="正文文本 Char"/>
    <w:qFormat/>
    <w:uiPriority w:val="0"/>
    <w:rPr>
      <w:rFonts w:ascii="Times New Roman" w:hAnsi="Times New Roman"/>
      <w:kern w:val="2"/>
      <w:sz w:val="21"/>
      <w:szCs w:val="24"/>
    </w:rPr>
  </w:style>
  <w:style w:type="character" w:customStyle="1" w:styleId="6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6">
    <w:name w:val="正文文本 字符"/>
    <w:qFormat/>
    <w:uiPriority w:val="0"/>
    <w:rPr>
      <w:rFonts w:ascii="Times New Roman" w:hAnsi="Times New Roman"/>
      <w:kern w:val="2"/>
      <w:sz w:val="21"/>
      <w:szCs w:val="24"/>
    </w:rPr>
  </w:style>
  <w:style w:type="character" w:customStyle="1" w:styleId="67">
    <w:name w:val="apple-style-span"/>
    <w:qFormat/>
    <w:uiPriority w:val="0"/>
  </w:style>
  <w:style w:type="character" w:customStyle="1" w:styleId="68">
    <w:name w:val="纯文本 Char"/>
    <w:qFormat/>
    <w:uiPriority w:val="0"/>
    <w:rPr>
      <w:rFonts w:ascii="宋体" w:hAnsi="Courier New" w:eastAsia="宋体" w:cs="Courier New"/>
      <w:szCs w:val="21"/>
    </w:rPr>
  </w:style>
  <w:style w:type="character" w:customStyle="1" w:styleId="69">
    <w:name w:val="正文2 Char Char"/>
    <w:link w:val="70"/>
    <w:qFormat/>
    <w:uiPriority w:val="0"/>
    <w:rPr>
      <w:kern w:val="2"/>
      <w:sz w:val="24"/>
    </w:rPr>
  </w:style>
  <w:style w:type="paragraph" w:customStyle="1" w:styleId="70">
    <w:name w:val="正文2"/>
    <w:basedOn w:val="1"/>
    <w:link w:val="69"/>
    <w:qFormat/>
    <w:uiPriority w:val="0"/>
    <w:pPr>
      <w:adjustRightInd w:val="0"/>
      <w:spacing w:before="156" w:line="360" w:lineRule="auto"/>
      <w:ind w:firstLine="510" w:firstLineChars="200"/>
    </w:pPr>
    <w:rPr>
      <w:sz w:val="24"/>
      <w:szCs w:val="20"/>
    </w:rPr>
  </w:style>
  <w:style w:type="paragraph" w:customStyle="1" w:styleId="71">
    <w:name w:val="默认段落字体 Para Char Char Char Char Char Char Char Char Char1 Char Char Char Char"/>
    <w:basedOn w:val="1"/>
    <w:qFormat/>
    <w:uiPriority w:val="0"/>
    <w:rPr>
      <w:rFonts w:ascii="Tahoma" w:hAnsi="Tahoma"/>
      <w:sz w:val="24"/>
      <w:szCs w:val="20"/>
    </w:rPr>
  </w:style>
  <w:style w:type="paragraph" w:customStyle="1" w:styleId="72">
    <w:name w:val="Table Paragraph"/>
    <w:basedOn w:val="1"/>
    <w:qFormat/>
    <w:uiPriority w:val="1"/>
    <w:pPr>
      <w:jc w:val="left"/>
    </w:pPr>
    <w:rPr>
      <w:rFonts w:ascii="Calibri" w:hAnsi="Calibri"/>
      <w:kern w:val="0"/>
      <w:sz w:val="22"/>
      <w:szCs w:val="22"/>
      <w:lang w:eastAsia="en-US"/>
    </w:rPr>
  </w:style>
  <w:style w:type="paragraph" w:customStyle="1" w:styleId="7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7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75">
    <w:name w:val="List Paragraph"/>
    <w:basedOn w:val="1"/>
    <w:qFormat/>
    <w:uiPriority w:val="34"/>
    <w:pPr>
      <w:ind w:firstLine="420" w:firstLineChars="200"/>
    </w:pPr>
  </w:style>
  <w:style w:type="paragraph" w:customStyle="1" w:styleId="76">
    <w:name w:val="UserStyle_27"/>
    <w:basedOn w:val="1"/>
    <w:qFormat/>
    <w:uiPriority w:val="0"/>
    <w:pPr>
      <w:ind w:firstLine="420" w:firstLineChars="200"/>
    </w:pPr>
  </w:style>
  <w:style w:type="paragraph" w:customStyle="1" w:styleId="77">
    <w:name w:val="目录 42"/>
    <w:next w:val="1"/>
    <w:qFormat/>
    <w:uiPriority w:val="99"/>
    <w:pPr>
      <w:wordWrap w:val="0"/>
      <w:ind w:left="850"/>
      <w:jc w:val="both"/>
    </w:pPr>
    <w:rPr>
      <w:rFonts w:ascii="Times New Roman" w:hAnsi="Times New Roman" w:eastAsia="宋体" w:cs="Times New Roman"/>
      <w:sz w:val="21"/>
      <w:lang w:val="en-US" w:eastAsia="zh-CN" w:bidi="ar-SA"/>
    </w:rPr>
  </w:style>
  <w:style w:type="paragraph" w:customStyle="1" w:styleId="78">
    <w:name w:val="正文-公11"/>
    <w:basedOn w:val="1"/>
    <w:qFormat/>
    <w:uiPriority w:val="0"/>
    <w:pPr>
      <w:ind w:firstLine="200" w:firstLineChars="200"/>
      <w:jc w:val="left"/>
    </w:pPr>
    <w:rPr>
      <w:rFonts w:eastAsia="仿宋_GB2312"/>
    </w:rPr>
  </w:style>
  <w:style w:type="paragraph" w:customStyle="1" w:styleId="79">
    <w:name w:val="_Style 3"/>
    <w:basedOn w:val="1"/>
    <w:qFormat/>
    <w:uiPriority w:val="0"/>
  </w:style>
  <w:style w:type="paragraph" w:customStyle="1" w:styleId="80">
    <w:name w:val="表 靠左"/>
    <w:basedOn w:val="81"/>
    <w:qFormat/>
    <w:uiPriority w:val="0"/>
    <w:pPr>
      <w:jc w:val="left"/>
    </w:pPr>
    <w:rPr>
      <w:rFonts w:ascii="宋体" w:hAnsi="宋体"/>
    </w:rPr>
  </w:style>
  <w:style w:type="paragraph" w:customStyle="1" w:styleId="81">
    <w:name w:val="表"/>
    <w:basedOn w:val="1"/>
    <w:next w:val="1"/>
    <w:qFormat/>
    <w:uiPriority w:val="0"/>
    <w:pPr>
      <w:jc w:val="center"/>
    </w:pPr>
  </w:style>
  <w:style w:type="paragraph" w:customStyle="1" w:styleId="82">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83">
    <w:name w:val="表格内容"/>
    <w:basedOn w:val="1"/>
    <w:qFormat/>
    <w:uiPriority w:val="0"/>
    <w:pPr>
      <w:spacing w:line="300" w:lineRule="exact"/>
      <w:jc w:val="center"/>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77</Pages>
  <Words>16943</Words>
  <Characters>17963</Characters>
  <Lines>298</Lines>
  <Paragraphs>83</Paragraphs>
  <TotalTime>8</TotalTime>
  <ScaleCrop>false</ScaleCrop>
  <LinksUpToDate>false</LinksUpToDate>
  <CharactersWithSpaces>18064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2024-05-20T07:55:00Z</dcterms:created>
  <dc:creator>唐冰</dc:creator>
  <cp:lastModifiedBy>Administrator</cp:lastModifiedBy>
  <cp:lastPrinted>2023-03-27T08:54:00Z</cp:lastPrinted>
  <dcterms:modified xsi:type="dcterms:W3CDTF">2025-11-26T01:42:45Z</dcterms:modified>
  <dc:title>竞争性谈判文件规范</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DC6948BD429C46FD8AF4850F9DA7F6A8_13</vt:lpwstr>
  </property>
  <property fmtid="{D5CDD505-2E9C-101B-9397-08002B2CF9AE}" pid="4" name="KSOTemplateDocerSaveRecord">
    <vt:lpwstr>eyJoZGlkIjoiMzc0NmYyNmJlNDUwZmQyODg0NmIzODNjMTlmMDFjMTQiLCJ1c2VySWQiOiIzNTkzMDQzMjgifQ==</vt:lpwstr>
  </property>
</Properties>
</file>