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03503">
      <w:pPr>
        <w:spacing w:line="360" w:lineRule="auto"/>
        <w:jc w:val="center"/>
        <w:rPr>
          <w:rFonts w:ascii="方正小标宋简体" w:hAnsi="方正小标宋简体" w:eastAsia="方正小标宋简体" w:cs="方正小标宋简体"/>
          <w:color w:val="000000" w:themeColor="text1"/>
          <w:sz w:val="52"/>
          <w:szCs w:val="52"/>
          <w:highlight w:val="none"/>
          <w14:textFill>
            <w14:solidFill>
              <w14:schemeClr w14:val="tx1"/>
            </w14:solidFill>
          </w14:textFill>
        </w:rPr>
      </w:pPr>
      <w:r>
        <w:rPr>
          <w:rFonts w:hint="eastAsia" w:ascii="方正小标宋简体" w:hAnsi="宋体" w:eastAsia="方正小标宋简体"/>
          <w:color w:val="000000" w:themeColor="text1"/>
          <w:sz w:val="52"/>
          <w:szCs w:val="52"/>
          <w:highlight w:val="none"/>
          <w14:textFill>
            <w14:solidFill>
              <w14:schemeClr w14:val="tx1"/>
            </w14:solidFill>
          </w14:textFill>
        </w:rPr>
        <w:t>云之龙咨询集团有限公司</w:t>
      </w:r>
    </w:p>
    <w:p w14:paraId="54260B37">
      <w:pPr>
        <w:spacing w:line="360" w:lineRule="auto"/>
        <w:jc w:val="center"/>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5F73ABFD">
      <w:pPr>
        <w:spacing w:line="360" w:lineRule="auto"/>
        <w:jc w:val="center"/>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3144AA90">
      <w:pPr>
        <w:snapToGrid w:val="0"/>
        <w:spacing w:beforeLines="50" w:line="360" w:lineRule="auto"/>
        <w:jc w:val="center"/>
        <w:rPr>
          <w:rFonts w:ascii="华文新魏" w:hAnsi="宋体" w:eastAsia="华文新魏"/>
          <w:color w:val="000000" w:themeColor="text1"/>
          <w:sz w:val="120"/>
          <w:szCs w:val="120"/>
          <w:highlight w:val="none"/>
          <w14:textFill>
            <w14:solidFill>
              <w14:schemeClr w14:val="tx1"/>
            </w14:solidFill>
          </w14:textFill>
        </w:rPr>
      </w:pPr>
      <w:r>
        <w:rPr>
          <w:rFonts w:hint="eastAsia" w:ascii="华文新魏" w:hAnsi="宋体" w:eastAsia="华文新魏"/>
          <w:color w:val="000000" w:themeColor="text1"/>
          <w:sz w:val="120"/>
          <w:szCs w:val="120"/>
          <w:highlight w:val="none"/>
          <w14:textFill>
            <w14:solidFill>
              <w14:schemeClr w14:val="tx1"/>
            </w14:solidFill>
          </w14:textFill>
        </w:rPr>
        <w:t>竞争性磋商文件</w:t>
      </w:r>
    </w:p>
    <w:p w14:paraId="3B567F97">
      <w:pPr>
        <w:snapToGrid w:val="0"/>
        <w:spacing w:beforeLines="50" w:line="360" w:lineRule="auto"/>
        <w:jc w:val="center"/>
        <w:rPr>
          <w:rFonts w:ascii="仿宋_GB2312" w:hAnsi="宋体" w:eastAsia="仿宋_GB2312"/>
          <w:bCs/>
          <w:color w:val="000000" w:themeColor="text1"/>
          <w:sz w:val="30"/>
          <w:szCs w:val="72"/>
          <w:highlight w:val="none"/>
          <w14:textFill>
            <w14:solidFill>
              <w14:schemeClr w14:val="tx1"/>
            </w14:solidFill>
          </w14:textFill>
        </w:rPr>
      </w:pPr>
      <w:r>
        <w:rPr>
          <w:rFonts w:hint="eastAsia" w:ascii="仿宋_GB2312" w:hAnsi="宋体" w:eastAsia="仿宋_GB2312"/>
          <w:bCs/>
          <w:color w:val="000000" w:themeColor="text1"/>
          <w:sz w:val="48"/>
          <w:szCs w:val="48"/>
          <w:highlight w:val="none"/>
          <w14:textFill>
            <w14:solidFill>
              <w14:schemeClr w14:val="tx1"/>
            </w14:solidFill>
          </w14:textFill>
        </w:rPr>
        <w:t>（全流程电子化采购）</w:t>
      </w:r>
    </w:p>
    <w:p w14:paraId="7760CC3C">
      <w:pPr>
        <w:snapToGrid w:val="0"/>
        <w:spacing w:line="360" w:lineRule="auto"/>
        <w:rPr>
          <w:rFonts w:ascii="仿宋_GB2312" w:hAnsi="宋体" w:eastAsia="仿宋_GB2312"/>
          <w:bCs/>
          <w:color w:val="000000" w:themeColor="text1"/>
          <w:sz w:val="30"/>
          <w:szCs w:val="72"/>
          <w:highlight w:val="none"/>
          <w14:textFill>
            <w14:solidFill>
              <w14:schemeClr w14:val="tx1"/>
            </w14:solidFill>
          </w14:textFill>
        </w:rPr>
      </w:pPr>
    </w:p>
    <w:p w14:paraId="675AEEAE">
      <w:pPr>
        <w:pStyle w:val="25"/>
        <w:snapToGrid w:val="0"/>
        <w:spacing w:line="360" w:lineRule="auto"/>
        <w:ind w:firstLine="855" w:firstLineChars="300"/>
        <w:rPr>
          <w:rFonts w:ascii="仿宋_GB2312" w:hAnsi="宋体" w:eastAsia="仿宋_GB2312"/>
          <w:bCs/>
          <w:color w:val="000000" w:themeColor="text1"/>
          <w:w w:val="95"/>
          <w:sz w:val="30"/>
          <w:szCs w:val="30"/>
          <w:highlight w:val="none"/>
          <w14:textFill>
            <w14:solidFill>
              <w14:schemeClr w14:val="tx1"/>
            </w14:solidFill>
          </w14:textFill>
        </w:rPr>
      </w:pPr>
      <w:r>
        <w:rPr>
          <w:rFonts w:hint="eastAsia" w:ascii="仿宋_GB2312" w:hAnsi="宋体" w:eastAsia="仿宋_GB2312"/>
          <w:bCs/>
          <w:color w:val="000000" w:themeColor="text1"/>
          <w:w w:val="95"/>
          <w:sz w:val="30"/>
          <w:szCs w:val="30"/>
          <w:highlight w:val="none"/>
          <w14:textFill>
            <w14:solidFill>
              <w14:schemeClr w14:val="tx1"/>
            </w14:solidFill>
          </w14:textFill>
        </w:rPr>
        <w:t>项目名称：钦州幼儿师范高等专科学校室内体育训练棚建设项目</w:t>
      </w:r>
    </w:p>
    <w:p w14:paraId="717CDAB5">
      <w:pPr>
        <w:snapToGrid w:val="0"/>
        <w:spacing w:line="360" w:lineRule="auto"/>
        <w:ind w:firstLine="855" w:firstLineChars="300"/>
        <w:rPr>
          <w:rFonts w:ascii="仿宋_GB2312" w:hAnsi="宋体" w:eastAsia="仿宋_GB2312"/>
          <w:bCs/>
          <w:color w:val="000000" w:themeColor="text1"/>
          <w:w w:val="95"/>
          <w:kern w:val="0"/>
          <w:sz w:val="30"/>
          <w:szCs w:val="30"/>
          <w:highlight w:val="none"/>
          <w14:textFill>
            <w14:solidFill>
              <w14:schemeClr w14:val="tx1"/>
            </w14:solidFill>
          </w14:textFill>
        </w:rPr>
      </w:pPr>
      <w:r>
        <w:rPr>
          <w:rFonts w:hint="eastAsia" w:ascii="仿宋_GB2312" w:hAnsi="宋体" w:eastAsia="仿宋_GB2312"/>
          <w:bCs/>
          <w:color w:val="000000" w:themeColor="text1"/>
          <w:w w:val="95"/>
          <w:kern w:val="0"/>
          <w:sz w:val="30"/>
          <w:szCs w:val="30"/>
          <w:highlight w:val="none"/>
          <w14:textFill>
            <w14:solidFill>
              <w14:schemeClr w14:val="tx1"/>
            </w14:solidFill>
          </w14:textFill>
        </w:rPr>
        <w:t xml:space="preserve">项目编号：QZZC2025-C2-990189-YZLZ </w:t>
      </w:r>
    </w:p>
    <w:p w14:paraId="4BAF582C">
      <w:pPr>
        <w:pStyle w:val="25"/>
        <w:snapToGrid w:val="0"/>
        <w:spacing w:line="360" w:lineRule="auto"/>
        <w:ind w:firstLine="855" w:firstLineChars="300"/>
        <w:rPr>
          <w:rFonts w:ascii="仿宋_GB2312" w:hAnsi="宋体" w:eastAsia="仿宋_GB2312"/>
          <w:bCs/>
          <w:color w:val="000000" w:themeColor="text1"/>
          <w:w w:val="95"/>
          <w:sz w:val="30"/>
          <w:szCs w:val="30"/>
          <w:highlight w:val="none"/>
          <w14:textFill>
            <w14:solidFill>
              <w14:schemeClr w14:val="tx1"/>
            </w14:solidFill>
          </w14:textFill>
        </w:rPr>
      </w:pPr>
      <w:r>
        <w:rPr>
          <w:rFonts w:hint="eastAsia" w:ascii="仿宋_GB2312" w:hAnsi="宋体" w:eastAsia="仿宋_GB2312"/>
          <w:bCs/>
          <w:color w:val="000000" w:themeColor="text1"/>
          <w:w w:val="95"/>
          <w:sz w:val="30"/>
          <w:szCs w:val="30"/>
          <w:highlight w:val="none"/>
          <w14:textFill>
            <w14:solidFill>
              <w14:schemeClr w14:val="tx1"/>
            </w14:solidFill>
          </w14:textFill>
        </w:rPr>
        <w:t xml:space="preserve">采 购 人：钦州幼儿师范高等专科学校 </w:t>
      </w:r>
    </w:p>
    <w:p w14:paraId="143E5561">
      <w:pPr>
        <w:pStyle w:val="25"/>
        <w:snapToGrid w:val="0"/>
        <w:spacing w:line="360" w:lineRule="auto"/>
        <w:ind w:firstLine="855" w:firstLineChars="300"/>
        <w:rPr>
          <w:rFonts w:ascii="仿宋_GB2312" w:hAnsi="宋体" w:eastAsia="仿宋_GB2312"/>
          <w:bCs/>
          <w:color w:val="000000" w:themeColor="text1"/>
          <w:w w:val="95"/>
          <w:sz w:val="30"/>
          <w:szCs w:val="30"/>
          <w:highlight w:val="none"/>
          <w14:textFill>
            <w14:solidFill>
              <w14:schemeClr w14:val="tx1"/>
            </w14:solidFill>
          </w14:textFill>
        </w:rPr>
      </w:pPr>
      <w:r>
        <w:rPr>
          <w:rFonts w:hint="eastAsia" w:ascii="仿宋_GB2312" w:hAnsi="宋体" w:eastAsia="仿宋_GB2312"/>
          <w:bCs/>
          <w:color w:val="000000" w:themeColor="text1"/>
          <w:w w:val="95"/>
          <w:sz w:val="30"/>
          <w:szCs w:val="30"/>
          <w:highlight w:val="none"/>
          <w14:textFill>
            <w14:solidFill>
              <w14:schemeClr w14:val="tx1"/>
            </w14:solidFill>
          </w14:textFill>
        </w:rPr>
        <w:t>采购代理机构：云之龙咨询集团有限公司</w:t>
      </w:r>
    </w:p>
    <w:p w14:paraId="4CA1D665">
      <w:pPr>
        <w:pStyle w:val="25"/>
        <w:snapToGrid w:val="0"/>
        <w:spacing w:line="360" w:lineRule="auto"/>
        <w:ind w:firstLine="1120" w:firstLineChars="393"/>
        <w:rPr>
          <w:rFonts w:ascii="仿宋_GB2312" w:hAnsi="宋体" w:eastAsia="仿宋_GB2312"/>
          <w:bCs/>
          <w:color w:val="000000" w:themeColor="text1"/>
          <w:w w:val="95"/>
          <w:sz w:val="30"/>
          <w:szCs w:val="30"/>
          <w:highlight w:val="none"/>
          <w14:textFill>
            <w14:solidFill>
              <w14:schemeClr w14:val="tx1"/>
            </w14:solidFill>
          </w14:textFill>
        </w:rPr>
      </w:pPr>
    </w:p>
    <w:p w14:paraId="35BB204D">
      <w:pPr>
        <w:pStyle w:val="25"/>
        <w:snapToGrid w:val="0"/>
        <w:spacing w:line="360" w:lineRule="auto"/>
        <w:ind w:left="420" w:firstLine="837" w:firstLineChars="294"/>
        <w:rPr>
          <w:rFonts w:ascii="仿宋_GB2312" w:eastAsia="仿宋_GB2312"/>
          <w:bCs/>
          <w:color w:val="000000" w:themeColor="text1"/>
          <w:szCs w:val="20"/>
          <w:highlight w:val="none"/>
          <w14:textFill>
            <w14:solidFill>
              <w14:schemeClr w14:val="tx1"/>
            </w14:solidFill>
          </w14:textFill>
        </w:rPr>
      </w:pPr>
      <w:r>
        <w:rPr>
          <w:rFonts w:hint="eastAsia" w:ascii="仿宋_GB2312" w:hAnsi="宋体" w:eastAsia="仿宋_GB2312"/>
          <w:bCs/>
          <w:color w:val="000000" w:themeColor="text1"/>
          <w:w w:val="95"/>
          <w:sz w:val="30"/>
          <w:szCs w:val="30"/>
          <w:highlight w:val="none"/>
          <w14:textFill>
            <w14:solidFill>
              <w14:schemeClr w14:val="tx1"/>
            </w14:solidFill>
          </w14:textFill>
        </w:rPr>
        <w:t xml:space="preserve">               2025年7月</w:t>
      </w:r>
      <w:r>
        <w:rPr>
          <w:rFonts w:hint="eastAsia" w:ascii="仿宋_GB2312" w:hAnsi="宋体" w:eastAsia="仿宋_GB2312"/>
          <w:bCs/>
          <w:color w:val="000000" w:themeColor="text1"/>
          <w:w w:val="95"/>
          <w:sz w:val="30"/>
          <w:szCs w:val="30"/>
          <w:highlight w:val="none"/>
          <w:lang w:val="en-US" w:eastAsia="zh-CN"/>
          <w14:textFill>
            <w14:solidFill>
              <w14:schemeClr w14:val="tx1"/>
            </w14:solidFill>
          </w14:textFill>
        </w:rPr>
        <w:t>15</w:t>
      </w:r>
      <w:r>
        <w:rPr>
          <w:rFonts w:hint="eastAsia" w:ascii="仿宋_GB2312" w:hAnsi="宋体" w:eastAsia="仿宋_GB2312"/>
          <w:bCs/>
          <w:color w:val="000000" w:themeColor="text1"/>
          <w:w w:val="95"/>
          <w:sz w:val="30"/>
          <w:szCs w:val="30"/>
          <w:highlight w:val="none"/>
          <w14:textFill>
            <w14:solidFill>
              <w14:schemeClr w14:val="tx1"/>
            </w14:solidFill>
          </w14:textFill>
        </w:rPr>
        <w:t>日</w:t>
      </w:r>
    </w:p>
    <w:p w14:paraId="0A1840E6">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p>
    <w:p w14:paraId="3BF27A4C">
      <w:pPr>
        <w:spacing w:line="360" w:lineRule="auto"/>
        <w:rPr>
          <w:rFonts w:ascii="宋体" w:hAnsi="宋体"/>
          <w:b/>
          <w:color w:val="000000" w:themeColor="text1"/>
          <w:sz w:val="44"/>
          <w:szCs w:val="44"/>
          <w:highlight w:val="none"/>
          <w14:textFill>
            <w14:solidFill>
              <w14:schemeClr w14:val="tx1"/>
            </w14:solidFill>
          </w14:textFill>
        </w:rPr>
      </w:pPr>
      <w:r>
        <w:rPr>
          <w:rFonts w:ascii="宋体" w:hAnsi="宋体"/>
          <w:b/>
          <w:color w:val="000000" w:themeColor="text1"/>
          <w:sz w:val="44"/>
          <w:szCs w:val="44"/>
          <w:highlight w:val="none"/>
          <w14:textFill>
            <w14:solidFill>
              <w14:schemeClr w14:val="tx1"/>
            </w14:solidFill>
          </w14:textFill>
        </w:rPr>
        <w:br w:type="page"/>
      </w:r>
    </w:p>
    <w:p w14:paraId="5192B6E6">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560BCC4B">
      <w:pPr>
        <w:spacing w:line="400" w:lineRule="exact"/>
        <w:jc w:val="center"/>
        <w:rPr>
          <w:rFonts w:ascii="宋体" w:hAnsi="宋体"/>
          <w:b/>
          <w:color w:val="000000" w:themeColor="text1"/>
          <w:sz w:val="44"/>
          <w:szCs w:val="44"/>
          <w:highlight w:val="none"/>
          <w14:textFill>
            <w14:solidFill>
              <w14:schemeClr w14:val="tx1"/>
            </w14:solidFill>
          </w14:textFill>
        </w:rPr>
      </w:pPr>
    </w:p>
    <w:p w14:paraId="508BF3F6">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w:instrText>
      </w:r>
      <w:r>
        <w:rPr>
          <w:rFonts w:hint="eastAsia" w:ascii="宋体" w:hAnsi="宋体"/>
          <w:b/>
          <w:color w:val="000000" w:themeColor="text1"/>
          <w:sz w:val="24"/>
          <w:highlight w:val="none"/>
          <w14:textFill>
            <w14:solidFill>
              <w14:schemeClr w14:val="tx1"/>
            </w14:solidFill>
          </w14:textFill>
        </w:rPr>
        <w:instrText xml:space="preserve">TOC \o "1-3" \h \z \u</w:instrText>
      </w:r>
      <w:r>
        <w:rPr>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"_Toc122424244"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第一章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竞争性磋商公告</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_Toc122424244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03E7766E">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"_Toc122424245"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第二章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供应商须知</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_Toc122424245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19E5F464">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"_Toc122424246"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第三章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采购需求</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_Toc122424246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26</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07908D79">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"_Toc122424247"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第四章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评审程序、评审方法和评审标准</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_Toc122424247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28</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5AC48CDD">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"_Toc122424248"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第五章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工程量清单及图纸</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_Toc122424248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38</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2EA1DEED">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"_Toc122424265"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第六章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响应文件格式</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_Toc122424265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44</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30F10FD0">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"_Toc122424267"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第七章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合同文本</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_Toc122424267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79</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7A0A9A61">
      <w:pPr>
        <w:pStyle w:val="32"/>
        <w:tabs>
          <w:tab w:val="right" w:leader="dot" w:pos="8869"/>
        </w:tabs>
        <w:spacing w:line="360" w:lineRule="auto"/>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end"/>
      </w:r>
    </w:p>
    <w:p w14:paraId="6FA63F75">
      <w:pPr>
        <w:spacing w:line="360" w:lineRule="auto"/>
        <w:jc w:val="left"/>
        <w:rPr>
          <w:rFonts w:ascii="宋体" w:hAnsi="宋体"/>
          <w:b/>
          <w:color w:val="000000" w:themeColor="text1"/>
          <w:sz w:val="32"/>
          <w:szCs w:val="32"/>
          <w:highlight w:val="none"/>
          <w14:textFill>
            <w14:solidFill>
              <w14:schemeClr w14:val="tx1"/>
            </w14:solidFill>
          </w14:textFill>
        </w:rPr>
      </w:pPr>
    </w:p>
    <w:p w14:paraId="115D198C">
      <w:pPr>
        <w:spacing w:line="400" w:lineRule="exact"/>
        <w:jc w:val="center"/>
        <w:rPr>
          <w:rFonts w:ascii="宋体" w:hAnsi="宋体"/>
          <w:b/>
          <w:color w:val="000000" w:themeColor="text1"/>
          <w:sz w:val="32"/>
          <w:szCs w:val="32"/>
          <w:highlight w:val="none"/>
          <w14:textFill>
            <w14:solidFill>
              <w14:schemeClr w14:val="tx1"/>
            </w14:solidFill>
          </w14:textFill>
        </w:rPr>
      </w:pPr>
    </w:p>
    <w:p w14:paraId="3C895CBC">
      <w:pPr>
        <w:spacing w:line="400" w:lineRule="exact"/>
        <w:jc w:val="center"/>
        <w:rPr>
          <w:rFonts w:ascii="宋体" w:hAnsi="宋体"/>
          <w:b/>
          <w:color w:val="000000" w:themeColor="text1"/>
          <w:sz w:val="32"/>
          <w:szCs w:val="32"/>
          <w:highlight w:val="none"/>
          <w14:textFill>
            <w14:solidFill>
              <w14:schemeClr w14:val="tx1"/>
            </w14:solidFill>
          </w14:textFill>
        </w:rPr>
      </w:pPr>
    </w:p>
    <w:p w14:paraId="160536A4">
      <w:pPr>
        <w:spacing w:line="400" w:lineRule="exact"/>
        <w:jc w:val="center"/>
        <w:rPr>
          <w:rFonts w:ascii="宋体" w:hAnsi="宋体"/>
          <w:b/>
          <w:color w:val="000000" w:themeColor="text1"/>
          <w:sz w:val="32"/>
          <w:szCs w:val="32"/>
          <w:highlight w:val="none"/>
          <w14:textFill>
            <w14:solidFill>
              <w14:schemeClr w14:val="tx1"/>
            </w14:solidFill>
          </w14:textFill>
        </w:rPr>
      </w:pPr>
    </w:p>
    <w:p w14:paraId="20ADBEE8">
      <w:pPr>
        <w:spacing w:line="400" w:lineRule="exact"/>
        <w:jc w:val="center"/>
        <w:rPr>
          <w:rFonts w:ascii="宋体" w:hAnsi="宋体"/>
          <w:b/>
          <w:color w:val="000000" w:themeColor="text1"/>
          <w:sz w:val="32"/>
          <w:szCs w:val="32"/>
          <w:highlight w:val="none"/>
          <w14:textFill>
            <w14:solidFill>
              <w14:schemeClr w14:val="tx1"/>
            </w14:solidFill>
          </w14:textFill>
        </w:rPr>
      </w:pPr>
    </w:p>
    <w:p w14:paraId="5A4347CF">
      <w:pPr>
        <w:spacing w:line="400" w:lineRule="exact"/>
        <w:rPr>
          <w:rFonts w:ascii="宋体" w:hAnsi="宋体"/>
          <w:b/>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317DF852">
      <w:pPr>
        <w:pStyle w:val="2"/>
        <w:spacing w:after="340" w:line="360" w:lineRule="auto"/>
        <w:jc w:val="center"/>
        <w:rPr>
          <w:color w:val="000000" w:themeColor="text1"/>
          <w:highlight w:val="none"/>
          <w14:textFill>
            <w14:solidFill>
              <w14:schemeClr w14:val="tx1"/>
            </w14:solidFill>
          </w14:textFill>
        </w:rPr>
      </w:pPr>
      <w:bookmarkStart w:id="0" w:name="_Toc122424244"/>
      <w:r>
        <w:rPr>
          <w:rFonts w:hint="eastAsia"/>
          <w:color w:val="000000" w:themeColor="text1"/>
          <w:highlight w:val="none"/>
          <w14:textFill>
            <w14:solidFill>
              <w14:schemeClr w14:val="tx1"/>
            </w14:solidFill>
          </w14:textFill>
        </w:rPr>
        <w:t xml:space="preserve">第一章 </w:t>
      </w:r>
      <w:bookmarkEnd w:id="0"/>
      <w:r>
        <w:rPr>
          <w:rFonts w:hint="eastAsia"/>
          <w:color w:val="000000" w:themeColor="text1"/>
          <w:highlight w:val="none"/>
          <w14:textFill>
            <w14:solidFill>
              <w14:schemeClr w14:val="tx1"/>
            </w14:solidFill>
          </w14:textFill>
        </w:rPr>
        <w:t>竞争性磋商公告</w:t>
      </w:r>
    </w:p>
    <w:p w14:paraId="402D79D9">
      <w:pPr>
        <w:spacing w:line="4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竞争性磋商公告</w:t>
      </w:r>
    </w:p>
    <w:p w14:paraId="31B7F411">
      <w:pPr>
        <w:spacing w:line="360" w:lineRule="auto"/>
        <w:rPr>
          <w:rFonts w:ascii="宋体" w:hAnsi="宋体"/>
          <w:color w:val="000000" w:themeColor="text1"/>
          <w:szCs w:val="21"/>
          <w:highlight w:val="none"/>
          <w14:textFill>
            <w14:solidFill>
              <w14:schemeClr w14:val="tx1"/>
            </w14:solidFill>
          </w14:textFill>
        </w:rPr>
      </w:pPr>
    </w:p>
    <w:p w14:paraId="7504CB0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 w:name="_Hlk37430271"/>
      <w:r>
        <w:rPr>
          <w:rFonts w:hint="eastAsia" w:ascii="宋体" w:hAnsi="宋体"/>
          <w:color w:val="000000" w:themeColor="text1"/>
          <w:szCs w:val="21"/>
          <w:highlight w:val="none"/>
          <w14:textFill>
            <w14:solidFill>
              <w14:schemeClr w14:val="tx1"/>
            </w14:solidFill>
          </w14:textFill>
        </w:rPr>
        <w:t>项目概况</w:t>
      </w:r>
    </w:p>
    <w:p w14:paraId="0C35E8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钦州幼儿师范高等专科学校室内体育训练棚建设项目 </w:t>
      </w:r>
      <w:r>
        <w:rPr>
          <w:rFonts w:hint="eastAsia" w:ascii="宋体" w:hAnsi="宋体"/>
          <w:color w:val="000000" w:themeColor="text1"/>
          <w:szCs w:val="21"/>
          <w:highlight w:val="none"/>
          <w14:textFill>
            <w14:solidFill>
              <w14:schemeClr w14:val="tx1"/>
            </w14:solidFill>
          </w14:textFill>
        </w:rPr>
        <w:t>采购项目的潜在供应商应在广西政府采购云平台（https://www.zcygov.cn）获取（下载）竞争性磋商文件，并于</w:t>
      </w:r>
      <w:r>
        <w:rPr>
          <w:rFonts w:hint="eastAsia" w:ascii="宋体" w:hAnsi="宋体"/>
          <w:bCs/>
          <w:color w:val="000000" w:themeColor="text1"/>
          <w:szCs w:val="21"/>
          <w:highlight w:val="none"/>
          <w:u w:val="single"/>
          <w14:textFill>
            <w14:solidFill>
              <w14:schemeClr w14:val="tx1"/>
            </w14:solidFill>
          </w14:textFill>
        </w:rPr>
        <w:t xml:space="preserve">2025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7</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lang w:val="en-US" w:eastAsia="zh-CN"/>
          <w14:textFill>
            <w14:solidFill>
              <w14:schemeClr w14:val="tx1"/>
            </w14:solidFill>
          </w14:textFill>
        </w:rPr>
        <w:t>29</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分（北京时间）前提交（上传）</w:t>
      </w:r>
      <w:r>
        <w:rPr>
          <w:rFonts w:hint="eastAsia" w:ascii="宋体" w:hAnsi="宋体"/>
          <w:color w:val="000000" w:themeColor="text1"/>
          <w:szCs w:val="21"/>
          <w:highlight w:val="none"/>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476D9F46">
      <w:pPr>
        <w:spacing w:line="360" w:lineRule="auto"/>
        <w:rPr>
          <w:rFonts w:ascii="宋体" w:hAnsi="宋体"/>
          <w:color w:val="000000" w:themeColor="text1"/>
          <w:szCs w:val="21"/>
          <w:highlight w:val="none"/>
          <w14:textFill>
            <w14:solidFill>
              <w14:schemeClr w14:val="tx1"/>
            </w14:solidFill>
          </w14:textFill>
        </w:rPr>
      </w:pPr>
    </w:p>
    <w:p w14:paraId="1D4CD0EE">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2" w:name="_Toc44229878"/>
      <w:bookmarkStart w:id="3" w:name="_Toc71365905"/>
      <w:bookmarkStart w:id="4" w:name="_Toc28359089"/>
      <w:bookmarkStart w:id="5" w:name="_Toc28359012"/>
      <w:bookmarkStart w:id="6" w:name="_Toc35393798"/>
      <w:bookmarkStart w:id="7" w:name="_Toc35393629"/>
      <w:r>
        <w:rPr>
          <w:rFonts w:hint="eastAsia" w:ascii="黑体" w:hAnsi="黑体" w:eastAsia="黑体"/>
          <w:b/>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14:paraId="1B3587D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项目编号：QZZC2025-C2-990189-YZLZ</w:t>
      </w:r>
    </w:p>
    <w:p w14:paraId="24ADB033">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项目名称：钦州幼儿师范高等专科学校室内体育训练棚建设项目</w:t>
      </w:r>
    </w:p>
    <w:p w14:paraId="4C54156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采购方式：竞争性磋商</w:t>
      </w:r>
    </w:p>
    <w:p w14:paraId="6D8941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u w:val="single"/>
          <w14:textFill>
            <w14:solidFill>
              <w14:schemeClr w14:val="tx1"/>
            </w14:solidFill>
          </w14:textFill>
        </w:rPr>
        <w:t>人民币贰佰陆拾伍万壹仟叁佰柒拾叁元玖角伍分</w:t>
      </w:r>
      <w:r>
        <w:rPr>
          <w:rFonts w:hint="eastAsia" w:ascii="宋体" w:hAnsi="宋体"/>
          <w:i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¥2651373.95</w:t>
      </w:r>
      <w:r>
        <w:rPr>
          <w:rFonts w:hint="eastAsia" w:ascii="宋体" w:hAnsi="宋体"/>
          <w:iCs/>
          <w:color w:val="000000" w:themeColor="text1"/>
          <w:szCs w:val="21"/>
          <w:highlight w:val="none"/>
          <w:u w:val="single"/>
          <w14:textFill>
            <w14:solidFill>
              <w14:schemeClr w14:val="tx1"/>
            </w14:solidFill>
          </w14:textFill>
        </w:rPr>
        <w:t>）</w:t>
      </w:r>
    </w:p>
    <w:p w14:paraId="34E0D7A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w:t>
      </w:r>
      <w:r>
        <w:rPr>
          <w:rFonts w:hint="eastAsia" w:ascii="宋体" w:hAnsi="宋体"/>
          <w:color w:val="000000" w:themeColor="text1"/>
          <w:szCs w:val="21"/>
          <w:highlight w:val="none"/>
          <w:u w:val="single"/>
          <w14:textFill>
            <w14:solidFill>
              <w14:schemeClr w14:val="tx1"/>
            </w14:solidFill>
          </w14:textFill>
        </w:rPr>
        <w:t>人民币贰佰陆拾伍万壹仟叁佰柒拾叁元玖角伍分</w:t>
      </w:r>
      <w:r>
        <w:rPr>
          <w:rFonts w:hint="eastAsia" w:ascii="宋体" w:hAnsi="宋体"/>
          <w:i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¥2651373.95</w:t>
      </w:r>
      <w:r>
        <w:rPr>
          <w:rFonts w:hint="eastAsia" w:ascii="宋体" w:hAnsi="宋体"/>
          <w:iCs/>
          <w:color w:val="000000" w:themeColor="text1"/>
          <w:szCs w:val="21"/>
          <w:highlight w:val="none"/>
          <w:u w:val="single"/>
          <w14:textFill>
            <w14:solidFill>
              <w14:schemeClr w14:val="tx1"/>
            </w14:solidFill>
          </w14:textFill>
        </w:rPr>
        <w:t>）</w:t>
      </w:r>
    </w:p>
    <w:p w14:paraId="061FCF9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4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992"/>
        <w:gridCol w:w="6095"/>
      </w:tblGrid>
      <w:tr w14:paraId="4CC69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61A731C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0A10A9B">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992" w:type="dxa"/>
            <w:tcBorders>
              <w:top w:val="single" w:color="auto" w:sz="4" w:space="0"/>
              <w:left w:val="single" w:color="auto" w:sz="4" w:space="0"/>
              <w:bottom w:val="single" w:color="auto" w:sz="4" w:space="0"/>
              <w:right w:val="single" w:color="auto" w:sz="4" w:space="0"/>
            </w:tcBorders>
            <w:vAlign w:val="center"/>
          </w:tcPr>
          <w:p w14:paraId="1139C2E2">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w:t>
            </w:r>
          </w:p>
          <w:p w14:paraId="2701DAD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6095" w:type="dxa"/>
            <w:tcBorders>
              <w:top w:val="single" w:color="auto" w:sz="4" w:space="0"/>
              <w:left w:val="single" w:color="auto" w:sz="4" w:space="0"/>
              <w:bottom w:val="single" w:color="auto" w:sz="4" w:space="0"/>
              <w:right w:val="single" w:color="auto" w:sz="4" w:space="0"/>
            </w:tcBorders>
            <w:vAlign w:val="center"/>
          </w:tcPr>
          <w:p w14:paraId="6D31C93A">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22DE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393707B">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1559" w:type="dxa"/>
            <w:tcBorders>
              <w:top w:val="single" w:color="auto" w:sz="4" w:space="0"/>
              <w:left w:val="single" w:color="auto" w:sz="4" w:space="0"/>
              <w:bottom w:val="single" w:color="auto" w:sz="4" w:space="0"/>
              <w:right w:val="single" w:color="auto" w:sz="4" w:space="0"/>
            </w:tcBorders>
            <w:vAlign w:val="center"/>
          </w:tcPr>
          <w:p w14:paraId="3F8F69B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钦州幼儿师范高等专科学校室内体育训练棚建设项目</w:t>
            </w:r>
            <w:r>
              <w:rPr>
                <w:rFonts w:ascii="宋体" w:hAnsi="宋体"/>
                <w:color w:val="000000" w:themeColor="text1"/>
                <w:szCs w:val="21"/>
                <w:highlight w:val="none"/>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14:paraId="6B27A856">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w:t>
            </w:r>
          </w:p>
        </w:tc>
        <w:tc>
          <w:tcPr>
            <w:tcW w:w="6095" w:type="dxa"/>
            <w:tcBorders>
              <w:top w:val="single" w:color="auto" w:sz="4" w:space="0"/>
              <w:left w:val="single" w:color="auto" w:sz="4" w:space="0"/>
              <w:bottom w:val="single" w:color="auto" w:sz="4" w:space="0"/>
              <w:right w:val="single" w:color="auto" w:sz="4" w:space="0"/>
            </w:tcBorders>
            <w:vAlign w:val="center"/>
          </w:tcPr>
          <w:p w14:paraId="29BA4DD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1.建设地点：</w:t>
            </w:r>
            <w:r>
              <w:rPr>
                <w:rFonts w:hint="eastAsia"/>
                <w:color w:val="000000" w:themeColor="text1"/>
                <w:highlight w:val="none"/>
                <w14:textFill>
                  <w14:solidFill>
                    <w14:schemeClr w14:val="tx1"/>
                  </w14:solidFill>
                </w14:textFill>
              </w:rPr>
              <w:t>钦州市钦南区南珠街道西环南路89号</w:t>
            </w:r>
            <w:r>
              <w:rPr>
                <w:rFonts w:hint="eastAsia" w:ascii="宋体" w:hAnsi="宋体"/>
                <w:color w:val="000000" w:themeColor="text1"/>
                <w:szCs w:val="21"/>
                <w:highlight w:val="none"/>
                <w14:textFill>
                  <w14:solidFill>
                    <w14:schemeClr w14:val="tx1"/>
                  </w14:solidFill>
                </w14:textFill>
              </w:rPr>
              <w:t>。</w:t>
            </w:r>
          </w:p>
          <w:p w14:paraId="2C2E08C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2.工程概况：单层体育馆，地上1层</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项目主要建设内容包括钢架结构、土建、安装……具体详见工程量清单及采购需求。</w:t>
            </w:r>
          </w:p>
          <w:p w14:paraId="72BA6877">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3.工程质量要求：达到国家施工验收规范合格标准要求。</w:t>
            </w:r>
          </w:p>
        </w:tc>
      </w:tr>
    </w:tbl>
    <w:p w14:paraId="03DC5FB3">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合同履行期限：</w:t>
      </w:r>
      <w:r>
        <w:rPr>
          <w:rFonts w:hint="eastAsia" w:ascii="宋体" w:hAnsi="宋体"/>
          <w:color w:val="000000" w:themeColor="text1"/>
          <w:highlight w:val="none"/>
          <w:lang w:val="en-US" w:eastAsia="zh-CN"/>
          <w14:textFill>
            <w14:solidFill>
              <w14:schemeClr w14:val="tx1"/>
            </w14:solidFill>
          </w14:textFill>
        </w:rPr>
        <w:t>80</w:t>
      </w:r>
      <w:r>
        <w:rPr>
          <w:rFonts w:hint="eastAsia" w:ascii="宋体" w:hAnsi="宋体"/>
          <w:color w:val="000000" w:themeColor="text1"/>
          <w:highlight w:val="none"/>
          <w:lang w:val="zh-CN"/>
          <w14:textFill>
            <w14:solidFill>
              <w14:schemeClr w14:val="tx1"/>
            </w14:solidFill>
          </w14:textFill>
        </w:rPr>
        <w:t>日历天。</w:t>
      </w:r>
    </w:p>
    <w:p w14:paraId="5DC46E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ascii="宋体" w:hAnsi="宋体"/>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w:t>
      </w:r>
    </w:p>
    <w:p w14:paraId="4D5342D3">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8" w:name="_Toc35393799"/>
      <w:bookmarkStart w:id="9" w:name="_Toc71365906"/>
      <w:bookmarkStart w:id="10" w:name="_Toc35393630"/>
      <w:bookmarkStart w:id="11" w:name="_Toc44229879"/>
      <w:bookmarkStart w:id="12" w:name="_Toc28359090"/>
      <w:bookmarkStart w:id="13" w:name="_Toc28359013"/>
      <w:r>
        <w:rPr>
          <w:rFonts w:hint="eastAsia" w:ascii="黑体" w:hAnsi="黑体" w:eastAsia="黑体"/>
          <w:b/>
          <w:color w:val="000000" w:themeColor="text1"/>
          <w:sz w:val="24"/>
          <w:highlight w:val="none"/>
          <w14:textFill>
            <w14:solidFill>
              <w14:schemeClr w14:val="tx1"/>
            </w14:solidFill>
          </w14:textFill>
        </w:rPr>
        <w:t>二、申请人的资格条件：</w:t>
      </w:r>
      <w:bookmarkEnd w:id="8"/>
      <w:bookmarkEnd w:id="9"/>
      <w:bookmarkEnd w:id="10"/>
      <w:bookmarkEnd w:id="11"/>
      <w:bookmarkEnd w:id="12"/>
      <w:bookmarkEnd w:id="13"/>
    </w:p>
    <w:p w14:paraId="6196D0E6">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14" w:name="_Toc35393800"/>
      <w:bookmarkStart w:id="15" w:name="_Toc28359014"/>
      <w:bookmarkStart w:id="16" w:name="_Toc35393631"/>
      <w:bookmarkStart w:id="17" w:name="_Toc44229880"/>
      <w:bookmarkStart w:id="18" w:name="_Toc28359091"/>
      <w:r>
        <w:rPr>
          <w:rFonts w:hint="eastAsia" w:ascii="宋体" w:hAnsi="宋体"/>
          <w:color w:val="000000" w:themeColor="text1"/>
          <w:szCs w:val="21"/>
          <w:highlight w:val="none"/>
          <w14:textFill>
            <w14:solidFill>
              <w14:schemeClr w14:val="tx1"/>
            </w14:solidFill>
          </w14:textFill>
        </w:rPr>
        <w:t>1.满足《中华人民共和国政府采购法》第二十二条规定</w:t>
      </w:r>
      <w:r>
        <w:rPr>
          <w:rFonts w:hint="eastAsia" w:ascii="宋体" w:hAnsi="宋体"/>
          <w:color w:val="000000" w:themeColor="text1"/>
          <w:szCs w:val="21"/>
          <w:highlight w:val="none"/>
          <w:lang w:eastAsia="zh-CN"/>
          <w14:textFill>
            <w14:solidFill>
              <w14:schemeClr w14:val="tx1"/>
            </w14:solidFill>
          </w14:textFill>
        </w:rPr>
        <w:t>；</w:t>
      </w:r>
    </w:p>
    <w:p w14:paraId="78FD4FD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.落实政府采购政策需满足的资格要求：本项目属于专门面向中小企业采购的项目，承接本项目施工的供应商应为中小微企业或监狱企业或残疾人福利性单位。</w:t>
      </w:r>
    </w:p>
    <w:p w14:paraId="5923EA2A">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14:paraId="4BEB3822">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bookmarkStart w:id="19" w:name="_Toc71365907"/>
      <w:r>
        <w:rPr>
          <w:rFonts w:hint="eastAsia" w:ascii="宋体" w:hAnsi="宋体"/>
          <w:b/>
          <w:color w:val="000000" w:themeColor="text1"/>
          <w:szCs w:val="21"/>
          <w:highlight w:val="none"/>
          <w14:textFill>
            <w14:solidFill>
              <w14:schemeClr w14:val="tx1"/>
            </w14:solidFill>
          </w14:textFill>
        </w:rPr>
        <w:t>（1）供应商具备</w:t>
      </w:r>
      <w:r>
        <w:rPr>
          <w:rFonts w:hint="eastAsia" w:ascii="宋体" w:hAnsi="宋体"/>
          <w:b/>
          <w:color w:val="000000" w:themeColor="text1"/>
          <w:szCs w:val="21"/>
          <w:highlight w:val="none"/>
          <w:lang w:eastAsia="zh-CN"/>
          <w14:textFill>
            <w14:solidFill>
              <w14:schemeClr w14:val="tx1"/>
            </w14:solidFill>
          </w14:textFill>
        </w:rPr>
        <w:t>建筑工程施工总承包</w:t>
      </w:r>
      <w:r>
        <w:rPr>
          <w:rFonts w:hint="eastAsia" w:ascii="宋体" w:hAnsi="宋体"/>
          <w:b/>
          <w:color w:val="000000" w:themeColor="text1"/>
          <w:szCs w:val="21"/>
          <w:highlight w:val="none"/>
          <w14:textFill>
            <w14:solidFill>
              <w14:schemeClr w14:val="tx1"/>
            </w14:solidFill>
          </w14:textFill>
        </w:rPr>
        <w:t>三级及以上资质及具有有效的安全生产许可证，并在人员、设备、资金等方面具有相应能力的施工企业</w:t>
      </w:r>
      <w:r>
        <w:rPr>
          <w:rFonts w:hint="eastAsia" w:ascii="宋体" w:hAnsi="宋体"/>
          <w:b/>
          <w:color w:val="000000" w:themeColor="text1"/>
          <w:szCs w:val="21"/>
          <w:highlight w:val="none"/>
          <w:lang w:eastAsia="zh-CN"/>
          <w14:textFill>
            <w14:solidFill>
              <w14:schemeClr w14:val="tx1"/>
            </w14:solidFill>
          </w14:textFill>
        </w:rPr>
        <w:t>；</w:t>
      </w:r>
    </w:p>
    <w:p w14:paraId="2A26CD01">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（2）拟投入本工程的项目经理具有建筑工程专业贰级以上（含贰级）注册建造师资格并获得有效的安全生产考核合格证（B证），且未担任其他在施建设工程项目的项目经理。 </w:t>
      </w:r>
    </w:p>
    <w:p w14:paraId="15741948">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（3）拟投入本工程的技术负责人具有建筑工程专业中级及以上工程师职称证书</w:t>
      </w:r>
      <w:r>
        <w:rPr>
          <w:rFonts w:hint="eastAsia" w:ascii="宋体" w:hAnsi="宋体"/>
          <w:b/>
          <w:color w:val="000000" w:themeColor="text1"/>
          <w:szCs w:val="21"/>
          <w:highlight w:val="none"/>
          <w:lang w:eastAsia="zh-CN"/>
          <w14:textFill>
            <w14:solidFill>
              <w14:schemeClr w14:val="tx1"/>
            </w14:solidFill>
          </w14:textFill>
        </w:rPr>
        <w:t>；</w:t>
      </w:r>
    </w:p>
    <w:p w14:paraId="3CF8885B">
      <w:pPr>
        <w:spacing w:line="360" w:lineRule="auto"/>
        <w:ind w:firstLine="422" w:firstLineChars="200"/>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（4）拟投入本工程四大员（施工员、质量员、安全员、材料员）中，安全员具有有效的安全生产考核合格证（C类），施工员、质量员、材料员具有有效的培训合格证。</w:t>
      </w:r>
    </w:p>
    <w:p w14:paraId="1B95EAF9">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三、获取竞争性磋商文件</w:t>
      </w:r>
      <w:bookmarkEnd w:id="14"/>
      <w:bookmarkEnd w:id="15"/>
      <w:bookmarkEnd w:id="16"/>
      <w:bookmarkEnd w:id="17"/>
      <w:bookmarkEnd w:id="18"/>
      <w:bookmarkEnd w:id="19"/>
    </w:p>
    <w:p w14:paraId="35F6FA54">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bookmarkStart w:id="20" w:name="_Toc35393801"/>
      <w:bookmarkStart w:id="21" w:name="_Toc35393632"/>
      <w:bookmarkStart w:id="22" w:name="_Toc28359092"/>
      <w:bookmarkStart w:id="23" w:name="_Toc28359015"/>
      <w:bookmarkStart w:id="24" w:name="_Toc44229881"/>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bCs/>
          <w:color w:val="000000" w:themeColor="text1"/>
          <w:szCs w:val="21"/>
          <w:highlight w:val="none"/>
          <w:u w:val="single"/>
          <w14:textFill>
            <w14:solidFill>
              <w14:schemeClr w14:val="tx1"/>
            </w14:solidFill>
          </w14:textFill>
        </w:rPr>
        <w:t xml:space="preserve"> 2025</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7</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15</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至</w:t>
      </w:r>
      <w:r>
        <w:rPr>
          <w:rFonts w:hint="eastAsia" w:ascii="宋体" w:hAnsi="宋体"/>
          <w:bCs/>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7</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22</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，每天上午</w:t>
      </w:r>
      <w:r>
        <w:rPr>
          <w:rFonts w:hint="eastAsia" w:ascii="宋体" w:hAnsi="宋体" w:cs="宋体"/>
          <w:bCs/>
          <w:color w:val="000000" w:themeColor="text1"/>
          <w:kern w:val="0"/>
          <w:szCs w:val="21"/>
          <w:highlight w:val="none"/>
          <w:u w:val="single"/>
          <w14:textFill>
            <w14:solidFill>
              <w14:schemeClr w14:val="tx1"/>
            </w14:solidFill>
          </w14:textFill>
        </w:rPr>
        <w:t>8:00</w:t>
      </w:r>
      <w:r>
        <w:rPr>
          <w:rFonts w:hint="eastAsia" w:ascii="宋体" w:hAnsi="宋体" w:cs="宋体"/>
          <w:bCs/>
          <w:color w:val="000000" w:themeColor="text1"/>
          <w:kern w:val="0"/>
          <w:szCs w:val="21"/>
          <w:highlight w:val="none"/>
          <w14:textFill>
            <w14:solidFill>
              <w14:schemeClr w14:val="tx1"/>
            </w14:solidFill>
          </w14:textFill>
        </w:rPr>
        <w:t>至</w:t>
      </w:r>
      <w:r>
        <w:rPr>
          <w:rFonts w:hint="eastAsia" w:ascii="宋体" w:hAnsi="宋体" w:cs="宋体"/>
          <w:bCs/>
          <w:color w:val="000000" w:themeColor="text1"/>
          <w:kern w:val="0"/>
          <w:szCs w:val="21"/>
          <w:highlight w:val="none"/>
          <w:u w:val="single"/>
          <w14:textFill>
            <w14:solidFill>
              <w14:schemeClr w14:val="tx1"/>
            </w14:solidFill>
          </w14:textFill>
        </w:rPr>
        <w:t>12:00</w:t>
      </w:r>
      <w:r>
        <w:rPr>
          <w:rFonts w:hint="eastAsia" w:ascii="宋体" w:hAnsi="宋体" w:cs="宋体"/>
          <w:bCs/>
          <w:color w:val="000000" w:themeColor="text1"/>
          <w:kern w:val="0"/>
          <w:szCs w:val="21"/>
          <w:highlight w:val="none"/>
          <w14:textFill>
            <w14:solidFill>
              <w14:schemeClr w14:val="tx1"/>
            </w14:solidFill>
          </w14:textFill>
        </w:rPr>
        <w:t>，下午</w:t>
      </w:r>
      <w:r>
        <w:rPr>
          <w:rFonts w:hint="eastAsia" w:ascii="宋体" w:hAnsi="宋体" w:cs="宋体"/>
          <w:bCs/>
          <w:color w:val="000000" w:themeColor="text1"/>
          <w:kern w:val="0"/>
          <w:szCs w:val="21"/>
          <w:highlight w:val="none"/>
          <w:u w:val="single"/>
          <w14:textFill>
            <w14:solidFill>
              <w14:schemeClr w14:val="tx1"/>
            </w14:solidFill>
          </w14:textFill>
        </w:rPr>
        <w:t>3:00</w:t>
      </w:r>
      <w:r>
        <w:rPr>
          <w:rFonts w:hint="eastAsia" w:ascii="宋体" w:hAnsi="宋体" w:cs="宋体"/>
          <w:bCs/>
          <w:color w:val="000000" w:themeColor="text1"/>
          <w:kern w:val="0"/>
          <w:szCs w:val="21"/>
          <w:highlight w:val="none"/>
          <w14:textFill>
            <w14:solidFill>
              <w14:schemeClr w14:val="tx1"/>
            </w14:solidFill>
          </w14:textFill>
        </w:rPr>
        <w:t>至6:00</w:t>
      </w:r>
      <w:r>
        <w:rPr>
          <w:rFonts w:hint="eastAsia" w:ascii="宋体" w:hAnsi="宋体" w:cs="宋体"/>
          <w:bCs/>
          <w:color w:val="000000" w:themeColor="text1"/>
          <w:kern w:val="0"/>
          <w:szCs w:val="21"/>
          <w:highlight w:val="none"/>
          <w:u w:val="single"/>
          <w14:textFill>
            <w14:solidFill>
              <w14:schemeClr w14:val="tx1"/>
            </w14:solidFill>
          </w14:textFill>
        </w:rPr>
        <w:t>　</w:t>
      </w:r>
      <w:r>
        <w:rPr>
          <w:rFonts w:hint="eastAsia" w:ascii="宋体" w:hAnsi="宋体" w:cs="宋体"/>
          <w:bCs/>
          <w:color w:val="000000" w:themeColor="text1"/>
          <w:kern w:val="0"/>
          <w:szCs w:val="21"/>
          <w:highlight w:val="none"/>
          <w14:textFill>
            <w14:solidFill>
              <w14:schemeClr w14:val="tx1"/>
            </w14:solidFill>
          </w14:textFill>
        </w:rPr>
        <w:t>（北京时间，</w:t>
      </w:r>
      <w:r>
        <w:rPr>
          <w:rFonts w:ascii="宋体" w:hAnsi="宋体" w:cs="宋体"/>
          <w:bCs/>
          <w:color w:val="000000" w:themeColor="text1"/>
          <w:kern w:val="0"/>
          <w:szCs w:val="21"/>
          <w:highlight w:val="none"/>
          <w14:textFill>
            <w14:solidFill>
              <w14:schemeClr w14:val="tx1"/>
            </w14:solidFill>
          </w14:textFill>
        </w:rPr>
        <w:t>法定节假日</w:t>
      </w:r>
      <w:r>
        <w:rPr>
          <w:rFonts w:hint="eastAsia" w:ascii="宋体" w:hAnsi="宋体" w:cs="宋体"/>
          <w:bCs/>
          <w:color w:val="000000" w:themeColor="text1"/>
          <w:kern w:val="0"/>
          <w:szCs w:val="21"/>
          <w:highlight w:val="none"/>
          <w14:textFill>
            <w14:solidFill>
              <w14:schemeClr w14:val="tx1"/>
            </w14:solidFill>
          </w14:textFill>
        </w:rPr>
        <w:t>除外）</w:t>
      </w:r>
    </w:p>
    <w:p w14:paraId="22A4D8F4">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地点：广西政府采购云平台（https://www.zcygov.cn）</w:t>
      </w:r>
    </w:p>
    <w:p w14:paraId="50A92B2B">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方式：网上下载。本项目不提供纸质文件，潜在供应商需使用账号登录或者使用CA登录广西政府采购云平台（https：//www.zcygov.cn）-进入“项目采购”应用，在获取采购文件菜单中选择项目，获取竞争性磋商文件。</w:t>
      </w:r>
      <w:r>
        <w:rPr>
          <w:rFonts w:hint="eastAsia" w:ascii="宋体" w:hAnsi="宋体"/>
          <w:color w:val="000000" w:themeColor="text1"/>
          <w:szCs w:val="21"/>
          <w:highlight w:val="none"/>
          <w14:textFill>
            <w14:solidFill>
              <w14:schemeClr w14:val="tx1"/>
            </w14:solidFill>
          </w14:textFill>
        </w:rPr>
        <w:t>电子</w:t>
      </w:r>
      <w:r>
        <w:rPr>
          <w:rFonts w:hint="eastAsia"/>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制作需要基于广西政府采购云平台获取的磋商文件编制，</w:t>
      </w:r>
      <w:r>
        <w:rPr>
          <w:rFonts w:hint="eastAsia" w:ascii="宋体" w:hAnsi="宋体" w:cs="宋体"/>
          <w:bCs/>
          <w:color w:val="000000" w:themeColor="text1"/>
          <w:kern w:val="0"/>
          <w:szCs w:val="21"/>
          <w:highlight w:val="none"/>
          <w14:textFill>
            <w14:solidFill>
              <w14:schemeClr w14:val="tx1"/>
            </w14:solidFill>
          </w14:textFill>
        </w:rPr>
        <w:t>通过其他方式获取磋商文件的，将有可能导致供应商无法在广西政府采购云平台编制及上传响应文件。</w:t>
      </w:r>
    </w:p>
    <w:p w14:paraId="323D029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w:t>
      </w:r>
      <w:r>
        <w:rPr>
          <w:rFonts w:hint="eastAsia" w:ascii="宋体" w:hAnsi="宋体" w:cs="宋体"/>
          <w:i/>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元</w:t>
      </w:r>
    </w:p>
    <w:p w14:paraId="72DE37A2">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25" w:name="_Toc71365908"/>
      <w:r>
        <w:rPr>
          <w:rFonts w:hint="eastAsia" w:ascii="黑体" w:hAnsi="黑体" w:eastAsia="黑体"/>
          <w:b/>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14:paraId="63016ECC">
      <w:pPr>
        <w:spacing w:line="360" w:lineRule="auto"/>
        <w:ind w:firstLine="420" w:firstLineChars="200"/>
        <w:rPr>
          <w:rFonts w:ascii="宋体" w:hAnsi="宋体"/>
          <w:bCs/>
          <w:color w:val="000000" w:themeColor="text1"/>
          <w:szCs w:val="21"/>
          <w:highlight w:val="none"/>
          <w14:textFill>
            <w14:solidFill>
              <w14:schemeClr w14:val="tx1"/>
            </w14:solidFill>
          </w14:textFill>
        </w:rPr>
      </w:pPr>
      <w:bookmarkStart w:id="26" w:name="_Toc35393802"/>
      <w:bookmarkStart w:id="27" w:name="_Toc35393633"/>
      <w:bookmarkStart w:id="28" w:name="_Toc28359093"/>
      <w:bookmarkStart w:id="29" w:name="_Toc44229882"/>
      <w:bookmarkStart w:id="30" w:name="_Toc28359016"/>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single"/>
          <w14:textFill>
            <w14:solidFill>
              <w14:schemeClr w14:val="tx1"/>
            </w14:solidFill>
          </w14:textFill>
        </w:rPr>
        <w:t xml:space="preserve">2025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7</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lang w:val="en-US" w:eastAsia="zh-CN"/>
          <w14:textFill>
            <w14:solidFill>
              <w14:schemeClr w14:val="tx1"/>
            </w14:solidFill>
          </w14:textFill>
        </w:rPr>
        <w:t>29</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分（北京时间）</w:t>
      </w:r>
    </w:p>
    <w:p w14:paraId="26AA152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地点：广西政府采购云平台</w:t>
      </w:r>
      <w:r>
        <w:rPr>
          <w:rFonts w:hint="eastAsia" w:ascii="宋体" w:hAnsi="宋体" w:cs="宋体"/>
          <w:bCs/>
          <w:color w:val="000000" w:themeColor="text1"/>
          <w:kern w:val="0"/>
          <w:szCs w:val="21"/>
          <w:highlight w:val="none"/>
          <w14:textFill>
            <w14:solidFill>
              <w14:schemeClr w14:val="tx1"/>
            </w14:solidFill>
          </w14:textFill>
        </w:rPr>
        <w:t>（https://www.zcygov.cn）</w:t>
      </w:r>
    </w:p>
    <w:p w14:paraId="00B5F48B">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31" w:name="_Toc71365909"/>
      <w:r>
        <w:rPr>
          <w:rFonts w:hint="eastAsia" w:ascii="黑体" w:hAnsi="黑体" w:eastAsia="黑体"/>
          <w:b/>
          <w:color w:val="000000" w:themeColor="text1"/>
          <w:sz w:val="24"/>
          <w:highlight w:val="none"/>
          <w14:textFill>
            <w14:solidFill>
              <w14:schemeClr w14:val="tx1"/>
            </w14:solidFill>
          </w14:textFill>
        </w:rPr>
        <w:t>五、开启</w:t>
      </w:r>
      <w:bookmarkEnd w:id="26"/>
      <w:bookmarkEnd w:id="27"/>
      <w:bookmarkEnd w:id="28"/>
      <w:bookmarkEnd w:id="29"/>
      <w:bookmarkEnd w:id="30"/>
      <w:bookmarkEnd w:id="31"/>
    </w:p>
    <w:p w14:paraId="31A7BFC5">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u w:val="single"/>
          <w14:textFill>
            <w14:solidFill>
              <w14:schemeClr w14:val="tx1"/>
            </w14:solidFill>
          </w14:textFill>
        </w:rPr>
        <w:t xml:space="preserve">2025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7</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lang w:val="en-US" w:eastAsia="zh-CN"/>
          <w14:textFill>
            <w14:solidFill>
              <w14:schemeClr w14:val="tx1"/>
            </w14:solidFill>
          </w14:textFill>
        </w:rPr>
        <w:t>29</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分（北京时间）</w:t>
      </w:r>
    </w:p>
    <w:p w14:paraId="400D0DAA">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地点：广西政府采购云平台</w:t>
      </w:r>
      <w:r>
        <w:rPr>
          <w:rFonts w:hint="eastAsia" w:ascii="宋体" w:hAnsi="宋体" w:cs="宋体"/>
          <w:bCs/>
          <w:color w:val="000000" w:themeColor="text1"/>
          <w:kern w:val="0"/>
          <w:szCs w:val="21"/>
          <w:highlight w:val="none"/>
          <w14:textFill>
            <w14:solidFill>
              <w14:schemeClr w14:val="tx1"/>
            </w14:solidFill>
          </w14:textFill>
        </w:rPr>
        <w:t>（https://www.zcygov.cn）</w:t>
      </w:r>
    </w:p>
    <w:p w14:paraId="5EDDC7FB">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32" w:name="_Toc28359094"/>
      <w:bookmarkStart w:id="33" w:name="_Toc28359017"/>
      <w:bookmarkStart w:id="34" w:name="_Toc44229883"/>
      <w:bookmarkStart w:id="35" w:name="_Toc71365910"/>
      <w:bookmarkStart w:id="36" w:name="_Toc35393634"/>
      <w:bookmarkStart w:id="37" w:name="_Toc35393803"/>
      <w:r>
        <w:rPr>
          <w:rFonts w:hint="eastAsia" w:ascii="黑体" w:hAnsi="黑体" w:eastAsia="黑体"/>
          <w:b/>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14:paraId="500A398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39C84C0">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38" w:name="_Toc35393635"/>
      <w:bookmarkStart w:id="39" w:name="_Toc35393804"/>
      <w:bookmarkStart w:id="40" w:name="_Toc71365911"/>
      <w:bookmarkStart w:id="41" w:name="_Toc44229884"/>
      <w:r>
        <w:rPr>
          <w:rFonts w:hint="eastAsia" w:ascii="黑体" w:hAnsi="黑体" w:eastAsia="黑体"/>
          <w:b/>
          <w:color w:val="000000" w:themeColor="text1"/>
          <w:sz w:val="24"/>
          <w:highlight w:val="none"/>
          <w14:textFill>
            <w14:solidFill>
              <w14:schemeClr w14:val="tx1"/>
            </w14:solidFill>
          </w14:textFill>
        </w:rPr>
        <w:t>七、其他补充事宜</w:t>
      </w:r>
      <w:bookmarkEnd w:id="38"/>
      <w:bookmarkEnd w:id="39"/>
      <w:bookmarkEnd w:id="40"/>
      <w:bookmarkEnd w:id="41"/>
    </w:p>
    <w:p w14:paraId="688CBF5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14:paraId="0E6D602B">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w:t>
      </w:r>
      <w:r>
        <w:rPr>
          <w:rFonts w:hint="eastAsia" w:ascii="宋体" w:hAnsi="宋体" w:cs="宋体"/>
          <w:color w:val="000000" w:themeColor="text1"/>
          <w:kern w:val="0"/>
          <w:szCs w:val="21"/>
          <w:highlight w:val="none"/>
          <w14:textFill>
            <w14:solidFill>
              <w14:schemeClr w14:val="tx1"/>
            </w14:solidFill>
          </w14:textFill>
        </w:rPr>
        <w:t>www.ccgp.gov.cn（中国政府采购网）、</w:t>
      </w:r>
      <w:r>
        <w:rPr>
          <w:rFonts w:hint="eastAsia" w:ascii="宋体" w:hAnsi="宋体"/>
          <w:color w:val="000000" w:themeColor="text1"/>
          <w:szCs w:val="21"/>
          <w:highlight w:val="none"/>
          <w14:textFill>
            <w14:solidFill>
              <w14:schemeClr w14:val="tx1"/>
            </w14:solidFill>
          </w14:textFill>
        </w:rPr>
        <w:t>https：//</w:t>
      </w:r>
      <w:r>
        <w:rPr>
          <w:rFonts w:hint="eastAsia" w:ascii="宋体" w:hAnsi="宋体" w:cs="宋体"/>
          <w:color w:val="000000" w:themeColor="text1"/>
          <w:kern w:val="0"/>
          <w:szCs w:val="21"/>
          <w:highlight w:val="none"/>
          <w14:textFill>
            <w14:solidFill>
              <w14:schemeClr w14:val="tx1"/>
            </w14:solidFill>
          </w14:textFill>
        </w:rPr>
        <w:t>zfcg.gxzf.gov.cn（广西壮族自治区政府采购网</w:t>
      </w:r>
      <w:bookmarkStart w:id="42" w:name="_Hlk37429674"/>
      <w:bookmarkStart w:id="43" w:name="_Toc44229885"/>
      <w:bookmarkStart w:id="44" w:name="_Toc28359095"/>
      <w:bookmarkStart w:id="45" w:name="_Toc35393805"/>
      <w:bookmarkStart w:id="46" w:name="_Toc28359018"/>
      <w:bookmarkStart w:id="47" w:name="_Toc35393636"/>
      <w:r>
        <w:rPr>
          <w:rFonts w:hint="eastAsia" w:ascii="宋体" w:hAnsi="宋体" w:cs="宋体"/>
          <w:color w:val="000000" w:themeColor="text1"/>
          <w:kern w:val="0"/>
          <w:szCs w:val="21"/>
          <w:highlight w:val="none"/>
          <w14:textFill>
            <w14:solidFill>
              <w14:schemeClr w14:val="tx1"/>
            </w14:solidFill>
          </w14:textFill>
        </w:rPr>
        <w:t>）</w:t>
      </w:r>
    </w:p>
    <w:p w14:paraId="39DC2AF5">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本项目执行采购政策</w:t>
      </w:r>
    </w:p>
    <w:bookmarkEnd w:id="42"/>
    <w:p w14:paraId="3A218AD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081A97A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26224BD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优先采购节能产品、环境标志产品。</w:t>
      </w:r>
    </w:p>
    <w:p w14:paraId="28A8773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5E7F3D3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79368156">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3.供应商</w:t>
      </w:r>
      <w:r>
        <w:rPr>
          <w:rFonts w:hint="eastAsia" w:ascii="宋体" w:hAnsi="宋体"/>
          <w:color w:val="000000" w:themeColor="text1"/>
          <w:szCs w:val="21"/>
          <w:highlight w:val="none"/>
          <w14:textFill>
            <w14:solidFill>
              <w14:schemeClr w14:val="tx1"/>
            </w14:solidFill>
          </w14:textFill>
        </w:rPr>
        <w:t>竞标注意事项</w:t>
      </w:r>
    </w:p>
    <w:p w14:paraId="0C1E1C99">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（1）本项目为全流程电子化采购项目，通过广西政府采购云平台（https：//www.zcygov.cn）实行在线电子竞标，供应商应先安装“</w:t>
      </w:r>
      <w:r>
        <w:rPr>
          <w:rFonts w:hint="eastAsia" w:ascii="宋体" w:hAnsi="宋体"/>
          <w:color w:val="000000" w:themeColor="text1"/>
          <w:szCs w:val="21"/>
          <w:highlight w:val="none"/>
          <w:lang w:eastAsia="zh-CN"/>
          <w14:textFill>
            <w14:solidFill>
              <w14:schemeClr w14:val="tx1"/>
            </w14:solidFill>
          </w14:textFill>
        </w:rPr>
        <w:t>广西政府采购云电子交易客户端</w:t>
      </w:r>
      <w:r>
        <w:rPr>
          <w:rFonts w:hint="eastAsia" w:ascii="宋体" w:hAnsi="宋体"/>
          <w:color w:val="000000" w:themeColor="text1"/>
          <w:szCs w:val="21"/>
          <w:highlight w:val="none"/>
          <w14:textFill>
            <w14:solidFill>
              <w14:schemeClr w14:val="tx1"/>
            </w14:solidFill>
          </w14:textFill>
        </w:rPr>
        <w:t>”（请自行前往广西政府采购云平台进行下载），并按照本项目竞争性磋商文件和广西政府采购云平台的要求编制、加密后在提交响应文件截止时间前通过网络上传至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000000" w:themeColor="text1"/>
          <w:highlight w:val="none"/>
          <w14:textFill>
            <w14:solidFill>
              <w14:schemeClr w14:val="tx1"/>
            </w14:solidFill>
          </w14:textFill>
        </w:rPr>
        <w:t>后缀名为“jm</w:t>
      </w:r>
      <w:r>
        <w:rPr>
          <w:color w:val="000000" w:themeColor="text1"/>
          <w:highlight w:val="none"/>
          <w14:textFill>
            <w14:solidFill>
              <w14:schemeClr w14:val="tx1"/>
            </w14:solidFill>
          </w14:textFill>
        </w:rPr>
        <w:t>bs</w:t>
      </w:r>
      <w:r>
        <w:rPr>
          <w:rFonts w:hint="eastAsia"/>
          <w:color w:val="000000" w:themeColor="text1"/>
          <w:highlight w:val="none"/>
          <w14:textFill>
            <w14:solidFill>
              <w14:schemeClr w14:val="tx1"/>
            </w14:solidFill>
          </w14:textFill>
        </w:rPr>
        <w:t>”的文件</w:t>
      </w:r>
      <w:r>
        <w:rPr>
          <w:rFonts w:hint="eastAsia" w:ascii="宋体" w:hAnsi="宋体"/>
          <w:color w:val="000000" w:themeColor="text1"/>
          <w:szCs w:val="21"/>
          <w:highlight w:val="none"/>
          <w14:textFill>
            <w14:solidFill>
              <w14:schemeClr w14:val="tx1"/>
            </w14:solidFill>
          </w14:textFill>
        </w:rPr>
        <w:t>），供应商在广西政府采购云平台提交电子响应文件时，请填写参加远程采购活动经办人联系方式。供应商登录广西政府采购云平台，依次进入“服务中心-项目采购-操作流程-电子招竞标-</w:t>
      </w:r>
      <w:r>
        <w:rPr>
          <w:rFonts w:hint="eastAsia"/>
          <w:color w:val="000000" w:themeColor="text1"/>
          <w:highlight w:val="none"/>
          <w14:textFill>
            <w14:solidFill>
              <w14:schemeClr w14:val="tx1"/>
            </w14:solidFill>
          </w14:textFill>
        </w:rPr>
        <w:t>政府采购项目电子交易管理操作指南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”查看电子竞标具体操作流程。</w:t>
      </w:r>
    </w:p>
    <w:p w14:paraId="37A4D8F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依次进入“服务中心-入驻与配置”中查看CA数字证书办理操作流程。如在操作过程中遇到问题或者需要技术支持，请致电</w:t>
      </w:r>
      <w:r>
        <w:rPr>
          <w:rFonts w:hint="eastAsia" w:ascii="宋体" w:hAnsi="宋体"/>
          <w:color w:val="000000" w:themeColor="text1"/>
          <w:szCs w:val="21"/>
          <w:highlight w:val="none"/>
          <w:lang w:eastAsia="zh-CN"/>
          <w14:textFill>
            <w14:solidFill>
              <w14:schemeClr w14:val="tx1"/>
            </w14:solidFill>
          </w14:textFill>
        </w:rPr>
        <w:t>广西政府采购云</w:t>
      </w:r>
      <w:r>
        <w:rPr>
          <w:rFonts w:hint="eastAsia" w:ascii="宋体" w:hAnsi="宋体"/>
          <w:color w:val="000000" w:themeColor="text1"/>
          <w:szCs w:val="21"/>
          <w:highlight w:val="none"/>
          <w14:textFill>
            <w14:solidFill>
              <w14:schemeClr w14:val="tx1"/>
            </w14:solidFill>
          </w14:textFill>
        </w:rPr>
        <w:t>客服热线：</w:t>
      </w:r>
      <w:r>
        <w:rPr>
          <w:rFonts w:hint="eastAsia" w:ascii="宋体" w:hAnsi="宋体" w:cs="宋体"/>
          <w:bCs/>
          <w:color w:val="000000" w:themeColor="text1"/>
          <w:kern w:val="0"/>
          <w:szCs w:val="21"/>
          <w:highlight w:val="none"/>
          <w14:textFill>
            <w14:solidFill>
              <w14:schemeClr w14:val="tx1"/>
            </w14:solidFill>
          </w14:textFill>
        </w:rPr>
        <w:t>95763或者0771-3381253</w:t>
      </w:r>
      <w:r>
        <w:rPr>
          <w:rFonts w:hint="eastAsia" w:ascii="宋体" w:hAnsi="宋体"/>
          <w:color w:val="000000" w:themeColor="text1"/>
          <w:szCs w:val="21"/>
          <w:highlight w:val="none"/>
          <w14:textFill>
            <w14:solidFill>
              <w14:schemeClr w14:val="tx1"/>
            </w14:solidFill>
          </w14:textFill>
        </w:rPr>
        <w:t>）。</w:t>
      </w:r>
    </w:p>
    <w:p w14:paraId="02F7E1BF">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w:t>
      </w:r>
      <w:r>
        <w:rPr>
          <w:rFonts w:hint="eastAsia" w:ascii="宋体" w:hAnsi="宋体" w:cs="宋体"/>
          <w:color w:val="000000" w:themeColor="text1"/>
          <w:kern w:val="0"/>
          <w:szCs w:val="21"/>
          <w:highlight w:val="none"/>
          <w14:textFill>
            <w14:solidFill>
              <w14:schemeClr w14:val="tx1"/>
            </w14:solidFill>
          </w14:textFill>
        </w:rPr>
        <w:t>平台电子开标大厅现场按规定时间对加密的响应文件进行解密，否则后果自负。</w:t>
      </w:r>
    </w:p>
    <w:p w14:paraId="29E11C0B">
      <w:pPr>
        <w:widowControl/>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000000" w:themeColor="text1"/>
          <w:szCs w:val="21"/>
          <w:highlight w:val="none"/>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B90A48B">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471A543E">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八、凡对本次采购提出询问，请按</w:t>
      </w:r>
      <w:r>
        <w:rPr>
          <w:rFonts w:ascii="黑体" w:hAnsi="黑体" w:eastAsia="黑体"/>
          <w:b/>
          <w:color w:val="000000" w:themeColor="text1"/>
          <w:sz w:val="24"/>
          <w:highlight w:val="none"/>
          <w14:textFill>
            <w14:solidFill>
              <w14:schemeClr w14:val="tx1"/>
            </w14:solidFill>
          </w14:textFill>
        </w:rPr>
        <w:t>以下方式</w:t>
      </w:r>
      <w:r>
        <w:rPr>
          <w:rFonts w:hint="eastAsia" w:ascii="黑体" w:hAnsi="黑体" w:eastAsia="黑体"/>
          <w:b/>
          <w:color w:val="000000" w:themeColor="text1"/>
          <w:sz w:val="24"/>
          <w:highlight w:val="none"/>
          <w14:textFill>
            <w14:solidFill>
              <w14:schemeClr w14:val="tx1"/>
            </w14:solidFill>
          </w14:textFill>
        </w:rPr>
        <w:t>联系。</w:t>
      </w:r>
      <w:bookmarkEnd w:id="43"/>
      <w:bookmarkEnd w:id="44"/>
      <w:bookmarkEnd w:id="45"/>
      <w:bookmarkEnd w:id="46"/>
      <w:bookmarkEnd w:id="47"/>
    </w:p>
    <w:bookmarkEnd w:id="1"/>
    <w:p w14:paraId="3DC7AE9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1.采购人信息</w:t>
      </w:r>
    </w:p>
    <w:p w14:paraId="5F90BA6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称：钦州幼儿师范高等专科学校　</w:t>
      </w:r>
    </w:p>
    <w:p w14:paraId="337C711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color w:val="000000" w:themeColor="text1"/>
          <w:highlight w:val="none"/>
          <w14:textFill>
            <w14:solidFill>
              <w14:schemeClr w14:val="tx1"/>
            </w14:solidFill>
          </w14:textFill>
        </w:rPr>
        <w:t>钦州市钦南区南珠街道西环南路89号</w:t>
      </w:r>
    </w:p>
    <w:p w14:paraId="4EC75B7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联系方式：黄光华  </w:t>
      </w:r>
      <w:r>
        <w:rPr>
          <w:rFonts w:ascii="宋体" w:hAnsi="宋体" w:cs="宋体"/>
          <w:color w:val="000000" w:themeColor="text1"/>
          <w:kern w:val="0"/>
          <w:szCs w:val="21"/>
          <w:highlight w:val="none"/>
          <w14:textFill>
            <w14:solidFill>
              <w14:schemeClr w14:val="tx1"/>
            </w14:solidFill>
          </w14:textFill>
        </w:rPr>
        <w:t>0777-2596800</w:t>
      </w:r>
      <w:r>
        <w:rPr>
          <w:rFonts w:hint="eastAsia" w:ascii="宋体" w:hAnsi="宋体" w:cs="宋体"/>
          <w:color w:val="000000" w:themeColor="text1"/>
          <w:kern w:val="0"/>
          <w:szCs w:val="21"/>
          <w:highlight w:val="none"/>
          <w14:textFill>
            <w14:solidFill>
              <w14:schemeClr w14:val="tx1"/>
            </w14:solidFill>
          </w14:textFill>
        </w:rPr>
        <w:t xml:space="preserve"> </w:t>
      </w:r>
      <w:bookmarkStart w:id="48" w:name="_Toc28359086"/>
      <w:bookmarkStart w:id="49" w:name="_Toc28359009"/>
    </w:p>
    <w:p w14:paraId="4ED5743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2.采购代理机构信息</w:t>
      </w:r>
      <w:bookmarkEnd w:id="48"/>
      <w:bookmarkEnd w:id="49"/>
    </w:p>
    <w:p w14:paraId="3479BDA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称：云之龙咨询集团有限公司　</w:t>
      </w:r>
    </w:p>
    <w:p w14:paraId="1D393CE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地址：广西钦州市子材东大街19号奥林名城8号楼8层</w:t>
      </w:r>
    </w:p>
    <w:p w14:paraId="094EDEB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项目联系人姓名：秦绍袁、黄洁年</w:t>
      </w:r>
    </w:p>
    <w:p w14:paraId="7E00441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联系电话：0777-5619366</w:t>
      </w:r>
    </w:p>
    <w:p w14:paraId="4F02748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3.项目联系方式</w:t>
      </w:r>
    </w:p>
    <w:p w14:paraId="4D26A1F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项目联系人：秦绍袁、黄洁年</w:t>
      </w:r>
    </w:p>
    <w:p w14:paraId="13C843B8">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话：0777-5619366　</w:t>
      </w:r>
    </w:p>
    <w:p w14:paraId="22EFDCA7">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3D5B5C8">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7ADE8DAA">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5CAB090F">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8F4EB9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0CDF7B37">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7186B705">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75ACC5E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2393B54B">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38CB891F">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2C9C6B3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57E7C8A1">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F812FE3">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075AC667">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20F2EBBC">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6F9B6F56">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3232F23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3782F8C">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8CC7F1A">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2C6A781A">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FABAE31">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581CF23E">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442F499D">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5315247">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6A38027E">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3012AB44">
      <w:pPr>
        <w:pStyle w:val="2"/>
        <w:spacing w:before="300" w:after="300" w:line="360" w:lineRule="auto"/>
        <w:ind w:firstLine="883" w:firstLineChars="200"/>
        <w:jc w:val="center"/>
        <w:rPr>
          <w:color w:val="000000" w:themeColor="text1"/>
          <w:highlight w:val="none"/>
          <w14:textFill>
            <w14:solidFill>
              <w14:schemeClr w14:val="tx1"/>
            </w14:solidFill>
          </w14:textFill>
        </w:rPr>
      </w:pPr>
      <w:bookmarkStart w:id="50" w:name="_Toc122424245"/>
      <w:r>
        <w:rPr>
          <w:rFonts w:hint="eastAsia"/>
          <w:color w:val="000000" w:themeColor="text1"/>
          <w:highlight w:val="none"/>
          <w14:textFill>
            <w14:solidFill>
              <w14:schemeClr w14:val="tx1"/>
            </w14:solidFill>
          </w14:textFill>
        </w:rPr>
        <w:t>第二章 供应商须知</w:t>
      </w:r>
      <w:bookmarkEnd w:id="50"/>
    </w:p>
    <w:p w14:paraId="4EA6214D">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14:paraId="76F3F706">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4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DDD4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tcPr>
          <w:p w14:paraId="12742E54">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14:paraId="7BCD6E28">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1EFC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EBE97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7912" w:type="dxa"/>
            <w:vAlign w:val="center"/>
          </w:tcPr>
          <w:p w14:paraId="4E16BF0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iCs/>
                <w:color w:val="000000" w:themeColor="text1"/>
                <w:szCs w:val="21"/>
                <w:highlight w:val="none"/>
                <w:u w:val="single"/>
                <w14:textFill>
                  <w14:solidFill>
                    <w14:schemeClr w14:val="tx1"/>
                  </w14:solidFill>
                </w14:textFill>
              </w:rPr>
              <w:t>详见竞争性磋商公告</w:t>
            </w:r>
          </w:p>
        </w:tc>
      </w:tr>
      <w:tr w14:paraId="0DBE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08539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14:paraId="11A0D5D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本项目不接受联合体</w:t>
            </w:r>
          </w:p>
        </w:tc>
      </w:tr>
      <w:tr w14:paraId="3FC7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F8EB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14:paraId="42782C06">
            <w:pPr>
              <w:pStyle w:val="1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☑不允许分包</w:t>
            </w:r>
          </w:p>
          <w:p w14:paraId="07A332CE">
            <w:pPr>
              <w:pStyle w:val="17"/>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tc>
      </w:tr>
      <w:tr w14:paraId="5C54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943F9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14:paraId="22CCA99E">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14:paraId="3B2D44FB">
            <w:pPr>
              <w:pStyle w:val="1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1.供应商为法人或者其他组织的提供其营业执照等证明文件复印件（如营业执照或者事业单位法人证书或者执业许可证或者登记证书等）</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620267AA">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2.供应商依法缴纳税收的相关材料（</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6</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D112D03">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个的依法缴纳社会保障资金的缴费凭证（专用收据或者社会保险缴纳清单）复印件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0918093">
            <w:pPr>
              <w:spacing w:line="360" w:lineRule="auto"/>
              <w:contextualSpacing/>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14:textFill>
                  <w14:solidFill>
                    <w14:schemeClr w14:val="tx1"/>
                  </w14:solidFill>
                </w14:textFill>
              </w:rPr>
              <w:t>2024</w:t>
            </w:r>
            <w:r>
              <w:rPr>
                <w:rFonts w:hint="eastAsia"/>
                <w:color w:val="000000" w:themeColor="text1"/>
                <w:szCs w:val="21"/>
                <w:highlight w:val="none"/>
                <w14:textFill>
                  <w14:solidFill>
                    <w14:schemeClr w14:val="tx1"/>
                  </w14:solidFill>
                </w14:textFill>
              </w:rPr>
              <w:t>年度财务报表复印件，或者银行出具的资信证明，或者中国人民银行征信中心出具的信用报告</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供应商属于</w:t>
            </w:r>
            <w:r>
              <w:rPr>
                <w:rFonts w:hint="eastAsia"/>
                <w:color w:val="000000" w:themeColor="text1"/>
                <w:highlight w:val="none"/>
                <w14:textFill>
                  <w14:solidFill>
                    <w14:schemeClr w14:val="tx1"/>
                  </w14:solidFill>
                </w14:textFill>
              </w:rPr>
              <w:t>成立时间</w:t>
            </w:r>
            <w:r>
              <w:rPr>
                <w:rFonts w:hint="eastAsia"/>
                <w:color w:val="000000" w:themeColor="text1"/>
                <w:kern w:val="0"/>
                <w:highlight w:val="none"/>
                <w14:textFill>
                  <w14:solidFill>
                    <w14:schemeClr w14:val="tx1"/>
                  </w14:solidFill>
                </w14:textFill>
              </w:rPr>
              <w:t>在规定年度之后</w:t>
            </w:r>
            <w:r>
              <w:rPr>
                <w:rFonts w:hint="eastAsia"/>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法人或其他组织</w:t>
            </w:r>
            <w:r>
              <w:rPr>
                <w:rFonts w:hint="eastAsia"/>
                <w:color w:val="000000" w:themeColor="text1"/>
                <w:highlight w:val="none"/>
                <w14:textFill>
                  <w14:solidFill>
                    <w14:schemeClr w14:val="tx1"/>
                  </w14:solidFill>
                </w14:textFill>
              </w:rPr>
              <w:t>，需提供成立之日起至响应文件提交截止时间前的月报表</w:t>
            </w:r>
            <w:r>
              <w:rPr>
                <w:rFonts w:hint="eastAsia"/>
                <w:color w:val="000000" w:themeColor="text1"/>
                <w:szCs w:val="21"/>
                <w:highlight w:val="none"/>
                <w14:textFill>
                  <w14:solidFill>
                    <w14:schemeClr w14:val="tx1"/>
                  </w14:solidFill>
                </w14:textFill>
              </w:rPr>
              <w:t>或银行出具的资信证明或者中国人民银行征信中心出具的企业信用报告</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资信证明应在有效期内，未注明有效期的，银行出具时间至响应文件提交截止时间不得超过一年）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bCs/>
                <w:color w:val="000000" w:themeColor="text1"/>
                <w:szCs w:val="21"/>
                <w:highlight w:val="none"/>
                <w14:textFill>
                  <w14:solidFill>
                    <w14:schemeClr w14:val="tx1"/>
                  </w14:solidFill>
                </w14:textFill>
              </w:rPr>
              <w:t>）</w:t>
            </w:r>
          </w:p>
          <w:p w14:paraId="5DCE9C45">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1ECCA3D">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6.竞标声明（格式后附）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0DA4150">
            <w:pPr>
              <w:pStyle w:val="17"/>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color w:val="000000" w:themeColor="text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有效的</w:t>
            </w:r>
            <w:r>
              <w:rPr>
                <w:rFonts w:hint="eastAsia" w:ascii="宋体" w:hAnsi="宋体" w:cs="宋体"/>
                <w:color w:val="000000" w:themeColor="text1"/>
                <w:szCs w:val="21"/>
                <w:highlight w:val="none"/>
                <w:lang w:eastAsia="zh-CN"/>
                <w14:textFill>
                  <w14:solidFill>
                    <w14:schemeClr w14:val="tx1"/>
                  </w14:solidFill>
                </w14:textFill>
              </w:rPr>
              <w:t>建筑工程施工总承包</w:t>
            </w:r>
            <w:r>
              <w:rPr>
                <w:rFonts w:hint="eastAsia" w:ascii="宋体" w:hAnsi="宋体" w:cs="宋体"/>
                <w:color w:val="000000" w:themeColor="text1"/>
                <w:szCs w:val="21"/>
                <w:highlight w:val="none"/>
                <w14:textFill>
                  <w14:solidFill>
                    <w14:schemeClr w14:val="tx1"/>
                  </w14:solidFill>
                </w14:textFill>
              </w:rPr>
              <w:t>三级及以上资质</w:t>
            </w:r>
            <w:r>
              <w:rPr>
                <w:color w:val="000000" w:themeColor="text1"/>
                <w:highlight w:val="none"/>
                <w14:textFill>
                  <w14:solidFill>
                    <w14:schemeClr w14:val="tx1"/>
                  </w14:solidFill>
                </w14:textFill>
              </w:rPr>
              <w:t>证书复印件及有效的</w:t>
            </w:r>
            <w:r>
              <w:rPr>
                <w:rFonts w:hint="eastAsia" w:ascii="宋体" w:hAnsi="宋体" w:cs="宋体"/>
                <w:color w:val="000000" w:themeColor="text1"/>
                <w:szCs w:val="21"/>
                <w:highlight w:val="none"/>
                <w14:textFill>
                  <w14:solidFill>
                    <w14:schemeClr w14:val="tx1"/>
                  </w14:solidFill>
                </w14:textFill>
              </w:rPr>
              <w:t>安全生产许可证</w:t>
            </w:r>
            <w:r>
              <w:rPr>
                <w:color w:val="000000" w:themeColor="text1"/>
                <w:highlight w:val="none"/>
                <w14:textFill>
                  <w14:solidFill>
                    <w14:schemeClr w14:val="tx1"/>
                  </w14:solidFill>
                </w14:textFill>
              </w:rPr>
              <w:t>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w:t>
            </w:r>
          </w:p>
          <w:p w14:paraId="5C20D0E7">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8.拟投入本工程的项目经理有效的建造师资格证复印件或打印件、安全生产考核合格证（B类）复印件或打印件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有效的身份证正反面复印件及项目经理不在其他项目服务的承诺书</w:t>
            </w:r>
            <w:r>
              <w:rPr>
                <w:rFonts w:hint="eastAsia" w:ascii="宋体" w:hAnsi="宋体" w:cs="宋体"/>
                <w:b/>
                <w:bCs/>
                <w:color w:val="000000" w:themeColor="text1"/>
                <w:szCs w:val="21"/>
                <w:highlight w:val="none"/>
                <w14:textFill>
                  <w14:solidFill>
                    <w14:schemeClr w14:val="tx1"/>
                  </w14:solidFill>
                </w14:textFill>
              </w:rPr>
              <w:t>（必须提供，否则按无效响应处理）</w:t>
            </w:r>
          </w:p>
          <w:p w14:paraId="2D8974F1">
            <w:pPr>
              <w:snapToGrid w:val="0"/>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w:t>
            </w:r>
            <w:r>
              <w:rPr>
                <w:rFonts w:hint="eastAsia"/>
                <w:color w:val="000000" w:themeColor="text1"/>
                <w:highlight w:val="none"/>
                <w14:textFill>
                  <w14:solidFill>
                    <w14:schemeClr w14:val="tx1"/>
                  </w14:solidFill>
                </w14:textFill>
              </w:rPr>
              <w:t>供应商</w:t>
            </w:r>
            <w:r>
              <w:rPr>
                <w:rFonts w:hint="eastAsia" w:ascii="宋体" w:hAnsi="宋体" w:cs="宋体"/>
                <w:bCs/>
                <w:color w:val="000000" w:themeColor="text1"/>
                <w:szCs w:val="21"/>
                <w:highlight w:val="none"/>
                <w14:textFill>
                  <w14:solidFill>
                    <w14:schemeClr w14:val="tx1"/>
                  </w14:solidFill>
                </w14:textFill>
              </w:rPr>
              <w:t>拟投入本工程的技术负责人建筑工程专业中级及以上工程师职称证书复印件或打印件</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p>
          <w:p w14:paraId="36F3446B">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10.供应商</w:t>
            </w:r>
            <w:r>
              <w:rPr>
                <w:rFonts w:hint="eastAsia" w:ascii="宋体" w:hAnsi="宋体" w:cs="宋体"/>
                <w:color w:val="000000" w:themeColor="text1"/>
                <w:szCs w:val="21"/>
                <w:highlight w:val="none"/>
                <w14:textFill>
                  <w14:solidFill>
                    <w14:schemeClr w14:val="tx1"/>
                  </w14:solidFill>
                </w14:textFill>
              </w:rPr>
              <w:t>拟投入本工程四大员（施工员、质量员、安全员、材料员）中，安全员有效的安全生产考核合格证（C类）复印件或打印件及身份证正反面复印件，施工员、质量员、材料员有效的</w:t>
            </w:r>
            <w:r>
              <w:rPr>
                <w:rFonts w:hint="eastAsia"/>
                <w:color w:val="000000" w:themeColor="text1"/>
                <w:highlight w:val="none"/>
                <w14:textFill>
                  <w14:solidFill>
                    <w14:schemeClr w14:val="tx1"/>
                  </w14:solidFill>
                </w14:textFill>
              </w:rPr>
              <w:t>职业培训合格证</w:t>
            </w:r>
            <w:r>
              <w:rPr>
                <w:rFonts w:hint="eastAsia" w:ascii="宋体" w:hAnsi="宋体" w:cs="宋体"/>
                <w:color w:val="000000" w:themeColor="text1"/>
                <w:szCs w:val="21"/>
                <w:highlight w:val="none"/>
                <w14:textFill>
                  <w14:solidFill>
                    <w14:schemeClr w14:val="tx1"/>
                  </w14:solidFill>
                </w14:textFill>
              </w:rPr>
              <w:t>复印件或打印件及身份证正反面复印件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r>
              <w:rPr>
                <w:rFonts w:hint="eastAsia" w:ascii="宋体" w:hAnsi="宋体" w:cs="宋体"/>
                <w:b/>
                <w:color w:val="000000" w:themeColor="text1"/>
                <w:szCs w:val="21"/>
                <w:highlight w:val="none"/>
                <w14:textFill>
                  <w14:solidFill>
                    <w14:schemeClr w14:val="tx1"/>
                  </w14:solidFill>
                </w14:textFill>
              </w:rPr>
              <w:t>）</w:t>
            </w:r>
          </w:p>
          <w:p w14:paraId="3B4C959F">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r>
              <w:rPr>
                <w:rFonts w:hint="eastAsia" w:ascii="宋体" w:hAnsi="宋体" w:cs="宋体"/>
                <w:bCs/>
                <w:color w:val="000000" w:themeColor="text1"/>
                <w:szCs w:val="21"/>
                <w:highlight w:val="none"/>
                <w14:textFill>
                  <w14:solidFill>
                    <w14:schemeClr w14:val="tx1"/>
                  </w14:solidFill>
                </w14:textFill>
              </w:rPr>
              <w:t>本项目</w:t>
            </w:r>
            <w:r>
              <w:rPr>
                <w:rFonts w:hint="eastAsia" w:ascii="宋体" w:hAnsi="宋体"/>
                <w:color w:val="000000" w:themeColor="text1"/>
                <w:szCs w:val="21"/>
                <w:highlight w:val="none"/>
                <w14:textFill>
                  <w14:solidFill>
                    <w14:schemeClr w14:val="tx1"/>
                  </w14:solidFill>
                </w14:textFill>
              </w:rPr>
              <w:t>专门面向中小企业采购的项目（供应商应为中小微企业、监狱企业、残疾人福利性单位)，供应商必须在响应文件中提供《</w:t>
            </w:r>
            <w:r>
              <w:rPr>
                <w:rFonts w:hint="eastAsia" w:ascii="宋体" w:hAnsi="宋体"/>
                <w:bCs/>
                <w:color w:val="000000" w:themeColor="text1"/>
                <w:szCs w:val="21"/>
                <w:highlight w:val="none"/>
                <w14:textFill>
                  <w14:solidFill>
                    <w14:schemeClr w14:val="tx1"/>
                  </w14:solidFill>
                </w14:textFill>
              </w:rPr>
              <w:t>中小企业声明函（工程）</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2"/>
                <w:highlight w:val="none"/>
                <w14:textFill>
                  <w14:solidFill>
                    <w14:schemeClr w14:val="tx1"/>
                  </w14:solidFill>
                </w14:textFill>
              </w:rPr>
              <w:t>或残疾人福利性单位声明函或监狱企业证明材料</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29F4F0E2">
            <w:pPr>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12.除磋商文件规定必须提供以外，供应商认为需要提供的其他证明材料</w:t>
            </w:r>
            <w:r>
              <w:rPr>
                <w:rFonts w:hint="eastAsia" w:ascii="宋体" w:hAnsi="宋体" w:cs="宋体"/>
                <w:color w:val="000000" w:themeColor="text1"/>
                <w:szCs w:val="21"/>
                <w:highlight w:val="none"/>
                <w:lang w:eastAsia="zh-CN"/>
                <w14:textFill>
                  <w14:solidFill>
                    <w14:schemeClr w14:val="tx1"/>
                  </w14:solidFill>
                </w14:textFill>
              </w:rPr>
              <w:t>；</w:t>
            </w:r>
          </w:p>
          <w:p w14:paraId="6DCD3F71">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3E8D5AE8">
            <w:pPr>
              <w:pStyle w:val="1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w:t>
            </w:r>
            <w:r>
              <w:rPr>
                <w:rFonts w:hint="eastAsia"/>
                <w:b/>
                <w:bCs/>
                <w:color w:val="000000" w:themeColor="text1"/>
                <w:highlight w:val="none"/>
                <w14:textFill>
                  <w14:solidFill>
                    <w14:schemeClr w14:val="tx1"/>
                  </w14:solidFill>
                </w14:textFill>
              </w:rPr>
              <w:t>标明“必须提供”的材料 ，必须加盖供应商</w:t>
            </w:r>
            <w:r>
              <w:rPr>
                <w:rFonts w:hint="eastAsia"/>
                <w:b/>
                <w:color w:val="000000" w:themeColor="text1"/>
                <w:highlight w:val="none"/>
                <w14:textFill>
                  <w14:solidFill>
                    <w14:schemeClr w14:val="tx1"/>
                  </w14:solidFill>
                </w14:textFill>
              </w:rPr>
              <w:t>电子签章</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必须提供的材料在第五章“响应文件格式”中有要求法定代表人或委托代理人签字的，必须由法定代表人或委托代理人签字，否则响应文件按无效响应处理。其中，竞标声明必须由法定代表人在规定签章处签字（或盖章）并加盖供应商</w:t>
            </w:r>
            <w:r>
              <w:rPr>
                <w:rFonts w:hint="eastAsia"/>
                <w:b/>
                <w:color w:val="000000" w:themeColor="text1"/>
                <w:highlight w:val="none"/>
                <w14:textFill>
                  <w14:solidFill>
                    <w14:schemeClr w14:val="tx1"/>
                  </w14:solidFill>
                </w14:textFill>
              </w:rPr>
              <w:t>电子签章</w:t>
            </w:r>
            <w:r>
              <w:rPr>
                <w:rFonts w:hint="eastAsia"/>
                <w:b/>
                <w:bCs/>
                <w:color w:val="000000" w:themeColor="text1"/>
                <w:highlight w:val="none"/>
                <w14:textFill>
                  <w14:solidFill>
                    <w14:schemeClr w14:val="tx1"/>
                  </w14:solidFill>
                </w14:textFill>
              </w:rPr>
              <w:t>，否则响应文件按无效响应处理。</w:t>
            </w:r>
          </w:p>
        </w:tc>
      </w:tr>
      <w:tr w14:paraId="53E5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95645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14:paraId="4523FC6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14:paraId="1555DB4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1.竞标函及竞标函附录（格式后附）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6863CAF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2F2832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3.已标价工程量清单</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A4FBE0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4.供应商认为需要提供的其他有关资料。</w:t>
            </w:r>
          </w:p>
        </w:tc>
      </w:tr>
      <w:tr w14:paraId="07C9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3B846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640C8B13">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商务技术文件</w:t>
            </w:r>
          </w:p>
          <w:p w14:paraId="57CD65D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0BEB554B">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7E8A02C4">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D082BB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4.磋商保证金提交凭证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color w:val="000000" w:themeColor="text1"/>
                <w:szCs w:val="21"/>
                <w:highlight w:val="none"/>
                <w14:textFill>
                  <w14:solidFill>
                    <w14:schemeClr w14:val="tx1"/>
                  </w14:solidFill>
                </w14:textFill>
              </w:rPr>
              <w:t>）</w:t>
            </w:r>
          </w:p>
          <w:p w14:paraId="7AB6F7D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5.建筑材料和设备节能环保要求承诺书（格式后附）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0C6EFFC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6.代理服务费承诺书（格式后附）</w:t>
            </w:r>
            <w:r>
              <w:rPr>
                <w:rFonts w:hint="eastAsia" w:ascii="宋体" w:hAnsi="宋体" w:cs="宋体"/>
                <w:color w:val="000000" w:themeColor="text1"/>
                <w:szCs w:val="21"/>
                <w:highlight w:val="none"/>
                <w:lang w:eastAsia="zh-CN"/>
                <w14:textFill>
                  <w14:solidFill>
                    <w14:schemeClr w14:val="tx1"/>
                  </w14:solidFill>
                </w14:textFill>
              </w:rPr>
              <w:t>；</w:t>
            </w:r>
          </w:p>
          <w:p w14:paraId="1A7978B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7.施工组织设计方案（格式自拟）</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C5E1AD4">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8.项目管理机构配备情况表及主要人员简历表（格式后附）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 xml:space="preserve">） </w:t>
            </w:r>
          </w:p>
          <w:p w14:paraId="2ABAB64F">
            <w:pPr>
              <w:wordWrap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技术商务要求响应表；（</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2A7EE096">
            <w:pPr>
              <w:wordWrap w:val="0"/>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bCs/>
                <w:color w:val="000000" w:themeColor="text1"/>
                <w:kern w:val="0"/>
                <w:szCs w:val="21"/>
                <w:highlight w:val="none"/>
                <w14:textFill>
                  <w14:solidFill>
                    <w14:schemeClr w14:val="tx1"/>
                  </w14:solidFill>
                </w14:textFill>
              </w:rPr>
              <w:t>建设工程项目管理承诺书（格式后附）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299034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.供应商认为需要提供的其他有关资料。</w:t>
            </w:r>
          </w:p>
          <w:p w14:paraId="298E7B68">
            <w:pPr>
              <w:pStyle w:val="1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以上标明“必须提供”的材料，必须加盖供应商电子签章</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必须提供的材料在第五章“响应文件格式”中有要求法定代表人或委托代理人签字的，必须由法定代表人或委托代理人签字，否则响应文件按无效响应处理。</w:t>
            </w:r>
          </w:p>
        </w:tc>
      </w:tr>
      <w:tr w14:paraId="203A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F4817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14:paraId="0B5AC416">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竞标报价是履行合同的最终价格，包括了</w:t>
            </w:r>
            <w:r>
              <w:rPr>
                <w:rFonts w:hint="eastAsia" w:ascii="宋体" w:hAnsi="宋体" w:cs="宋体"/>
                <w:color w:val="000000" w:themeColor="text1"/>
                <w:szCs w:val="21"/>
                <w:highlight w:val="none"/>
                <w14:textFill>
                  <w14:solidFill>
                    <w14:schemeClr w14:val="tx1"/>
                  </w14:solidFill>
                </w14:textFill>
              </w:rPr>
              <w:t>为实施和完成合同工程所需的劳务、材料、机械、质检（自检）、安装、缺陷修复、管理、保险、税费、利润等费用，以及合同明示或暗示的所有责任、义务和一般风险。</w:t>
            </w:r>
          </w:p>
        </w:tc>
      </w:tr>
      <w:tr w14:paraId="2F58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8B75F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p>
        </w:tc>
        <w:tc>
          <w:tcPr>
            <w:tcW w:w="7912" w:type="dxa"/>
            <w:vAlign w:val="center"/>
          </w:tcPr>
          <w:p w14:paraId="461A9812">
            <w:pPr>
              <w:spacing w:line="360" w:lineRule="auto"/>
              <w:contextualSpacing/>
              <w:jc w:val="left"/>
              <w:rPr>
                <w:rFonts w:ascii="宋体" w:hAnsi="宋体"/>
                <w:color w:val="000000" w:themeColor="text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本工程增值税计税方法：☑一般计税法</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 xml:space="preserve"> □简易计税法</w:t>
            </w:r>
          </w:p>
        </w:tc>
      </w:tr>
      <w:tr w14:paraId="6C57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4FE18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48C45769">
            <w:pPr>
              <w:pStyle w:val="14"/>
              <w:widowControl w:val="0"/>
              <w:tabs>
                <w:tab w:val="clear" w:pos="454"/>
              </w:tabs>
              <w:snapToGrid w:val="0"/>
              <w:spacing w:afterLines="0" w:line="360" w:lineRule="auto"/>
              <w:ind w:left="283"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60</w:t>
            </w:r>
            <w:r>
              <w:rPr>
                <w:rFonts w:hint="eastAsia" w:ascii="宋体" w:hAnsi="宋体" w:cs="宋体"/>
                <w:color w:val="000000" w:themeColor="text1"/>
                <w:kern w:val="2"/>
                <w:sz w:val="21"/>
                <w:szCs w:val="21"/>
                <w:highlight w:val="none"/>
                <w14:textFill>
                  <w14:solidFill>
                    <w14:schemeClr w14:val="tx1"/>
                  </w14:solidFill>
                </w14:textFill>
              </w:rPr>
              <w:t>日。</w:t>
            </w:r>
          </w:p>
        </w:tc>
      </w:tr>
      <w:tr w14:paraId="1880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99276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14:paraId="69BF5B6D">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□本项目不收取磋商保证金。</w:t>
            </w:r>
          </w:p>
          <w:p w14:paraId="584531AE">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☑本项目收取磋商保证金，具体规定如下：</w:t>
            </w:r>
            <w:r>
              <w:rPr>
                <w:rFonts w:hint="eastAsia" w:ascii="宋体" w:hAnsi="宋体" w:cs="宋体"/>
                <w:color w:val="000000" w:themeColor="text1"/>
                <w:kern w:val="0"/>
                <w:szCs w:val="21"/>
                <w:highlight w:val="none"/>
                <w14:textFill>
                  <w14:solidFill>
                    <w14:schemeClr w14:val="tx1"/>
                  </w14:solidFill>
                </w14:textFill>
              </w:rPr>
              <w:t>磋商保证金人民币</w:t>
            </w:r>
            <w:r>
              <w:rPr>
                <w:rFonts w:hint="eastAsia" w:ascii="宋体" w:hAnsi="宋体" w:cs="宋体"/>
                <w:b/>
                <w:color w:val="000000" w:themeColor="text1"/>
                <w:kern w:val="0"/>
                <w:szCs w:val="21"/>
                <w:highlight w:val="none"/>
                <w:u w:val="single"/>
                <w14:textFill>
                  <w14:solidFill>
                    <w14:schemeClr w14:val="tx1"/>
                  </w14:solidFill>
                </w14:textFill>
              </w:rPr>
              <w:t>贰万元整（¥20000.00）</w:t>
            </w:r>
            <w:r>
              <w:rPr>
                <w:rFonts w:hint="eastAsia" w:ascii="宋体" w:hAnsi="宋体" w:cs="宋体"/>
                <w:color w:val="000000" w:themeColor="text1"/>
                <w:kern w:val="0"/>
                <w:szCs w:val="21"/>
                <w:highlight w:val="none"/>
                <w14:textFill>
                  <w14:solidFill>
                    <w14:schemeClr w14:val="tx1"/>
                  </w14:solidFill>
                </w14:textFill>
              </w:rPr>
              <w:t>。</w:t>
            </w:r>
          </w:p>
          <w:p w14:paraId="03686D8A">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磋商保证金的交纳方式：银行转账、支票、汇票、本票或者银行、保险机构出具的保函（包含电子保函），禁止采用现钞方式。采用银行转账方式的，在响应文件提交截止时间前交至指定账户并且到账（</w:t>
            </w:r>
            <w:r>
              <w:rPr>
                <w:rFonts w:hint="eastAsia" w:ascii="宋体" w:hAnsi="宋体" w:cs="宋体"/>
                <w:color w:val="000000" w:themeColor="text1"/>
                <w:kern w:val="0"/>
                <w:szCs w:val="21"/>
                <w:highlight w:val="none"/>
                <w:u w:val="single"/>
                <w14:textFill>
                  <w14:solidFill>
                    <w14:schemeClr w14:val="tx1"/>
                  </w14:solidFill>
                </w14:textFill>
              </w:rPr>
              <w:t>开户名：云之龙咨询集团有限公司钦州分公司</w:t>
            </w:r>
            <w:r>
              <w:rPr>
                <w:rFonts w:hint="eastAsia" w:ascii="宋体" w:hAnsi="宋体" w:cs="宋体"/>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开户银行：中信银行南宁东葛支行</w:t>
            </w:r>
            <w:r>
              <w:rPr>
                <w:rFonts w:hint="eastAsia" w:ascii="宋体" w:hAnsi="宋体" w:cs="宋体"/>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银行账号：8113 0010 1460 0074 523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采用支票、汇票、本票或者保函（不包含电子保函）等方式的，在响应文件提交截止时间前，供应商必须提交单独密封的支票、汇票、本票或者保函原件。</w:t>
            </w:r>
            <w:r>
              <w:rPr>
                <w:rFonts w:hint="eastAsia" w:ascii="宋体" w:hAnsi="宋体" w:cs="宋体"/>
                <w:b/>
                <w:color w:val="000000" w:themeColor="text1"/>
                <w:kern w:val="0"/>
                <w:szCs w:val="21"/>
                <w:highlight w:val="none"/>
                <w14:textFill>
                  <w14:solidFill>
                    <w14:schemeClr w14:val="tx1"/>
                  </w14:solidFill>
                </w14:textFill>
              </w:rPr>
              <w:t>否则视为无效磋商保证金。</w:t>
            </w:r>
          </w:p>
          <w:p w14:paraId="6D2B47A2">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相关要求：</w:t>
            </w:r>
          </w:p>
          <w:p w14:paraId="4E31DDF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color w:val="000000" w:themeColor="text1"/>
                <w:szCs w:val="21"/>
                <w:highlight w:val="none"/>
                <w14:textFill>
                  <w14:solidFill>
                    <w14:schemeClr w14:val="tx1"/>
                  </w14:solidFill>
                </w14:textFill>
              </w:rPr>
              <w:t>。</w:t>
            </w:r>
          </w:p>
          <w:p w14:paraId="3CC1A42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银行、保险机构出具的保函（包含电子保函）交纳方式的，供应商应将支票、汇票、本票或者银行、保险机构出具的保函（包含电子保函）的复印件作为磋商保证金提交凭证，放置于</w:t>
            </w:r>
            <w:r>
              <w:rPr>
                <w:rFonts w:hint="eastAsia" w:ascii="宋体" w:hAnsi="宋体" w:cs="宋体"/>
                <w:color w:val="000000" w:themeColor="text1"/>
                <w:szCs w:val="21"/>
                <w:highlight w:val="none"/>
                <w14:textFill>
                  <w14:solidFill>
                    <w14:schemeClr w14:val="tx1"/>
                  </w14:solidFill>
                </w14:textFill>
              </w:rPr>
              <w:t>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olor w:val="000000" w:themeColor="text1"/>
                <w:szCs w:val="21"/>
                <w:highlight w:val="none"/>
                <w14:textFill>
                  <w14:solidFill>
                    <w14:schemeClr w14:val="tx1"/>
                  </w14:solidFill>
                </w14:textFill>
              </w:rPr>
              <w:t>。供应商必须</w:t>
            </w:r>
            <w:r>
              <w:rPr>
                <w:rFonts w:hint="eastAsia"/>
                <w:color w:val="000000" w:themeColor="text1"/>
                <w:highlight w:val="none"/>
                <w14:textFill>
                  <w14:solidFill>
                    <w14:schemeClr w14:val="tx1"/>
                  </w14:solidFill>
                </w14:textFill>
              </w:rPr>
              <w:t>在响应文件提交截止时间前采用现场或邮寄方式（现场提交地址：</w:t>
            </w:r>
            <w:r>
              <w:rPr>
                <w:rFonts w:hint="eastAsia" w:ascii="宋体" w:hAnsi="宋体" w:cs="宋体"/>
                <w:color w:val="000000" w:themeColor="text1"/>
                <w:kern w:val="0"/>
                <w:szCs w:val="21"/>
                <w:highlight w:val="none"/>
                <w:u w:val="single"/>
                <w14:textFill>
                  <w14:solidFill>
                    <w14:schemeClr w14:val="tx1"/>
                  </w14:solidFill>
                </w14:textFill>
              </w:rPr>
              <w:t>广西钦州市子材东大街19号奥林名城8号楼8层云之龙咨询集团有限公司</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邮寄地址：</w:t>
            </w:r>
            <w:r>
              <w:rPr>
                <w:rFonts w:hint="eastAsia" w:ascii="宋体" w:hAnsi="宋体" w:cs="宋体"/>
                <w:color w:val="000000" w:themeColor="text1"/>
                <w:kern w:val="0"/>
                <w:szCs w:val="21"/>
                <w:highlight w:val="none"/>
                <w:u w:val="single"/>
                <w14:textFill>
                  <w14:solidFill>
                    <w14:schemeClr w14:val="tx1"/>
                  </w14:solidFill>
                </w14:textFill>
              </w:rPr>
              <w:t>广西钦州市子材东大街19号奥林名城8号楼8层云之龙咨询集团有限公司，联系人：秦绍袁，电话：0777-5619399。</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将</w:t>
            </w:r>
            <w:r>
              <w:rPr>
                <w:rFonts w:hint="eastAsia" w:ascii="宋体" w:hAnsi="宋体" w:cs="宋体"/>
                <w:color w:val="000000" w:themeColor="text1"/>
                <w:kern w:val="0"/>
                <w:szCs w:val="21"/>
                <w:highlight w:val="none"/>
                <w14:textFill>
                  <w14:solidFill>
                    <w14:schemeClr w14:val="tx1"/>
                  </w14:solidFill>
                </w14:textFill>
              </w:rPr>
              <w:t>单独密封的</w:t>
            </w:r>
            <w:r>
              <w:rPr>
                <w:rFonts w:hint="eastAsia" w:ascii="宋体" w:hAnsi="宋体"/>
                <w:color w:val="000000" w:themeColor="text1"/>
                <w:szCs w:val="21"/>
                <w:highlight w:val="none"/>
                <w14:textFill>
                  <w14:solidFill>
                    <w14:schemeClr w14:val="tx1"/>
                  </w14:solidFill>
                </w14:textFill>
              </w:rPr>
              <w:t>支票、汇票、本票或者银行、保险机构出具的保函</w:t>
            </w:r>
            <w:r>
              <w:rPr>
                <w:rFonts w:hint="eastAsia" w:ascii="宋体" w:hAnsi="宋体" w:cs="宋体"/>
                <w:color w:val="000000" w:themeColor="text1"/>
                <w:kern w:val="0"/>
                <w:szCs w:val="21"/>
                <w:highlight w:val="none"/>
                <w14:textFill>
                  <w14:solidFill>
                    <w14:schemeClr w14:val="tx1"/>
                  </w14:solidFill>
                </w14:textFill>
              </w:rPr>
              <w:t>（不包含电子保函）</w:t>
            </w:r>
            <w:r>
              <w:rPr>
                <w:rFonts w:hint="eastAsia" w:ascii="宋体" w:hAnsi="宋体"/>
                <w:color w:val="000000" w:themeColor="text1"/>
                <w:szCs w:val="21"/>
                <w:highlight w:val="none"/>
                <w14:textFill>
                  <w14:solidFill>
                    <w14:schemeClr w14:val="tx1"/>
                  </w14:solidFill>
                </w14:textFill>
              </w:rPr>
              <w:t>原件提交给采购人或者采购代理机构，由采购人或者采购代理机构向供应商出具回执（邮寄方式的除外），并妥善保管。</w:t>
            </w:r>
          </w:p>
          <w:p w14:paraId="45923632">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3.供应商为联合体的，可以由联合体中的一方或者多方共同交纳磋商保证金，其交纳的保证金对联合体各方均具有约束力。</w:t>
            </w:r>
          </w:p>
          <w:p w14:paraId="692D9565">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14:paraId="1C6DC673">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1.磋商保证金在响应文件提交截止时间后提交的，或者不按规定交纳方式交纳的，或者未足额交纳的（包含保函额度不足的），视为无效磋商保证金。</w:t>
            </w:r>
          </w:p>
          <w:p w14:paraId="4ADAD810">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2.供应商采用现钞方式或者从个人账户转出的磋商保证金，视为无效磋商保证金。</w:t>
            </w:r>
          </w:p>
          <w:p w14:paraId="4BCAE3E8">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3.支票、汇票或者本票出现无效或者背书情形的，视为无效磋商保证金。</w:t>
            </w:r>
          </w:p>
          <w:p w14:paraId="4A23B7CA">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4.保函有效期低于竞标有效期的，视为无效磋商保证金。</w:t>
            </w:r>
          </w:p>
          <w:p w14:paraId="231C0B0E">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5.采用银行、保险机构出具保函的，必须为无条件保函，否则视为无效磋商保证金。</w:t>
            </w:r>
          </w:p>
        </w:tc>
      </w:tr>
      <w:tr w14:paraId="12BE6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AEFFE9">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19</w:t>
            </w:r>
          </w:p>
        </w:tc>
        <w:tc>
          <w:tcPr>
            <w:tcW w:w="7912" w:type="dxa"/>
            <w:vAlign w:val="center"/>
          </w:tcPr>
          <w:p w14:paraId="76A8035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14:paraId="6CA3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F8AAC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14:paraId="26259C6E">
            <w:pPr>
              <w:spacing w:line="360" w:lineRule="auto"/>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响应文件提交截止时间：详见竞争性磋商公告。</w:t>
            </w:r>
          </w:p>
          <w:p w14:paraId="21855D71">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响应文件提交地点：详见竞争性磋商公告。</w:t>
            </w:r>
          </w:p>
        </w:tc>
      </w:tr>
      <w:tr w14:paraId="1E8F3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783DD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14:paraId="5C7015C4">
            <w:pPr>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w:t>
            </w:r>
            <w:r>
              <w:rPr>
                <w:rFonts w:hint="eastAsia" w:ascii="宋体" w:hAnsi="宋体" w:cs="宋体"/>
                <w:color w:val="000000" w:themeColor="text1"/>
                <w:szCs w:val="21"/>
                <w:highlight w:val="none"/>
                <w14:textFill>
                  <w14:solidFill>
                    <w14:schemeClr w14:val="tx1"/>
                  </w14:solidFill>
                </w14:textFill>
              </w:rPr>
              <w:t>人。</w:t>
            </w:r>
          </w:p>
        </w:tc>
      </w:tr>
      <w:tr w14:paraId="7377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835F3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14:paraId="03F1F4E0">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首次响应文件开启时间详见“竞争性磋商公告”</w:t>
            </w:r>
          </w:p>
          <w:p w14:paraId="2AB1469F">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首次响应文件解密时间：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30</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分钟</w:t>
            </w:r>
            <w:r>
              <w:rPr>
                <w:rFonts w:hint="eastAsia" w:hAnsi="宋体"/>
                <w:i/>
                <w:color w:val="000000" w:themeColor="text1"/>
                <w:highlight w:val="none"/>
                <w14:textFill>
                  <w14:solidFill>
                    <w14:schemeClr w14:val="tx1"/>
                  </w14:solidFill>
                </w14:textFill>
              </w:rPr>
              <w:t>（注：不少于</w:t>
            </w:r>
            <w:r>
              <w:rPr>
                <w:rFonts w:hAnsi="宋体"/>
                <w:i/>
                <w:color w:val="000000" w:themeColor="text1"/>
                <w:highlight w:val="none"/>
                <w14:textFill>
                  <w14:solidFill>
                    <w14:schemeClr w14:val="tx1"/>
                  </w14:solidFill>
                </w14:textFill>
              </w:rPr>
              <w:t>30</w:t>
            </w:r>
            <w:r>
              <w:rPr>
                <w:rFonts w:hint="eastAsia" w:hAnsi="宋体"/>
                <w:i/>
                <w:color w:val="000000" w:themeColor="text1"/>
                <w:highlight w:val="none"/>
                <w14:textFill>
                  <w14:solidFill>
                    <w14:schemeClr w14:val="tx1"/>
                  </w14:solidFill>
                </w14:textFill>
              </w:rPr>
              <w:t>分钟）</w:t>
            </w:r>
          </w:p>
        </w:tc>
      </w:tr>
      <w:tr w14:paraId="69D73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63C8F">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14:paraId="3B5B8028">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p w14:paraId="5EA0FF02">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A3"/>
            </w:r>
            <w:r>
              <w:rPr>
                <w:rFonts w:hint="eastAsia" w:ascii="宋体" w:hAnsi="宋体"/>
                <w:color w:val="000000" w:themeColor="text1"/>
                <w:szCs w:val="21"/>
                <w:highlight w:val="none"/>
                <w14:textFill>
                  <w14:solidFill>
                    <w14:schemeClr w14:val="tx1"/>
                  </w14:solidFill>
                </w14:textFill>
              </w:rPr>
              <w:t>本项目收取履约保证金，具体规定如下：</w:t>
            </w:r>
          </w:p>
          <w:p w14:paraId="6665CC53">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履约保证金金额：按成交金额的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i/>
                <w:color w:val="000000" w:themeColor="text1"/>
                <w:szCs w:val="21"/>
                <w:highlight w:val="none"/>
                <w14:textFill>
                  <w14:solidFill>
                    <w14:schemeClr w14:val="tx1"/>
                  </w14:solidFill>
                </w14:textFill>
              </w:rPr>
              <w:t>（注：履约保证金不超过</w:t>
            </w:r>
            <w:r>
              <w:rPr>
                <w:rFonts w:hint="eastAsia"/>
                <w:b/>
                <w:i/>
                <w:color w:val="000000" w:themeColor="text1"/>
                <w:highlight w:val="none"/>
                <w14:textFill>
                  <w14:solidFill>
                    <w14:schemeClr w14:val="tx1"/>
                  </w14:solidFill>
                </w14:textFill>
              </w:rPr>
              <w:t>政府采购合同金额的</w:t>
            </w:r>
            <w:r>
              <w:rPr>
                <w:rFonts w:ascii="宋体" w:hAnsi="宋体" w:cs="宋体"/>
                <w:b/>
                <w:i/>
                <w:color w:val="000000" w:themeColor="text1"/>
                <w:szCs w:val="21"/>
                <w:highlight w:val="none"/>
                <w14:textFill>
                  <w14:solidFill>
                    <w14:schemeClr w14:val="tx1"/>
                  </w14:solidFill>
                </w14:textFill>
              </w:rPr>
              <w:t>5</w:t>
            </w:r>
            <w:r>
              <w:rPr>
                <w:rFonts w:hint="eastAsia" w:ascii="宋体" w:hAnsi="宋体" w:cs="宋体"/>
                <w:b/>
                <w:i/>
                <w:color w:val="000000" w:themeColor="text1"/>
                <w:szCs w:val="21"/>
                <w:highlight w:val="none"/>
                <w14:textFill>
                  <w14:solidFill>
                    <w14:schemeClr w14:val="tx1"/>
                  </w14:solidFill>
                </w14:textFill>
              </w:rPr>
              <w:t>%，对中小企业收取的履约保证金数额不得超过政府采购合同金额的2%。采购人可根据供应商的资信等情况减免履约保证金。）</w:t>
            </w:r>
          </w:p>
          <w:p w14:paraId="502F9148">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履约保证金提交方式：银行转账、支票、汇票、本票或者银行、保险机构出具的保函（包含电子保函）等非现金方式。</w:t>
            </w:r>
          </w:p>
          <w:p w14:paraId="53F62EBD">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履约保证金缴纳期限：</w:t>
            </w:r>
            <w:r>
              <w:rPr>
                <w:rFonts w:hint="eastAsia" w:ascii="宋体" w:hAnsi="宋体"/>
                <w:iCs/>
                <w:color w:val="000000" w:themeColor="text1"/>
                <w:szCs w:val="21"/>
                <w:highlight w:val="none"/>
                <w:u w:val="single"/>
                <w14:textFill>
                  <w14:solidFill>
                    <w14:schemeClr w14:val="tx1"/>
                  </w14:solidFill>
                </w14:textFill>
              </w:rPr>
              <w:t>自成交通知书发出之日起 25 日内，但必须在签订合同前缴纳。</w:t>
            </w:r>
          </w:p>
          <w:p w14:paraId="1B0C5319">
            <w:pPr>
              <w:spacing w:line="360" w:lineRule="auto"/>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w:t>
            </w:r>
            <w:r>
              <w:rPr>
                <w:rFonts w:hint="eastAsia" w:ascii="宋体" w:hAnsi="宋体" w:cs="宋体"/>
                <w:color w:val="000000" w:themeColor="text1"/>
                <w:szCs w:val="21"/>
                <w:highlight w:val="none"/>
                <w:u w:val="single"/>
                <w14:textFill>
                  <w14:solidFill>
                    <w14:schemeClr w14:val="tx1"/>
                  </w14:solidFill>
                </w14:textFill>
              </w:rPr>
              <w:t>在工程竣工验收合格并对验收发现的问题完成整改后，由成交供应商提交书面申请，采购人在收到成交供应商全部合格材料后5个工作日内办理退还手续（不计利息）</w:t>
            </w:r>
            <w:r>
              <w:rPr>
                <w:rFonts w:hint="eastAsia" w:ascii="宋体" w:hAnsi="宋体" w:cs="宋体"/>
                <w:color w:val="000000" w:themeColor="text1"/>
                <w:szCs w:val="21"/>
                <w:highlight w:val="none"/>
                <w14:textFill>
                  <w14:solidFill>
                    <w14:schemeClr w14:val="tx1"/>
                  </w14:solidFill>
                </w14:textFill>
              </w:rPr>
              <w:t xml:space="preserve"> 。</w:t>
            </w:r>
          </w:p>
          <w:p w14:paraId="39170D29">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如：由成交供应商向履约保证金收取单位提供《广西壮族自治区政府采购项目合同验收书》（详见桂财采〔2015〕22号），保证金收取单位在收到合格材料后5个工作日内办理退还手续（不计利息）。</w:t>
            </w:r>
          </w:p>
          <w:p w14:paraId="4808E873">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p>
          <w:p w14:paraId="3F885A4B">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w:t>
            </w:r>
            <w:r>
              <w:rPr>
                <w:rFonts w:hint="eastAsia" w:ascii="宋体" w:hAnsi="宋体" w:cs="宋体"/>
                <w:color w:val="000000" w:themeColor="text1"/>
                <w:szCs w:val="21"/>
                <w:highlight w:val="none"/>
                <w:u w:val="single"/>
                <w14:textFill>
                  <w14:solidFill>
                    <w14:schemeClr w14:val="tx1"/>
                  </w14:solidFill>
                </w14:textFill>
              </w:rPr>
              <w:t xml:space="preserve">    /    </w:t>
            </w:r>
          </w:p>
          <w:p w14:paraId="0249508B">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        </w:t>
            </w:r>
          </w:p>
          <w:p w14:paraId="00C3461E">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u w:val="single"/>
                <w14:textFill>
                  <w14:solidFill>
                    <w14:schemeClr w14:val="tx1"/>
                  </w14:solidFill>
                </w14:textFill>
              </w:rPr>
              <w:t xml:space="preserve">   /     </w:t>
            </w:r>
          </w:p>
          <w:p w14:paraId="342B38EB">
            <w:pPr>
              <w:spacing w:line="360" w:lineRule="auto"/>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bookmarkStart w:id="51" w:name="_Hlk54170335"/>
            <w:r>
              <w:rPr>
                <w:rFonts w:hint="eastAsia" w:ascii="宋体" w:hAnsi="宋体"/>
                <w:b/>
                <w:color w:val="000000" w:themeColor="text1"/>
                <w:szCs w:val="21"/>
                <w:highlight w:val="none"/>
                <w14:textFill>
                  <w14:solidFill>
                    <w14:schemeClr w14:val="tx1"/>
                  </w14:solidFill>
                </w14:textFill>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1"/>
          </w:p>
          <w:p w14:paraId="056FA6EC">
            <w:pPr>
              <w:spacing w:line="360" w:lineRule="auto"/>
              <w:contextualSpacing/>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000000" w:themeColor="text1"/>
                <w:szCs w:val="21"/>
                <w:highlight w:val="none"/>
                <w14:textFill>
                  <w14:solidFill>
                    <w14:schemeClr w14:val="tx1"/>
                  </w14:solidFill>
                </w14:textFill>
              </w:rPr>
              <w:t>止）的，不予签订合同。</w:t>
            </w:r>
            <w:r>
              <w:rPr>
                <w:rFonts w:hint="eastAsia" w:ascii="宋体" w:hAnsi="宋体"/>
                <w:b/>
                <w:color w:val="000000" w:themeColor="text1"/>
                <w:szCs w:val="21"/>
                <w:highlight w:val="none"/>
                <w14:textFill>
                  <w14:solidFill>
                    <w14:schemeClr w14:val="tx1"/>
                  </w14:solidFill>
                </w14:textFill>
              </w:rPr>
              <w:br w:type="textWrapping"/>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采用银行、保险机构出具的保函的，必须为无条件保函，否则不予签订合同。</w:t>
            </w:r>
          </w:p>
          <w:p w14:paraId="1DB9227C">
            <w:pPr>
              <w:spacing w:line="360" w:lineRule="auto"/>
              <w:contextualSpacing/>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14:paraId="5245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2409D">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vAlign w:val="center"/>
          </w:tcPr>
          <w:p w14:paraId="266F2C96">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0B7270FE">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委托代理人负责签订合同的，须携带授权委托书及委托代理人身份证原件180日历天等其他资格证件。</w:t>
            </w:r>
          </w:p>
          <w:p w14:paraId="515F679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571A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A39A4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14:paraId="045085C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接收质疑函方式：书面形式或者广西政府采购云系统在线形式</w:t>
            </w:r>
          </w:p>
          <w:p w14:paraId="7B4C154B">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质疑联系部门及联系方式：云之龙咨询集团有限公司采购部</w:t>
            </w:r>
          </w:p>
          <w:p w14:paraId="6779201F">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联系电话：0777-5619366</w:t>
            </w:r>
          </w:p>
          <w:p w14:paraId="1C4004AB">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通讯地址：广西钦州市子材东大街19号奥林名城8号楼8层</w:t>
            </w:r>
          </w:p>
          <w:p w14:paraId="150B61B0">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业务时间：工作日上午8时00分到12时00分，下午3时00分到6时00分，业务时间以外、双休日和法定节假日不办理业务。</w:t>
            </w:r>
          </w:p>
        </w:tc>
      </w:tr>
      <w:tr w14:paraId="06FB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4C7170">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vAlign w:val="center"/>
          </w:tcPr>
          <w:p w14:paraId="2F536EBC">
            <w:pPr>
              <w:pStyle w:val="25"/>
              <w:numPr>
                <w:ilvl w:val="0"/>
                <w:numId w:val="1"/>
              </w:numPr>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采购代理费支付方式：</w:t>
            </w:r>
          </w:p>
          <w:p w14:paraId="7E020C28">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☑本项目代理服务费由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一次性向采购代理机构支付。</w:t>
            </w:r>
          </w:p>
          <w:p w14:paraId="0701C0DC">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14:paraId="217FCA99">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以成交金额为计费额，按本须知正文第</w:t>
            </w:r>
            <w:r>
              <w:rPr>
                <w:rFonts w:hAnsi="宋体" w:cs="宋体"/>
                <w:color w:val="000000" w:themeColor="text1"/>
                <w:sz w:val="21"/>
                <w:highlight w:val="none"/>
                <w14:textFill>
                  <w14:solidFill>
                    <w14:schemeClr w14:val="tx1"/>
                  </w14:solidFill>
                </w14:textFill>
              </w:rPr>
              <w:t>32</w:t>
            </w:r>
            <w:r>
              <w:rPr>
                <w:rFonts w:hint="eastAsia" w:hAnsi="宋体" w:cs="宋体"/>
                <w:color w:val="000000" w:themeColor="text1"/>
                <w:sz w:val="21"/>
                <w:highlight w:val="none"/>
                <w14:textFill>
                  <w14:solidFill>
                    <w14:schemeClr w14:val="tx1"/>
                  </w14:solidFill>
                </w14:textFill>
              </w:rPr>
              <w:t>.</w:t>
            </w:r>
            <w:r>
              <w:rPr>
                <w:rFonts w:hAnsi="宋体" w:cs="宋体"/>
                <w:color w:val="000000" w:themeColor="text1"/>
                <w:sz w:val="21"/>
                <w:highlight w:val="none"/>
                <w14:textFill>
                  <w14:solidFill>
                    <w14:schemeClr w14:val="tx1"/>
                  </w14:solidFill>
                </w14:textFill>
              </w:rPr>
              <w:t>2</w:t>
            </w:r>
            <w:r>
              <w:rPr>
                <w:rFonts w:hint="eastAsia" w:hAnsi="宋体" w:cs="宋体"/>
                <w:color w:val="000000" w:themeColor="text1"/>
                <w:sz w:val="21"/>
                <w:highlight w:val="none"/>
                <w14:textFill>
                  <w14:solidFill>
                    <w14:schemeClr w14:val="tx1"/>
                  </w14:solidFill>
                </w14:textFill>
              </w:rPr>
              <w:t>条规定的工程类收费标准采用差额定率累进法计算出收费基准价格，采购代理收费以收费基准价格收取。</w:t>
            </w:r>
          </w:p>
          <w:p w14:paraId="5227E4C1">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采购代理费收取银行账户</w:t>
            </w:r>
          </w:p>
          <w:p w14:paraId="2A614631">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开户名称：云之龙咨询集团有限公司钦州分公司</w:t>
            </w:r>
          </w:p>
          <w:p w14:paraId="78D888C4">
            <w:pPr>
              <w:snapToGrid w:val="0"/>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开户银行：中信银行南宁东葛支行</w:t>
            </w:r>
            <w:r>
              <w:rPr>
                <w:rFonts w:hint="eastAsia" w:ascii="宋体" w:hAnsi="宋体" w:cs="宋体"/>
                <w:color w:val="000000" w:themeColor="text1"/>
                <w:kern w:val="0"/>
                <w:szCs w:val="21"/>
                <w:highlight w:val="none"/>
                <w:lang w:eastAsia="zh-CN"/>
                <w14:textFill>
                  <w14:solidFill>
                    <w14:schemeClr w14:val="tx1"/>
                  </w14:solidFill>
                </w14:textFill>
              </w:rPr>
              <w:t>；</w:t>
            </w:r>
          </w:p>
          <w:p w14:paraId="7058B52E">
            <w:pPr>
              <w:snapToGrid w:val="0"/>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银行账号：8113  0010  1330  0157  979</w:t>
            </w:r>
            <w:r>
              <w:rPr>
                <w:rFonts w:hint="eastAsia" w:ascii="宋体" w:hAnsi="宋体" w:cs="宋体"/>
                <w:color w:val="000000" w:themeColor="text1"/>
                <w:kern w:val="0"/>
                <w:szCs w:val="21"/>
                <w:highlight w:val="none"/>
                <w:lang w:eastAsia="zh-CN"/>
                <w14:textFill>
                  <w14:solidFill>
                    <w14:schemeClr w14:val="tx1"/>
                  </w14:solidFill>
                </w14:textFill>
              </w:rPr>
              <w:t>；</w:t>
            </w:r>
          </w:p>
          <w:p w14:paraId="62A6741A">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szCs w:val="24"/>
                <w:highlight w:val="none"/>
                <w14:textFill>
                  <w14:solidFill>
                    <w14:schemeClr w14:val="tx1"/>
                  </w14:solidFill>
                </w14:textFill>
              </w:rPr>
              <w:t>行号：3026  1102  9137</w:t>
            </w:r>
            <w:r>
              <w:rPr>
                <w:rFonts w:hint="eastAsia" w:hAnsi="宋体" w:cs="宋体"/>
                <w:color w:val="000000" w:themeColor="text1"/>
                <w:sz w:val="21"/>
                <w:highlight w:val="none"/>
                <w14:textFill>
                  <w14:solidFill>
                    <w14:schemeClr w14:val="tx1"/>
                  </w14:solidFill>
                </w14:textFill>
              </w:rPr>
              <w:t xml:space="preserve">  </w:t>
            </w:r>
          </w:p>
        </w:tc>
      </w:tr>
      <w:tr w14:paraId="0A0C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79B2F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14:paraId="1CCCC145">
            <w:pPr>
              <w:pStyle w:val="25"/>
              <w:snapToGrid w:val="0"/>
              <w:spacing w:line="360" w:lineRule="auto"/>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的各个组成文件应互为解释，互为说明</w:t>
            </w:r>
            <w:r>
              <w:rPr>
                <w:rFonts w:hint="eastAsia" w:hAnsi="宋体"/>
                <w:color w:val="000000" w:themeColor="text1"/>
                <w:sz w:val="21"/>
                <w:highlight w:val="none"/>
                <w:lang w:eastAsia="zh-CN"/>
                <w14:textFill>
                  <w14:solidFill>
                    <w14:schemeClr w14:val="tx1"/>
                  </w14:solidFill>
                </w14:textFill>
              </w:rPr>
              <w:t>；</w:t>
            </w:r>
            <w:r>
              <w:rPr>
                <w:rFonts w:hAnsi="宋体"/>
                <w:color w:val="000000" w:themeColor="text1"/>
                <w:sz w:val="21"/>
                <w:highlight w:val="none"/>
                <w14:textFill>
                  <w14:solidFill>
                    <w14:schemeClr w14:val="tx1"/>
                  </w14:solidFill>
                </w14:textFill>
              </w:rPr>
              <w:t>除</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w:t>
            </w:r>
            <w:r>
              <w:rPr>
                <w:rFonts w:hint="eastAsia" w:hAnsi="宋体"/>
                <w:color w:val="000000" w:themeColor="text1"/>
                <w:sz w:val="21"/>
                <w:highlight w:val="none"/>
                <w:lang w:eastAsia="zh-CN"/>
                <w14:textFill>
                  <w14:solidFill>
                    <w14:schemeClr w14:val="tx1"/>
                  </w14:solidFill>
                </w14:textFill>
              </w:rPr>
              <w:t>；</w:t>
            </w:r>
            <w:r>
              <w:rPr>
                <w:rFonts w:hAnsi="宋体"/>
                <w:color w:val="000000" w:themeColor="text1"/>
                <w:sz w:val="21"/>
                <w:highlight w:val="none"/>
                <w14:textFill>
                  <w14:solidFill>
                    <w14:schemeClr w14:val="tx1"/>
                  </w14:solidFill>
                </w14:textFill>
              </w:rPr>
              <w:t>同一组成文件中就同一事项的规定或者约定不一致的，以编排顺序在后者为准</w:t>
            </w:r>
            <w:r>
              <w:rPr>
                <w:rFonts w:hint="eastAsia" w:hAnsi="宋体"/>
                <w:color w:val="000000" w:themeColor="text1"/>
                <w:sz w:val="21"/>
                <w:highlight w:val="none"/>
                <w:lang w:eastAsia="zh-CN"/>
                <w14:textFill>
                  <w14:solidFill>
                    <w14:schemeClr w14:val="tx1"/>
                  </w14:solidFill>
                </w14:textFill>
              </w:rPr>
              <w:t>；</w:t>
            </w:r>
            <w:r>
              <w:rPr>
                <w:rFonts w:hAnsi="宋体"/>
                <w:color w:val="000000" w:themeColor="text1"/>
                <w:sz w:val="21"/>
                <w:highlight w:val="none"/>
                <w14:textFill>
                  <w14:solidFill>
                    <w14:schemeClr w14:val="tx1"/>
                  </w14:solidFill>
                </w14:textFill>
              </w:rPr>
              <w:t>同一组成文件不同版本之间有不一致的，以形成时间在后者为准</w:t>
            </w:r>
            <w:r>
              <w:rPr>
                <w:rFonts w:hint="eastAsia" w:hAnsi="宋体"/>
                <w:color w:val="000000" w:themeColor="text1"/>
                <w:sz w:val="21"/>
                <w:highlight w:val="none"/>
                <w:lang w:eastAsia="zh-CN"/>
                <w14:textFill>
                  <w14:solidFill>
                    <w14:schemeClr w14:val="tx1"/>
                  </w14:solidFill>
                </w14:textFill>
              </w:rPr>
              <w:t>；</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167C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D6DEF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w:t>
            </w:r>
          </w:p>
        </w:tc>
        <w:tc>
          <w:tcPr>
            <w:tcW w:w="7912" w:type="dxa"/>
            <w:vAlign w:val="center"/>
          </w:tcPr>
          <w:p w14:paraId="7723E6F8">
            <w:pPr>
              <w:pStyle w:val="25"/>
              <w:snapToGrid w:val="0"/>
              <w:spacing w:line="360" w:lineRule="auto"/>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2482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D852C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687C1E18">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BEC3AB6">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2.本磋商文件所称的“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，是指经广西政府采购云平台认可的CA认证的电子签名数据为表现形式的印章，可用于签署电子响应文件，电子印章与实物印章具有同等法律效力，不因其采用电子化表现形式而否定其法律效力。</w:t>
            </w:r>
          </w:p>
          <w:p w14:paraId="14C5729E">
            <w:pPr>
              <w:pStyle w:val="25"/>
              <w:snapToGrid w:val="0"/>
              <w:spacing w:line="360" w:lineRule="auto"/>
              <w:rPr>
                <w:rFonts w:hAnsi="宋体" w:cs="宋体"/>
                <w:bCs/>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营业执照或者执业许可证等证照上的</w:t>
            </w:r>
            <w:r>
              <w:rPr>
                <w:rFonts w:hint="eastAsia" w:hAnsi="宋体" w:cs="宋体"/>
                <w:color w:val="000000" w:themeColor="text1"/>
                <w:sz w:val="21"/>
                <w:highlight w:val="none"/>
                <w14:textFill>
                  <w14:solidFill>
                    <w14:schemeClr w14:val="tx1"/>
                  </w14:solidFill>
                </w14:textFill>
              </w:rPr>
              <w:t>负责人</w:t>
            </w:r>
            <w:r>
              <w:rPr>
                <w:rFonts w:hint="eastAsia" w:hAnsi="宋体" w:cs="宋体"/>
                <w:bCs/>
                <w:color w:val="000000" w:themeColor="text1"/>
                <w:sz w:val="21"/>
                <w:highlight w:val="none"/>
                <w14:textFill>
                  <w14:solidFill>
                    <w14:schemeClr w14:val="tx1"/>
                  </w14:solidFill>
                </w14:textFill>
              </w:rPr>
              <w:t>。</w:t>
            </w:r>
          </w:p>
          <w:p w14:paraId="32F3B112">
            <w:pPr>
              <w:pStyle w:val="25"/>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2C6FA80A">
            <w:pPr>
              <w:pStyle w:val="25"/>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本磋商文件所称的“以上”“以下”“以内”“届满”，包括本数</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所称的“不满”“超过”“以外”，不包括本数。</w:t>
            </w:r>
          </w:p>
        </w:tc>
      </w:tr>
    </w:tbl>
    <w:p w14:paraId="20D5CDD7">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14:paraId="5DACD8F1">
      <w:pPr>
        <w:spacing w:line="400" w:lineRule="exact"/>
        <w:jc w:val="center"/>
        <w:rPr>
          <w:rFonts w:ascii="宋体" w:hAnsi="宋体"/>
          <w:b/>
          <w:color w:val="000000" w:themeColor="text1"/>
          <w:sz w:val="32"/>
          <w:szCs w:val="32"/>
          <w:highlight w:val="none"/>
          <w14:textFill>
            <w14:solidFill>
              <w14:schemeClr w14:val="tx1"/>
            </w14:solidFill>
          </w14:textFill>
        </w:rPr>
      </w:pPr>
    </w:p>
    <w:p w14:paraId="3DD40483">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23DA6481">
      <w:pPr>
        <w:spacing w:line="400" w:lineRule="exact"/>
        <w:rPr>
          <w:rFonts w:ascii="宋体" w:hAnsi="宋体"/>
          <w:color w:val="000000" w:themeColor="text1"/>
          <w:szCs w:val="21"/>
          <w:highlight w:val="none"/>
          <w14:textFill>
            <w14:solidFill>
              <w14:schemeClr w14:val="tx1"/>
            </w14:solidFill>
          </w14:textFill>
        </w:rPr>
      </w:pPr>
    </w:p>
    <w:p w14:paraId="76802D4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14:paraId="1F8790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76BA9F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1.2本竞争性磋商文件（以下简称磋商文件）适用于本项目的所有采购程序和环节（法律、法规另有规定的，从其规定）</w:t>
      </w:r>
      <w:r>
        <w:rPr>
          <w:rFonts w:hint="eastAsia" w:ascii="宋体" w:hAnsi="宋体" w:cs="宋体"/>
          <w:color w:val="000000" w:themeColor="text1"/>
          <w:spacing w:val="-6"/>
          <w:szCs w:val="21"/>
          <w:highlight w:val="none"/>
          <w14:textFill>
            <w14:solidFill>
              <w14:schemeClr w14:val="tx1"/>
            </w14:solidFill>
          </w14:textFill>
        </w:rPr>
        <w:t>。</w:t>
      </w:r>
    </w:p>
    <w:p w14:paraId="4EC81131">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14:paraId="793D7D6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2.1“采购人”是指依法进行政府采购的国家机关、事业单位、团体组织。180日历天</w:t>
      </w:r>
    </w:p>
    <w:p w14:paraId="7EE6D282">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3A122D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4B94A6B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2.4“工程”是指建设工程，包括建筑物和构筑物的新建、改建、扩建、装修、拆除、修缮等。</w:t>
      </w:r>
    </w:p>
    <w:p w14:paraId="56E6CD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“竞标”是指供应商按照本项目竞争性磋商公告或者邀请函规定的方式获取磋商文件、提交响应文件并希望获得标的的行为。</w:t>
      </w:r>
    </w:p>
    <w:p w14:paraId="2B08FC3C">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210007E2">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2.7“响应文件”是指：供应商根据本磋商文件要求，编制包含资格证明、报价、商务技术等所有内容的文件</w:t>
      </w:r>
      <w:r>
        <w:rPr>
          <w:rFonts w:hint="eastAsia" w:ascii="宋体" w:hAnsi="宋体" w:cs="宋体"/>
          <w:color w:val="000000" w:themeColor="text1"/>
          <w:spacing w:val="-6"/>
          <w:szCs w:val="21"/>
          <w:highlight w:val="none"/>
          <w14:textFill>
            <w14:solidFill>
              <w14:schemeClr w14:val="tx1"/>
            </w14:solidFill>
          </w14:textFill>
        </w:rPr>
        <w:t>。</w:t>
      </w:r>
    </w:p>
    <w:p w14:paraId="5DC93933">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2.8“实质性要求”是指磋商文件中已经指明不满足则响应文件按无效处理的条款，或者不能负偏离的条款，或者采购需求中带“▲”的条款。</w:t>
      </w:r>
    </w:p>
    <w:p w14:paraId="29443B16">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4B32ABE0">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10“负偏离”，是指响应文件对磋商文件“采购需求”中有关条款作出的响应不满足条款要求，导致采购人要求不能得到满足的情形。</w:t>
      </w:r>
    </w:p>
    <w:p w14:paraId="5A82ABC5">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2.11“允许负偏离的条款”是指采购需求中的不属于“实质性要求”的条款。</w:t>
      </w:r>
    </w:p>
    <w:p w14:paraId="53B57823">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2“首次报价”是指供应商提交的首次响应文件中的报价。</w:t>
      </w:r>
    </w:p>
    <w:p w14:paraId="3E90C76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14:paraId="138E8C8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3.1供应商的资格条件详见“供应商须知前附表”。</w:t>
      </w:r>
    </w:p>
    <w:p w14:paraId="7EA25B85">
      <w:pPr>
        <w:spacing w:line="360" w:lineRule="auto"/>
        <w:ind w:firstLine="420" w:firstLineChars="200"/>
        <w:rPr>
          <w:rFonts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3.2供应商</w:t>
      </w:r>
      <w:r>
        <w:rPr>
          <w:rFonts w:hint="eastAsia" w:cs="宋体"/>
          <w:color w:val="000000" w:themeColor="text1"/>
          <w:highlight w:val="none"/>
          <w14:textFill>
            <w14:solidFill>
              <w14:schemeClr w14:val="tx1"/>
            </w14:solidFill>
          </w14:textFill>
        </w:rPr>
        <w:t>不得存在下列情形之一：</w:t>
      </w:r>
    </w:p>
    <w:p w14:paraId="116BF3B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color w:val="000000" w:themeColor="text1"/>
          <w:szCs w:val="21"/>
          <w:highlight w:val="none"/>
          <w:lang w:eastAsia="zh-CN"/>
          <w14:textFill>
            <w14:solidFill>
              <w14:schemeClr w14:val="tx1"/>
            </w14:solidFill>
          </w14:textFill>
        </w:rPr>
        <w:t>；</w:t>
      </w:r>
    </w:p>
    <w:p w14:paraId="410F7AF7">
      <w:pPr>
        <w:spacing w:line="360" w:lineRule="auto"/>
        <w:ind w:firstLine="420" w:firstLineChars="200"/>
        <w:rPr>
          <w:rFonts w:hint="eastAsia"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（2）为本项目提供过整体设计、规范编制或者项目管理、监理、检测等服务的供应商，不得再参加本项目上述服务以外的其他采购活动</w:t>
      </w:r>
      <w:r>
        <w:rPr>
          <w:rFonts w:hint="eastAsia" w:ascii="宋体" w:hAnsi="宋体" w:cs="宋体"/>
          <w:color w:val="000000" w:themeColor="text1"/>
          <w:szCs w:val="21"/>
          <w:highlight w:val="none"/>
          <w:lang w:eastAsia="zh-CN"/>
          <w14:textFill>
            <w14:solidFill>
              <w14:schemeClr w14:val="tx1"/>
            </w14:solidFill>
          </w14:textFill>
        </w:rPr>
        <w:t>；</w:t>
      </w:r>
    </w:p>
    <w:p w14:paraId="328F2C71">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）为本分标的代建人</w:t>
      </w:r>
      <w:r>
        <w:rPr>
          <w:rFonts w:hint="eastAsia" w:cs="宋体"/>
          <w:color w:val="000000" w:themeColor="text1"/>
          <w:highlight w:val="none"/>
          <w:lang w:eastAsia="zh-CN"/>
          <w14:textFill>
            <w14:solidFill>
              <w14:schemeClr w14:val="tx1"/>
            </w14:solidFill>
          </w14:textFill>
        </w:rPr>
        <w:t>；</w:t>
      </w:r>
    </w:p>
    <w:p w14:paraId="2DFFDB5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）为本分标提供采购代理服务的</w:t>
      </w:r>
      <w:r>
        <w:rPr>
          <w:rFonts w:hint="eastAsia" w:cs="宋体"/>
          <w:color w:val="000000" w:themeColor="text1"/>
          <w:highlight w:val="none"/>
          <w:lang w:eastAsia="zh-CN"/>
          <w14:textFill>
            <w14:solidFill>
              <w14:schemeClr w14:val="tx1"/>
            </w14:solidFill>
          </w14:textFill>
        </w:rPr>
        <w:t>；</w:t>
      </w:r>
    </w:p>
    <w:p w14:paraId="1BEA953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）与本分标的监理人或代建人或采购代理机构同为一个法定代表人的</w:t>
      </w:r>
      <w:r>
        <w:rPr>
          <w:rFonts w:hint="eastAsia" w:cs="宋体"/>
          <w:color w:val="000000" w:themeColor="text1"/>
          <w:highlight w:val="none"/>
          <w:lang w:eastAsia="zh-CN"/>
          <w14:textFill>
            <w14:solidFill>
              <w14:schemeClr w14:val="tx1"/>
            </w14:solidFill>
          </w14:textFill>
        </w:rPr>
        <w:t>；</w:t>
      </w:r>
    </w:p>
    <w:p w14:paraId="62D5BE9A">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）与本分标的监理人或代建人或采购代理机构相互控股或参股的</w:t>
      </w:r>
      <w:r>
        <w:rPr>
          <w:rFonts w:hint="eastAsia" w:cs="宋体"/>
          <w:color w:val="000000" w:themeColor="text1"/>
          <w:highlight w:val="none"/>
          <w:lang w:eastAsia="zh-CN"/>
          <w14:textFill>
            <w14:solidFill>
              <w14:schemeClr w14:val="tx1"/>
            </w14:solidFill>
          </w14:textFill>
        </w:rPr>
        <w:t>；</w:t>
      </w:r>
    </w:p>
    <w:p w14:paraId="7B3CC3EB">
      <w:pPr>
        <w:spacing w:line="360" w:lineRule="auto"/>
        <w:ind w:firstLine="420" w:firstLineChars="200"/>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）与本分标的监理人或代建人或采购代理机构相互任职或工作的</w:t>
      </w:r>
      <w:r>
        <w:rPr>
          <w:rFonts w:hint="eastAsia" w:cs="宋体"/>
          <w:color w:val="000000" w:themeColor="text1"/>
          <w:highlight w:val="none"/>
          <w:lang w:eastAsia="zh-CN"/>
          <w14:textFill>
            <w14:solidFill>
              <w14:schemeClr w14:val="tx1"/>
            </w14:solidFill>
          </w14:textFill>
        </w:rPr>
        <w:t>；</w:t>
      </w:r>
    </w:p>
    <w:p w14:paraId="0CB9C6A6">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（8）在“信用中国”网站（https：//www.creditchina.gov.cn） 、中国政府采购网（https：//www.ccgp.gov.cn）被列入失信被执行人、重大税收违法失信主体、政府采购严重违法失信行为记录名单及180日历天其他不符合《中华人民共和国政府采购法》第二十二条规定条件的。</w:t>
      </w:r>
    </w:p>
    <w:p w14:paraId="0A284EF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14:paraId="2FD5031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12FB1F3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186C231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085964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593F44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52"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180日历天的价格参加评审。</w:t>
      </w:r>
      <w:bookmarkEnd w:id="52"/>
    </w:p>
    <w:p w14:paraId="71F560E2">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727AB913">
      <w:pPr>
        <w:pStyle w:val="6"/>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53" w:name="_Toc254970532"/>
      <w:bookmarkStart w:id="54" w:name="_Toc254970673"/>
      <w:r>
        <w:rPr>
          <w:rFonts w:hint="eastAsia" w:ascii="宋体" w:hAnsi="宋体"/>
          <w:b w:val="0"/>
          <w:color w:val="000000" w:themeColor="text1"/>
          <w:sz w:val="21"/>
          <w:szCs w:val="21"/>
          <w:highlight w:val="none"/>
          <w14:textFill>
            <w14:solidFill>
              <w14:schemeClr w14:val="tx1"/>
            </w14:solidFill>
          </w14:textFill>
        </w:rPr>
        <w:t>6.1本项目不允许转包。</w:t>
      </w:r>
    </w:p>
    <w:p w14:paraId="08DE1535">
      <w:pPr>
        <w:pStyle w:val="6"/>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4580D203">
      <w:pPr>
        <w:pStyle w:val="6"/>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A4A7CB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bookmarkEnd w:id="53"/>
      <w:bookmarkEnd w:id="54"/>
    </w:p>
    <w:p w14:paraId="43308793">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5" w:name="_8.1提供相同品牌产品且通过资格审查、符合性审查的不同投标人参加同一合"/>
      <w:bookmarkEnd w:id="55"/>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bookmarkStart w:id="56" w:name="_Hlk65832145"/>
      <w:r>
        <w:rPr>
          <w:rFonts w:hint="eastAsia" w:ascii="宋体" w:hAnsi="宋体"/>
          <w:color w:val="000000" w:themeColor="text1"/>
          <w:szCs w:val="21"/>
          <w:highlight w:val="none"/>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bookmarkEnd w:id="56"/>
    <w:p w14:paraId="117AF6E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14:paraId="135F28B3">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7" w:name="_Hlk170492024"/>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供应商在竞标活动中提供任何虚假材料谋取成交的，将报财政部门查处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签订合同后发现的，成交供应商须依照</w:t>
      </w:r>
      <w:bookmarkStart w:id="58" w:name="_Hlk170492034"/>
      <w:r>
        <w:rPr>
          <w:rFonts w:hint="eastAsia" w:ascii="宋体" w:hAnsi="宋体" w:cs="宋体"/>
          <w:color w:val="000000" w:themeColor="text1"/>
          <w:szCs w:val="21"/>
          <w:highlight w:val="none"/>
          <w14:textFill>
            <w14:solidFill>
              <w14:schemeClr w14:val="tx1"/>
            </w14:solidFill>
          </w14:textFill>
        </w:rPr>
        <w:t>有关法律法规</w:t>
      </w:r>
      <w:bookmarkEnd w:id="58"/>
      <w:r>
        <w:rPr>
          <w:rFonts w:hint="eastAsia" w:ascii="宋体" w:hAnsi="宋体" w:cs="宋体"/>
          <w:color w:val="000000" w:themeColor="text1"/>
          <w:szCs w:val="21"/>
          <w:highlight w:val="none"/>
          <w14:textFill>
            <w14:solidFill>
              <w14:schemeClr w14:val="tx1"/>
            </w14:solidFill>
          </w14:textFill>
        </w:rPr>
        <w:t>规定赔偿采购人，且民事赔偿并不免除违法供应商的行政与刑事责任。</w:t>
      </w:r>
    </w:p>
    <w:bookmarkEnd w:id="57"/>
    <w:p w14:paraId="6F082F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14:paraId="6F7EE33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r>
        <w:rPr>
          <w:rFonts w:hint="eastAsia" w:ascii="宋体" w:hAnsi="宋体" w:cs="宋体"/>
          <w:color w:val="000000" w:themeColor="text1"/>
          <w:szCs w:val="21"/>
          <w:highlight w:val="none"/>
          <w:lang w:eastAsia="zh-CN"/>
          <w14:textFill>
            <w14:solidFill>
              <w14:schemeClr w14:val="tx1"/>
            </w14:solidFill>
          </w14:textFill>
        </w:rPr>
        <w:t>；</w:t>
      </w:r>
    </w:p>
    <w:p w14:paraId="4A0B87AB">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r>
        <w:rPr>
          <w:rFonts w:hint="eastAsia" w:ascii="宋体" w:hAnsi="宋体" w:cs="宋体"/>
          <w:color w:val="000000" w:themeColor="text1"/>
          <w:szCs w:val="21"/>
          <w:highlight w:val="none"/>
          <w:lang w:eastAsia="zh-CN"/>
          <w14:textFill>
            <w14:solidFill>
              <w14:schemeClr w14:val="tx1"/>
            </w14:solidFill>
          </w14:textFill>
        </w:rPr>
        <w:t>；</w:t>
      </w:r>
    </w:p>
    <w:p w14:paraId="3FC2D61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r>
        <w:rPr>
          <w:rFonts w:hint="eastAsia" w:ascii="宋体" w:hAnsi="宋体" w:cs="宋体"/>
          <w:color w:val="000000" w:themeColor="text1"/>
          <w:szCs w:val="21"/>
          <w:highlight w:val="none"/>
          <w:lang w:eastAsia="zh-CN"/>
          <w14:textFill>
            <w14:solidFill>
              <w14:schemeClr w14:val="tx1"/>
            </w14:solidFill>
          </w14:textFill>
        </w:rPr>
        <w:t>；</w:t>
      </w:r>
    </w:p>
    <w:p w14:paraId="3C3B07A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（4）与供应商的法定代表人或者负责人有夫妻、直系血亲、三代以内旁系血亲或者180日历天近姻亲关系</w:t>
      </w:r>
      <w:r>
        <w:rPr>
          <w:rFonts w:hint="eastAsia" w:ascii="宋体" w:hAnsi="宋体" w:cs="宋体"/>
          <w:color w:val="000000" w:themeColor="text1"/>
          <w:szCs w:val="21"/>
          <w:highlight w:val="none"/>
          <w:lang w:eastAsia="zh-CN"/>
          <w14:textFill>
            <w14:solidFill>
              <w14:schemeClr w14:val="tx1"/>
            </w14:solidFill>
          </w14:textFill>
        </w:rPr>
        <w:t>；</w:t>
      </w:r>
    </w:p>
    <w:p w14:paraId="3CA75E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0702C8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A2933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14:paraId="7EA5AF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14:paraId="6EA9BAA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r>
        <w:rPr>
          <w:rFonts w:hint="eastAsia" w:ascii="宋体" w:hAnsi="宋体" w:cs="宋体"/>
          <w:color w:val="000000" w:themeColor="text1"/>
          <w:szCs w:val="21"/>
          <w:highlight w:val="none"/>
          <w:lang w:eastAsia="zh-CN"/>
          <w14:textFill>
            <w14:solidFill>
              <w14:schemeClr w14:val="tx1"/>
            </w14:solidFill>
          </w14:textFill>
        </w:rPr>
        <w:t>；</w:t>
      </w:r>
    </w:p>
    <w:p w14:paraId="54EEAAC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r>
        <w:rPr>
          <w:rFonts w:hint="eastAsia" w:ascii="宋体" w:hAnsi="宋体" w:cs="宋体"/>
          <w:color w:val="000000" w:themeColor="text1"/>
          <w:szCs w:val="21"/>
          <w:highlight w:val="none"/>
          <w:lang w:eastAsia="zh-CN"/>
          <w14:textFill>
            <w14:solidFill>
              <w14:schemeClr w14:val="tx1"/>
            </w14:solidFill>
          </w14:textFill>
        </w:rPr>
        <w:t>；</w:t>
      </w:r>
    </w:p>
    <w:p w14:paraId="25E8913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r>
        <w:rPr>
          <w:rFonts w:hint="eastAsia" w:ascii="宋体" w:hAnsi="宋体" w:cs="宋体"/>
          <w:color w:val="000000" w:themeColor="text1"/>
          <w:szCs w:val="21"/>
          <w:highlight w:val="none"/>
          <w:lang w:eastAsia="zh-CN"/>
          <w14:textFill>
            <w14:solidFill>
              <w14:schemeClr w14:val="tx1"/>
            </w14:solidFill>
          </w14:textFill>
        </w:rPr>
        <w:t>；</w:t>
      </w:r>
    </w:p>
    <w:p w14:paraId="70E0E98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r>
        <w:rPr>
          <w:rFonts w:hint="eastAsia" w:ascii="宋体" w:hAnsi="宋体" w:cs="宋体"/>
          <w:color w:val="000000" w:themeColor="text1"/>
          <w:szCs w:val="21"/>
          <w:highlight w:val="none"/>
          <w:lang w:eastAsia="zh-CN"/>
          <w14:textFill>
            <w14:solidFill>
              <w14:schemeClr w14:val="tx1"/>
            </w14:solidFill>
          </w14:textFill>
        </w:rPr>
        <w:t>；</w:t>
      </w:r>
    </w:p>
    <w:p w14:paraId="088EDF1A">
      <w:pPr>
        <w:tabs>
          <w:tab w:val="left" w:pos="6931"/>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3390B0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14:paraId="4CFC629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r>
        <w:rPr>
          <w:rFonts w:hint="eastAsia" w:ascii="宋体" w:hAnsi="宋体" w:cs="宋体"/>
          <w:color w:val="000000" w:themeColor="text1"/>
          <w:szCs w:val="21"/>
          <w:highlight w:val="none"/>
          <w:lang w:eastAsia="zh-CN"/>
          <w14:textFill>
            <w14:solidFill>
              <w14:schemeClr w14:val="tx1"/>
            </w14:solidFill>
          </w14:textFill>
        </w:rPr>
        <w:t>；</w:t>
      </w:r>
    </w:p>
    <w:p w14:paraId="76D930E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r>
        <w:rPr>
          <w:rFonts w:hint="eastAsia" w:ascii="宋体" w:hAnsi="宋体" w:cs="宋体"/>
          <w:color w:val="000000" w:themeColor="text1"/>
          <w:szCs w:val="21"/>
          <w:highlight w:val="none"/>
          <w:lang w:eastAsia="zh-CN"/>
          <w14:textFill>
            <w14:solidFill>
              <w14:schemeClr w14:val="tx1"/>
            </w14:solidFill>
          </w14:textFill>
        </w:rPr>
        <w:t>；</w:t>
      </w:r>
    </w:p>
    <w:p w14:paraId="4F1334F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r>
        <w:rPr>
          <w:rFonts w:hint="eastAsia" w:ascii="宋体" w:hAnsi="宋体" w:cs="宋体"/>
          <w:color w:val="000000" w:themeColor="text1"/>
          <w:szCs w:val="21"/>
          <w:highlight w:val="none"/>
          <w:lang w:eastAsia="zh-CN"/>
          <w14:textFill>
            <w14:solidFill>
              <w14:schemeClr w14:val="tx1"/>
            </w14:solidFill>
          </w14:textFill>
        </w:rPr>
        <w:t>；</w:t>
      </w:r>
    </w:p>
    <w:p w14:paraId="4C3110E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r>
        <w:rPr>
          <w:rFonts w:hint="eastAsia" w:ascii="宋体" w:hAnsi="宋体" w:cs="宋体"/>
          <w:color w:val="000000" w:themeColor="text1"/>
          <w:szCs w:val="21"/>
          <w:highlight w:val="none"/>
          <w:lang w:eastAsia="zh-CN"/>
          <w14:textFill>
            <w14:solidFill>
              <w14:schemeClr w14:val="tx1"/>
            </w14:solidFill>
          </w14:textFill>
        </w:rPr>
        <w:t>；</w:t>
      </w:r>
    </w:p>
    <w:p w14:paraId="13B6D54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r>
        <w:rPr>
          <w:rFonts w:hint="eastAsia" w:ascii="宋体" w:hAnsi="宋体" w:cs="宋体"/>
          <w:color w:val="000000" w:themeColor="text1"/>
          <w:szCs w:val="21"/>
          <w:highlight w:val="none"/>
          <w:lang w:eastAsia="zh-CN"/>
          <w14:textFill>
            <w14:solidFill>
              <w14:schemeClr w14:val="tx1"/>
            </w14:solidFill>
          </w14:textFill>
        </w:rPr>
        <w:t>；</w:t>
      </w:r>
    </w:p>
    <w:p w14:paraId="591656D7">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r>
        <w:rPr>
          <w:rFonts w:hint="eastAsia" w:ascii="宋体" w:hAnsi="宋体" w:cs="宋体"/>
          <w:color w:val="000000" w:themeColor="text1"/>
          <w:szCs w:val="21"/>
          <w:highlight w:val="none"/>
          <w:lang w:eastAsia="zh-CN"/>
          <w14:textFill>
            <w14:solidFill>
              <w14:schemeClr w14:val="tx1"/>
            </w14:solidFill>
          </w14:textFill>
        </w:rPr>
        <w:t>；</w:t>
      </w:r>
    </w:p>
    <w:p w14:paraId="23CE31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1BE62D02">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1EA155E1">
      <w:pPr>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59" w:name="_Toc254970534"/>
      <w:bookmarkStart w:id="60" w:name="_Toc254970675"/>
    </w:p>
    <w:p w14:paraId="3018E89B">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59"/>
      <w:bookmarkEnd w:id="60"/>
    </w:p>
    <w:p w14:paraId="62FE7B8B">
      <w:pPr>
        <w:spacing w:line="360" w:lineRule="auto"/>
        <w:rPr>
          <w:rFonts w:ascii="宋体" w:hAnsi="宋体"/>
          <w:color w:val="000000" w:themeColor="text1"/>
          <w:szCs w:val="21"/>
          <w:highlight w:val="none"/>
          <w14:textFill>
            <w14:solidFill>
              <w14:schemeClr w14:val="tx1"/>
            </w14:solidFill>
          </w14:textFill>
        </w:rPr>
      </w:pPr>
    </w:p>
    <w:p w14:paraId="412B2A77">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14:paraId="01F83B83">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第一章  竞争性磋商公告</w:t>
      </w:r>
      <w:r>
        <w:rPr>
          <w:rFonts w:hint="eastAsia" w:ascii="宋体" w:hAnsi="宋体"/>
          <w:color w:val="000000" w:themeColor="text1"/>
          <w:szCs w:val="21"/>
          <w:highlight w:val="none"/>
          <w:lang w:eastAsia="zh-CN"/>
          <w14:textFill>
            <w14:solidFill>
              <w14:schemeClr w14:val="tx1"/>
            </w14:solidFill>
          </w14:textFill>
        </w:rPr>
        <w:t>；</w:t>
      </w:r>
    </w:p>
    <w:p w14:paraId="443330D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  供应商须知</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14:paraId="4A19F4DE">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  采购需求</w:t>
      </w:r>
      <w:r>
        <w:rPr>
          <w:rFonts w:hint="eastAsia" w:ascii="宋体" w:hAnsi="宋体"/>
          <w:color w:val="000000" w:themeColor="text1"/>
          <w:szCs w:val="21"/>
          <w:highlight w:val="none"/>
          <w:lang w:eastAsia="zh-CN"/>
          <w14:textFill>
            <w14:solidFill>
              <w14:schemeClr w14:val="tx1"/>
            </w14:solidFill>
          </w14:textFill>
        </w:rPr>
        <w:t>；</w:t>
      </w:r>
    </w:p>
    <w:p w14:paraId="65E87967">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第四章  评审程序、评审方法和评审标准</w:t>
      </w:r>
      <w:r>
        <w:rPr>
          <w:rFonts w:hint="eastAsia" w:ascii="宋体" w:hAnsi="宋体"/>
          <w:color w:val="000000" w:themeColor="text1"/>
          <w:szCs w:val="21"/>
          <w:highlight w:val="none"/>
          <w:lang w:eastAsia="zh-CN"/>
          <w14:textFill>
            <w14:solidFill>
              <w14:schemeClr w14:val="tx1"/>
            </w14:solidFill>
          </w14:textFill>
        </w:rPr>
        <w:t>；</w:t>
      </w:r>
    </w:p>
    <w:p w14:paraId="196ED16A">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第五章  工程量清单及图纸</w:t>
      </w:r>
      <w:r>
        <w:rPr>
          <w:rFonts w:hint="eastAsia" w:ascii="宋体" w:hAnsi="宋体"/>
          <w:color w:val="000000" w:themeColor="text1"/>
          <w:szCs w:val="21"/>
          <w:highlight w:val="none"/>
          <w:lang w:eastAsia="zh-CN"/>
          <w14:textFill>
            <w14:solidFill>
              <w14:schemeClr w14:val="tx1"/>
            </w14:solidFill>
          </w14:textFill>
        </w:rPr>
        <w:t>；</w:t>
      </w:r>
    </w:p>
    <w:p w14:paraId="6ABC0ACE">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第六章  响应文件格式</w:t>
      </w:r>
      <w:r>
        <w:rPr>
          <w:rFonts w:hint="eastAsia" w:ascii="宋体" w:hAnsi="宋体"/>
          <w:color w:val="000000" w:themeColor="text1"/>
          <w:szCs w:val="21"/>
          <w:highlight w:val="none"/>
          <w:lang w:eastAsia="zh-CN"/>
          <w14:textFill>
            <w14:solidFill>
              <w14:schemeClr w14:val="tx1"/>
            </w14:solidFill>
          </w14:textFill>
        </w:rPr>
        <w:t>；</w:t>
      </w:r>
    </w:p>
    <w:p w14:paraId="67BC385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第七章  合同文本。</w:t>
      </w:r>
    </w:p>
    <w:p w14:paraId="133154FF">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5296386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2CD579D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14:paraId="614F5C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w:t>
      </w:r>
      <w:r>
        <w:rPr>
          <w:rFonts w:hint="eastAsia" w:ascii="宋体" w:hAnsi="宋体"/>
          <w:color w:val="000000" w:themeColor="text1"/>
          <w:szCs w:val="21"/>
          <w:highlight w:val="none"/>
          <w14:textFill>
            <w14:solidFill>
              <w14:schemeClr w14:val="tx1"/>
            </w14:solidFill>
          </w14:textFill>
        </w:rPr>
        <w:t>180日历天</w:t>
      </w:r>
      <w:r>
        <w:rPr>
          <w:rFonts w:ascii="宋体" w:hAnsi="宋体"/>
          <w:color w:val="000000" w:themeColor="text1"/>
          <w:szCs w:val="21"/>
          <w:highlight w:val="none"/>
          <w14:textFill>
            <w14:solidFill>
              <w14:schemeClr w14:val="tx1"/>
            </w14:solidFill>
          </w14:textFill>
        </w:rPr>
        <w:t>可能影响响应文件编制的，</w:t>
      </w:r>
      <w:r>
        <w:rPr>
          <w:rFonts w:hint="eastAsia" w:ascii="宋体" w:hAnsi="宋体"/>
          <w:color w:val="000000" w:themeColor="text1"/>
          <w:szCs w:val="21"/>
          <w:highlight w:val="none"/>
          <w14:textFill>
            <w14:solidFill>
              <w14:schemeClr w14:val="tx1"/>
            </w14:solidFill>
          </w14:textFill>
        </w:rPr>
        <w:t>采购人或者采购代理机构应当</w:t>
      </w:r>
      <w:r>
        <w:rPr>
          <w:rFonts w:ascii="宋体" w:hAnsi="宋体"/>
          <w:color w:val="000000" w:themeColor="text1"/>
          <w:szCs w:val="21"/>
          <w:highlight w:val="none"/>
          <w14:textFill>
            <w14:solidFill>
              <w14:schemeClr w14:val="tx1"/>
            </w14:solidFill>
          </w14:textFill>
        </w:rPr>
        <w:t>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磋商文件的供应商，不足3个工作日的，应当顺延提交首次响应文件截止之日。</w:t>
      </w:r>
    </w:p>
    <w:p w14:paraId="316B78BB">
      <w:pPr>
        <w:spacing w:line="360" w:lineRule="auto"/>
        <w:rPr>
          <w:rFonts w:ascii="宋体" w:hAnsi="宋体"/>
          <w:color w:val="000000" w:themeColor="text1"/>
          <w:szCs w:val="21"/>
          <w:highlight w:val="none"/>
          <w14:textFill>
            <w14:solidFill>
              <w14:schemeClr w14:val="tx1"/>
            </w14:solidFill>
          </w14:textFill>
        </w:rPr>
      </w:pPr>
    </w:p>
    <w:p w14:paraId="6F58E781">
      <w:pPr>
        <w:spacing w:line="36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16B38A18">
      <w:pPr>
        <w:spacing w:line="360" w:lineRule="auto"/>
        <w:rPr>
          <w:rFonts w:ascii="宋体" w:hAnsi="宋体"/>
          <w:color w:val="000000" w:themeColor="text1"/>
          <w:szCs w:val="21"/>
          <w:highlight w:val="none"/>
          <w14:textFill>
            <w14:solidFill>
              <w14:schemeClr w14:val="tx1"/>
            </w14:solidFill>
          </w14:textFill>
        </w:rPr>
      </w:pPr>
    </w:p>
    <w:p w14:paraId="7C909C9A">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597DF0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1948225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688DF6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14:paraId="6F1CCE31">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14:paraId="539054F1">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14:paraId="0F0A9452">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14:paraId="1CE4BC2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14061A5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磋商文件没有规定的，应采用中华人民共和国法定计量单位，货币种类为人民币，否则视同未响应。</w:t>
      </w:r>
    </w:p>
    <w:p w14:paraId="34272E40">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195BAB4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供应商没有按照磋商文件要求提供全部资料，或者供应商没有对磋商文件在各方面180日历天作出实质性响应可能导致其响应无效，是供应商应当考虑的风险。</w:t>
      </w:r>
    </w:p>
    <w:p w14:paraId="21C0823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14:paraId="41CC8CE8">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15.1竞标报价应按磋商文件第五章“工程量清单及图纸”的要求及第六章“响应文件格式”填写相应表格。</w:t>
      </w:r>
    </w:p>
    <w:p w14:paraId="3199C72D">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7612CBA4">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15.3本项目的增值税计税方法见“供应商须知前附表”。</w:t>
      </w:r>
    </w:p>
    <w:p w14:paraId="4B6A2824">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15.4竞标报价要求</w:t>
      </w:r>
    </w:p>
    <w:p w14:paraId="7751E7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供应商的竞标报价应符合以下要求，否则响应文件按无效处理：</w:t>
      </w:r>
    </w:p>
    <w:p w14:paraId="7C2C295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（1）供应商必须就“采购需求”中所竞标的每个分标的全部内容分别作完整唯一总价报价，不得存在漏项报价</w:t>
      </w:r>
      <w:r>
        <w:rPr>
          <w:rFonts w:hint="eastAsia" w:ascii="宋体" w:hAnsi="宋体" w:cs="宋体"/>
          <w:color w:val="000000" w:themeColor="text1"/>
          <w:szCs w:val="21"/>
          <w:highlight w:val="none"/>
          <w:lang w:eastAsia="zh-CN"/>
          <w14:textFill>
            <w14:solidFill>
              <w14:schemeClr w14:val="tx1"/>
            </w14:solidFill>
          </w14:textFill>
        </w:rPr>
        <w:t>；</w:t>
      </w:r>
    </w:p>
    <w:p w14:paraId="45C8F8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）供应商必须就所竞标的分标的单项内容作唯一报价。</w:t>
      </w:r>
    </w:p>
    <w:p w14:paraId="69105B0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竞标报价（包含首次报价、最后报价）超过所竞标分标规定的采购预算金额或者最高限价的，其响应文件将按无效处理。</w:t>
      </w:r>
    </w:p>
    <w:p w14:paraId="769BAE1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3</w:t>
      </w:r>
      <w:bookmarkStart w:id="61"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竞标报价（包含首次报价、最后报价）超过分项采购预算金额或者单价最高限价的（如有要求），其响应文件将按无效处理。</w:t>
      </w:r>
    </w:p>
    <w:p w14:paraId="35C09D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15.4.4供应商在提交响应文件截止时间前修改竞标函中的竞标总报价，应同时修改响应文件“已标价工程量清单”中的相应报价。此修改须符合本须知正文第20条、第21条的有关要求。</w:t>
      </w:r>
    </w:p>
    <w:bookmarkEnd w:id="61"/>
    <w:p w14:paraId="4CB6FC7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0AA247A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16.1竞标有效期是指为保证采购人有足够的时间在提交响应文件后完成评审、确定180日历天成交供应商、合同签订等工作而要求供应商提交的响应文件在一定时间内保持有效的期限。</w:t>
      </w:r>
    </w:p>
    <w:p w14:paraId="2C5F6B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5733D7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685B7FA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14:paraId="2866A93D">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56DB7D78">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6A37972C">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2" w:name="_Hlk66782243"/>
      <w:r>
        <w:rPr>
          <w:rFonts w:hint="eastAsia" w:ascii="宋体" w:hAnsi="宋体" w:cs="宋体"/>
          <w:color w:val="000000" w:themeColor="text1"/>
          <w:szCs w:val="21"/>
          <w:highlight w:val="none"/>
          <w14:textFill>
            <w14:solidFill>
              <w14:schemeClr w14:val="tx1"/>
            </w14:solidFill>
          </w14:textFill>
        </w:rPr>
        <w:t>未成交供应商的磋商保证金自成交通知书发出之日起5个工作日内退还</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成交供应商的磋商保证金自签订合同之日起5个工作日内退还。</w:t>
      </w:r>
      <w:bookmarkEnd w:id="62"/>
      <w:r>
        <w:rPr>
          <w:rFonts w:hint="eastAsia" w:ascii="宋体" w:hAnsi="宋体" w:cs="宋体"/>
          <w:color w:val="000000" w:themeColor="text1"/>
          <w:szCs w:val="21"/>
          <w:highlight w:val="none"/>
          <w14:textFill>
            <w14:solidFill>
              <w14:schemeClr w14:val="tx1"/>
            </w14:solidFill>
          </w14:textFill>
        </w:rPr>
        <w:t xml:space="preserve"> </w:t>
      </w:r>
    </w:p>
    <w:p w14:paraId="515460F0">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65CDF9C0">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412A8961">
      <w:pPr>
        <w:spacing w:line="360" w:lineRule="auto"/>
        <w:ind w:left="420" w:left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r>
        <w:rPr>
          <w:rFonts w:hint="eastAsia" w:ascii="宋体" w:hAnsi="宋体" w:cs="宋体"/>
          <w:color w:val="000000" w:themeColor="text1"/>
          <w:szCs w:val="21"/>
          <w:highlight w:val="none"/>
          <w:lang w:eastAsia="zh-CN"/>
          <w14:textFill>
            <w14:solidFill>
              <w14:schemeClr w14:val="tx1"/>
            </w14:solidFill>
          </w14:textFill>
        </w:rPr>
        <w:t>；</w:t>
      </w:r>
    </w:p>
    <w:p w14:paraId="1D18D813">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r>
        <w:rPr>
          <w:rFonts w:hint="eastAsia" w:ascii="宋体" w:hAnsi="宋体"/>
          <w:color w:val="000000" w:themeColor="text1"/>
          <w:szCs w:val="21"/>
          <w:highlight w:val="none"/>
          <w:lang w:eastAsia="zh-CN"/>
          <w14:textFill>
            <w14:solidFill>
              <w14:schemeClr w14:val="tx1"/>
            </w14:solidFill>
          </w14:textFill>
        </w:rPr>
        <w:t>；</w:t>
      </w:r>
    </w:p>
    <w:p w14:paraId="630F3E8C">
      <w:pPr>
        <w:spacing w:line="360" w:lineRule="auto"/>
        <w:ind w:left="420" w:left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r>
        <w:rPr>
          <w:rFonts w:hint="eastAsia" w:ascii="宋体" w:hAnsi="宋体" w:cs="宋体"/>
          <w:color w:val="000000" w:themeColor="text1"/>
          <w:szCs w:val="21"/>
          <w:highlight w:val="none"/>
          <w:lang w:eastAsia="zh-CN"/>
          <w14:textFill>
            <w14:solidFill>
              <w14:schemeClr w14:val="tx1"/>
            </w14:solidFill>
          </w14:textFill>
        </w:rPr>
        <w:t>；</w:t>
      </w:r>
    </w:p>
    <w:p w14:paraId="7C915FB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r>
        <w:rPr>
          <w:rFonts w:hint="eastAsia" w:ascii="宋体" w:hAnsi="宋体" w:cs="宋体"/>
          <w:color w:val="000000" w:themeColor="text1"/>
          <w:szCs w:val="21"/>
          <w:highlight w:val="none"/>
          <w:lang w:eastAsia="zh-CN"/>
          <w14:textFill>
            <w14:solidFill>
              <w14:schemeClr w14:val="tx1"/>
            </w14:solidFill>
          </w14:textFill>
        </w:rPr>
        <w:t>；</w:t>
      </w:r>
    </w:p>
    <w:p w14:paraId="746A0A69">
      <w:pPr>
        <w:spacing w:line="360" w:lineRule="auto"/>
        <w:ind w:left="420" w:left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r>
        <w:rPr>
          <w:rFonts w:hint="eastAsia" w:ascii="宋体" w:hAnsi="宋体" w:cs="宋体"/>
          <w:color w:val="000000" w:themeColor="text1"/>
          <w:szCs w:val="21"/>
          <w:highlight w:val="none"/>
          <w:lang w:eastAsia="zh-CN"/>
          <w14:textFill>
            <w14:solidFill>
              <w14:schemeClr w14:val="tx1"/>
            </w14:solidFill>
          </w14:textFill>
        </w:rPr>
        <w:t>；</w:t>
      </w:r>
    </w:p>
    <w:p w14:paraId="272AD258">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6F7E1C90">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14:paraId="01D580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w:t>
      </w:r>
      <w:r>
        <w:rPr>
          <w:rFonts w:hint="eastAsia" w:ascii="宋体" w:hAnsi="宋体" w:cs="宋体"/>
          <w:color w:val="000000" w:themeColor="text1"/>
          <w:szCs w:val="21"/>
          <w:highlight w:val="none"/>
          <w:lang w:eastAsia="zh-CN"/>
          <w14:textFill>
            <w14:solidFill>
              <w14:schemeClr w14:val="tx1"/>
            </w14:solidFill>
          </w14:textFill>
        </w:rPr>
        <w:t>广西政府采购云电子交易客户端</w:t>
      </w:r>
      <w:r>
        <w:rPr>
          <w:rFonts w:hint="eastAsia" w:ascii="宋体" w:hAnsi="宋体" w:cs="宋体"/>
          <w:color w:val="000000" w:themeColor="text1"/>
          <w:szCs w:val="21"/>
          <w:highlight w:val="none"/>
          <w14:textFill>
            <w14:solidFill>
              <w14:schemeClr w14:val="tx1"/>
            </w14:solidFill>
          </w14:textFill>
        </w:rPr>
        <w:t>”（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C0563C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79D4DF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14:paraId="19DE2E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w:t>
      </w:r>
      <w:bookmarkStart w:id="63" w:name="_Hlk170492647"/>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并与广西政府采购云平台中获取磋商文件的供应商名称一致，</w:t>
      </w:r>
      <w:bookmarkEnd w:id="63"/>
      <w:r>
        <w:rPr>
          <w:rFonts w:hint="eastAsia" w:ascii="宋体" w:hAnsi="宋体" w:cs="宋体"/>
          <w:color w:val="000000" w:themeColor="text1"/>
          <w:szCs w:val="21"/>
          <w:highlight w:val="none"/>
          <w14:textFill>
            <w14:solidFill>
              <w14:schemeClr w14:val="tx1"/>
            </w14:solidFill>
          </w14:textFill>
        </w:rPr>
        <w:t>否则其响应文件按无效处理。</w:t>
      </w:r>
    </w:p>
    <w:p w14:paraId="44DE70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B5C4365">
      <w:pPr>
        <w:spacing w:line="360" w:lineRule="auto"/>
        <w:ind w:firstLine="482"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19.电子</w:t>
      </w:r>
      <w:r>
        <w:rPr>
          <w:rFonts w:hint="eastAsia" w:ascii="黑体" w:hAnsi="黑体" w:eastAsia="黑体"/>
          <w:b/>
          <w:color w:val="000000" w:themeColor="text1"/>
          <w:sz w:val="24"/>
          <w:highlight w:val="none"/>
          <w14:textFill>
            <w14:solidFill>
              <w14:schemeClr w14:val="tx1"/>
            </w14:solidFill>
          </w14:textFill>
        </w:rPr>
        <w:t>备份响应文件</w:t>
      </w:r>
    </w:p>
    <w:p w14:paraId="593ABB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电子备份响应文件是指通过“</w:t>
      </w:r>
      <w:r>
        <w:rPr>
          <w:rFonts w:hint="eastAsia"/>
          <w:color w:val="000000" w:themeColor="text1"/>
          <w:highlight w:val="none"/>
          <w:lang w:eastAsia="zh-CN"/>
          <w14:textFill>
            <w14:solidFill>
              <w14:schemeClr w14:val="tx1"/>
            </w14:solidFill>
          </w14:textFill>
        </w:rPr>
        <w:t>广西政府采购云</w:t>
      </w:r>
      <w:r>
        <w:rPr>
          <w:rFonts w:hint="eastAsia"/>
          <w:color w:val="000000" w:themeColor="text1"/>
          <w:highlight w:val="none"/>
          <w14:textFill>
            <w14:solidFill>
              <w14:schemeClr w14:val="tx1"/>
            </w14:solidFill>
          </w14:textFill>
        </w:rPr>
        <w:t>电子投标客户端”在线编制生成且后缀名为“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”的文件，是否接受电子备份响应文件</w:t>
      </w:r>
      <w:r>
        <w:rPr>
          <w:rFonts w:hint="eastAsia" w:hAnsi="宋体"/>
          <w:bCs/>
          <w:color w:val="000000" w:themeColor="text1"/>
          <w:szCs w:val="21"/>
          <w:highlight w:val="none"/>
          <w14:textFill>
            <w14:solidFill>
              <w14:schemeClr w14:val="tx1"/>
            </w14:solidFill>
          </w14:textFill>
        </w:rPr>
        <w:t>详见在“供应商须知前附表”。</w:t>
      </w:r>
    </w:p>
    <w:p w14:paraId="6A1C2B5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5C4E78E3">
      <w:pPr>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及</w:t>
      </w:r>
      <w:r>
        <w:rPr>
          <w:rFonts w:hint="eastAsia" w:hAnsi="宋体"/>
          <w:bCs/>
          <w:color w:val="000000" w:themeColor="text1"/>
          <w:szCs w:val="21"/>
          <w:highlight w:val="none"/>
          <w14:textFill>
            <w14:solidFill>
              <w14:schemeClr w14:val="tx1"/>
            </w14:solidFill>
          </w14:textFill>
        </w:rPr>
        <w:t>地点提交响应文件。电子响应文件应在制作完成后，</w:t>
      </w:r>
      <w:r>
        <w:rPr>
          <w:rFonts w:hAnsi="宋体"/>
          <w:bCs/>
          <w:color w:val="000000" w:themeColor="text1"/>
          <w:szCs w:val="21"/>
          <w:highlight w:val="none"/>
          <w14:textFill>
            <w14:solidFill>
              <w14:schemeClr w14:val="tx1"/>
            </w14:solidFill>
          </w14:textFill>
        </w:rPr>
        <w:t>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 xml:space="preserve"> </w:t>
      </w:r>
    </w:p>
    <w:p w14:paraId="1A295C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14:paraId="3BAA62E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1ECDDD80">
      <w:pPr>
        <w:spacing w:line="360" w:lineRule="auto"/>
        <w:ind w:firstLine="420" w:firstLineChars="200"/>
        <w:rPr>
          <w:rFonts w:hAnsi="宋体"/>
          <w:bCs/>
          <w:color w:val="000000" w:themeColor="text1"/>
          <w:szCs w:val="21"/>
          <w:highlight w:val="none"/>
          <w14:textFill>
            <w14:solidFill>
              <w14:schemeClr w14:val="tx1"/>
            </w14:solidFill>
          </w14:textFill>
        </w:rPr>
      </w:pPr>
      <w:bookmarkStart w:id="64" w:name="_Toc254970543"/>
      <w:bookmarkStart w:id="65" w:name="_Toc254970684"/>
      <w:r>
        <w:rPr>
          <w:rFonts w:hAnsi="宋体"/>
          <w:bCs/>
          <w:color w:val="000000" w:themeColor="text1"/>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1.1供应商应当在提交响应文件截止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前完成电子响应文件的提交（上传），提交响应文件截止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前可以补充、修改或者撤回响应文件。补充或者修改响应文件的，应当先行撤回原响应文件，补充、修改后重新提交（上传），提交响应文件截止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前未完成提交（上传）的，视为撤回响应文件。提交响应文件截止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以后提交（上传）的响应文件，广西政府采购云平台将予以拒收。（注：补充、修改或者撤回方式可登录广西政府采购云平台，进入“服务中心”中查看 “电子投标文件制作与投送教程”）</w:t>
      </w:r>
    </w:p>
    <w:bookmarkEnd w:id="64"/>
    <w:bookmarkEnd w:id="65"/>
    <w:p w14:paraId="7D86F1E1">
      <w:pPr>
        <w:pStyle w:val="101"/>
        <w:spacing w:before="0"/>
        <w:ind w:firstLine="42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2在提交响应文件截止时间前，除供应商补充、修改或者撤回响应文件外，任何单位和个人不得解密或提取响应文件。</w:t>
      </w:r>
    </w:p>
    <w:p w14:paraId="33A32EA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bookmarkStart w:id="66" w:name="_Hlk45702405"/>
      <w:r>
        <w:rPr>
          <w:rFonts w:hint="eastAsia" w:ascii="黑体" w:hAnsi="黑体" w:eastAsia="黑体" w:cs="宋体"/>
          <w:b/>
          <w:bCs/>
          <w:color w:val="000000" w:themeColor="text1"/>
          <w:sz w:val="24"/>
          <w:highlight w:val="none"/>
          <w14:textFill>
            <w14:solidFill>
              <w14:schemeClr w14:val="tx1"/>
            </w14:solidFill>
          </w14:textFill>
        </w:rPr>
        <w:t>22.响应文件的退回</w:t>
      </w:r>
    </w:p>
    <w:p w14:paraId="6611F1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14:paraId="7A1AB689">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23.截止时间后的撤回</w:t>
      </w:r>
    </w:p>
    <w:p w14:paraId="3B9137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供应商在响应文件提交截止时间后向采购人、采购代理机构书面申请撤回响应文件的，将根据本须知正文第17.4条的规定不予退还其磋商保证金。</w:t>
      </w:r>
    </w:p>
    <w:bookmarkEnd w:id="66"/>
    <w:p w14:paraId="79F8813E">
      <w:pPr>
        <w:spacing w:line="360" w:lineRule="auto"/>
        <w:rPr>
          <w:rFonts w:ascii="宋体" w:hAnsi="宋体"/>
          <w:color w:val="000000" w:themeColor="text1"/>
          <w:szCs w:val="21"/>
          <w:highlight w:val="none"/>
          <w14:textFill>
            <w14:solidFill>
              <w14:schemeClr w14:val="tx1"/>
            </w14:solidFill>
          </w14:textFill>
        </w:rPr>
      </w:pPr>
    </w:p>
    <w:p w14:paraId="4A4FE365">
      <w:pPr>
        <w:spacing w:line="360" w:lineRule="auto"/>
        <w:ind w:left="420" w:firstLine="42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2E52FE52">
      <w:pPr>
        <w:spacing w:line="360" w:lineRule="auto"/>
        <w:ind w:left="420" w:firstLine="420"/>
        <w:rPr>
          <w:rFonts w:ascii="宋体" w:hAnsi="宋体"/>
          <w:color w:val="000000" w:themeColor="text1"/>
          <w:szCs w:val="21"/>
          <w:highlight w:val="none"/>
          <w14:textFill>
            <w14:solidFill>
              <w14:schemeClr w14:val="tx1"/>
            </w14:solidFill>
          </w14:textFill>
        </w:rPr>
      </w:pPr>
    </w:p>
    <w:p w14:paraId="13EE69E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24.磋商小组成立</w:t>
      </w:r>
    </w:p>
    <w:p w14:paraId="114B54A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180日历天身份参加本部门或者本单位采购项目的评审。采购代理机构人员不得参加本机构代理的采购项目的评审。</w:t>
      </w:r>
    </w:p>
    <w:p w14:paraId="56E65B9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D77EA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hAnsi="宋体"/>
          <w:bCs/>
          <w:color w:val="000000" w:themeColor="text1"/>
          <w:szCs w:val="2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应当</w:t>
      </w:r>
      <w:r>
        <w:rPr>
          <w:rFonts w:hint="eastAsia" w:hAnsi="宋体"/>
          <w:bCs/>
          <w:color w:val="000000" w:themeColor="text1"/>
          <w:szCs w:val="21"/>
          <w:highlight w:val="none"/>
          <w14:textFill>
            <w14:solidFill>
              <w14:schemeClr w14:val="tx1"/>
            </w14:solidFill>
          </w14:textFill>
        </w:rPr>
        <w:t>基于广西政府采购云平台</w:t>
      </w:r>
      <w:r>
        <w:rPr>
          <w:rFonts w:hint="eastAsia" w:hAnsi="宋体"/>
          <w:bCs/>
          <w:color w:val="000000" w:themeColor="text1"/>
          <w:highlight w:val="none"/>
          <w14:textFill>
            <w14:solidFill>
              <w14:schemeClr w14:val="tx1"/>
            </w14:solidFill>
          </w14:textFill>
        </w:rPr>
        <w:t>抽（选）取</w:t>
      </w:r>
      <w:r>
        <w:rPr>
          <w:rFonts w:hint="eastAsia" w:hAnsi="宋体"/>
          <w:bCs/>
          <w:color w:val="000000" w:themeColor="text1"/>
          <w:szCs w:val="21"/>
          <w:highlight w:val="none"/>
          <w14:textFill>
            <w14:solidFill>
              <w14:schemeClr w14:val="tx1"/>
            </w14:solidFill>
          </w14:textFill>
        </w:rPr>
        <w:t>评审专家。</w:t>
      </w:r>
    </w:p>
    <w:p w14:paraId="7ABD127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首次响应文件的开启和解密</w:t>
      </w:r>
    </w:p>
    <w:p w14:paraId="1186B7E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采购代理机构将在“供应商须知前附表”规定的时</w:t>
      </w:r>
      <w:r>
        <w:rPr>
          <w:rFonts w:hint="eastAsia" w:hAnsi="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000000" w:themeColor="text1"/>
          <w:highlight w:val="none"/>
          <w14:textFill>
            <w14:solidFill>
              <w14:schemeClr w14:val="tx1"/>
            </w14:solidFill>
          </w14:textFill>
        </w:rPr>
        <w:t>采购代理机构依托广西政府采购云平台向各供应商发出电子加密响应文件【开始解密】通知，由供应商按</w:t>
      </w:r>
      <w:r>
        <w:rPr>
          <w:rFonts w:hint="eastAsia" w:hAnsi="宋体"/>
          <w:bCs/>
          <w:color w:val="000000" w:themeColor="text1"/>
          <w:szCs w:val="21"/>
          <w:highlight w:val="none"/>
          <w14:textFill>
            <w14:solidFill>
              <w14:schemeClr w14:val="tx1"/>
            </w14:solidFill>
          </w14:textFill>
        </w:rPr>
        <w:t>“供应商须知前附表”</w:t>
      </w:r>
      <w:r>
        <w:rPr>
          <w:rFonts w:hint="eastAsia"/>
          <w:color w:val="000000" w:themeColor="text1"/>
          <w:highlight w:val="none"/>
          <w14:textFill>
            <w14:solidFill>
              <w14:schemeClr w14:val="tx1"/>
            </w14:solidFill>
          </w14:textFill>
        </w:rPr>
        <w:t>规定的时间内自行进行响应文件解密</w:t>
      </w:r>
      <w:r>
        <w:rPr>
          <w:rFonts w:hint="eastAsia" w:hAnsi="宋体"/>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供应商未在</w:t>
      </w:r>
      <w:r>
        <w:rPr>
          <w:b/>
          <w:color w:val="000000" w:themeColor="text1"/>
          <w:highlight w:val="none"/>
          <w14:textFill>
            <w14:solidFill>
              <w14:schemeClr w14:val="tx1"/>
            </w14:solidFill>
          </w14:textFill>
        </w:rPr>
        <w:t>规定的时间内解密</w:t>
      </w:r>
      <w:r>
        <w:rPr>
          <w:rFonts w:hint="eastAsia"/>
          <w:b/>
          <w:color w:val="000000" w:themeColor="text1"/>
          <w:highlight w:val="none"/>
          <w14:textFill>
            <w14:solidFill>
              <w14:schemeClr w14:val="tx1"/>
            </w14:solidFill>
          </w14:textFill>
        </w:rPr>
        <w:t>响应文件</w:t>
      </w:r>
      <w:r>
        <w:rPr>
          <w:b/>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者</w:t>
      </w:r>
      <w:r>
        <w:rPr>
          <w:b/>
          <w:color w:val="000000" w:themeColor="text1"/>
          <w:highlight w:val="none"/>
          <w14:textFill>
            <w14:solidFill>
              <w14:schemeClr w14:val="tx1"/>
            </w14:solidFill>
          </w14:textFill>
        </w:rPr>
        <w:t>解密失败的</w:t>
      </w:r>
      <w:r>
        <w:rPr>
          <w:rFonts w:hint="eastAsia"/>
          <w:b/>
          <w:color w:val="000000" w:themeColor="text1"/>
          <w:highlight w:val="none"/>
          <w14:textFill>
            <w14:solidFill>
              <w14:schemeClr w14:val="tx1"/>
            </w14:solidFill>
          </w14:textFill>
        </w:rPr>
        <w:t>，供应商</w:t>
      </w:r>
      <w:r>
        <w:rPr>
          <w:rFonts w:hint="eastAsia" w:ascii="宋体" w:hAnsi="宋体"/>
          <w:b/>
          <w:color w:val="000000" w:themeColor="text1"/>
          <w:szCs w:val="21"/>
          <w:highlight w:val="none"/>
          <w14:textFill>
            <w14:solidFill>
              <w14:schemeClr w14:val="tx1"/>
            </w14:solidFill>
          </w14:textFill>
        </w:rPr>
        <w:t>的响应文件按无效处理</w:t>
      </w:r>
      <w:r>
        <w:rPr>
          <w:b/>
          <w:color w:val="000000" w:themeColor="text1"/>
          <w:highlight w:val="none"/>
          <w14:textFill>
            <w14:solidFill>
              <w14:schemeClr w14:val="tx1"/>
            </w14:solidFill>
          </w14:textFill>
        </w:rPr>
        <w:t>。</w:t>
      </w:r>
    </w:p>
    <w:p w14:paraId="3E157C8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14:paraId="435028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4884770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r>
        <w:rPr>
          <w:rFonts w:hint="eastAsia" w:ascii="宋体" w:hAnsi="宋体" w:cs="宋体"/>
          <w:color w:val="000000" w:themeColor="text1"/>
          <w:szCs w:val="21"/>
          <w:highlight w:val="none"/>
          <w14:textFill>
            <w14:solidFill>
              <w14:schemeClr w14:val="tx1"/>
            </w14:solidFill>
          </w14:textFill>
        </w:rPr>
        <w:t>并推荐成交候选供应商</w:t>
      </w:r>
      <w:r>
        <w:rPr>
          <w:rFonts w:ascii="宋体" w:hAnsi="宋体" w:cs="宋体"/>
          <w:color w:val="000000" w:themeColor="text1"/>
          <w:szCs w:val="21"/>
          <w:highlight w:val="none"/>
          <w14:textFill>
            <w14:solidFill>
              <w14:schemeClr w14:val="tx1"/>
            </w14:solidFill>
          </w14:textFill>
        </w:rPr>
        <w:t>。</w:t>
      </w:r>
    </w:p>
    <w:p w14:paraId="5354FE3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26.3磋商小组成员要依法独立评审，并对评审意见承担个人责任。磋商小组成员对需要共同认定的事项存在争议的，按照少数服从多数的原则做出结论。持不同意见的磋商小组成180日历天员应当在评审报告上签署不同意见并说明理由，否则视为同意。</w:t>
      </w:r>
    </w:p>
    <w:p w14:paraId="4B9C0F00">
      <w:pPr>
        <w:spacing w:line="360" w:lineRule="auto"/>
        <w:ind w:firstLine="420" w:firstLineChars="200"/>
        <w:rPr>
          <w:rFonts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12AEF13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（1）电子交易平台发生故障而无法登录访问的</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 xml:space="preserve"> </w:t>
      </w:r>
    </w:p>
    <w:p w14:paraId="6141CF47">
      <w:pPr>
        <w:spacing w:line="360" w:lineRule="auto"/>
        <w:ind w:firstLine="420" w:firstLineChars="200"/>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r>
        <w:rPr>
          <w:rFonts w:hint="eastAsia" w:hAnsi="宋体"/>
          <w:color w:val="000000" w:themeColor="text1"/>
          <w:highlight w:val="none"/>
          <w:lang w:eastAsia="zh-CN"/>
          <w14:textFill>
            <w14:solidFill>
              <w14:schemeClr w14:val="tx1"/>
            </w14:solidFill>
          </w14:textFill>
        </w:rPr>
        <w:t>；</w:t>
      </w:r>
    </w:p>
    <w:p w14:paraId="6387D91F">
      <w:pPr>
        <w:spacing w:line="360" w:lineRule="auto"/>
        <w:ind w:firstLine="420" w:firstLineChars="200"/>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r>
        <w:rPr>
          <w:rFonts w:hint="eastAsia" w:hAnsi="宋体"/>
          <w:color w:val="000000" w:themeColor="text1"/>
          <w:highlight w:val="none"/>
          <w:lang w:eastAsia="zh-CN"/>
          <w14:textFill>
            <w14:solidFill>
              <w14:schemeClr w14:val="tx1"/>
            </w14:solidFill>
          </w14:textFill>
        </w:rPr>
        <w:t>；</w:t>
      </w:r>
    </w:p>
    <w:p w14:paraId="2459858B">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（4）病毒发作导致不能进行正常操作的</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 xml:space="preserve"> </w:t>
      </w:r>
    </w:p>
    <w:p w14:paraId="78149364">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（5）其他无法保证电子交易的公平、公正和安全的情况。</w:t>
      </w:r>
    </w:p>
    <w:p w14:paraId="69F7DA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26.5</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影响或可能影响采购公平、公正性的，经采购代理机构确认，报采购人同意后，应当重新采购。采购代理机构必须对原有的资料及信息作出妥善保密处理，并报财政部门备案。</w:t>
      </w:r>
    </w:p>
    <w:p w14:paraId="409DF2A7">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64E9D9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5FC079">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7"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67"/>
    </w:p>
    <w:p w14:paraId="2972F512">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27.3出现下列情形之一的，采购人或者采购代理机构应当终止竞争性磋商采购活动，发布项目终止公告并说明原因，重新开展采购活动：</w:t>
      </w:r>
    </w:p>
    <w:p w14:paraId="4554DDB9">
      <w:pPr>
        <w:spacing w:line="360" w:lineRule="auto"/>
        <w:ind w:firstLine="420" w:firstLineChars="200"/>
        <w:rPr>
          <w:rFonts w:hint="eastAsia" w:ascii="宋体" w:hAnsi="宋体" w:eastAsia="宋体" w:cs="Courier New"/>
          <w:color w:val="000000" w:themeColor="text1"/>
          <w:szCs w:val="21"/>
          <w:highlight w:val="none"/>
          <w:lang w:eastAsia="zh-CN"/>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（1）因情况变化，不再符合规定的竞争性磋商采购方式适用情形的</w:t>
      </w:r>
      <w:r>
        <w:rPr>
          <w:rFonts w:hint="eastAsia" w:ascii="宋体" w:hAnsi="宋体" w:cs="Courier New"/>
          <w:color w:val="000000" w:themeColor="text1"/>
          <w:szCs w:val="21"/>
          <w:highlight w:val="none"/>
          <w:lang w:eastAsia="zh-CN"/>
          <w14:textFill>
            <w14:solidFill>
              <w14:schemeClr w14:val="tx1"/>
            </w14:solidFill>
          </w14:textFill>
        </w:rPr>
        <w:t>；</w:t>
      </w:r>
    </w:p>
    <w:p w14:paraId="16B4CF61">
      <w:pPr>
        <w:spacing w:line="360" w:lineRule="auto"/>
        <w:ind w:firstLine="420" w:firstLineChars="200"/>
        <w:rPr>
          <w:rFonts w:hint="eastAsia" w:ascii="宋体" w:hAnsi="宋体" w:eastAsia="宋体" w:cs="Courier New"/>
          <w:color w:val="000000" w:themeColor="text1"/>
          <w:szCs w:val="21"/>
          <w:highlight w:val="none"/>
          <w:lang w:eastAsia="zh-CN"/>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（2）出现影响采购公正的违法、违规行为的</w:t>
      </w:r>
      <w:r>
        <w:rPr>
          <w:rFonts w:hint="eastAsia" w:ascii="宋体" w:hAnsi="宋体" w:cs="Courier New"/>
          <w:color w:val="000000" w:themeColor="text1"/>
          <w:szCs w:val="21"/>
          <w:highlight w:val="none"/>
          <w:lang w:eastAsia="zh-CN"/>
          <w14:textFill>
            <w14:solidFill>
              <w14:schemeClr w14:val="tx1"/>
            </w14:solidFill>
          </w14:textFill>
        </w:rPr>
        <w:t>；</w:t>
      </w:r>
    </w:p>
    <w:p w14:paraId="05E12F5F">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46AEDC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6FC0715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14:paraId="1E81A2C3">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14:paraId="7039F3C0">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5998538C">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14:paraId="277EE0EB">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3F3E815C">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3BD73D9C">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14:paraId="1B5C25EB">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072D9DE">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FF93E9">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29.5采购人或成交供应商不得单方面向合同另一方提出任何磋商文件没有约定的条件或不合理的要求，作为签订合同的条件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也不得协商另行订立背离磋商文件和合同实质性内容的协议。</w:t>
      </w:r>
    </w:p>
    <w:p w14:paraId="1CBE5D47">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32EBBB66">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2FE3DE1">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652B9F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4EC79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2E408AF9">
      <w:pPr>
        <w:pStyle w:val="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highlight w:val="none"/>
          <w14:textFill>
            <w14:solidFill>
              <w14:schemeClr w14:val="tx1"/>
            </w14:solidFill>
          </w14:textFill>
        </w:rPr>
        <w:t>但答复的内容不得涉及商业秘密</w:t>
      </w:r>
      <w:r>
        <w:rPr>
          <w:rFonts w:hint="eastAsia" w:ascii="宋体" w:hAnsi="宋体" w:cs="宋体"/>
          <w:color w:val="000000" w:themeColor="text1"/>
          <w:highlight w:val="none"/>
          <w14:textFill>
            <w14:solidFill>
              <w14:schemeClr w14:val="tx1"/>
            </w14:solidFill>
          </w14:textFill>
        </w:rPr>
        <w:t>。</w:t>
      </w:r>
    </w:p>
    <w:p w14:paraId="1DE5C05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30C6717F">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（1）对可以质疑的磋商文件提出质疑的，为获取磋商文件之日或者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lang w:eastAsia="zh-CN"/>
          <w14:textFill>
            <w14:solidFill>
              <w14:schemeClr w14:val="tx1"/>
            </w14:solidFill>
          </w14:textFill>
        </w:rPr>
        <w:t>；</w:t>
      </w:r>
    </w:p>
    <w:p w14:paraId="066B4A5B">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r>
        <w:rPr>
          <w:rFonts w:hint="eastAsia" w:ascii="宋体" w:hAnsi="宋体" w:cs="宋体"/>
          <w:color w:val="000000" w:themeColor="text1"/>
          <w:highlight w:val="none"/>
          <w:lang w:eastAsia="zh-CN"/>
          <w14:textFill>
            <w14:solidFill>
              <w14:schemeClr w14:val="tx1"/>
            </w14:solidFill>
          </w14:textFill>
        </w:rPr>
        <w:t>；</w:t>
      </w:r>
    </w:p>
    <w:p w14:paraId="193B34B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00B811D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8FA14E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0D10F472">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r>
        <w:rPr>
          <w:rFonts w:hint="eastAsia" w:ascii="宋体" w:hAnsi="宋体" w:cs="宋体"/>
          <w:color w:val="000000" w:themeColor="text1"/>
          <w:highlight w:val="none"/>
          <w:lang w:eastAsia="zh-CN"/>
          <w14:textFill>
            <w14:solidFill>
              <w14:schemeClr w14:val="tx1"/>
            </w14:solidFill>
          </w14:textFill>
        </w:rPr>
        <w:t>；</w:t>
      </w:r>
    </w:p>
    <w:p w14:paraId="7A7E5B05">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r>
        <w:rPr>
          <w:rFonts w:hint="eastAsia" w:ascii="宋体" w:hAnsi="宋体" w:cs="宋体"/>
          <w:color w:val="000000" w:themeColor="text1"/>
          <w:highlight w:val="none"/>
          <w:lang w:eastAsia="zh-CN"/>
          <w14:textFill>
            <w14:solidFill>
              <w14:schemeClr w14:val="tx1"/>
            </w14:solidFill>
          </w14:textFill>
        </w:rPr>
        <w:t>；</w:t>
      </w:r>
    </w:p>
    <w:p w14:paraId="63E322A0">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r>
        <w:rPr>
          <w:rFonts w:hint="eastAsia" w:ascii="宋体" w:hAnsi="宋体" w:cs="宋体"/>
          <w:color w:val="000000" w:themeColor="text1"/>
          <w:highlight w:val="none"/>
          <w:lang w:eastAsia="zh-CN"/>
          <w14:textFill>
            <w14:solidFill>
              <w14:schemeClr w14:val="tx1"/>
            </w14:solidFill>
          </w14:textFill>
        </w:rPr>
        <w:t>；</w:t>
      </w:r>
    </w:p>
    <w:p w14:paraId="5E63A7D7">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r>
        <w:rPr>
          <w:rFonts w:hint="eastAsia" w:ascii="宋体" w:hAnsi="宋体" w:cs="宋体"/>
          <w:color w:val="000000" w:themeColor="text1"/>
          <w:highlight w:val="none"/>
          <w:lang w:eastAsia="zh-CN"/>
          <w14:textFill>
            <w14:solidFill>
              <w14:schemeClr w14:val="tx1"/>
            </w14:solidFill>
          </w14:textFill>
        </w:rPr>
        <w:t>；</w:t>
      </w:r>
    </w:p>
    <w:p w14:paraId="3426A614">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r>
        <w:rPr>
          <w:rFonts w:hint="eastAsia" w:ascii="宋体" w:hAnsi="宋体" w:cs="宋体"/>
          <w:color w:val="000000" w:themeColor="text1"/>
          <w:highlight w:val="none"/>
          <w:lang w:eastAsia="zh-CN"/>
          <w14:textFill>
            <w14:solidFill>
              <w14:schemeClr w14:val="tx1"/>
            </w14:solidFill>
          </w14:textFill>
        </w:rPr>
        <w:t>；</w:t>
      </w:r>
    </w:p>
    <w:p w14:paraId="0A6B028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12A0990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供应商为法人或者其他组织的，应当由法定代表人、主要负责人，或者其委托代理人签字或者盖章，并加盖公章。</w:t>
      </w:r>
    </w:p>
    <w:p w14:paraId="79300E1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认为供应商质疑成立且影响或者可能影响成交结果的，按照下列情况处理：</w:t>
      </w:r>
    </w:p>
    <w:p w14:paraId="255589C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否则应当修改采购文件后重新开展采购活动。</w:t>
      </w:r>
    </w:p>
    <w:p w14:paraId="5BC1ECB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否则应当重新开展采购活动。</w:t>
      </w:r>
    </w:p>
    <w:p w14:paraId="4F14C86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04A01F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058048">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14:paraId="2C53A10E">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.1代理服务收取标准及缴费账户详见“供应商须知前附表”，供应商为联合体的，可以由联合体中的一方或者多方共同交纳代理服务费。</w:t>
      </w:r>
    </w:p>
    <w:p w14:paraId="352E2EC6">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3D2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14C629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2950527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vAlign w:val="center"/>
          </w:tcPr>
          <w:p w14:paraId="03252F99">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vAlign w:val="center"/>
          </w:tcPr>
          <w:p w14:paraId="02FF973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vAlign w:val="center"/>
          </w:tcPr>
          <w:p w14:paraId="6134A12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1EAE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AE7C0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14:paraId="5D3F1B3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tcPr>
          <w:p w14:paraId="119E5E8B">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14:paraId="6102E8D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14:paraId="7205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A575C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14:paraId="77F920F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tcPr>
          <w:p w14:paraId="65B52288">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14:paraId="11AB5A71">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14:paraId="6A5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970A3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14:paraId="36DEDE1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tcPr>
          <w:p w14:paraId="2B2E8B6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14:paraId="6846ED85">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14:paraId="2F6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1C42C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14:paraId="7B347BE6">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tcPr>
          <w:p w14:paraId="289648AE">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14:paraId="50D2517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14:paraId="36F6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4EB27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14:paraId="6C9CA446">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tcPr>
          <w:p w14:paraId="364F1F9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14:paraId="3564D6EE">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14:paraId="0CF6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DD005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14:paraId="49D6C47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14:paraId="76B53BC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tcPr>
          <w:p w14:paraId="3770C87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14:paraId="366F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F7C98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14:paraId="076ED810">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14:paraId="4A1D769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tcPr>
          <w:p w14:paraId="6E36FDBC">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02F9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1AA61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14:paraId="7B30CBA5">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14:paraId="6D40A3A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14:paraId="1DFEBF1A">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1C7A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03C9D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14:paraId="3B8235D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tcPr>
          <w:p w14:paraId="51142460">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14:paraId="3258CE88">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45C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FF016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14:paraId="7EA7DD9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tcPr>
          <w:p w14:paraId="3506EE98">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14:paraId="09026CB6">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4CFC63B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26EF671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lang w:eastAsia="zh-CN"/>
          <w14:textFill>
            <w14:solidFill>
              <w14:schemeClr w14:val="tx1"/>
            </w14:solidFill>
          </w14:textFill>
        </w:rPr>
        <w:t>；</w:t>
      </w:r>
    </w:p>
    <w:p w14:paraId="67E5ACD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14:paraId="6751B1B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w:t>
      </w:r>
      <w:r>
        <w:rPr>
          <w:rFonts w:hint="eastAsia" w:ascii="宋体" w:hAnsi="宋体" w:cs="宋体"/>
          <w:color w:val="000000" w:themeColor="text1"/>
          <w:highlight w:val="none"/>
          <w14:textFill>
            <w14:solidFill>
              <w14:schemeClr w14:val="tx1"/>
            </w14:solidFill>
          </w14:textFill>
        </w:rPr>
        <w:t>工程项目采购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14:paraId="19311C6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100 万元 ×l.</w:t>
      </w:r>
      <w:r>
        <w:rPr>
          <w:rFonts w:hint="eastAsia" w:ascii="宋体" w:hAnsi="宋体" w:cs="宋体"/>
          <w:color w:val="000000" w:themeColor="text1"/>
          <w:highlight w:val="none"/>
          <w14:textFill>
            <w14:solidFill>
              <w14:schemeClr w14:val="tx1"/>
            </w14:solidFill>
          </w14:textFill>
        </w:rPr>
        <w:t>0</w:t>
      </w:r>
      <w:r>
        <w:rPr>
          <w:rFonts w:ascii="宋体" w:hAnsi="宋体" w:cs="宋体"/>
          <w:color w:val="000000" w:themeColor="text1"/>
          <w:highlight w:val="none"/>
          <w14:textFill>
            <w14:solidFill>
              <w14:schemeClr w14:val="tx1"/>
            </w14:solidFill>
          </w14:textFill>
        </w:rPr>
        <w:t xml:space="preserve"> %＝ 1.</w:t>
      </w:r>
      <w:r>
        <w:rPr>
          <w:rFonts w:hint="eastAsia" w:ascii="宋体" w:hAnsi="宋体" w:cs="宋体"/>
          <w:color w:val="000000" w:themeColor="text1"/>
          <w:highlight w:val="none"/>
          <w14:textFill>
            <w14:solidFill>
              <w14:schemeClr w14:val="tx1"/>
            </w14:solidFill>
          </w14:textFill>
        </w:rPr>
        <w:t>0</w:t>
      </w:r>
      <w:r>
        <w:rPr>
          <w:rFonts w:ascii="宋体" w:hAnsi="宋体" w:cs="宋体"/>
          <w:color w:val="000000" w:themeColor="text1"/>
          <w:highlight w:val="none"/>
          <w14:textFill>
            <w14:solidFill>
              <w14:schemeClr w14:val="tx1"/>
            </w14:solidFill>
          </w14:textFill>
        </w:rPr>
        <w:t>万元</w:t>
      </w:r>
    </w:p>
    <w:p w14:paraId="2710C3B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150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100 ）万元 ×0.</w:t>
      </w:r>
      <w:r>
        <w:rPr>
          <w:rFonts w:hint="eastAsia" w:ascii="宋体" w:hAnsi="宋体" w:cs="宋体"/>
          <w:color w:val="000000" w:themeColor="text1"/>
          <w:highlight w:val="none"/>
          <w14:textFill>
            <w14:solidFill>
              <w14:schemeClr w14:val="tx1"/>
            </w14:solidFill>
          </w14:textFill>
        </w:rPr>
        <w:t>7</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0.</w:t>
      </w:r>
      <w:r>
        <w:rPr>
          <w:rFonts w:hint="eastAsia" w:ascii="宋体" w:hAnsi="宋体" w:cs="宋体"/>
          <w:color w:val="000000" w:themeColor="text1"/>
          <w:highlight w:val="none"/>
          <w14:textFill>
            <w14:solidFill>
              <w14:schemeClr w14:val="tx1"/>
            </w14:solidFill>
          </w14:textFill>
        </w:rPr>
        <w:t>35</w:t>
      </w:r>
      <w:r>
        <w:rPr>
          <w:rFonts w:ascii="宋体" w:hAnsi="宋体" w:cs="宋体"/>
          <w:color w:val="000000" w:themeColor="text1"/>
          <w:highlight w:val="none"/>
          <w14:textFill>
            <w14:solidFill>
              <w14:schemeClr w14:val="tx1"/>
            </w14:solidFill>
          </w14:textFill>
        </w:rPr>
        <w:t>万元</w:t>
      </w:r>
    </w:p>
    <w:p w14:paraId="7632E87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合计收费＝ 1.</w:t>
      </w:r>
      <w:r>
        <w:rPr>
          <w:rFonts w:hint="eastAsia" w:ascii="宋体" w:hAnsi="宋体" w:cs="宋体"/>
          <w:color w:val="000000" w:themeColor="text1"/>
          <w:highlight w:val="none"/>
          <w14:textFill>
            <w14:solidFill>
              <w14:schemeClr w14:val="tx1"/>
            </w14:solidFill>
          </w14:textFill>
        </w:rPr>
        <w:t xml:space="preserve">0 + </w:t>
      </w:r>
      <w:r>
        <w:rPr>
          <w:rFonts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 xml:space="preserve">35 </w:t>
      </w:r>
      <w:r>
        <w:rPr>
          <w:rFonts w:ascii="宋体" w:hAnsi="宋体" w:cs="宋体"/>
          <w:color w:val="000000" w:themeColor="text1"/>
          <w:highlight w:val="none"/>
          <w14:textFill>
            <w14:solidFill>
              <w14:schemeClr w14:val="tx1"/>
            </w14:solidFill>
          </w14:textFill>
        </w:rPr>
        <w:t>＝ 1.</w:t>
      </w:r>
      <w:r>
        <w:rPr>
          <w:rFonts w:hint="eastAsia" w:ascii="宋体" w:hAnsi="宋体" w:cs="宋体"/>
          <w:color w:val="000000" w:themeColor="text1"/>
          <w:highlight w:val="none"/>
          <w14:textFill>
            <w14:solidFill>
              <w14:schemeClr w14:val="tx1"/>
            </w14:solidFill>
          </w14:textFill>
        </w:rPr>
        <w:t>35</w:t>
      </w:r>
      <w:r>
        <w:rPr>
          <w:rFonts w:ascii="宋体" w:hAnsi="宋体" w:cs="宋体"/>
          <w:color w:val="000000" w:themeColor="text1"/>
          <w:highlight w:val="none"/>
          <w14:textFill>
            <w14:solidFill>
              <w14:schemeClr w14:val="tx1"/>
            </w14:solidFill>
          </w14:textFill>
        </w:rPr>
        <w:t xml:space="preserve"> 万元</w:t>
      </w:r>
    </w:p>
    <w:p w14:paraId="5AA14FAF">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14:paraId="31B1622E">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本磋商文件解释规则详见“供应商须知前附表”。</w:t>
      </w:r>
    </w:p>
    <w:p w14:paraId="422C76EF">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33.2农民工工资保证金见“供应商须知前附表”。</w:t>
      </w:r>
    </w:p>
    <w:p w14:paraId="2A10B395">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3 其他事项详见“供应商须知前附表”。</w:t>
      </w:r>
    </w:p>
    <w:p w14:paraId="25F998C8">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w:t>
      </w:r>
      <w:r>
        <w:rPr>
          <w:rFonts w:hint="eastAsia" w:hAnsi="宋体" w:cs="宋体"/>
          <w:color w:val="000000" w:themeColor="text1"/>
          <w:kern w:val="2"/>
          <w:sz w:val="21"/>
          <w:highlight w:val="none"/>
          <w14:textFill>
            <w14:solidFill>
              <w14:schemeClr w14:val="tx1"/>
            </w14:solidFill>
          </w14:textFill>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E62C0B8">
      <w:pPr>
        <w:pStyle w:val="25"/>
        <w:spacing w:line="360" w:lineRule="auto"/>
        <w:ind w:firstLine="420" w:firstLineChars="200"/>
        <w:contextualSpacing/>
        <w:rPr>
          <w:rFonts w:hint="eastAsia" w:hAnsi="宋体" w:eastAsia="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r>
        <w:rPr>
          <w:rFonts w:hint="eastAsia" w:hAnsi="宋体"/>
          <w:color w:val="000000" w:themeColor="text1"/>
          <w:sz w:val="21"/>
          <w:highlight w:val="none"/>
          <w:lang w:eastAsia="zh-CN"/>
          <w14:textFill>
            <w14:solidFill>
              <w14:schemeClr w14:val="tx1"/>
            </w14:solidFill>
          </w14:textFill>
        </w:rPr>
        <w:t>；</w:t>
      </w:r>
    </w:p>
    <w:p w14:paraId="2C143F66">
      <w:pPr>
        <w:pStyle w:val="25"/>
        <w:spacing w:line="360" w:lineRule="auto"/>
        <w:ind w:firstLine="420" w:firstLineChars="200"/>
        <w:contextualSpacing/>
        <w:rPr>
          <w:rFonts w:hint="eastAsia" w:hAnsi="宋体" w:eastAsia="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r>
        <w:rPr>
          <w:rFonts w:hint="eastAsia" w:hAnsi="宋体"/>
          <w:color w:val="000000" w:themeColor="text1"/>
          <w:sz w:val="21"/>
          <w:highlight w:val="none"/>
          <w:lang w:eastAsia="zh-CN"/>
          <w14:textFill>
            <w14:solidFill>
              <w14:schemeClr w14:val="tx1"/>
            </w14:solidFill>
          </w14:textFill>
        </w:rPr>
        <w:t>；</w:t>
      </w:r>
    </w:p>
    <w:p w14:paraId="02083FA2">
      <w:pPr>
        <w:pStyle w:val="25"/>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34393022">
      <w:pPr>
        <w:pStyle w:val="25"/>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sz w:val="21"/>
          <w:highlight w:val="none"/>
          <w14:textFill>
            <w14:solidFill>
              <w14:schemeClr w14:val="tx1"/>
            </w14:solidFill>
          </w14:textFill>
        </w:rPr>
        <w:t>中小企业的，联合体视同中小企业。其中，联合体各方均为小微企业的，联合体视同小微企业。</w:t>
      </w:r>
    </w:p>
    <w:p w14:paraId="4D1F0372">
      <w:pPr>
        <w:pStyle w:val="25"/>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2A8DFD02">
      <w:pPr>
        <w:pStyle w:val="2"/>
        <w:spacing w:before="0" w:after="0" w:line="360" w:lineRule="auto"/>
        <w:jc w:val="center"/>
        <w:rPr>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br w:type="page"/>
      </w:r>
      <w:bookmarkStart w:id="68" w:name="_Toc122424246"/>
      <w:r>
        <w:rPr>
          <w:rFonts w:hint="eastAsia"/>
          <w:color w:val="000000" w:themeColor="text1"/>
          <w:highlight w:val="none"/>
          <w14:textFill>
            <w14:solidFill>
              <w14:schemeClr w14:val="tx1"/>
            </w14:solidFill>
          </w14:textFill>
        </w:rPr>
        <w:t>第三章 采购需求</w:t>
      </w:r>
      <w:bookmarkEnd w:id="68"/>
    </w:p>
    <w:p w14:paraId="4C60BBC6">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35A4AB5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为落实政府采购政策需满足的要求</w:t>
      </w:r>
    </w:p>
    <w:p w14:paraId="72E99A57">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“实质性要求”是指采购需求中带“▲”的条款或者不能负偏离的条款或者已经指明不满足按响应文件按无效处理的条款。</w:t>
      </w:r>
    </w:p>
    <w:p w14:paraId="1212B3F7">
      <w:pPr>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p w14:paraId="41F09852">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104983C7">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所属行业：建筑业</w:t>
      </w:r>
    </w:p>
    <w:tbl>
      <w:tblPr>
        <w:tblStyle w:val="43"/>
        <w:tblW w:w="88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960"/>
        <w:gridCol w:w="183"/>
        <w:gridCol w:w="568"/>
        <w:gridCol w:w="224"/>
        <w:gridCol w:w="6481"/>
        <w:gridCol w:w="46"/>
      </w:tblGrid>
      <w:tr w14:paraId="4FEB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6" w:type="dxa"/>
          <w:trHeight w:val="824" w:hRule="atLeast"/>
          <w:jc w:val="center"/>
        </w:trPr>
        <w:tc>
          <w:tcPr>
            <w:tcW w:w="389" w:type="dxa"/>
            <w:vAlign w:val="center"/>
          </w:tcPr>
          <w:p w14:paraId="144A7AFD">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143" w:type="dxa"/>
            <w:gridSpan w:val="2"/>
            <w:vAlign w:val="center"/>
          </w:tcPr>
          <w:p w14:paraId="62DF3E1E">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792" w:type="dxa"/>
            <w:gridSpan w:val="2"/>
            <w:vAlign w:val="center"/>
          </w:tcPr>
          <w:p w14:paraId="7325C3E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数量及单位</w:t>
            </w:r>
          </w:p>
        </w:tc>
        <w:tc>
          <w:tcPr>
            <w:tcW w:w="6481" w:type="dxa"/>
            <w:vAlign w:val="center"/>
          </w:tcPr>
          <w:p w14:paraId="747FF9AD">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p>
        </w:tc>
      </w:tr>
      <w:tr w14:paraId="562B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6" w:type="dxa"/>
          <w:trHeight w:val="1266" w:hRule="atLeast"/>
          <w:jc w:val="center"/>
        </w:trPr>
        <w:tc>
          <w:tcPr>
            <w:tcW w:w="389" w:type="dxa"/>
            <w:vAlign w:val="center"/>
          </w:tcPr>
          <w:p w14:paraId="3509B0B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43" w:type="dxa"/>
            <w:gridSpan w:val="2"/>
            <w:vAlign w:val="center"/>
          </w:tcPr>
          <w:p w14:paraId="5B50E92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钦州幼儿师范高等专科学校室内体育训练棚建设项目</w:t>
            </w:r>
          </w:p>
        </w:tc>
        <w:tc>
          <w:tcPr>
            <w:tcW w:w="792" w:type="dxa"/>
            <w:gridSpan w:val="2"/>
            <w:vAlign w:val="center"/>
          </w:tcPr>
          <w:p w14:paraId="100D1BF7">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6481" w:type="dxa"/>
            <w:vAlign w:val="center"/>
          </w:tcPr>
          <w:p w14:paraId="5405122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一、建设地点：</w:t>
            </w:r>
            <w:r>
              <w:rPr>
                <w:rFonts w:hint="eastAsia"/>
                <w:color w:val="000000" w:themeColor="text1"/>
                <w:highlight w:val="none"/>
                <w14:textFill>
                  <w14:solidFill>
                    <w14:schemeClr w14:val="tx1"/>
                  </w14:solidFill>
                </w14:textFill>
              </w:rPr>
              <w:t>钦州市钦南区南珠街道西环南路89号</w:t>
            </w:r>
            <w:r>
              <w:rPr>
                <w:rFonts w:hint="eastAsia" w:ascii="宋体" w:hAnsi="宋体"/>
                <w:color w:val="000000" w:themeColor="text1"/>
                <w:szCs w:val="21"/>
                <w:highlight w:val="none"/>
                <w14:textFill>
                  <w14:solidFill>
                    <w14:schemeClr w14:val="tx1"/>
                  </w14:solidFill>
                </w14:textFill>
              </w:rPr>
              <w:t>。</w:t>
            </w:r>
          </w:p>
          <w:p w14:paraId="7E4D3808">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二、工程概况：</w:t>
            </w:r>
          </w:p>
          <w:p w14:paraId="2C89A9BF">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主要改造内容有:单层体育馆，地上1层;项目主要建设内容包括钢架结构、土建、安装等内容……</w:t>
            </w:r>
            <w:r>
              <w:rPr>
                <w:rFonts w:hint="eastAsia" w:ascii="宋体" w:hAnsi="宋体"/>
                <w:color w:val="000000" w:themeColor="text1"/>
                <w:highlight w:val="none"/>
                <w14:textFill>
                  <w14:solidFill>
                    <w14:schemeClr w14:val="tx1"/>
                  </w14:solidFill>
                </w14:textFill>
              </w:rPr>
              <w:t>具体内容详见图纸及工程量清单</w:t>
            </w:r>
            <w:r>
              <w:rPr>
                <w:rFonts w:hint="eastAsia" w:ascii="宋体" w:hAnsi="宋体"/>
                <w:color w:val="000000" w:themeColor="text1"/>
                <w:szCs w:val="21"/>
                <w:highlight w:val="none"/>
                <w14:textFill>
                  <w14:solidFill>
                    <w14:schemeClr w14:val="tx1"/>
                  </w14:solidFill>
                </w14:textFill>
              </w:rPr>
              <w:t>。</w:t>
            </w:r>
          </w:p>
          <w:p w14:paraId="5DC6930B">
            <w:pPr>
              <w:spacing w:line="360" w:lineRule="auto"/>
              <w:rPr>
                <w:rFonts w:ascii="宋体" w:hAnsi="宋体"/>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三、工程质量要求：</w:t>
            </w:r>
            <w:r>
              <w:rPr>
                <w:rFonts w:hint="eastAsia" w:ascii="宋体" w:hAnsi="宋体" w:cs="宋体"/>
                <w:color w:val="000000" w:themeColor="text1"/>
                <w:szCs w:val="21"/>
                <w:highlight w:val="none"/>
                <w14:textFill>
                  <w14:solidFill>
                    <w14:schemeClr w14:val="tx1"/>
                  </w14:solidFill>
                </w14:textFill>
              </w:rPr>
              <w:t>达到国家施工验收规范合格标准要求</w:t>
            </w:r>
          </w:p>
          <w:p w14:paraId="03A6B20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四、具体需求内容详见工程量清单（另册发放）</w:t>
            </w:r>
            <w:bookmarkStart w:id="69" w:name="_Toc333607989"/>
          </w:p>
          <w:p w14:paraId="7B3D25A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五、单价说明：</w:t>
            </w:r>
          </w:p>
          <w:p w14:paraId="4C861C6E">
            <w:pPr>
              <w:widowControl/>
              <w:spacing w:line="360" w:lineRule="auto"/>
              <w:jc w:val="left"/>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  </w:t>
            </w:r>
            <w:bookmarkEnd w:id="69"/>
            <w:r>
              <w:rPr>
                <w:rFonts w:hint="eastAsia" w:ascii="宋体" w:hAnsi="宋体" w:cs="宋体"/>
                <w:color w:val="000000" w:themeColor="text1"/>
                <w:kern w:val="0"/>
                <w:szCs w:val="21"/>
                <w:highlight w:val="none"/>
                <w14:textFill>
                  <w14:solidFill>
                    <w14:schemeClr w14:val="tx1"/>
                  </w14:solidFill>
                </w14:textFill>
              </w:rPr>
              <w:t>材料价格参考 2025年第4期下半月《钦州市建设工程造价信息》除税价及按市场价询价计取。</w:t>
            </w:r>
          </w:p>
        </w:tc>
      </w:tr>
      <w:tr w14:paraId="29A5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8805" w:type="dxa"/>
            <w:gridSpan w:val="6"/>
            <w:tcBorders>
              <w:top w:val="single" w:color="auto" w:sz="4" w:space="0"/>
              <w:left w:val="single" w:color="auto" w:sz="4" w:space="0"/>
              <w:bottom w:val="single" w:color="auto" w:sz="4" w:space="0"/>
              <w:right w:val="single" w:color="auto" w:sz="4" w:space="0"/>
            </w:tcBorders>
          </w:tcPr>
          <w:p w14:paraId="11AE3E6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一、商务要求</w:t>
            </w:r>
          </w:p>
        </w:tc>
      </w:tr>
      <w:tr w14:paraId="02214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2100" w:type="dxa"/>
            <w:gridSpan w:val="4"/>
            <w:tcBorders>
              <w:top w:val="single" w:color="auto" w:sz="4" w:space="0"/>
              <w:left w:val="single" w:color="auto" w:sz="4" w:space="0"/>
              <w:bottom w:val="single" w:color="auto" w:sz="4" w:space="0"/>
              <w:right w:val="single" w:color="auto" w:sz="4" w:space="0"/>
            </w:tcBorders>
            <w:vAlign w:val="center"/>
          </w:tcPr>
          <w:p w14:paraId="0A3C5BB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计划工期</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0AD6F9E2">
            <w:pP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80</w:t>
            </w:r>
            <w:r>
              <w:rPr>
                <w:rFonts w:hint="eastAsia" w:ascii="宋体" w:hAnsi="宋体"/>
                <w:color w:val="000000" w:themeColor="text1"/>
                <w:highlight w:val="none"/>
                <w:lang w:val="zh-CN"/>
                <w14:textFill>
                  <w14:solidFill>
                    <w14:schemeClr w14:val="tx1"/>
                  </w14:solidFill>
                </w14:textFill>
              </w:rPr>
              <w:t>日历天</w:t>
            </w:r>
            <w:r>
              <w:rPr>
                <w:rFonts w:ascii="宋体" w:hAnsi="宋体"/>
                <w:color w:val="000000" w:themeColor="text1"/>
                <w:highlight w:val="none"/>
                <w:lang w:val="zh-CN"/>
                <w14:textFill>
                  <w14:solidFill>
                    <w14:schemeClr w14:val="tx1"/>
                  </w14:solidFill>
                </w14:textFill>
              </w:rPr>
              <w:t>。</w:t>
            </w:r>
          </w:p>
        </w:tc>
      </w:tr>
      <w:tr w14:paraId="59090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2100" w:type="dxa"/>
            <w:gridSpan w:val="4"/>
            <w:tcBorders>
              <w:top w:val="single" w:color="auto" w:sz="4" w:space="0"/>
              <w:left w:val="single" w:color="auto" w:sz="4" w:space="0"/>
              <w:bottom w:val="single" w:color="auto" w:sz="4" w:space="0"/>
              <w:right w:val="single" w:color="auto" w:sz="4" w:space="0"/>
            </w:tcBorders>
            <w:vAlign w:val="center"/>
          </w:tcPr>
          <w:p w14:paraId="7BA5C30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19F60AAC">
            <w:pPr>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钦州市钦南区南珠街道西环南路89号</w:t>
            </w:r>
            <w:r>
              <w:rPr>
                <w:rFonts w:hint="eastAsia" w:ascii="宋体" w:hAnsi="宋体"/>
                <w:color w:val="000000" w:themeColor="text1"/>
                <w:szCs w:val="21"/>
                <w:highlight w:val="none"/>
                <w14:textFill>
                  <w14:solidFill>
                    <w14:schemeClr w14:val="tx1"/>
                  </w14:solidFill>
                </w14:textFill>
              </w:rPr>
              <w:t>。</w:t>
            </w:r>
          </w:p>
        </w:tc>
      </w:tr>
      <w:tr w14:paraId="2BB7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2100" w:type="dxa"/>
            <w:gridSpan w:val="4"/>
            <w:tcBorders>
              <w:top w:val="single" w:color="auto" w:sz="4" w:space="0"/>
              <w:left w:val="single" w:color="auto" w:sz="4" w:space="0"/>
              <w:bottom w:val="single" w:color="auto" w:sz="4" w:space="0"/>
              <w:right w:val="single" w:color="auto" w:sz="4" w:space="0"/>
            </w:tcBorders>
            <w:vAlign w:val="center"/>
          </w:tcPr>
          <w:p w14:paraId="2BDA339E">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4AA19F9F">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自成交通知书发出之日起</w:t>
            </w:r>
            <w:r>
              <w:rPr>
                <w:rFonts w:hint="eastAsia" w:ascii="宋体" w:hAnsi="宋体"/>
                <w:color w:val="000000" w:themeColor="text1"/>
                <w:szCs w:val="21"/>
                <w:highlight w:val="none"/>
                <w:u w:val="single"/>
                <w14:textFill>
                  <w14:solidFill>
                    <w14:schemeClr w14:val="tx1"/>
                  </w14:solidFill>
                </w14:textFill>
              </w:rPr>
              <w:t xml:space="preserve"> 25 </w:t>
            </w:r>
            <w:r>
              <w:rPr>
                <w:rFonts w:hint="eastAsia" w:ascii="宋体" w:hAnsi="宋体"/>
                <w:color w:val="000000" w:themeColor="text1"/>
                <w:szCs w:val="21"/>
                <w:highlight w:val="none"/>
                <w14:textFill>
                  <w14:solidFill>
                    <w14:schemeClr w14:val="tx1"/>
                  </w14:solidFill>
                </w14:textFill>
              </w:rPr>
              <w:t>日内。</w:t>
            </w:r>
          </w:p>
        </w:tc>
      </w:tr>
      <w:tr w14:paraId="08B6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2100" w:type="dxa"/>
            <w:gridSpan w:val="4"/>
            <w:tcBorders>
              <w:top w:val="single" w:color="auto" w:sz="4" w:space="0"/>
              <w:left w:val="single" w:color="auto" w:sz="4" w:space="0"/>
              <w:bottom w:val="single" w:color="auto" w:sz="4" w:space="0"/>
              <w:right w:val="single" w:color="auto" w:sz="4" w:space="0"/>
            </w:tcBorders>
            <w:vAlign w:val="center"/>
          </w:tcPr>
          <w:p w14:paraId="48F59A5E">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▲付款条件（进度和方式）</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486EE212">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工程进度款支付预付款:无。</w:t>
            </w:r>
          </w:p>
          <w:p w14:paraId="6048C635">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付款周期：工程进度完成工程量的</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0%支付至合同总价款的</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0%；工程竣工验收合格后20个工作日内，工程进度款支付至完成合同总价款的</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0%；竣工结算经审计部门审计后，工程款支付至项目审定结算价款的</w:t>
            </w:r>
            <w:r>
              <w:rPr>
                <w:rFonts w:hint="eastAsia" w:ascii="宋体" w:hAnsi="宋体"/>
                <w:color w:val="000000" w:themeColor="text1"/>
                <w:szCs w:val="21"/>
                <w:highlight w:val="none"/>
                <w:lang w:val="en-US" w:eastAsia="zh-CN"/>
                <w14:textFill>
                  <w14:solidFill>
                    <w14:schemeClr w14:val="tx1"/>
                  </w14:solidFill>
                </w14:textFill>
              </w:rPr>
              <w:t>97</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hAnsi="宋体"/>
                <w:bCs/>
                <w:color w:val="000000"/>
                <w:szCs w:val="21"/>
              </w:rPr>
              <w:t>预留</w:t>
            </w:r>
            <w:r>
              <w:rPr>
                <w:rFonts w:hAnsi="宋体"/>
                <w:bCs/>
                <w:color w:val="000000"/>
                <w:szCs w:val="21"/>
              </w:rPr>
              <w:t>结算总价</w:t>
            </w:r>
            <w:r>
              <w:rPr>
                <w:rFonts w:hint="eastAsia" w:hAnsi="宋体"/>
                <w:bCs/>
                <w:color w:val="000000"/>
                <w:szCs w:val="21"/>
              </w:rPr>
              <w:t>的</w:t>
            </w:r>
            <w:r>
              <w:rPr>
                <w:rFonts w:hint="eastAsia"/>
                <w:bCs/>
                <w:color w:val="000000"/>
                <w:szCs w:val="21"/>
              </w:rPr>
              <w:t>3%作为质量</w:t>
            </w:r>
            <w:r>
              <w:rPr>
                <w:rFonts w:hint="eastAsia" w:hAnsi="宋体"/>
                <w:bCs/>
                <w:color w:val="000000"/>
                <w:szCs w:val="21"/>
              </w:rPr>
              <w:t>保证金</w:t>
            </w:r>
            <w:r>
              <w:rPr>
                <w:rFonts w:ascii="宋体" w:hAnsi="宋体"/>
                <w:color w:val="000000"/>
                <w:szCs w:val="21"/>
              </w:rPr>
              <w:t>，待工程</w:t>
            </w:r>
            <w:r>
              <w:rPr>
                <w:rFonts w:hint="eastAsia" w:ascii="宋体" w:hAnsi="宋体"/>
                <w:color w:val="000000"/>
                <w:szCs w:val="21"/>
              </w:rPr>
              <w:t>缺陷责任</w:t>
            </w:r>
            <w:r>
              <w:rPr>
                <w:rFonts w:ascii="宋体" w:hAnsi="宋体"/>
                <w:color w:val="000000"/>
                <w:szCs w:val="21"/>
              </w:rPr>
              <w:t>期满后</w:t>
            </w:r>
            <w:r>
              <w:rPr>
                <w:rFonts w:hint="eastAsia" w:ascii="宋体" w:hAnsi="宋体"/>
                <w:color w:val="000000"/>
                <w:szCs w:val="21"/>
              </w:rPr>
              <w:t>由</w:t>
            </w:r>
            <w:r>
              <w:rPr>
                <w:rFonts w:ascii="宋体" w:hAnsi="宋体"/>
                <w:color w:val="000000"/>
                <w:szCs w:val="21"/>
              </w:rPr>
              <w:t>成交供应商申请退还，</w:t>
            </w:r>
            <w:r>
              <w:rPr>
                <w:rFonts w:hint="eastAsia" w:ascii="宋体" w:hAnsi="宋体"/>
                <w:color w:val="000000"/>
                <w:szCs w:val="21"/>
              </w:rPr>
              <w:t>采购人</w:t>
            </w:r>
            <w:r>
              <w:rPr>
                <w:rFonts w:ascii="宋体" w:hAnsi="宋体"/>
                <w:color w:val="000000"/>
                <w:szCs w:val="21"/>
              </w:rPr>
              <w:t>一次性无息返还。</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每次付款前，</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应向</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开具同等金额的增值税专用发票，否则，</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有权顺延付款。</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知晓</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的费用来源于财政拨付及支付项目款项流程，如因财政拨付的原因导致延迟支付，</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承诺不因进度款延迟支付而停工，承诺放弃向</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主张违约金或赔偿款之请求。</w:t>
            </w:r>
          </w:p>
        </w:tc>
      </w:tr>
      <w:tr w14:paraId="5685C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2100" w:type="dxa"/>
            <w:gridSpan w:val="4"/>
            <w:tcBorders>
              <w:top w:val="single" w:color="auto" w:sz="4" w:space="0"/>
              <w:left w:val="single" w:color="auto" w:sz="4" w:space="0"/>
              <w:bottom w:val="single" w:color="auto" w:sz="4" w:space="0"/>
              <w:right w:val="single" w:color="auto" w:sz="4" w:space="0"/>
            </w:tcBorders>
            <w:vAlign w:val="center"/>
          </w:tcPr>
          <w:p w14:paraId="389CBEE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▲验收标准</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5EEF798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符合现行国家相关标准、行业标准、地方标准或者其他标准、规范。</w:t>
            </w:r>
          </w:p>
        </w:tc>
      </w:tr>
      <w:tr w14:paraId="25714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5D0E23B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二、与实现项目目标相关的其他要求</w:t>
            </w:r>
          </w:p>
        </w:tc>
      </w:tr>
      <w:tr w14:paraId="59E33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9" w:type="dxa"/>
            <w:gridSpan w:val="2"/>
            <w:tcBorders>
              <w:top w:val="single" w:color="auto" w:sz="4" w:space="0"/>
              <w:left w:val="single" w:color="auto" w:sz="4" w:space="0"/>
              <w:bottom w:val="single" w:color="auto" w:sz="4" w:space="0"/>
              <w:right w:val="single" w:color="auto" w:sz="4" w:space="0"/>
            </w:tcBorders>
            <w:vAlign w:val="center"/>
          </w:tcPr>
          <w:p w14:paraId="2413F8AA">
            <w:pPr>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业绩要求</w:t>
            </w:r>
          </w:p>
        </w:tc>
        <w:tc>
          <w:tcPr>
            <w:tcW w:w="7502" w:type="dxa"/>
            <w:gridSpan w:val="5"/>
            <w:tcBorders>
              <w:top w:val="single" w:color="auto" w:sz="4" w:space="0"/>
              <w:left w:val="single" w:color="auto" w:sz="4" w:space="0"/>
              <w:bottom w:val="single" w:color="auto" w:sz="4" w:space="0"/>
              <w:right w:val="single" w:color="auto" w:sz="4" w:space="0"/>
            </w:tcBorders>
            <w:vAlign w:val="center"/>
          </w:tcPr>
          <w:p w14:paraId="203FCF9E">
            <w:pPr>
              <w:spacing w:line="360" w:lineRule="auto"/>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2022年1月1日以来至响应文件递交截止日期止供应商提供同类工程施工项目业绩，符合第四章“评审标准”的可予以加分。</w:t>
            </w:r>
          </w:p>
        </w:tc>
      </w:tr>
      <w:tr w14:paraId="40759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9" w:type="dxa"/>
            <w:gridSpan w:val="2"/>
            <w:tcBorders>
              <w:top w:val="single" w:color="auto" w:sz="4" w:space="0"/>
              <w:left w:val="single" w:color="auto" w:sz="4" w:space="0"/>
              <w:bottom w:val="single" w:color="auto" w:sz="4" w:space="0"/>
              <w:right w:val="single" w:color="auto" w:sz="4" w:space="0"/>
            </w:tcBorders>
            <w:vAlign w:val="center"/>
          </w:tcPr>
          <w:p w14:paraId="08D2C64B">
            <w:pPr>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人员要求</w:t>
            </w:r>
          </w:p>
        </w:tc>
        <w:tc>
          <w:tcPr>
            <w:tcW w:w="7502" w:type="dxa"/>
            <w:gridSpan w:val="5"/>
            <w:tcBorders>
              <w:top w:val="single" w:color="auto" w:sz="4" w:space="0"/>
              <w:left w:val="single" w:color="auto" w:sz="4" w:space="0"/>
              <w:bottom w:val="single" w:color="auto" w:sz="4" w:space="0"/>
              <w:right w:val="single" w:color="auto" w:sz="4" w:space="0"/>
            </w:tcBorders>
            <w:vAlign w:val="center"/>
          </w:tcPr>
          <w:p w14:paraId="7FBB137C">
            <w:pPr>
              <w:spacing w:line="360" w:lineRule="auto"/>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拟投入本项目的人员应配置合理。</w:t>
            </w:r>
          </w:p>
        </w:tc>
      </w:tr>
      <w:tr w14:paraId="6C87C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9" w:type="dxa"/>
            <w:gridSpan w:val="2"/>
            <w:tcBorders>
              <w:top w:val="single" w:color="auto" w:sz="4" w:space="0"/>
              <w:left w:val="single" w:color="auto" w:sz="4" w:space="0"/>
              <w:bottom w:val="single" w:color="auto" w:sz="4" w:space="0"/>
              <w:right w:val="single" w:color="auto" w:sz="4" w:space="0"/>
            </w:tcBorders>
            <w:vAlign w:val="center"/>
          </w:tcPr>
          <w:p w14:paraId="0130A255">
            <w:pPr>
              <w:wordWrap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其它</w:t>
            </w:r>
          </w:p>
        </w:tc>
        <w:tc>
          <w:tcPr>
            <w:tcW w:w="7502" w:type="dxa"/>
            <w:gridSpan w:val="5"/>
            <w:tcBorders>
              <w:top w:val="single" w:color="auto" w:sz="4" w:space="0"/>
              <w:left w:val="single" w:color="auto" w:sz="4" w:space="0"/>
              <w:bottom w:val="single" w:color="auto" w:sz="4" w:space="0"/>
              <w:right w:val="single" w:color="auto" w:sz="4" w:space="0"/>
            </w:tcBorders>
            <w:vAlign w:val="center"/>
          </w:tcPr>
          <w:p w14:paraId="7396C5D6">
            <w:pPr>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1.采购需求中，</w:t>
            </w:r>
            <w:r>
              <w:rPr>
                <w:rFonts w:hint="eastAsia" w:ascii="宋体" w:hAnsi="宋体" w:cs="宋体"/>
                <w:b/>
                <w:bCs/>
                <w:color w:val="000000" w:themeColor="text1"/>
                <w:szCs w:val="21"/>
                <w:highlight w:val="none"/>
                <w14:textFill>
                  <w14:solidFill>
                    <w14:schemeClr w14:val="tx1"/>
                  </w14:solidFill>
                </w14:textFill>
              </w:rPr>
              <w:t>技术要求允许负偏离的条款数为</w:t>
            </w:r>
            <w:r>
              <w:rPr>
                <w:rFonts w:hint="eastAsia" w:ascii="宋体" w:hAnsi="宋体" w:cs="宋体"/>
                <w:b/>
                <w:bCs/>
                <w:color w:val="000000" w:themeColor="text1"/>
                <w:szCs w:val="21"/>
                <w:highlight w:val="none"/>
                <w:u w:val="single"/>
                <w14:textFill>
                  <w14:solidFill>
                    <w14:schemeClr w14:val="tx1"/>
                  </w14:solidFill>
                </w14:textFill>
              </w:rPr>
              <w:t>0</w:t>
            </w:r>
            <w:r>
              <w:rPr>
                <w:rFonts w:hint="eastAsia" w:ascii="宋体" w:hAnsi="宋体" w:cs="宋体"/>
                <w:b/>
                <w:bCs/>
                <w:color w:val="000000" w:themeColor="text1"/>
                <w:szCs w:val="21"/>
                <w:highlight w:val="none"/>
                <w14:textFill>
                  <w14:solidFill>
                    <w14:schemeClr w14:val="tx1"/>
                  </w14:solidFill>
                </w14:textFill>
              </w:rPr>
              <w:t>项，商务要求允许负偏离的条款数为</w:t>
            </w:r>
            <w:r>
              <w:rPr>
                <w:rFonts w:hint="eastAsia" w:ascii="宋体" w:hAnsi="宋体" w:cs="宋体"/>
                <w:b/>
                <w:bCs/>
                <w:color w:val="000000" w:themeColor="text1"/>
                <w:szCs w:val="21"/>
                <w:highlight w:val="none"/>
                <w:u w:val="single"/>
                <w14:textFill>
                  <w14:solidFill>
                    <w14:schemeClr w14:val="tx1"/>
                  </w14:solidFill>
                </w14:textFill>
              </w:rPr>
              <w:t>0</w:t>
            </w:r>
            <w:r>
              <w:rPr>
                <w:rFonts w:hint="eastAsia" w:ascii="宋体" w:hAnsi="宋体" w:cs="宋体"/>
                <w:b/>
                <w:bCs/>
                <w:color w:val="000000" w:themeColor="text1"/>
                <w:szCs w:val="21"/>
                <w:highlight w:val="none"/>
                <w14:textFill>
                  <w14:solidFill>
                    <w14:schemeClr w14:val="tx1"/>
                  </w14:solidFill>
                </w14:textFill>
              </w:rPr>
              <w:t>项，必须满足或优于，否则响应文件按无效处理。</w:t>
            </w:r>
          </w:p>
          <w:p w14:paraId="610F27B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2.供应商</w:t>
            </w:r>
            <w:r>
              <w:rPr>
                <w:rFonts w:hint="eastAsia" w:ascii="宋体" w:hAnsi="宋体" w:cs="宋体"/>
                <w:color w:val="000000" w:themeColor="text1"/>
                <w:szCs w:val="21"/>
                <w:highlight w:val="none"/>
                <w14:textFill>
                  <w14:solidFill>
                    <w14:schemeClr w14:val="tx1"/>
                  </w14:solidFill>
                </w14:textFill>
              </w:rPr>
              <w:t>在竞标活动中如提供任何虚假材料，</w:t>
            </w:r>
            <w:r>
              <w:rPr>
                <w:rFonts w:hint="eastAsia" w:ascii="宋体" w:hAnsi="宋体" w:cs="宋体"/>
                <w:b/>
                <w:color w:val="000000" w:themeColor="text1"/>
                <w:szCs w:val="21"/>
                <w:highlight w:val="none"/>
                <w14:textFill>
                  <w14:solidFill>
                    <w14:schemeClr w14:val="tx1"/>
                  </w14:solidFill>
                </w14:textFill>
              </w:rPr>
              <w:t>其响应文件按无效处理，</w:t>
            </w:r>
            <w:r>
              <w:rPr>
                <w:rFonts w:hint="eastAsia" w:ascii="宋体" w:hAnsi="宋体" w:cs="宋体"/>
                <w:color w:val="000000" w:themeColor="text1"/>
                <w:szCs w:val="21"/>
                <w:highlight w:val="none"/>
                <w14:textFill>
                  <w14:solidFill>
                    <w14:schemeClr w14:val="tx1"/>
                  </w14:solidFill>
                </w14:textFill>
              </w:rPr>
              <w:t>并报监管部门查处。</w:t>
            </w:r>
          </w:p>
          <w:p w14:paraId="5628055A">
            <w:pPr>
              <w:wordWrap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3.供应商应在响应文件中提供施工组织设计方案</w:t>
            </w:r>
            <w:r>
              <w:rPr>
                <w:rFonts w:hint="eastAsia" w:ascii="宋体" w:hAnsi="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并就本项目投入具有相关能力的人员。</w:t>
            </w:r>
          </w:p>
        </w:tc>
      </w:tr>
    </w:tbl>
    <w:p w14:paraId="08A235F0">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7D556F21">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4F85FF57">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7575573F">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482FFF1B">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2F856D8E">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0DB0279D">
      <w:pPr>
        <w:pStyle w:val="2"/>
        <w:spacing w:before="0" w:after="0" w:line="360" w:lineRule="auto"/>
        <w:jc w:val="center"/>
        <w:rPr>
          <w:color w:val="000000" w:themeColor="text1"/>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bookmarkStart w:id="70" w:name="_Toc122424247"/>
      <w:r>
        <w:rPr>
          <w:rFonts w:hint="eastAsia"/>
          <w:color w:val="000000" w:themeColor="text1"/>
          <w:highlight w:val="none"/>
          <w14:textFill>
            <w14:solidFill>
              <w14:schemeClr w14:val="tx1"/>
            </w14:solidFill>
          </w14:textFill>
        </w:rPr>
        <w:t>第四章  评审程序、评审方法和评审标准</w:t>
      </w:r>
      <w:bookmarkEnd w:id="70"/>
    </w:p>
    <w:p w14:paraId="417BB826">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14:paraId="1611D68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14:paraId="203FE76A">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响应文件开启后，磋商小组依法对供应商的资格证明文件进行审查。</w:t>
      </w:r>
    </w:p>
    <w:p w14:paraId="7AB79CF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color w:val="000000" w:themeColor="text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14:paraId="589FC41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（1）查询渠道：广西政府采购云平台“信用中国”网站（www.creditchina.gov.cn）、中国政府采购网（www.ccgp.gov.cn）链接入口。</w:t>
      </w:r>
    </w:p>
    <w:p w14:paraId="7DCF507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235B97C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1CDD53D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highlight w:val="none"/>
          <w14:textFill>
            <w14:solidFill>
              <w14:schemeClr w14:val="tx1"/>
            </w14:solidFill>
          </w14:textFill>
        </w:rPr>
        <w:t>。</w:t>
      </w:r>
    </w:p>
    <w:p w14:paraId="35F9011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7A5481C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.3供应商有下列情形之一的，资格审查不通过，其响应文件按无效处理：</w:t>
      </w:r>
    </w:p>
    <w:p w14:paraId="49C4207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r>
        <w:rPr>
          <w:rFonts w:hint="eastAsia" w:ascii="宋体" w:hAnsi="宋体" w:cs="宋体"/>
          <w:color w:val="000000" w:themeColor="text1"/>
          <w:szCs w:val="21"/>
          <w:highlight w:val="none"/>
          <w:lang w:eastAsia="zh-CN"/>
          <w14:textFill>
            <w14:solidFill>
              <w14:schemeClr w14:val="tx1"/>
            </w14:solidFill>
          </w14:textFill>
        </w:rPr>
        <w:t>；</w:t>
      </w:r>
    </w:p>
    <w:p w14:paraId="1128ABA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（2）未按磋商文件规定的方式获取本磋商文件的供应商</w:t>
      </w:r>
      <w:r>
        <w:rPr>
          <w:rFonts w:hint="eastAsia" w:ascii="宋体" w:hAnsi="宋体" w:cs="宋体"/>
          <w:color w:val="000000" w:themeColor="text1"/>
          <w:szCs w:val="21"/>
          <w:highlight w:val="none"/>
          <w:lang w:eastAsia="zh-CN"/>
          <w14:textFill>
            <w14:solidFill>
              <w14:schemeClr w14:val="tx1"/>
            </w14:solidFill>
          </w14:textFill>
        </w:rPr>
        <w:t>；</w:t>
      </w:r>
    </w:p>
    <w:p w14:paraId="7F51260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）响应文件的资格证明文件缺少任一项“供应商须知前附表”资格证明文件规定的“必须提供”的文件资料的</w:t>
      </w:r>
      <w:r>
        <w:rPr>
          <w:rFonts w:hint="eastAsia" w:ascii="宋体" w:hAnsi="宋体" w:cs="宋体"/>
          <w:color w:val="000000" w:themeColor="text1"/>
          <w:szCs w:val="21"/>
          <w:highlight w:val="none"/>
          <w:lang w:eastAsia="zh-CN"/>
          <w14:textFill>
            <w14:solidFill>
              <w14:schemeClr w14:val="tx1"/>
            </w14:solidFill>
          </w14:textFill>
        </w:rPr>
        <w:t>；</w:t>
      </w:r>
    </w:p>
    <w:p w14:paraId="0408A8D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）响应文件中的资格证明文件出现任一项不符合“供应商须知前附表”资格证明文件规定的“必须提供”的文件资料要求或者无效的</w:t>
      </w:r>
      <w:r>
        <w:rPr>
          <w:rFonts w:hint="eastAsia" w:ascii="宋体" w:hAnsi="宋体" w:cs="宋体"/>
          <w:color w:val="000000" w:themeColor="text1"/>
          <w:szCs w:val="21"/>
          <w:highlight w:val="none"/>
          <w:lang w:eastAsia="zh-CN"/>
          <w14:textFill>
            <w14:solidFill>
              <w14:schemeClr w14:val="tx1"/>
            </w14:solidFill>
          </w14:textFill>
        </w:rPr>
        <w:t>；</w:t>
      </w:r>
    </w:p>
    <w:p w14:paraId="65A7FD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）有第二章“供应商须知”第3.2项规定的任何一种情形的。</w:t>
      </w:r>
    </w:p>
    <w:p w14:paraId="6421AA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应当重新开展采购活动。</w:t>
      </w:r>
    </w:p>
    <w:p w14:paraId="0705EDF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14:paraId="487156C5">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1"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71"/>
    <w:p w14:paraId="3527A8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7A24FE">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磋商小组要求供应商澄清、说明或者更正响应文件应当以电子澄清函形式作出。供应商的澄清、说明或者更正应当</w:t>
      </w:r>
      <w:r>
        <w:rPr>
          <w:rFonts w:hint="eastAsia" w:ascii="宋体" w:hAnsi="宋体" w:cs="宋体"/>
          <w:color w:val="000000" w:themeColor="text1"/>
          <w:szCs w:val="21"/>
          <w:highlight w:val="none"/>
          <w:lang w:val="en-US" w:eastAsia="zh-CN"/>
          <w14:textFill>
            <w14:solidFill>
              <w14:schemeClr w14:val="tx1"/>
            </w14:solidFill>
          </w14:textFill>
        </w:rPr>
        <w:t>以</w:t>
      </w:r>
      <w:r>
        <w:rPr>
          <w:rFonts w:hint="eastAsia" w:ascii="宋体" w:hAnsi="宋体" w:cs="宋体"/>
          <w:color w:val="000000" w:themeColor="text1"/>
          <w:szCs w:val="21"/>
          <w:highlight w:val="none"/>
          <w14:textFill>
            <w14:solidFill>
              <w14:schemeClr w14:val="tx1"/>
            </w14:solidFill>
          </w14:textFill>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14:paraId="5D5838C2">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43F9879">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3EEE9573">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r>
        <w:rPr>
          <w:rFonts w:hint="eastAsia" w:ascii="宋体" w:hAnsi="宋体" w:cs="宋体"/>
          <w:color w:val="000000" w:themeColor="text1"/>
          <w:szCs w:val="21"/>
          <w:highlight w:val="none"/>
          <w:lang w:eastAsia="zh-CN"/>
          <w14:textFill>
            <w14:solidFill>
              <w14:schemeClr w14:val="tx1"/>
            </w14:solidFill>
          </w14:textFill>
        </w:rPr>
        <w:t>；</w:t>
      </w:r>
    </w:p>
    <w:p w14:paraId="1A6AFA6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r>
        <w:rPr>
          <w:rFonts w:hint="eastAsia" w:ascii="宋体" w:hAnsi="宋体" w:cs="宋体"/>
          <w:color w:val="000000" w:themeColor="text1"/>
          <w:szCs w:val="21"/>
          <w:highlight w:val="none"/>
          <w:lang w:eastAsia="zh-CN"/>
          <w14:textFill>
            <w14:solidFill>
              <w14:schemeClr w14:val="tx1"/>
            </w14:solidFill>
          </w14:textFill>
        </w:rPr>
        <w:t>；</w:t>
      </w:r>
    </w:p>
    <w:p w14:paraId="2666E29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r>
        <w:rPr>
          <w:rFonts w:hint="eastAsia" w:ascii="宋体" w:hAnsi="宋体" w:cs="宋体"/>
          <w:color w:val="000000" w:themeColor="text1"/>
          <w:szCs w:val="21"/>
          <w:highlight w:val="none"/>
          <w:lang w:eastAsia="zh-CN"/>
          <w14:textFill>
            <w14:solidFill>
              <w14:schemeClr w14:val="tx1"/>
            </w14:solidFill>
          </w14:textFill>
        </w:rPr>
        <w:t>；</w:t>
      </w:r>
    </w:p>
    <w:p w14:paraId="788A78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2FA3F0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456436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3CA2F5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在评审时，如发现下列情形之一的，将被视为响应文件无效处理：</w:t>
      </w:r>
    </w:p>
    <w:p w14:paraId="49DADFD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（1）商务技术评审</w:t>
      </w:r>
    </w:p>
    <w:p w14:paraId="390E3D17">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1）响应文件未按磋商文件要求签署、盖章的</w:t>
      </w:r>
      <w:r>
        <w:rPr>
          <w:rFonts w:hint="eastAsia" w:ascii="宋体" w:hAnsi="宋体" w:cs="宋体"/>
          <w:b/>
          <w:color w:val="000000" w:themeColor="text1"/>
          <w:szCs w:val="21"/>
          <w:highlight w:val="none"/>
          <w:lang w:eastAsia="zh-CN"/>
          <w14:textFill>
            <w14:solidFill>
              <w14:schemeClr w14:val="tx1"/>
            </w14:solidFill>
          </w14:textFill>
        </w:rPr>
        <w:t>；</w:t>
      </w:r>
    </w:p>
    <w:p w14:paraId="714BE66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2）委托代理人未能出具有效身份证或者出具的身份证与授权委托书中的信息不符的</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 xml:space="preserve"> </w:t>
      </w:r>
    </w:p>
    <w:p w14:paraId="324DDB2F">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3）提交的磋商保证金无效的或者未按照磋商文件的规定提交磋商保证金的</w:t>
      </w:r>
      <w:r>
        <w:rPr>
          <w:rFonts w:hint="eastAsia" w:ascii="宋体" w:hAnsi="宋体" w:cs="宋体"/>
          <w:b/>
          <w:color w:val="000000" w:themeColor="text1"/>
          <w:szCs w:val="21"/>
          <w:highlight w:val="none"/>
          <w:lang w:eastAsia="zh-CN"/>
          <w14:textFill>
            <w14:solidFill>
              <w14:schemeClr w14:val="tx1"/>
            </w14:solidFill>
          </w14:textFill>
        </w:rPr>
        <w:t>；</w:t>
      </w:r>
    </w:p>
    <w:p w14:paraId="53D1C20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4）响应文件未提供任一项“供应商须知前附表”商务技术文件中 “必须提供”或者“委托时必须提供”的文件资料</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响应文件提供的商务技术文件出现任一项不符合“供应商须知前附表”商务技术文件中 “必须提供”或者“委托时必须提供”文件资料要求的规定或者提供的商务技术文件无效的。</w:t>
      </w:r>
    </w:p>
    <w:p w14:paraId="334B0F70">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5）响应文件的实质性内容未使用中文表述、使用计量单位不符合磋商文件要求的</w:t>
      </w:r>
      <w:r>
        <w:rPr>
          <w:rFonts w:hint="eastAsia" w:ascii="宋体" w:hAnsi="宋体" w:cs="宋体"/>
          <w:b/>
          <w:color w:val="000000" w:themeColor="text1"/>
          <w:szCs w:val="21"/>
          <w:highlight w:val="none"/>
          <w:lang w:eastAsia="zh-CN"/>
          <w14:textFill>
            <w14:solidFill>
              <w14:schemeClr w14:val="tx1"/>
            </w14:solidFill>
          </w14:textFill>
        </w:rPr>
        <w:t>；</w:t>
      </w:r>
    </w:p>
    <w:p w14:paraId="091FA7BF">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6）响应文件中的文件资料因填写不齐全或者内容虚假或者出现其他情形而导致被磋商小组认定无效的</w:t>
      </w:r>
      <w:r>
        <w:rPr>
          <w:rFonts w:hint="eastAsia" w:ascii="宋体" w:hAnsi="宋体" w:cs="宋体"/>
          <w:b/>
          <w:color w:val="000000" w:themeColor="text1"/>
          <w:szCs w:val="21"/>
          <w:highlight w:val="none"/>
          <w:lang w:eastAsia="zh-CN"/>
          <w14:textFill>
            <w14:solidFill>
              <w14:schemeClr w14:val="tx1"/>
            </w14:solidFill>
          </w14:textFill>
        </w:rPr>
        <w:t>；</w:t>
      </w:r>
    </w:p>
    <w:p w14:paraId="0C7EFAE4">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7）响应文件含有采购人不能接受的附加条件的</w:t>
      </w:r>
      <w:r>
        <w:rPr>
          <w:rFonts w:hint="eastAsia" w:ascii="宋体" w:hAnsi="宋体" w:cs="宋体"/>
          <w:b/>
          <w:color w:val="000000" w:themeColor="text1"/>
          <w:szCs w:val="21"/>
          <w:highlight w:val="none"/>
          <w:lang w:eastAsia="zh-CN"/>
          <w14:textFill>
            <w14:solidFill>
              <w14:schemeClr w14:val="tx1"/>
            </w14:solidFill>
          </w14:textFill>
        </w:rPr>
        <w:t>；</w:t>
      </w:r>
    </w:p>
    <w:p w14:paraId="3706E47A">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8）属于“供应商须知正文”第7.</w:t>
      </w:r>
      <w:r>
        <w:rPr>
          <w:rFonts w:ascii="宋体" w:hAnsi="宋体" w:cs="宋体"/>
          <w:b/>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条供应商相互串通竞标情形的</w:t>
      </w:r>
      <w:r>
        <w:rPr>
          <w:rFonts w:hint="eastAsia" w:ascii="宋体" w:hAnsi="宋体" w:cs="宋体"/>
          <w:b/>
          <w:color w:val="000000" w:themeColor="text1"/>
          <w:szCs w:val="21"/>
          <w:highlight w:val="none"/>
          <w:lang w:eastAsia="zh-CN"/>
          <w14:textFill>
            <w14:solidFill>
              <w14:schemeClr w14:val="tx1"/>
            </w14:solidFill>
          </w14:textFill>
        </w:rPr>
        <w:t>；</w:t>
      </w:r>
    </w:p>
    <w:p w14:paraId="185881F8">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9）虚假竞标，或者出现其他情形而导致被磋商小组认定无效的</w:t>
      </w:r>
      <w:r>
        <w:rPr>
          <w:rFonts w:hint="eastAsia" w:ascii="宋体" w:hAnsi="宋体" w:cs="宋体"/>
          <w:b/>
          <w:color w:val="000000" w:themeColor="text1"/>
          <w:szCs w:val="21"/>
          <w:highlight w:val="none"/>
          <w:lang w:eastAsia="zh-CN"/>
          <w14:textFill>
            <w14:solidFill>
              <w14:schemeClr w14:val="tx1"/>
            </w14:solidFill>
          </w14:textFill>
        </w:rPr>
        <w:t>；</w:t>
      </w:r>
    </w:p>
    <w:p w14:paraId="2FBD6C1D">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0）</w:t>
      </w:r>
      <w:bookmarkStart w:id="72" w:name="_Hlk71704147"/>
      <w:r>
        <w:rPr>
          <w:rFonts w:hint="eastAsia" w:ascii="宋体" w:hAnsi="宋体" w:cs="宋体"/>
          <w:b/>
          <w:color w:val="000000" w:themeColor="text1"/>
          <w:szCs w:val="21"/>
          <w:highlight w:val="none"/>
          <w14:textFill>
            <w14:solidFill>
              <w14:schemeClr w14:val="tx1"/>
            </w14:solidFill>
          </w14:textFill>
        </w:rPr>
        <w:t>磋商文件未载明允许提供备选（替代）竞标方案或明确不允许提供备选（替代）竞标方案时，供应商提供了备选（替代）竞标方案的</w:t>
      </w:r>
      <w:bookmarkEnd w:id="72"/>
      <w:r>
        <w:rPr>
          <w:rFonts w:hint="eastAsia" w:ascii="宋体" w:hAnsi="宋体" w:cs="宋体"/>
          <w:b/>
          <w:color w:val="000000" w:themeColor="text1"/>
          <w:szCs w:val="21"/>
          <w:highlight w:val="none"/>
          <w:lang w:eastAsia="zh-CN"/>
          <w14:textFill>
            <w14:solidFill>
              <w14:schemeClr w14:val="tx1"/>
            </w14:solidFill>
          </w14:textFill>
        </w:rPr>
        <w:t>；</w:t>
      </w:r>
    </w:p>
    <w:p w14:paraId="29B69735">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1）响应文件标注的项目名称或者项目编号与磋商文件标注的项目名称或者项目编号不一致的</w:t>
      </w:r>
      <w:r>
        <w:rPr>
          <w:rFonts w:hint="eastAsia" w:ascii="宋体" w:hAnsi="宋体" w:cs="宋体"/>
          <w:b/>
          <w:color w:val="000000" w:themeColor="text1"/>
          <w:szCs w:val="21"/>
          <w:highlight w:val="none"/>
          <w:lang w:eastAsia="zh-CN"/>
          <w14:textFill>
            <w14:solidFill>
              <w14:schemeClr w14:val="tx1"/>
            </w14:solidFill>
          </w14:textFill>
        </w:rPr>
        <w:t>；</w:t>
      </w:r>
    </w:p>
    <w:p w14:paraId="7EC97C40">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w:t>
      </w:r>
      <w:r>
        <w:rPr>
          <w:rFonts w:hint="eastAsia" w:ascii="宋体" w:hAnsi="宋体"/>
          <w:b/>
          <w:color w:val="000000" w:themeColor="text1"/>
          <w:szCs w:val="21"/>
          <w:highlight w:val="none"/>
          <w14:textFill>
            <w14:solidFill>
              <w14:schemeClr w14:val="tx1"/>
            </w14:solidFill>
          </w14:textFill>
        </w:rPr>
        <w:t>竞争性磋商文件明确不允许分包，响应文件拟分包的</w:t>
      </w:r>
      <w:r>
        <w:rPr>
          <w:rFonts w:hint="eastAsia" w:ascii="宋体" w:hAnsi="宋体"/>
          <w:b/>
          <w:color w:val="000000" w:themeColor="text1"/>
          <w:szCs w:val="21"/>
          <w:highlight w:val="none"/>
          <w:lang w:eastAsia="zh-CN"/>
          <w14:textFill>
            <w14:solidFill>
              <w14:schemeClr w14:val="tx1"/>
            </w14:solidFill>
          </w14:textFill>
        </w:rPr>
        <w:t>；</w:t>
      </w:r>
    </w:p>
    <w:p w14:paraId="28AD3841">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3）未响应磋商文件实质性要求的</w:t>
      </w:r>
      <w:r>
        <w:rPr>
          <w:rFonts w:hint="eastAsia" w:ascii="宋体" w:hAnsi="宋体" w:cs="宋体"/>
          <w:b/>
          <w:color w:val="000000" w:themeColor="text1"/>
          <w:szCs w:val="21"/>
          <w:highlight w:val="none"/>
          <w:lang w:eastAsia="zh-CN"/>
          <w14:textFill>
            <w14:solidFill>
              <w14:schemeClr w14:val="tx1"/>
            </w14:solidFill>
          </w14:textFill>
        </w:rPr>
        <w:t>；</w:t>
      </w:r>
    </w:p>
    <w:p w14:paraId="5B89F62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14）法律、法规和磋商文件规定的其他无效情形。</w:t>
      </w:r>
    </w:p>
    <w:p w14:paraId="1D2EA14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）报价评审</w:t>
      </w:r>
    </w:p>
    <w:p w14:paraId="334CF538">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响应文件未提供“供应商须知前附表” 报价文件中规定的“竞标报价表”的</w:t>
      </w:r>
      <w:r>
        <w:rPr>
          <w:rFonts w:hint="eastAsia" w:ascii="宋体" w:hAnsi="宋体" w:cs="宋体"/>
          <w:b/>
          <w:color w:val="000000" w:themeColor="text1"/>
          <w:szCs w:val="21"/>
          <w:highlight w:val="none"/>
          <w:lang w:eastAsia="zh-CN"/>
          <w14:textFill>
            <w14:solidFill>
              <w14:schemeClr w14:val="tx1"/>
            </w14:solidFill>
          </w14:textFill>
        </w:rPr>
        <w:t>；</w:t>
      </w:r>
    </w:p>
    <w:p w14:paraId="7C602D97">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2）未采用人民币报价或者未按照磋商文件标明的币种报价的</w:t>
      </w:r>
      <w:r>
        <w:rPr>
          <w:rFonts w:hint="eastAsia" w:ascii="宋体" w:hAnsi="宋体" w:cs="宋体"/>
          <w:b/>
          <w:color w:val="000000" w:themeColor="text1"/>
          <w:szCs w:val="21"/>
          <w:highlight w:val="none"/>
          <w:lang w:eastAsia="zh-CN"/>
          <w14:textFill>
            <w14:solidFill>
              <w14:schemeClr w14:val="tx1"/>
            </w14:solidFill>
          </w14:textFill>
        </w:rPr>
        <w:t>；</w:t>
      </w:r>
    </w:p>
    <w:p w14:paraId="5BD9F3A5">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3）供应商未就所竞标分标进行报价或者存在漏项报价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供应商未就所竞标分标的单项内容作唯一报价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供应商未就所竞标分标的全部内容作完整唯一总价报价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供应商响应文件中存在有选择、有条件报价的（磋商文件允许有备选方案或者其他约定的除外）</w:t>
      </w:r>
      <w:r>
        <w:rPr>
          <w:rFonts w:hint="eastAsia" w:ascii="宋体" w:hAnsi="宋体" w:cs="宋体"/>
          <w:b/>
          <w:color w:val="000000" w:themeColor="text1"/>
          <w:szCs w:val="21"/>
          <w:highlight w:val="none"/>
          <w:lang w:eastAsia="zh-CN"/>
          <w14:textFill>
            <w14:solidFill>
              <w14:schemeClr w14:val="tx1"/>
            </w14:solidFill>
          </w14:textFill>
        </w:rPr>
        <w:t>；</w:t>
      </w:r>
    </w:p>
    <w:p w14:paraId="24D8004B">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w:t>
      </w:r>
      <w:bookmarkStart w:id="73" w:name="_Hlk42596405"/>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竞标报价（包含首次报价、最后报价）</w:t>
      </w:r>
      <w:bookmarkEnd w:id="73"/>
      <w:bookmarkStart w:id="74" w:name="_Hlk42596276"/>
      <w:r>
        <w:rPr>
          <w:rFonts w:hint="eastAsia" w:ascii="宋体" w:hAnsi="宋体" w:cs="宋体"/>
          <w:b/>
          <w:color w:val="000000" w:themeColor="text1"/>
          <w:szCs w:val="21"/>
          <w:highlight w:val="none"/>
          <w14:textFill>
            <w14:solidFill>
              <w14:schemeClr w14:val="tx1"/>
            </w14:solidFill>
          </w14:textFill>
        </w:rPr>
        <w:t>超过磋商文件分项采购预算金额或者单价最高限价的</w:t>
      </w:r>
      <w:bookmarkEnd w:id="74"/>
      <w:r>
        <w:rPr>
          <w:rFonts w:hint="eastAsia" w:ascii="宋体" w:hAnsi="宋体" w:cs="宋体"/>
          <w:b/>
          <w:color w:val="000000" w:themeColor="text1"/>
          <w:szCs w:val="21"/>
          <w:highlight w:val="none"/>
          <w14:textFill>
            <w14:solidFill>
              <w14:schemeClr w14:val="tx1"/>
            </w14:solidFill>
          </w14:textFill>
        </w:rPr>
        <w:t>（如项目有要求并公布了分项采购预算金额或者单价最高限价）</w:t>
      </w:r>
      <w:r>
        <w:rPr>
          <w:rFonts w:hint="eastAsia" w:ascii="宋体" w:hAnsi="宋体" w:cs="宋体"/>
          <w:b/>
          <w:color w:val="000000" w:themeColor="text1"/>
          <w:szCs w:val="21"/>
          <w:highlight w:val="none"/>
          <w:lang w:eastAsia="zh-CN"/>
          <w14:textFill>
            <w14:solidFill>
              <w14:schemeClr w14:val="tx1"/>
            </w14:solidFill>
          </w14:textFill>
        </w:rPr>
        <w:t>；</w:t>
      </w:r>
    </w:p>
    <w:p w14:paraId="392B1C11">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5）修正后的报价，供应商不确认的</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或者经供应商确认修正后的竞标报价（包含首次报价、最后报价）超过所竞标分标规定的采购预算金额或者最高限价（如本项目公布了最高限价）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或者经供应商确认修正后竞标报价（包含首次报价、最后报价）超过磋商文件分项采购预算金额或者最高限价的（如本项目有要求并公布了分项采购预算金额或者最高限价）</w:t>
      </w:r>
      <w:r>
        <w:rPr>
          <w:rFonts w:hint="eastAsia" w:ascii="宋体" w:hAnsi="宋体" w:cs="宋体"/>
          <w:b/>
          <w:color w:val="000000" w:themeColor="text1"/>
          <w:szCs w:val="21"/>
          <w:highlight w:val="none"/>
          <w:lang w:eastAsia="zh-CN"/>
          <w14:textFill>
            <w14:solidFill>
              <w14:schemeClr w14:val="tx1"/>
            </w14:solidFill>
          </w14:textFill>
        </w:rPr>
        <w:t>；</w:t>
      </w:r>
    </w:p>
    <w:p w14:paraId="3C9CC8C2">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6）在单价合同工程中供应商采用总价优惠或以总价百分比优惠的方式进行竞标报价的</w:t>
      </w:r>
      <w:r>
        <w:rPr>
          <w:rFonts w:hint="eastAsia" w:ascii="宋体" w:hAnsi="宋体" w:cs="宋体"/>
          <w:b/>
          <w:color w:val="000000" w:themeColor="text1"/>
          <w:szCs w:val="21"/>
          <w:highlight w:val="none"/>
          <w:lang w:eastAsia="zh-CN"/>
          <w14:textFill>
            <w14:solidFill>
              <w14:schemeClr w14:val="tx1"/>
            </w14:solidFill>
          </w14:textFill>
        </w:rPr>
        <w:t>；</w:t>
      </w:r>
    </w:p>
    <w:p w14:paraId="41183116">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7）竞标总报价与已标价工程量清单汇总表不一致的</w:t>
      </w:r>
      <w:r>
        <w:rPr>
          <w:rFonts w:hint="eastAsia" w:ascii="宋体" w:hAnsi="宋体" w:cs="宋体"/>
          <w:b/>
          <w:color w:val="000000" w:themeColor="text1"/>
          <w:szCs w:val="21"/>
          <w:highlight w:val="none"/>
          <w:lang w:eastAsia="zh-CN"/>
          <w14:textFill>
            <w14:solidFill>
              <w14:schemeClr w14:val="tx1"/>
            </w14:solidFill>
          </w14:textFill>
        </w:rPr>
        <w:t>；</w:t>
      </w:r>
    </w:p>
    <w:p w14:paraId="19AA5EE3">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8）安全文明施工费和规费、增值税不按广西区费用定额及造价管理相关文件规定报价的（园林绿化及仿古建筑工程除外）</w:t>
      </w:r>
      <w:r>
        <w:rPr>
          <w:rFonts w:hint="eastAsia" w:ascii="宋体" w:hAnsi="宋体" w:cs="宋体"/>
          <w:b/>
          <w:color w:val="000000" w:themeColor="text1"/>
          <w:szCs w:val="21"/>
          <w:highlight w:val="none"/>
          <w:lang w:eastAsia="zh-CN"/>
          <w14:textFill>
            <w14:solidFill>
              <w14:schemeClr w14:val="tx1"/>
            </w14:solidFill>
          </w14:textFill>
        </w:rPr>
        <w:t>；</w:t>
      </w:r>
    </w:p>
    <w:p w14:paraId="51A3CE82">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9）供应商已标价工程量清单的项目编码（12位）、计量单位、工程量任何一处与工程量清单不一致的</w:t>
      </w:r>
      <w:r>
        <w:rPr>
          <w:rFonts w:hint="eastAsia" w:ascii="宋体" w:hAnsi="宋体" w:cs="宋体"/>
          <w:b/>
          <w:color w:val="000000" w:themeColor="text1"/>
          <w:szCs w:val="21"/>
          <w:highlight w:val="none"/>
          <w:lang w:eastAsia="zh-CN"/>
          <w14:textFill>
            <w14:solidFill>
              <w14:schemeClr w14:val="tx1"/>
            </w14:solidFill>
          </w14:textFill>
        </w:rPr>
        <w:t>；</w:t>
      </w:r>
    </w:p>
    <w:p w14:paraId="754D4F95">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10）供应商已标价工程量清单的项目名称或项目特征与工程量清单不一致，磋商小组要求澄清、说明或补正，但供应商拒绝澄清、说明或补正的</w:t>
      </w:r>
      <w:r>
        <w:rPr>
          <w:rFonts w:hint="eastAsia" w:ascii="宋体" w:hAnsi="宋体" w:cs="宋体"/>
          <w:b/>
          <w:color w:val="000000" w:themeColor="text1"/>
          <w:szCs w:val="21"/>
          <w:highlight w:val="none"/>
          <w:lang w:eastAsia="zh-CN"/>
          <w14:textFill>
            <w14:solidFill>
              <w14:schemeClr w14:val="tx1"/>
            </w14:solidFill>
          </w14:textFill>
        </w:rPr>
        <w:t>；</w:t>
      </w:r>
    </w:p>
    <w:p w14:paraId="0EB8D578">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11）设有暂估价、暂列金额的，竞标时未按工程量清单给出的暂估价总价、暂列金额总价计入竞标总报价中的</w:t>
      </w:r>
      <w:r>
        <w:rPr>
          <w:rFonts w:hint="eastAsia" w:ascii="宋体" w:hAnsi="宋体" w:cs="宋体"/>
          <w:b/>
          <w:color w:val="000000" w:themeColor="text1"/>
          <w:szCs w:val="21"/>
          <w:highlight w:val="none"/>
          <w:lang w:eastAsia="zh-CN"/>
          <w14:textFill>
            <w14:solidFill>
              <w14:schemeClr w14:val="tx1"/>
            </w14:solidFill>
          </w14:textFill>
        </w:rPr>
        <w:t>；</w:t>
      </w:r>
    </w:p>
    <w:p w14:paraId="5EA577E2">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12）供应商对工程量清单内容进行增减或对竞标范围进行调整的</w:t>
      </w:r>
      <w:r>
        <w:rPr>
          <w:rFonts w:hint="eastAsia" w:ascii="宋体" w:hAnsi="宋体" w:cs="宋体"/>
          <w:b/>
          <w:color w:val="000000" w:themeColor="text1"/>
          <w:szCs w:val="21"/>
          <w:highlight w:val="none"/>
          <w:lang w:eastAsia="zh-CN"/>
          <w14:textFill>
            <w14:solidFill>
              <w14:schemeClr w14:val="tx1"/>
            </w14:solidFill>
          </w14:textFill>
        </w:rPr>
        <w:t>；</w:t>
      </w:r>
    </w:p>
    <w:p w14:paraId="6FE6A22C">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w:t>
      </w:r>
      <w:r>
        <w:rPr>
          <w:rFonts w:hint="eastAsia" w:ascii="宋体" w:hAnsi="宋体"/>
          <w:b/>
          <w:color w:val="000000" w:themeColor="text1"/>
          <w:szCs w:val="21"/>
          <w:highlight w:val="none"/>
          <w14:textFill>
            <w14:solidFill>
              <w14:schemeClr w14:val="tx1"/>
            </w14:solidFill>
          </w14:textFill>
        </w:rPr>
        <w:t>响应文件响应的标的数量及单位与竞争性磋商采购文件要求实质性不一致的</w:t>
      </w:r>
      <w:r>
        <w:rPr>
          <w:rFonts w:hint="eastAsia" w:ascii="宋体" w:hAnsi="宋体"/>
          <w:b/>
          <w:color w:val="000000" w:themeColor="text1"/>
          <w:szCs w:val="21"/>
          <w:highlight w:val="none"/>
          <w:lang w:eastAsia="zh-CN"/>
          <w14:textFill>
            <w14:solidFill>
              <w14:schemeClr w14:val="tx1"/>
            </w14:solidFill>
          </w14:textFill>
        </w:rPr>
        <w:t>；</w:t>
      </w:r>
    </w:p>
    <w:p w14:paraId="3AB03DA0">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bookmarkStart w:id="75" w:name="_Hlk188371373"/>
      <w:r>
        <w:rPr>
          <w:rFonts w:hint="eastAsia" w:ascii="宋体" w:hAnsi="宋体"/>
          <w:b/>
          <w:color w:val="000000" w:themeColor="text1"/>
          <w:szCs w:val="21"/>
          <w:highlight w:val="none"/>
          <w14:textFill>
            <w14:solidFill>
              <w14:schemeClr w14:val="tx1"/>
            </w14:solidFill>
          </w14:textFill>
        </w:rPr>
        <w:t>14）竞标函附录的承诺</w:t>
      </w:r>
      <w:bookmarkStart w:id="76" w:name="_Hlk188372203"/>
      <w:r>
        <w:rPr>
          <w:rFonts w:hint="eastAsia" w:ascii="宋体" w:hAnsi="宋体"/>
          <w:b/>
          <w:color w:val="000000" w:themeColor="text1"/>
          <w:szCs w:val="21"/>
          <w:highlight w:val="none"/>
          <w14:textFill>
            <w14:solidFill>
              <w14:schemeClr w14:val="tx1"/>
            </w14:solidFill>
          </w14:textFill>
        </w:rPr>
        <w:t>不</w:t>
      </w:r>
      <w:bookmarkEnd w:id="76"/>
      <w:r>
        <w:rPr>
          <w:rFonts w:hint="eastAsia" w:ascii="宋体" w:hAnsi="宋体"/>
          <w:b/>
          <w:color w:val="000000" w:themeColor="text1"/>
          <w:szCs w:val="21"/>
          <w:highlight w:val="none"/>
          <w14:textFill>
            <w14:solidFill>
              <w14:schemeClr w14:val="tx1"/>
            </w14:solidFill>
          </w14:textFill>
        </w:rPr>
        <w:t>符合磋商文件的规定</w:t>
      </w:r>
      <w:bookmarkEnd w:id="75"/>
      <w:r>
        <w:rPr>
          <w:rFonts w:hint="eastAsia" w:ascii="宋体" w:hAnsi="宋体"/>
          <w:b/>
          <w:color w:val="000000" w:themeColor="text1"/>
          <w:szCs w:val="21"/>
          <w:highlight w:val="none"/>
          <w:lang w:eastAsia="zh-CN"/>
          <w14:textFill>
            <w14:solidFill>
              <w14:schemeClr w14:val="tx1"/>
            </w14:solidFill>
          </w14:textFill>
        </w:rPr>
        <w:t>；</w:t>
      </w:r>
    </w:p>
    <w:p w14:paraId="470FFEB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5）未响应磋商文件实质性要求的。</w:t>
      </w:r>
    </w:p>
    <w:p w14:paraId="0ADD2D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磋商小组对响应文件进行评审，未实质性响应磋商文件的响应文件按无效处理，磋商小组应当将资格和符合性不通过的情况告知有关供应商。</w:t>
      </w:r>
    </w:p>
    <w:p w14:paraId="56FAA6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通过符合性审查的合格供应商不足3家的，不得进入磋商环节，应当重新开展采购活动。</w:t>
      </w:r>
    </w:p>
    <w:p w14:paraId="15FAE3E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.磋商程序</w:t>
      </w:r>
    </w:p>
    <w:p w14:paraId="7F83693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7B5CE4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A1B0C6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对磋商文件作出的实质性变动是磋商文件的有效组成部分，由磋商小组及时以电子澄清函形式同时通知所有参加磋商的供应商。</w:t>
      </w:r>
    </w:p>
    <w:p w14:paraId="52B7268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362CB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highlight w:val="none"/>
          <w14:textFill>
            <w14:solidFill>
              <w14:schemeClr w14:val="tx1"/>
            </w14:solidFill>
          </w14:textFill>
        </w:rPr>
        <w:t>。</w:t>
      </w:r>
    </w:p>
    <w:p w14:paraId="0F66F09D">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采购代理机构对磋商过程和磋商内容进行记录。</w:t>
      </w:r>
    </w:p>
    <w:p w14:paraId="2CF031EC">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.7</w:t>
      </w:r>
      <w:r>
        <w:rPr>
          <w:color w:val="000000" w:themeColor="text1"/>
          <w:highlight w:val="none"/>
          <w14:textFill>
            <w14:solidFill>
              <w14:schemeClr w14:val="tx1"/>
            </w14:solidFill>
          </w14:textFill>
        </w:rPr>
        <w:t>根据《</w:t>
      </w:r>
      <w:r>
        <w:rPr>
          <w:rFonts w:ascii="宋体" w:hAnsi="宋体"/>
          <w:color w:val="000000" w:themeColor="text1"/>
          <w:highlight w:val="none"/>
          <w14:textFill>
            <w14:solidFill>
              <w14:schemeClr w14:val="tx1"/>
            </w14:solidFill>
          </w14:textFill>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F36EB3A">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3.8除</w:t>
      </w:r>
      <w:r>
        <w:rPr>
          <w:rFonts w:ascii="宋体" w:hAnsi="宋体"/>
          <w:color w:val="000000" w:themeColor="text1"/>
          <w:highlight w:val="none"/>
          <w14:textFill>
            <w14:solidFill>
              <w14:schemeClr w14:val="tx1"/>
            </w14:solidFill>
          </w14:textFill>
        </w:rPr>
        <w:t>本章第3.7条</w:t>
      </w:r>
      <w:r>
        <w:rPr>
          <w:rFonts w:hint="eastAsia" w:ascii="宋体" w:hAnsi="宋体"/>
          <w:color w:val="000000" w:themeColor="text1"/>
          <w:highlight w:val="none"/>
          <w14:textFill>
            <w14:solidFill>
              <w14:schemeClr w14:val="tx1"/>
            </w14:solidFill>
          </w14:textFill>
        </w:rPr>
        <w:t>规定的</w:t>
      </w:r>
      <w:r>
        <w:rPr>
          <w:rFonts w:ascii="宋体" w:hAnsi="宋体"/>
          <w:color w:val="000000" w:themeColor="text1"/>
          <w:highlight w:val="none"/>
          <w14:textFill>
            <w14:solidFill>
              <w14:schemeClr w14:val="tx1"/>
            </w14:solidFill>
          </w14:textFill>
        </w:rPr>
        <w:t>情形</w:t>
      </w:r>
      <w:r>
        <w:rPr>
          <w:rFonts w:hint="eastAsia" w:ascii="宋体" w:hAnsi="宋体"/>
          <w:color w:val="000000" w:themeColor="text1"/>
          <w:highlight w:val="none"/>
          <w14:textFill>
            <w14:solidFill>
              <w14:schemeClr w14:val="tx1"/>
            </w14:solidFill>
          </w14:textFill>
        </w:rPr>
        <w:t>外，</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对磋商过程提交的响应文件进行有效性、完整性和响应程度审查，通过审查的合格供应商不足3家的，应当重新开展采购活动。</w:t>
      </w:r>
    </w:p>
    <w:p w14:paraId="6B53DF73">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14:paraId="4F1A17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条规定的情形外，提交最后报价的供应商不得少于3家，否则应当重新</w:t>
      </w:r>
      <w:r>
        <w:rPr>
          <w:rFonts w:hint="eastAsia" w:ascii="宋体" w:hAnsi="宋体"/>
          <w:color w:val="000000" w:themeColor="text1"/>
          <w:szCs w:val="21"/>
          <w:highlight w:val="none"/>
          <w14:textFill>
            <w14:solidFill>
              <w14:schemeClr w14:val="tx1"/>
            </w14:solidFill>
          </w14:textFill>
        </w:rPr>
        <w:t>开展采购活动</w:t>
      </w:r>
      <w:r>
        <w:rPr>
          <w:rFonts w:hint="eastAsia" w:ascii="宋体" w:hAnsi="宋体" w:cs="宋体"/>
          <w:color w:val="000000" w:themeColor="text1"/>
          <w:szCs w:val="21"/>
          <w:highlight w:val="none"/>
          <w14:textFill>
            <w14:solidFill>
              <w14:schemeClr w14:val="tx1"/>
            </w14:solidFill>
          </w14:textFill>
        </w:rPr>
        <w:t>。</w:t>
      </w:r>
    </w:p>
    <w:p w14:paraId="39C4501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000000" w:themeColor="text1"/>
          <w:szCs w:val="21"/>
          <w:highlight w:val="none"/>
          <w14:textFill>
            <w14:solidFill>
              <w14:schemeClr w14:val="tx1"/>
            </w14:solidFill>
          </w14:textFill>
        </w:rPr>
        <w:t>如果供应商的最后报价与首次报价不一致的，不能只报竞标总报价，必须同时提供“已标价工程量清单”，否则做无效响应处理。</w:t>
      </w:r>
    </w:p>
    <w:p w14:paraId="46B737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w:t>
      </w:r>
    </w:p>
    <w:p w14:paraId="08983DC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符合《政府采购竞争性磋商采购方式管理暂行办法》（财库〔2014〕214号）第三条第四项“市场竞争不充分的科研项目，以及需要扶持的科技成果转化项目”和</w:t>
      </w:r>
      <w:r>
        <w:rPr>
          <w:color w:val="000000" w:themeColor="text1"/>
          <w:highlight w:val="none"/>
          <w14:textFill>
            <w14:solidFill>
              <w14:schemeClr w14:val="tx1"/>
            </w14:solidFill>
          </w14:textFill>
        </w:rPr>
        <w:t>本章</w:t>
      </w:r>
      <w:r>
        <w:rPr>
          <w:rFonts w:ascii="宋体" w:hAnsi="宋体"/>
          <w:color w:val="000000" w:themeColor="text1"/>
          <w:highlight w:val="none"/>
          <w14:textFill>
            <w14:solidFill>
              <w14:schemeClr w14:val="tx1"/>
            </w14:solidFill>
          </w14:textFill>
        </w:rPr>
        <w:t>第3.7条</w:t>
      </w:r>
      <w:r>
        <w:rPr>
          <w:rFonts w:hint="eastAsia" w:ascii="宋体" w:hAnsi="宋体" w:cs="宋体"/>
          <w:color w:val="000000" w:themeColor="text1"/>
          <w:szCs w:val="21"/>
          <w:highlight w:val="none"/>
          <w14:textFill>
            <w14:solidFill>
              <w14:schemeClr w14:val="tx1"/>
            </w14:solidFill>
          </w14:textFill>
        </w:rPr>
        <w:t>规定</w:t>
      </w:r>
      <w:r>
        <w:rPr>
          <w:color w:val="000000" w:themeColor="text1"/>
          <w:highlight w:val="none"/>
          <w14:textFill>
            <w14:solidFill>
              <w14:schemeClr w14:val="tx1"/>
            </w14:solidFill>
          </w14:textFill>
        </w:rPr>
        <w:t>情形的，</w:t>
      </w:r>
      <w:r>
        <w:rPr>
          <w:rFonts w:hint="eastAsia" w:ascii="宋体" w:hAnsi="宋体" w:cs="宋体"/>
          <w:color w:val="000000" w:themeColor="text1"/>
          <w:szCs w:val="21"/>
          <w:highlight w:val="none"/>
          <w14:textFill>
            <w14:solidFill>
              <w14:schemeClr w14:val="tx1"/>
            </w14:solidFill>
          </w14:textFill>
        </w:rPr>
        <w:t>提交最后报价的供应商可以为2家。</w:t>
      </w:r>
    </w:p>
    <w:p w14:paraId="553F8E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已经提交响应文件的供应商，在提交最后报价之前，可以根据磋商情况退出磋商，退出磋商的供应商的响应文件按无效处理。采购人、采购代理机构将退还退出磋商的供应商的保证金。</w:t>
      </w:r>
    </w:p>
    <w:p w14:paraId="74124A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供应商未在规定时间内提交最后报价的，视同退出磋商，其响应文件按无效处理。</w:t>
      </w:r>
    </w:p>
    <w:p w14:paraId="5BD7F57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最后报价统一开启后，磋商小组对最后报价进行有效性、完整性和响应程度的审查。</w:t>
      </w:r>
    </w:p>
    <w:p w14:paraId="5C6C02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4D2786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14E01C9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r>
        <w:rPr>
          <w:rFonts w:hint="eastAsia" w:ascii="宋体" w:hAnsi="宋体" w:cs="宋体"/>
          <w:color w:val="000000" w:themeColor="text1"/>
          <w:szCs w:val="21"/>
          <w:highlight w:val="none"/>
          <w:lang w:eastAsia="zh-CN"/>
          <w14:textFill>
            <w14:solidFill>
              <w14:schemeClr w14:val="tx1"/>
            </w14:solidFill>
          </w14:textFill>
        </w:rPr>
        <w:t>；</w:t>
      </w:r>
    </w:p>
    <w:p w14:paraId="1B81DEB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r>
        <w:rPr>
          <w:rFonts w:hint="eastAsia" w:ascii="宋体" w:hAnsi="宋体" w:cs="宋体"/>
          <w:color w:val="000000" w:themeColor="text1"/>
          <w:szCs w:val="21"/>
          <w:highlight w:val="none"/>
          <w:lang w:eastAsia="zh-CN"/>
          <w14:textFill>
            <w14:solidFill>
              <w14:schemeClr w14:val="tx1"/>
            </w14:solidFill>
          </w14:textFill>
        </w:rPr>
        <w:t>；</w:t>
      </w:r>
    </w:p>
    <w:p w14:paraId="787CC2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（3）经供应商确认修正后的竞标报价（包含首次报价、最后报价）超过分项采购预算金额或者单价最高限价的（如项目有要求并公布了分项采购预算金额或者单价最高限价）。</w:t>
      </w:r>
    </w:p>
    <w:p w14:paraId="040907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5A5624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2A4407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5713476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14:paraId="3C177D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40149A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32FBF62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366EBCD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769EEB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30B2C5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3E488FB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6. 成交供应商荐原则</w:t>
      </w:r>
    </w:p>
    <w:p w14:paraId="5BCE59BA">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highlight w:val="none"/>
          <w14:textFill>
            <w14:solidFill>
              <w14:schemeClr w14:val="tx1"/>
            </w14:solidFill>
          </w14:textFill>
        </w:rPr>
        <w:t>评审报告</w:t>
      </w:r>
      <w:r>
        <w:rPr>
          <w:rFonts w:hint="eastAsia" w:hAnsi="宋体"/>
          <w:color w:val="000000" w:themeColor="text1"/>
          <w:highlight w:val="none"/>
          <w14:textFill>
            <w14:solidFill>
              <w14:schemeClr w14:val="tx1"/>
            </w14:solidFill>
          </w14:textFill>
        </w:rPr>
        <w:t>通过电子交易平台向采购人、采购代理机构提交。</w:t>
      </w:r>
      <w:r>
        <w:rPr>
          <w:rFonts w:hint="eastAsia" w:ascii="宋体" w:hAnsi="宋体"/>
          <w:bCs/>
          <w:color w:val="000000" w:themeColor="text1"/>
          <w:szCs w:val="21"/>
          <w:highlight w:val="none"/>
          <w14:textFill>
            <w14:solidFill>
              <w14:schemeClr w14:val="tx1"/>
            </w14:solidFill>
          </w14:textFill>
        </w:rPr>
        <w:t>符合本章第</w:t>
      </w:r>
      <w:r>
        <w:rPr>
          <w:rFonts w:ascii="宋体" w:hAnsi="宋体"/>
          <w:bCs/>
          <w:color w:val="000000" w:themeColor="text1"/>
          <w:szCs w:val="21"/>
          <w:highlight w:val="none"/>
          <w14:textFill>
            <w14:solidFill>
              <w14:schemeClr w14:val="tx1"/>
            </w14:solidFill>
          </w14:textFill>
        </w:rPr>
        <w:t>4.3</w:t>
      </w:r>
      <w:r>
        <w:rPr>
          <w:rFonts w:hint="eastAsia" w:ascii="宋体" w:hAnsi="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均相同的，由磋商小组随机抽取推荐</w:t>
      </w:r>
      <w:r>
        <w:rPr>
          <w:rFonts w:hint="eastAsia" w:ascii="宋体" w:hAnsi="宋体"/>
          <w:color w:val="000000" w:themeColor="text1"/>
          <w:kern w:val="0"/>
          <w:szCs w:val="21"/>
          <w:highlight w:val="none"/>
          <w14:textFill>
            <w14:solidFill>
              <w14:schemeClr w14:val="tx1"/>
            </w14:solidFill>
          </w14:textFill>
        </w:rPr>
        <w:t>。</w:t>
      </w:r>
    </w:p>
    <w:p w14:paraId="4230770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3F7318">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37465F35">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评审依据：磋商小组以磋商文件为评审依据，对供应商的报价、技术、商务等方面内容按百分制打分。（计分方法按四舍五入取至百分位）</w:t>
      </w:r>
    </w:p>
    <w:p w14:paraId="3882F917">
      <w:pP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br w:type="page"/>
      </w:r>
    </w:p>
    <w:tbl>
      <w:tblPr>
        <w:tblStyle w:val="4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94"/>
        <w:gridCol w:w="1595"/>
        <w:gridCol w:w="5843"/>
        <w:gridCol w:w="878"/>
      </w:tblGrid>
      <w:tr w14:paraId="486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48" w:type="dxa"/>
            <w:noWrap w:val="0"/>
            <w:vAlign w:val="center"/>
          </w:tcPr>
          <w:p w14:paraId="00684037">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089" w:type="dxa"/>
            <w:gridSpan w:val="2"/>
            <w:noWrap w:val="0"/>
            <w:vAlign w:val="center"/>
          </w:tcPr>
          <w:p w14:paraId="31ADB9CE">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评审因素</w:t>
            </w:r>
          </w:p>
        </w:tc>
        <w:tc>
          <w:tcPr>
            <w:tcW w:w="5843" w:type="dxa"/>
            <w:noWrap w:val="0"/>
            <w:vAlign w:val="center"/>
          </w:tcPr>
          <w:p w14:paraId="4F0A353A">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评审标准</w:t>
            </w:r>
          </w:p>
        </w:tc>
        <w:tc>
          <w:tcPr>
            <w:tcW w:w="878" w:type="dxa"/>
            <w:noWrap w:val="0"/>
            <w:vAlign w:val="center"/>
          </w:tcPr>
          <w:p w14:paraId="0F175B11">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分值</w:t>
            </w:r>
          </w:p>
        </w:tc>
      </w:tr>
      <w:tr w14:paraId="27AB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577BF4EA">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089" w:type="dxa"/>
            <w:gridSpan w:val="2"/>
            <w:noWrap w:val="0"/>
            <w:vAlign w:val="center"/>
          </w:tcPr>
          <w:p w14:paraId="103BCAE2">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价格分</w:t>
            </w:r>
          </w:p>
        </w:tc>
        <w:tc>
          <w:tcPr>
            <w:tcW w:w="5843" w:type="dxa"/>
            <w:noWrap w:val="0"/>
            <w:vAlign w:val="top"/>
          </w:tcPr>
          <w:p w14:paraId="41E3814C">
            <w:pPr>
              <w:pStyle w:val="17"/>
              <w:rPr>
                <w:rFonts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（1）</w:t>
            </w:r>
            <w:r>
              <w:rPr>
                <w:color w:val="000000" w:themeColor="text1"/>
                <w:highlight w:val="none"/>
                <w14:textFill>
                  <w14:solidFill>
                    <w14:schemeClr w14:val="tx1"/>
                  </w14:solidFill>
                </w14:textFill>
              </w:rPr>
              <w:t>本</w:t>
            </w:r>
            <w:r>
              <w:rPr>
                <w:rFonts w:hint="eastAsia"/>
                <w:color w:val="000000" w:themeColor="text1"/>
                <w:highlight w:val="none"/>
                <w14:textFill>
                  <w14:solidFill>
                    <w14:schemeClr w14:val="tx1"/>
                  </w14:solidFill>
                </w14:textFill>
              </w:rPr>
              <w:t>项目</w:t>
            </w:r>
            <w:r>
              <w:rPr>
                <w:color w:val="000000" w:themeColor="text1"/>
                <w:highlight w:val="none"/>
                <w14:textFill>
                  <w14:solidFill>
                    <w14:schemeClr w14:val="tx1"/>
                  </w14:solidFill>
                </w14:textFill>
              </w:rPr>
              <w:t>专门面向中小企业采购，根据《</w:t>
            </w:r>
            <w:r>
              <w:rPr>
                <w:rFonts w:hint="eastAsia"/>
                <w:color w:val="000000" w:themeColor="text1"/>
                <w:highlight w:val="none"/>
                <w14:textFill>
                  <w14:solidFill>
                    <w14:schemeClr w14:val="tx1"/>
                  </w14:solidFill>
                </w14:textFill>
              </w:rPr>
              <w:t>政府采购促进中小企业发展管理办法</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规定，不再针对小微企业执行</w:t>
            </w:r>
            <w:r>
              <w:rPr>
                <w:rFonts w:hint="eastAsia" w:hAnsi="宋体" w:cs="Courier New"/>
                <w:bCs/>
                <w:color w:val="000000" w:themeColor="text1"/>
                <w:kern w:val="2"/>
                <w:sz w:val="21"/>
                <w:highlight w:val="none"/>
                <w14:textFill>
                  <w14:solidFill>
                    <w14:schemeClr w14:val="tx1"/>
                  </w14:solidFill>
                </w14:textFill>
              </w:rPr>
              <w:t>价格扣除政策。</w:t>
            </w:r>
          </w:p>
          <w:p w14:paraId="10921AAB">
            <w:pPr>
              <w:pStyle w:val="25"/>
              <w:spacing w:line="360" w:lineRule="auto"/>
              <w:rPr>
                <w:rFonts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（2）以进入比较与评价环节的最低的</w:t>
            </w:r>
            <w:r>
              <w:rPr>
                <w:rFonts w:hint="eastAsia" w:hAnsi="宋体" w:cs="Courier New"/>
                <w:bCs/>
                <w:color w:val="000000" w:themeColor="text1"/>
                <w:kern w:val="2"/>
                <w:sz w:val="21"/>
                <w:highlight w:val="none"/>
                <w:lang w:val="en-US" w:eastAsia="zh-CN"/>
                <w14:textFill>
                  <w14:solidFill>
                    <w14:schemeClr w14:val="tx1"/>
                  </w14:solidFill>
                </w14:textFill>
              </w:rPr>
              <w:t>最后报</w:t>
            </w:r>
            <w:r>
              <w:rPr>
                <w:rFonts w:hint="eastAsia" w:hAnsi="宋体" w:cs="Courier New"/>
                <w:bCs/>
                <w:color w:val="000000" w:themeColor="text1"/>
                <w:kern w:val="2"/>
                <w:sz w:val="21"/>
                <w:highlight w:val="none"/>
                <w14:textFill>
                  <w14:solidFill>
                    <w14:schemeClr w14:val="tx1"/>
                  </w14:solidFill>
                </w14:textFill>
              </w:rPr>
              <w:t>价为基准价，基准价得分为</w:t>
            </w:r>
            <w:r>
              <w:rPr>
                <w:rFonts w:hAnsi="宋体" w:cs="Courier New"/>
                <w:bCs/>
                <w:color w:val="000000" w:themeColor="text1"/>
                <w:kern w:val="2"/>
                <w:sz w:val="21"/>
                <w:highlight w:val="none"/>
                <w14:textFill>
                  <w14:solidFill>
                    <w14:schemeClr w14:val="tx1"/>
                  </w14:solidFill>
                </w14:textFill>
              </w:rPr>
              <w:t xml:space="preserve"> </w:t>
            </w:r>
            <w:r>
              <w:rPr>
                <w:rFonts w:hint="eastAsia" w:hAnsi="宋体" w:cs="Courier New"/>
                <w:bCs/>
                <w:color w:val="000000" w:themeColor="text1"/>
                <w:kern w:val="2"/>
                <w:sz w:val="21"/>
                <w:highlight w:val="none"/>
                <w:lang w:val="en-US" w:eastAsia="zh-CN"/>
                <w14:textFill>
                  <w14:solidFill>
                    <w14:schemeClr w14:val="tx1"/>
                  </w14:solidFill>
                </w14:textFill>
              </w:rPr>
              <w:t>2</w:t>
            </w:r>
            <w:r>
              <w:rPr>
                <w:rFonts w:hint="eastAsia" w:hAnsi="宋体" w:cs="Courier New"/>
                <w:bCs/>
                <w:color w:val="000000" w:themeColor="text1"/>
                <w:kern w:val="2"/>
                <w:sz w:val="21"/>
                <w:highlight w:val="none"/>
                <w14:textFill>
                  <w14:solidFill>
                    <w14:schemeClr w14:val="tx1"/>
                  </w14:solidFill>
                </w14:textFill>
              </w:rPr>
              <w:t>0分 。</w:t>
            </w:r>
          </w:p>
          <w:p w14:paraId="590A162F">
            <w:pPr>
              <w:pStyle w:val="25"/>
              <w:wordWrap w:val="0"/>
              <w:spacing w:line="400" w:lineRule="exact"/>
              <w:ind w:firstLine="420" w:firstLineChars="200"/>
              <w:rPr>
                <w:rFonts w:hint="eastAsia" w:hAnsi="宋体" w:cs="宋体"/>
                <w:bCs/>
                <w:color w:val="000000" w:themeColor="text1"/>
                <w:kern w:val="2"/>
                <w:sz w:val="21"/>
                <w:highlight w:val="none"/>
                <w:lang w:val="en-US" w:eastAsia="zh-CN"/>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（3）价格分计算公式：报价得分=（基准价/最后报价）×</w:t>
            </w:r>
            <w:r>
              <w:rPr>
                <w:rFonts w:hAnsi="宋体" w:cs="Courier New"/>
                <w:bCs/>
                <w:color w:val="000000" w:themeColor="text1"/>
                <w:kern w:val="2"/>
                <w:sz w:val="21"/>
                <w:highlight w:val="none"/>
                <w14:textFill>
                  <w14:solidFill>
                    <w14:schemeClr w14:val="tx1"/>
                  </w14:solidFill>
                </w14:textFill>
              </w:rPr>
              <w:t xml:space="preserve"> </w:t>
            </w:r>
            <w:r>
              <w:rPr>
                <w:rFonts w:hint="eastAsia" w:hAnsi="宋体" w:cs="Courier New"/>
                <w:bCs/>
                <w:color w:val="000000" w:themeColor="text1"/>
                <w:kern w:val="2"/>
                <w:sz w:val="21"/>
                <w:highlight w:val="none"/>
                <w:lang w:val="en-US" w:eastAsia="zh-CN"/>
                <w14:textFill>
                  <w14:solidFill>
                    <w14:schemeClr w14:val="tx1"/>
                  </w14:solidFill>
                </w14:textFill>
              </w:rPr>
              <w:t>2</w:t>
            </w:r>
            <w:r>
              <w:rPr>
                <w:rFonts w:hint="eastAsia" w:hAnsi="宋体" w:cs="Courier New"/>
                <w:bCs/>
                <w:color w:val="000000" w:themeColor="text1"/>
                <w:kern w:val="2"/>
                <w:sz w:val="21"/>
                <w:highlight w:val="none"/>
                <w14:textFill>
                  <w14:solidFill>
                    <w14:schemeClr w14:val="tx1"/>
                  </w14:solidFill>
                </w14:textFill>
              </w:rPr>
              <w:t>0分</w:t>
            </w:r>
          </w:p>
        </w:tc>
        <w:tc>
          <w:tcPr>
            <w:tcW w:w="878" w:type="dxa"/>
            <w:noWrap w:val="0"/>
            <w:vAlign w:val="center"/>
          </w:tcPr>
          <w:p w14:paraId="3CF0A123">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20分</w:t>
            </w:r>
          </w:p>
        </w:tc>
      </w:tr>
      <w:tr w14:paraId="7E4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6CF63F62">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w:t>
            </w:r>
          </w:p>
        </w:tc>
        <w:tc>
          <w:tcPr>
            <w:tcW w:w="2089" w:type="dxa"/>
            <w:gridSpan w:val="2"/>
            <w:noWrap w:val="0"/>
            <w:vAlign w:val="center"/>
          </w:tcPr>
          <w:p w14:paraId="0CB2C1D1">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技术分</w:t>
            </w:r>
          </w:p>
        </w:tc>
        <w:tc>
          <w:tcPr>
            <w:tcW w:w="5843" w:type="dxa"/>
            <w:noWrap w:val="0"/>
            <w:vAlign w:val="center"/>
          </w:tcPr>
          <w:p w14:paraId="6C04C652">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评审标准</w:t>
            </w:r>
          </w:p>
        </w:tc>
        <w:tc>
          <w:tcPr>
            <w:tcW w:w="878" w:type="dxa"/>
            <w:noWrap w:val="0"/>
            <w:vAlign w:val="center"/>
          </w:tcPr>
          <w:p w14:paraId="104CE39F">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70分</w:t>
            </w:r>
          </w:p>
        </w:tc>
      </w:tr>
      <w:tr w14:paraId="7FA1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48" w:type="dxa"/>
            <w:vMerge w:val="restart"/>
            <w:noWrap w:val="0"/>
            <w:vAlign w:val="center"/>
          </w:tcPr>
          <w:p w14:paraId="1CB99E01">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2.1</w:t>
            </w:r>
          </w:p>
        </w:tc>
        <w:tc>
          <w:tcPr>
            <w:tcW w:w="494" w:type="dxa"/>
            <w:vMerge w:val="restart"/>
            <w:noWrap w:val="0"/>
            <w:vAlign w:val="center"/>
          </w:tcPr>
          <w:p w14:paraId="5A084E06">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项目管理机构</w:t>
            </w:r>
          </w:p>
        </w:tc>
        <w:tc>
          <w:tcPr>
            <w:tcW w:w="1595" w:type="dxa"/>
            <w:noWrap w:val="0"/>
            <w:vAlign w:val="center"/>
          </w:tcPr>
          <w:p w14:paraId="7E3CF1BC">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项目经理任职资格</w:t>
            </w:r>
          </w:p>
        </w:tc>
        <w:tc>
          <w:tcPr>
            <w:tcW w:w="5843" w:type="dxa"/>
            <w:noWrap w:val="0"/>
            <w:vAlign w:val="center"/>
          </w:tcPr>
          <w:p w14:paraId="08E56EE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项目经理具备建筑工程专业中级或以上技术职称的得3分。</w:t>
            </w:r>
          </w:p>
          <w:p w14:paraId="0A7A163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注：响应文件中提供项目经理相应有效的职称证书复印件，复印件需加盖单位公章，否则不得分。</w:t>
            </w:r>
          </w:p>
        </w:tc>
        <w:tc>
          <w:tcPr>
            <w:tcW w:w="878" w:type="dxa"/>
            <w:noWrap w:val="0"/>
            <w:vAlign w:val="center"/>
          </w:tcPr>
          <w:p w14:paraId="076F901E">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3分</w:t>
            </w:r>
          </w:p>
        </w:tc>
      </w:tr>
      <w:tr w14:paraId="070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07A527E0">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3C32EBF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p>
        </w:tc>
        <w:tc>
          <w:tcPr>
            <w:tcW w:w="1595" w:type="dxa"/>
            <w:noWrap w:val="0"/>
            <w:vAlign w:val="center"/>
          </w:tcPr>
          <w:p w14:paraId="0905D868">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其他主要人员</w:t>
            </w:r>
          </w:p>
        </w:tc>
        <w:tc>
          <w:tcPr>
            <w:tcW w:w="5843" w:type="dxa"/>
            <w:noWrap w:val="0"/>
            <w:vAlign w:val="top"/>
          </w:tcPr>
          <w:p w14:paraId="2B2C6881">
            <w:pPr>
              <w:pStyle w:val="40"/>
              <w:wordWrap w:val="0"/>
              <w:snapToGrid w:val="0"/>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拟投入本工程的技术人员中有施工员、质量员、材料员，且持证上岗的，每提供一种证书得1分，满分3分。</w:t>
            </w:r>
          </w:p>
          <w:p w14:paraId="5188414E">
            <w:pPr>
              <w:pStyle w:val="40"/>
              <w:wordWrap w:val="0"/>
              <w:snapToGrid w:val="0"/>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注：响应文件中提供上述人员相应有效的证书复印件，复印件需加盖单位公章，否则不得分。</w:t>
            </w:r>
          </w:p>
        </w:tc>
        <w:tc>
          <w:tcPr>
            <w:tcW w:w="878" w:type="dxa"/>
            <w:noWrap w:val="0"/>
            <w:vAlign w:val="center"/>
          </w:tcPr>
          <w:p w14:paraId="13E2AD74">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3分</w:t>
            </w:r>
          </w:p>
        </w:tc>
      </w:tr>
      <w:tr w14:paraId="4D9F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restart"/>
            <w:noWrap w:val="0"/>
            <w:vAlign w:val="center"/>
          </w:tcPr>
          <w:p w14:paraId="5B40F8AC">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2.2</w:t>
            </w:r>
          </w:p>
        </w:tc>
        <w:tc>
          <w:tcPr>
            <w:tcW w:w="494" w:type="dxa"/>
            <w:vMerge w:val="restart"/>
            <w:noWrap w:val="0"/>
            <w:vAlign w:val="center"/>
          </w:tcPr>
          <w:p w14:paraId="595A0C64">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施工组织设计</w:t>
            </w:r>
          </w:p>
        </w:tc>
        <w:tc>
          <w:tcPr>
            <w:tcW w:w="1595" w:type="dxa"/>
            <w:noWrap w:val="0"/>
            <w:vAlign w:val="center"/>
          </w:tcPr>
          <w:p w14:paraId="76F4CB74">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主要施工方法</w:t>
            </w:r>
          </w:p>
        </w:tc>
        <w:tc>
          <w:tcPr>
            <w:tcW w:w="5843" w:type="dxa"/>
            <w:noWrap w:val="0"/>
            <w:vAlign w:val="center"/>
          </w:tcPr>
          <w:p w14:paraId="01074983">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一档（2分）：各主要分部施工方法基本符合项目实际，施工技术方案考虑不够详细、不够切合项目。</w:t>
            </w:r>
          </w:p>
          <w:p w14:paraId="6512A07E">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二档（6分）：各主要分部施工方法符合项目实际，有详尽的施工技术方案，工艺基本可行、方法可行，能指导具体施工并确保安全。</w:t>
            </w:r>
          </w:p>
          <w:p w14:paraId="5B4F452E">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三档（10分）：各主要分部施工方法符合项目实际，有详尽的施工技术方案，工艺先进、方法科学合理、可行，能指导具体施工并确保安全。</w:t>
            </w:r>
          </w:p>
          <w:p w14:paraId="03EE4F71">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0AD9FCDA">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14:paraId="6C6C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D5BBD9D">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61A76008">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60FDAB37">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拟投入的主要物资计划</w:t>
            </w:r>
          </w:p>
        </w:tc>
        <w:tc>
          <w:tcPr>
            <w:tcW w:w="5843" w:type="dxa"/>
            <w:noWrap w:val="0"/>
            <w:vAlign w:val="center"/>
          </w:tcPr>
          <w:p w14:paraId="4501B8C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w:t>
            </w:r>
            <w:r>
              <w:rPr>
                <w:rFonts w:hint="eastAsia" w:ascii="宋体" w:hAnsi="宋体" w:cs="宋体"/>
                <w:color w:val="000000" w:themeColor="text1"/>
                <w:kern w:val="0"/>
                <w:szCs w:val="21"/>
                <w:highlight w:val="none"/>
                <w14:textFill>
                  <w14:solidFill>
                    <w14:schemeClr w14:val="tx1"/>
                  </w14:solidFill>
                </w14:textFill>
              </w:rPr>
              <w:t>投入的施工材料有组织计划，数量、选型配置、进场时间基本满足施工需要</w:t>
            </w:r>
            <w:r>
              <w:rPr>
                <w:rFonts w:hint="eastAsia" w:ascii="宋体" w:hAnsi="宋体" w:cs="宋体"/>
                <w:color w:val="000000" w:themeColor="text1"/>
                <w:szCs w:val="21"/>
                <w:highlight w:val="none"/>
                <w14:textFill>
                  <w14:solidFill>
                    <w14:schemeClr w14:val="tx1"/>
                  </w14:solidFill>
                </w14:textFill>
              </w:rPr>
              <w:t>。</w:t>
            </w:r>
          </w:p>
          <w:p w14:paraId="6C85AEC7">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二档（5分）：</w:t>
            </w:r>
            <w:r>
              <w:rPr>
                <w:rFonts w:hint="eastAsia" w:ascii="宋体" w:hAnsi="宋体" w:cs="宋体"/>
                <w:color w:val="000000" w:themeColor="text1"/>
                <w:kern w:val="0"/>
                <w:szCs w:val="21"/>
                <w:highlight w:val="none"/>
                <w14:textFill>
                  <w14:solidFill>
                    <w14:schemeClr w14:val="tx1"/>
                  </w14:solidFill>
                </w14:textFill>
              </w:rPr>
              <w:t>投入的施工材料有详细的组织计划且计划</w:t>
            </w:r>
            <w:r>
              <w:rPr>
                <w:rFonts w:hint="eastAsia" w:ascii="宋体" w:hAnsi="宋体" w:cs="宋体"/>
                <w:color w:val="000000" w:themeColor="text1"/>
                <w:szCs w:val="21"/>
                <w:highlight w:val="none"/>
                <w14:textFill>
                  <w14:solidFill>
                    <w14:schemeClr w14:val="tx1"/>
                  </w14:solidFill>
                </w14:textFill>
              </w:rPr>
              <w:t>考虑不够周全</w:t>
            </w:r>
            <w:r>
              <w:rPr>
                <w:rFonts w:hint="eastAsia" w:ascii="宋体" w:hAnsi="宋体" w:cs="宋体"/>
                <w:color w:val="000000" w:themeColor="text1"/>
                <w:kern w:val="0"/>
                <w:szCs w:val="21"/>
                <w:highlight w:val="none"/>
                <w14:textFill>
                  <w14:solidFill>
                    <w14:schemeClr w14:val="tx1"/>
                  </w14:solidFill>
                </w14:textFill>
              </w:rPr>
              <w:t>，数量、选型配置、进场时间安排较合理，满足施工需要</w:t>
            </w:r>
            <w:r>
              <w:rPr>
                <w:rFonts w:hint="eastAsia" w:ascii="宋体" w:hAnsi="宋体" w:cs="宋体"/>
                <w:color w:val="000000" w:themeColor="text1"/>
                <w:szCs w:val="21"/>
                <w:highlight w:val="none"/>
                <w14:textFill>
                  <w14:solidFill>
                    <w14:schemeClr w14:val="tx1"/>
                  </w14:solidFill>
                </w14:textFill>
              </w:rPr>
              <w:t xml:space="preserve">。 </w:t>
            </w:r>
          </w:p>
          <w:p w14:paraId="4F5FCC1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三档（8分）：投入的施工材料有详细的组织计划且计划周密，数量、选型配置、进场时间安排合理，有拟配备本项目的试验和检测仪器设备表，完全满足施工需要。</w:t>
            </w:r>
          </w:p>
          <w:p w14:paraId="5DD92AAC">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64CE6AE9">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8分</w:t>
            </w:r>
          </w:p>
        </w:tc>
      </w:tr>
      <w:tr w14:paraId="3C7F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1097E7D">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44138ED3">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1A5CCC7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拟投入的主要施工机械、设备计划</w:t>
            </w:r>
          </w:p>
        </w:tc>
        <w:tc>
          <w:tcPr>
            <w:tcW w:w="5843" w:type="dxa"/>
            <w:noWrap w:val="0"/>
            <w:vAlign w:val="center"/>
          </w:tcPr>
          <w:p w14:paraId="44855FB0">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一档（2分）：投入的施工机械、设备、机具无详细的组织计划，设备数量、选型配置、进场时间安排不够合理。</w:t>
            </w:r>
          </w:p>
          <w:p w14:paraId="3D02715E">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二档（5分）：投入的施工机械、设备、机具有组织计划且计划考虑基本切合项目实际，设备数量、选型配置、进场时间安排合理，基本满足施工需要。  </w:t>
            </w:r>
          </w:p>
          <w:p w14:paraId="0486019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三档（8分）：投入的施工机械、设备、机具有详细的组织计划且计划周密，设备数量、选型配置、进场时间安排合理，满足施工需要。 </w:t>
            </w:r>
          </w:p>
          <w:p w14:paraId="260D375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34BBD897">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8分</w:t>
            </w:r>
          </w:p>
        </w:tc>
      </w:tr>
      <w:tr w14:paraId="2319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C5F9F05">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751D7FE9">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57C98B8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劳动力安排计划</w:t>
            </w:r>
          </w:p>
        </w:tc>
        <w:tc>
          <w:tcPr>
            <w:tcW w:w="5843" w:type="dxa"/>
            <w:noWrap w:val="0"/>
            <w:vAlign w:val="center"/>
          </w:tcPr>
          <w:p w14:paraId="1244939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w:t>
            </w:r>
            <w:r>
              <w:rPr>
                <w:rFonts w:hint="eastAsia" w:ascii="宋体" w:hAnsi="宋体" w:cs="宋体"/>
                <w:color w:val="000000" w:themeColor="text1"/>
                <w:kern w:val="0"/>
                <w:szCs w:val="21"/>
                <w:highlight w:val="none"/>
                <w14:textFill>
                  <w14:solidFill>
                    <w14:schemeClr w14:val="tx1"/>
                  </w14:solidFill>
                </w14:textFill>
              </w:rPr>
              <w:t>各主要施工工序有劳动力安排计划，劳动力投入基本满足施工需要</w:t>
            </w:r>
            <w:r>
              <w:rPr>
                <w:rFonts w:hint="eastAsia" w:ascii="宋体" w:hAnsi="宋体" w:cs="宋体"/>
                <w:color w:val="000000" w:themeColor="text1"/>
                <w:szCs w:val="21"/>
                <w:highlight w:val="none"/>
                <w14:textFill>
                  <w14:solidFill>
                    <w14:schemeClr w14:val="tx1"/>
                  </w14:solidFill>
                </w14:textFill>
              </w:rPr>
              <w:t xml:space="preserve">。 </w:t>
            </w:r>
          </w:p>
          <w:p w14:paraId="0F3B270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二档（5分）：</w:t>
            </w:r>
            <w:r>
              <w:rPr>
                <w:rFonts w:hint="eastAsia" w:ascii="宋体" w:hAnsi="宋体" w:cs="宋体"/>
                <w:color w:val="000000" w:themeColor="text1"/>
                <w:kern w:val="0"/>
                <w:szCs w:val="21"/>
                <w:highlight w:val="none"/>
                <w14:textFill>
                  <w14:solidFill>
                    <w14:schemeClr w14:val="tx1"/>
                  </w14:solidFill>
                </w14:textFill>
              </w:rPr>
              <w:t>各主要施工工序有详细的劳动力安排计划，有各工种劳动力安排计划，劳动力投入较合理，满足施工需要</w:t>
            </w:r>
            <w:r>
              <w:rPr>
                <w:rFonts w:hint="eastAsia" w:ascii="宋体" w:hAnsi="宋体" w:cs="宋体"/>
                <w:color w:val="000000" w:themeColor="text1"/>
                <w:szCs w:val="21"/>
                <w:highlight w:val="none"/>
                <w14:textFill>
                  <w14:solidFill>
                    <w14:schemeClr w14:val="tx1"/>
                  </w14:solidFill>
                </w14:textFill>
              </w:rPr>
              <w:t>。</w:t>
            </w:r>
          </w:p>
          <w:p w14:paraId="00AA7EF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三档（8分）：各主要施工工序有详细周密的劳动力安排计划，有各工种劳动力安排计划，劳动力投入合理，满足施工需要。</w:t>
            </w:r>
          </w:p>
          <w:p w14:paraId="7BB86CF2">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3A6A6D51">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8分</w:t>
            </w:r>
          </w:p>
        </w:tc>
      </w:tr>
      <w:tr w14:paraId="439F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00096CDA">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5F8B0BA5">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4F24ABF0">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确保工程质量的技术组织措施</w:t>
            </w:r>
          </w:p>
        </w:tc>
        <w:tc>
          <w:tcPr>
            <w:tcW w:w="5843" w:type="dxa"/>
            <w:noWrap w:val="0"/>
            <w:vAlign w:val="center"/>
          </w:tcPr>
          <w:p w14:paraId="6EF50698">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一档（2分）：有专门的质量技术管理班子和制度。主要工序有质量技术保证措施和手段，基本能保证技术质量，达到承诺的质量标准。</w:t>
            </w:r>
          </w:p>
          <w:p w14:paraId="2A4101A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有专门的质量技术管理班子和制度，且人员配备较合理，制度较健全。有质量管理责任人和职责明确，正确完整列出针对本工程关键工序的质量验收流程和验收依据标准。主要工序有质量技术保证措施和手段，自控体系较完整，能有效保证技术质量，达到承诺的质量标准。</w:t>
            </w:r>
          </w:p>
          <w:p w14:paraId="7DE77EA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有专门的质量技术管理班子和制度，且人员配备合理，制度健全。有质量管理责任人和职责明确，正确完整列出针对本工程关键工序的质量验收流程和验收依据标准，有针对施工过程质量控制日常管理制度流程，且满足本工程需要。主要工序有质量技术保证措施和手段，自控体系完整，能有效保证技术质量，达到承诺的质量标准。</w:t>
            </w:r>
          </w:p>
          <w:p w14:paraId="153D95FE">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15BCA2CD">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6F7E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51323804">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5995581E">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7B244302">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确保安全生产的技术组织措施</w:t>
            </w:r>
          </w:p>
        </w:tc>
        <w:tc>
          <w:tcPr>
            <w:tcW w:w="5843" w:type="dxa"/>
            <w:noWrap w:val="0"/>
            <w:vAlign w:val="center"/>
          </w:tcPr>
          <w:p w14:paraId="6E31525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一档（2分）：有专门的安全管理人员和制度，且人员配备基本合理，制度基本健全，各道工序安全技术措施基本符合满足有关安全技术标准要求。现场防火、应急救援、社会治安安全措施基本可行。</w:t>
            </w:r>
          </w:p>
          <w:p w14:paraId="4FE0794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有专门的安全管理人员和制度，且人员配备较合理，制度较健全，各道工序安全技术措施针对性较强，符合实际且满足有关安全技术标准要求。现场防火、应急救援、社会治安安全措施较得力。有对本工程的全面风险分析、施工各项风险的专项防护措施、风险事件的应急处置预案，内容基本可行。</w:t>
            </w:r>
          </w:p>
          <w:p w14:paraId="1CFE440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有专门的安全管理人员和制度，且人员配备合理，制度健全，各道工序安全技术措施针对性强，符合实际且满足有关安全技术标准要求。现场防火、应急救援、社会治安安全措施得力。有针对本工程的全面风险分析、施工各项风险的专项防护措施、风险事件的应急处置预案，且内容可行性强。有可行的对他方交叉作业安全管理措施和针对本工程突发异常天气等自然灾害环形的预防保障及应急处置措施。</w:t>
            </w:r>
          </w:p>
          <w:p w14:paraId="051F7367">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13D732E6">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278B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7F0FAB06">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66D62BAC">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6849D133">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确保工期的技术组织措施</w:t>
            </w:r>
          </w:p>
        </w:tc>
        <w:tc>
          <w:tcPr>
            <w:tcW w:w="5843" w:type="dxa"/>
            <w:noWrap w:val="0"/>
            <w:vAlign w:val="center"/>
          </w:tcPr>
          <w:p w14:paraId="38D33A04">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一档（2分）：在施工工艺、施工方法、材料选用、劳动力安排、技术等方面有保证工期的措施。有控制工期的施工进度计划，基本符合本项目施工实际要求。</w:t>
            </w:r>
          </w:p>
          <w:p w14:paraId="2C9010C9">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在施工工艺、施工方法、材料选用、劳动力安排、技术等方面有保证工期的具体措施且措施较得当。有控制工期的施工进度计划。有施工总进度表或施工网络图，各项计划图表编制较完善，安排较合理，符合本项目施工实际要求。</w:t>
            </w:r>
          </w:p>
          <w:p w14:paraId="7659488B">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在施工工艺、施工方法、材料选用、劳动力安排、技术等方面有保证工期的具体措施且措施得当。有控制工期的施工进度计划。有施工总进度表或施工网络图，对关键线路节点控制管理措施得当，并对如果发生进度滞后有具体可行的纠偏及补救措施，各项计划图表编制完善，安排科学合理，符合本项目施工实际要求。</w:t>
            </w:r>
          </w:p>
          <w:p w14:paraId="6B80542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71BDBA1B">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31FE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6FF6A4E9">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48D7D586">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528D02F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确保文明施工的技术组织措施</w:t>
            </w:r>
          </w:p>
        </w:tc>
        <w:tc>
          <w:tcPr>
            <w:tcW w:w="5843" w:type="dxa"/>
            <w:noWrap w:val="0"/>
            <w:vAlign w:val="center"/>
          </w:tcPr>
          <w:p w14:paraId="0358D77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应有现场文明施工、环境保护措施，且措施内容应达到《建筑施工安全生产检查标准》（JGJ59-2011）合格标准并符合《广西壮族自治区建筑工程文明施工导则》要求。各项措施不够合理。无具体实现现场文明施工目标的承诺。</w:t>
            </w:r>
          </w:p>
          <w:p w14:paraId="042FFCF6">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有现场文明施工、环境保护措施，且措施内容达到《建筑施工安全生产检查标准》（JGJ59-2011）合格标准并符合《广西壮族自治区建筑工程文明施工导则》要求。各项措施详细，内容基本合理。有具体实现现场文明施工目标的承诺。</w:t>
            </w:r>
          </w:p>
          <w:p w14:paraId="3CFB6363">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三档（6分）：针对本工程项目特点，有现场文明施工、环境保护措施，且措施内容达到《建筑施工安全生产检查标准》（JGJ59-2011）合格标准并符合《广西壮族自治区建筑工程文明施工导则》要求。各项措施详尽、周全、具体、有效。有具体实现现场文明施工目标的承诺。 </w:t>
            </w:r>
          </w:p>
          <w:p w14:paraId="4CA5DD21">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0AD25D5E">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408B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702DDA33">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25CD716D">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69B8A408">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工程施工的重点和难点及保证措施</w:t>
            </w:r>
          </w:p>
        </w:tc>
        <w:tc>
          <w:tcPr>
            <w:tcW w:w="5843" w:type="dxa"/>
            <w:noWrap w:val="0"/>
            <w:vAlign w:val="center"/>
          </w:tcPr>
          <w:p w14:paraId="257B41C9">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一档（2分）：针对本工程的特点，阐述本工程的重点和难点，解决重点和难点问题的方法不够合理。</w:t>
            </w:r>
          </w:p>
          <w:p w14:paraId="6BA4AF5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二档（4分）：针对本工程的特点，阐述本工程的重点和难点，解决重点和难点问题的方法基本合理。 </w:t>
            </w:r>
          </w:p>
          <w:p w14:paraId="358996F0">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三档（6分）：针对本工程的特点，阐述本工程的重点和难点，解决重点和难点问题的方法科学合理且全面。</w:t>
            </w:r>
          </w:p>
          <w:p w14:paraId="679569FB">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4272ECCB">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2636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7A43A791">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089" w:type="dxa"/>
            <w:gridSpan w:val="2"/>
            <w:noWrap w:val="0"/>
            <w:vAlign w:val="center"/>
          </w:tcPr>
          <w:p w14:paraId="245CCF4E">
            <w:pPr>
              <w:widowControl/>
              <w:wordWrap w:val="0"/>
              <w:spacing w:line="40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商务分</w:t>
            </w:r>
          </w:p>
        </w:tc>
        <w:tc>
          <w:tcPr>
            <w:tcW w:w="5843" w:type="dxa"/>
            <w:noWrap w:val="0"/>
            <w:vAlign w:val="center"/>
          </w:tcPr>
          <w:p w14:paraId="4C17593B">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评审标准</w:t>
            </w:r>
          </w:p>
        </w:tc>
        <w:tc>
          <w:tcPr>
            <w:tcW w:w="878" w:type="dxa"/>
            <w:noWrap w:val="0"/>
            <w:vAlign w:val="center"/>
          </w:tcPr>
          <w:p w14:paraId="63204F08">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14:paraId="18F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74017F6A">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2089" w:type="dxa"/>
            <w:gridSpan w:val="2"/>
            <w:noWrap w:val="0"/>
            <w:vAlign w:val="center"/>
          </w:tcPr>
          <w:p w14:paraId="4300830E">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业绩分</w:t>
            </w:r>
          </w:p>
        </w:tc>
        <w:tc>
          <w:tcPr>
            <w:tcW w:w="5843" w:type="dxa"/>
            <w:noWrap w:val="0"/>
            <w:vAlign w:val="center"/>
          </w:tcPr>
          <w:p w14:paraId="610B4F20">
            <w:pPr>
              <w:wordWrap w:val="0"/>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hAnsi="宋体" w:cs="Courier New"/>
                <w:bCs/>
                <w:color w:val="000000" w:themeColor="text1"/>
                <w:kern w:val="2"/>
                <w:sz w:val="21"/>
                <w:highlight w:val="none"/>
                <w:lang w:val="en-US" w:eastAsia="zh-CN"/>
                <w14:textFill>
                  <w14:solidFill>
                    <w14:schemeClr w14:val="tx1"/>
                  </w14:solidFill>
                </w14:textFill>
              </w:rPr>
              <w:t>供应商自2022年1月1日以来（以合同签订时间为准）具有同类项目业绩的，每个得2.5分，满分10分。注：需在响应文件中提供成交（成交）通知书和施工合同复印件并加盖供应商公章，不提供或提供不齐全不得分。</w:t>
            </w:r>
          </w:p>
        </w:tc>
        <w:tc>
          <w:tcPr>
            <w:tcW w:w="878" w:type="dxa"/>
            <w:noWrap w:val="0"/>
            <w:vAlign w:val="center"/>
          </w:tcPr>
          <w:p w14:paraId="6E717207">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14:paraId="45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0" w:type="dxa"/>
            <w:gridSpan w:val="4"/>
            <w:noWrap w:val="0"/>
            <w:vAlign w:val="top"/>
          </w:tcPr>
          <w:p w14:paraId="60EF188E">
            <w:pPr>
              <w:pStyle w:val="25"/>
              <w:wordWrap w:val="0"/>
              <w:spacing w:line="400" w:lineRule="exact"/>
              <w:ind w:firstLine="420" w:firstLineChars="200"/>
              <w:rPr>
                <w:rFonts w:hint="eastAsia" w:hAnsi="宋体" w:cs="宋体"/>
                <w:bCs/>
                <w:color w:val="000000" w:themeColor="text1"/>
                <w:kern w:val="2"/>
                <w:sz w:val="21"/>
                <w:highlight w:val="none"/>
                <w:lang w:val="en-US" w:eastAsia="zh-CN"/>
                <w14:textFill>
                  <w14:solidFill>
                    <w14:schemeClr w14:val="tx1"/>
                  </w14:solidFill>
                </w14:textFill>
              </w:rPr>
            </w:pPr>
            <w:r>
              <w:rPr>
                <w:rFonts w:hint="eastAsia" w:hAnsi="宋体" w:cs="宋体"/>
                <w:bCs/>
                <w:color w:val="000000" w:themeColor="text1"/>
                <w:kern w:val="2"/>
                <w:sz w:val="21"/>
                <w:highlight w:val="none"/>
                <w:lang w:val="en-US" w:eastAsia="zh-CN"/>
                <w14:textFill>
                  <w14:solidFill>
                    <w14:schemeClr w14:val="tx1"/>
                  </w14:solidFill>
                </w14:textFill>
              </w:rPr>
              <w:t>总得分＝1＋2＋3</w:t>
            </w:r>
          </w:p>
        </w:tc>
        <w:tc>
          <w:tcPr>
            <w:tcW w:w="878" w:type="dxa"/>
            <w:noWrap w:val="0"/>
            <w:vAlign w:val="center"/>
          </w:tcPr>
          <w:p w14:paraId="743FC06F">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100分</w:t>
            </w:r>
          </w:p>
        </w:tc>
      </w:tr>
      <w:tr w14:paraId="5CAE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8" w:type="dxa"/>
            <w:gridSpan w:val="5"/>
            <w:noWrap w:val="0"/>
            <w:vAlign w:val="top"/>
          </w:tcPr>
          <w:p w14:paraId="578C0066">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本项目为施工项目，不涉及政策功能的节能，环保分加分。</w:t>
            </w:r>
          </w:p>
        </w:tc>
      </w:tr>
    </w:tbl>
    <w:p w14:paraId="67FBA5B7">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p>
    <w:p w14:paraId="6FAECF30">
      <w:pPr>
        <w:pStyle w:val="2"/>
        <w:rPr>
          <w:rFonts w:ascii="宋体" w:hAnsi="宋体" w:cs="宋体"/>
          <w:color w:val="000000" w:themeColor="text1"/>
          <w:highlight w:val="none"/>
          <w14:textFill>
            <w14:solidFill>
              <w14:schemeClr w14:val="tx1"/>
            </w14:solidFill>
          </w14:textFill>
        </w:rPr>
      </w:pPr>
    </w:p>
    <w:p w14:paraId="2C0B4131">
      <w:pPr>
        <w:pStyle w:val="2"/>
        <w:jc w:val="center"/>
        <w:rPr>
          <w:rFonts w:ascii="宋体" w:hAnsi="宋体" w:cs="宋体"/>
          <w:color w:val="000000" w:themeColor="text1"/>
          <w:highlight w:val="none"/>
          <w14:textFill>
            <w14:solidFill>
              <w14:schemeClr w14:val="tx1"/>
            </w14:solidFill>
          </w14:textFill>
        </w:rPr>
      </w:pPr>
    </w:p>
    <w:p w14:paraId="3B65B64C">
      <w:pPr>
        <w:pStyle w:val="2"/>
        <w:jc w:val="center"/>
        <w:rPr>
          <w:rFonts w:ascii="宋体" w:hAnsi="宋体" w:cs="宋体"/>
          <w:color w:val="000000" w:themeColor="text1"/>
          <w:highlight w:val="none"/>
          <w14:textFill>
            <w14:solidFill>
              <w14:schemeClr w14:val="tx1"/>
            </w14:solidFill>
          </w14:textFill>
        </w:rPr>
      </w:pPr>
    </w:p>
    <w:p w14:paraId="184D4D74">
      <w:pPr>
        <w:rPr>
          <w:color w:val="000000" w:themeColor="text1"/>
          <w:highlight w:val="none"/>
          <w14:textFill>
            <w14:solidFill>
              <w14:schemeClr w14:val="tx1"/>
            </w14:solidFill>
          </w14:textFill>
        </w:rPr>
      </w:pPr>
    </w:p>
    <w:p w14:paraId="790C4849">
      <w:pPr>
        <w:pStyle w:val="2"/>
        <w:jc w:val="center"/>
        <w:rPr>
          <w:color w:val="000000" w:themeColor="text1"/>
          <w:highlight w:val="none"/>
          <w14:textFill>
            <w14:solidFill>
              <w14:schemeClr w14:val="tx1"/>
            </w14:solidFill>
          </w14:textFill>
        </w:rPr>
      </w:pPr>
      <w:bookmarkStart w:id="77" w:name="_Toc122424248"/>
      <w:r>
        <w:rPr>
          <w:rFonts w:hint="eastAsia"/>
          <w:color w:val="000000" w:themeColor="text1"/>
          <w:highlight w:val="none"/>
          <w14:textFill>
            <w14:solidFill>
              <w14:schemeClr w14:val="tx1"/>
            </w14:solidFill>
          </w14:textFill>
        </w:rPr>
        <w:t>第五章 工程量清单及图纸</w:t>
      </w:r>
      <w:bookmarkEnd w:id="77"/>
    </w:p>
    <w:p w14:paraId="7282C34D">
      <w:pPr>
        <w:pStyle w:val="2"/>
        <w:jc w:val="center"/>
        <w:rPr>
          <w:color w:val="000000" w:themeColor="text1"/>
          <w:highlight w:val="none"/>
          <w14:textFill>
            <w14:solidFill>
              <w14:schemeClr w14:val="tx1"/>
            </w14:solidFill>
          </w14:textFill>
        </w:rPr>
      </w:pPr>
    </w:p>
    <w:p w14:paraId="2812DA5A">
      <w:pPr>
        <w:pStyle w:val="2"/>
        <w:spacing w:before="0" w:after="0" w:line="360" w:lineRule="auto"/>
        <w:jc w:val="center"/>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7492DC38">
      <w:pPr>
        <w:pStyle w:val="3"/>
        <w:spacing w:before="0" w:after="0" w:line="360" w:lineRule="auto"/>
        <w:rPr>
          <w:color w:val="000000" w:themeColor="text1"/>
          <w:kern w:val="44"/>
          <w:highlight w:val="none"/>
          <w14:textFill>
            <w14:solidFill>
              <w14:schemeClr w14:val="tx1"/>
            </w14:solidFill>
          </w14:textFill>
        </w:rPr>
      </w:pPr>
      <w:bookmarkStart w:id="78" w:name="_Toc122424250"/>
      <w:bookmarkStart w:id="79" w:name="_Toc1392571603"/>
      <w:bookmarkStart w:id="80" w:name="_Toc78449869"/>
      <w:bookmarkStart w:id="81" w:name="_Toc407135284"/>
      <w:bookmarkStart w:id="82" w:name="_Toc1386396751"/>
      <w:bookmarkStart w:id="83" w:name="_Toc122424001"/>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s="黑体"/>
          <w:color w:val="000000" w:themeColor="text1"/>
          <w:highlight w:val="none"/>
          <w14:textFill>
            <w14:solidFill>
              <w14:schemeClr w14:val="tx1"/>
            </w14:solidFill>
          </w14:textFill>
        </w:rPr>
        <w:t>工程量清单编制说明</w:t>
      </w:r>
      <w:bookmarkEnd w:id="78"/>
      <w:bookmarkEnd w:id="79"/>
      <w:bookmarkEnd w:id="80"/>
      <w:bookmarkEnd w:id="81"/>
      <w:bookmarkEnd w:id="82"/>
      <w:bookmarkEnd w:id="83"/>
    </w:p>
    <w:p w14:paraId="5835DC60">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hAnsi="宋体" w:cs="宋体"/>
          <w:color w:val="000000" w:themeColor="text1"/>
          <w:highlight w:val="none"/>
          <w14:textFill>
            <w14:solidFill>
              <w14:schemeClr w14:val="tx1"/>
            </w14:solidFill>
          </w14:textFill>
        </w:rPr>
        <w:t>本工程量清单依据《建设工程工程量清单计价规范</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GB50500-2013</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广西实施细则》（以下简称</w:t>
      </w:r>
      <w:r>
        <w:rPr>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《计价规范》</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、《工程量清单计算规范（</w:t>
      </w:r>
      <w:r>
        <w:rPr>
          <w:color w:val="000000" w:themeColor="text1"/>
          <w:highlight w:val="none"/>
          <w14:textFill>
            <w14:solidFill>
              <w14:schemeClr w14:val="tx1"/>
            </w14:solidFill>
          </w14:textFill>
        </w:rPr>
        <w:t>GB50854~50862-2013</w:t>
      </w:r>
      <w:r>
        <w:rPr>
          <w:rFonts w:hint="eastAsia" w:hAnsi="宋体" w:cs="宋体"/>
          <w:color w:val="000000" w:themeColor="text1"/>
          <w:highlight w:val="none"/>
          <w14:textFill>
            <w14:solidFill>
              <w14:schemeClr w14:val="tx1"/>
            </w14:solidFill>
          </w14:textFill>
        </w:rPr>
        <w:t>）》及广西实施细则（修订本）（以下简称</w:t>
      </w:r>
      <w:r>
        <w:rPr>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《计算规范》</w:t>
      </w:r>
      <w:r>
        <w:rPr>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号）、磋商文件</w:t>
      </w:r>
      <w:r>
        <w:rPr>
          <w:rFonts w:hint="eastAsia" w:hAnsi="宋体" w:cs="宋体"/>
          <w:color w:val="000000" w:themeColor="text1"/>
          <w:highlight w:val="none"/>
          <w14:textFill>
            <w14:solidFill>
              <w14:schemeClr w14:val="tx1"/>
            </w14:solidFill>
          </w14:textFill>
        </w:rPr>
        <w:t>、施工图等编制。计算规范中没有的清单项目，应在本章第</w:t>
      </w:r>
      <w:r>
        <w:rPr>
          <w:color w:val="000000" w:themeColor="text1"/>
          <w:highlight w:val="none"/>
          <w14:textFill>
            <w14:solidFill>
              <w14:schemeClr w14:val="tx1"/>
            </w14:solidFill>
          </w14:textFill>
        </w:rPr>
        <w:t>1.4</w:t>
      </w:r>
      <w:r>
        <w:rPr>
          <w:rFonts w:hint="eastAsia" w:hAnsi="宋体" w:cs="宋体"/>
          <w:color w:val="000000" w:themeColor="text1"/>
          <w:highlight w:val="none"/>
          <w14:textFill>
            <w14:solidFill>
              <w14:schemeClr w14:val="tx1"/>
            </w14:solidFill>
          </w14:textFill>
        </w:rPr>
        <w:t>款约定。</w:t>
      </w:r>
    </w:p>
    <w:p w14:paraId="6D9AB52C">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工程量清单应与供应商须知、合同协议条款、合同的通用条款、合同专用条款、技术规范及图纸等文件一起结合使用。</w:t>
      </w:r>
    </w:p>
    <w:p w14:paraId="6E4FC27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 </w:t>
      </w:r>
      <w:r>
        <w:rPr>
          <w:rFonts w:hint="eastAsia" w:cs="宋体"/>
          <w:color w:val="000000" w:themeColor="text1"/>
          <w:highlight w:val="none"/>
          <w14:textFill>
            <w14:solidFill>
              <w14:schemeClr w14:val="tx1"/>
            </w14:solidFill>
          </w14:textFill>
        </w:rPr>
        <w:t>工程量清单是磋商文件的组成部分，是工程量清单计价的基础，作为编制</w:t>
      </w:r>
      <w:r>
        <w:rPr>
          <w:rFonts w:hint="eastAsia" w:cs="宋体"/>
          <w:color w:val="000000" w:themeColor="text1"/>
          <w:highlight w:val="none"/>
          <w:lang w:val="en-US" w:eastAsia="zh-CN"/>
          <w14:textFill>
            <w14:solidFill>
              <w14:schemeClr w14:val="tx1"/>
            </w14:solidFill>
          </w14:textFill>
        </w:rPr>
        <w:t>招标</w:t>
      </w:r>
      <w:r>
        <w:rPr>
          <w:rFonts w:hint="eastAsia" w:cs="宋体"/>
          <w:color w:val="000000" w:themeColor="text1"/>
          <w:highlight w:val="none"/>
          <w14:textFill>
            <w14:solidFill>
              <w14:schemeClr w14:val="tx1"/>
            </w14:solidFill>
          </w14:textFill>
        </w:rPr>
        <w:t>控制价、竞标报价、计算或调整工程量、索赔等的依据之一。</w:t>
      </w:r>
    </w:p>
    <w:p w14:paraId="2DFBE043">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 </w:t>
      </w:r>
      <w:r>
        <w:rPr>
          <w:rFonts w:hint="eastAsia" w:cs="宋体"/>
          <w:color w:val="000000" w:themeColor="text1"/>
          <w:highlight w:val="none"/>
          <w14:textFill>
            <w14:solidFill>
              <w14:schemeClr w14:val="tx1"/>
            </w14:solidFill>
          </w14:textFill>
        </w:rPr>
        <w:t>补充清单项目的特征、计量单位、工程量计算规则及工作内容说明如下：</w:t>
      </w:r>
    </w:p>
    <w:p w14:paraId="30D02D4E">
      <w:pPr>
        <w:spacing w:line="360" w:lineRule="auto"/>
        <w:ind w:lef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58B4756F">
      <w:pPr>
        <w:pStyle w:val="25"/>
        <w:spacing w:line="360" w:lineRule="auto"/>
        <w:ind w:firstLine="420" w:firstLineChars="200"/>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 xml:space="preserve">1.5 </w:t>
      </w:r>
      <w:r>
        <w:rPr>
          <w:rFonts w:hint="eastAsia" w:ascii="Times New Roman" w:hAnsi="Times New Roman"/>
          <w:color w:val="000000" w:themeColor="text1"/>
          <w:sz w:val="21"/>
          <w:highlight w:val="none"/>
          <w14:textFill>
            <w14:solidFill>
              <w14:schemeClr w14:val="tx1"/>
            </w14:solidFill>
          </w14:textFill>
        </w:rPr>
        <w:t>《允许调整主要材料和工程设备一览表》（表</w:t>
      </w:r>
      <w:r>
        <w:rPr>
          <w:rFonts w:ascii="Times New Roman" w:hAnsi="Times New Roman"/>
          <w:color w:val="000000" w:themeColor="text1"/>
          <w:sz w:val="21"/>
          <w:highlight w:val="none"/>
          <w14:textFill>
            <w14:solidFill>
              <w14:schemeClr w14:val="tx1"/>
            </w14:solidFill>
          </w14:textFill>
        </w:rPr>
        <w:t>-22</w:t>
      </w:r>
      <w:r>
        <w:rPr>
          <w:rFonts w:hint="eastAsia" w:ascii="Times New Roman" w:hAnsi="Times New Roman"/>
          <w:color w:val="000000" w:themeColor="text1"/>
          <w:sz w:val="21"/>
          <w:highlight w:val="none"/>
          <w14:textFill>
            <w14:solidFill>
              <w14:schemeClr w14:val="tx1"/>
            </w14:solidFill>
          </w14:textFill>
        </w:rPr>
        <w:t>，表格编号为计价规范相应表格编号，下同）作为项目实施过程中材料和设备价格风险调整依据。</w:t>
      </w:r>
    </w:p>
    <w:p w14:paraId="7FB0054D">
      <w:pPr>
        <w:pStyle w:val="25"/>
        <w:spacing w:line="360" w:lineRule="auto"/>
        <w:ind w:firstLine="420" w:firstLineChars="200"/>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 xml:space="preserve">1.6 </w:t>
      </w:r>
      <w:r>
        <w:rPr>
          <w:rFonts w:hint="eastAsia" w:ascii="Times New Roman" w:hAnsi="Times New Roman"/>
          <w:color w:val="000000" w:themeColor="text1"/>
          <w:sz w:val="21"/>
          <w:highlight w:val="none"/>
          <w14:textFill>
            <w14:solidFill>
              <w14:schemeClr w14:val="tx1"/>
            </w14:solidFill>
          </w14:textFill>
        </w:rPr>
        <w:t>本工程暂列金额（约按合同造价</w:t>
      </w:r>
      <w:r>
        <w:rPr>
          <w:rFonts w:ascii="Times New Roman" w:hAnsi="Times New Roman"/>
          <w:color w:val="000000" w:themeColor="text1"/>
          <w:sz w:val="21"/>
          <w:highlight w:val="none"/>
          <w:u w:val="single"/>
          <w14:textFill>
            <w14:solidFill>
              <w14:schemeClr w14:val="tx1"/>
            </w14:solidFill>
          </w14:textFill>
        </w:rPr>
        <w:t xml:space="preserve">    </w:t>
      </w:r>
      <w:r>
        <w:rPr>
          <w:rFonts w:hint="eastAsia" w:ascii="Times New Roman" w:hAnsi="Times New Roman"/>
          <w:color w:val="000000" w:themeColor="text1"/>
          <w:sz w:val="21"/>
          <w:highlight w:val="none"/>
          <w:u w:val="single"/>
          <w14:textFill>
            <w14:solidFill>
              <w14:schemeClr w14:val="tx1"/>
            </w14:solidFill>
          </w14:textFill>
        </w:rPr>
        <w:t>/</w:t>
      </w:r>
      <w:r>
        <w:rPr>
          <w:rFonts w:ascii="Times New Roman" w:hAnsi="Times New Roman"/>
          <w:color w:val="000000" w:themeColor="text1"/>
          <w:sz w:val="21"/>
          <w:highlight w:val="none"/>
          <w:u w:val="single"/>
          <w14:textFill>
            <w14:solidFill>
              <w14:schemeClr w14:val="tx1"/>
            </w14:solidFill>
          </w14:textFill>
        </w:rPr>
        <w:t xml:space="preserve">    </w:t>
      </w:r>
      <w:r>
        <w:rPr>
          <w:rFonts w:ascii="Times New Roman" w:hAnsi="Times New Roman"/>
          <w:color w:val="000000" w:themeColor="text1"/>
          <w:sz w:val="21"/>
          <w:highlight w:val="none"/>
          <w14:textFill>
            <w14:solidFill>
              <w14:schemeClr w14:val="tx1"/>
            </w14:solidFill>
          </w14:textFill>
        </w:rPr>
        <w:t>%</w:t>
      </w:r>
      <w:r>
        <w:rPr>
          <w:rFonts w:hint="eastAsia" w:ascii="Times New Roman" w:hAnsi="Times New Roman"/>
          <w:color w:val="000000" w:themeColor="text1"/>
          <w:sz w:val="21"/>
          <w:highlight w:val="none"/>
          <w14:textFill>
            <w14:solidFill>
              <w14:schemeClr w14:val="tx1"/>
            </w14:solidFill>
          </w14:textFill>
        </w:rPr>
        <w:t>计算），共</w:t>
      </w:r>
      <w:r>
        <w:rPr>
          <w:rFonts w:ascii="Times New Roman" w:hAnsi="Times New Roman"/>
          <w:color w:val="000000" w:themeColor="text1"/>
          <w:sz w:val="21"/>
          <w:highlight w:val="none"/>
          <w:u w:val="single"/>
          <w14:textFill>
            <w14:solidFill>
              <w14:schemeClr w14:val="tx1"/>
            </w14:solidFill>
          </w14:textFill>
        </w:rPr>
        <w:t xml:space="preserve">     </w:t>
      </w:r>
      <w:r>
        <w:rPr>
          <w:rFonts w:hint="eastAsia" w:ascii="Times New Roman" w:hAnsi="Times New Roman"/>
          <w:color w:val="000000" w:themeColor="text1"/>
          <w:sz w:val="21"/>
          <w:highlight w:val="none"/>
          <w:u w:val="single"/>
          <w14:textFill>
            <w14:solidFill>
              <w14:schemeClr w14:val="tx1"/>
            </w14:solidFill>
          </w14:textFill>
        </w:rPr>
        <w:t>/</w:t>
      </w:r>
      <w:r>
        <w:rPr>
          <w:rFonts w:ascii="Times New Roman" w:hAnsi="Times New Roman"/>
          <w:color w:val="000000" w:themeColor="text1"/>
          <w:sz w:val="21"/>
          <w:highlight w:val="none"/>
          <w:u w:val="single"/>
          <w14:textFill>
            <w14:solidFill>
              <w14:schemeClr w14:val="tx1"/>
            </w14:solidFill>
          </w14:textFill>
        </w:rPr>
        <w:t xml:space="preserve">   </w:t>
      </w:r>
      <w:r>
        <w:rPr>
          <w:rFonts w:hint="eastAsia" w:ascii="Times New Roman" w:hAnsi="Times New Roman"/>
          <w:color w:val="000000" w:themeColor="text1"/>
          <w:sz w:val="21"/>
          <w:highlight w:val="none"/>
          <w14:textFill>
            <w14:solidFill>
              <w14:schemeClr w14:val="tx1"/>
            </w14:solidFill>
          </w14:textFill>
        </w:rPr>
        <w:t>元，作为合同签订时尚未确定或者不可预见但施工中可能发生的费用。</w:t>
      </w:r>
    </w:p>
    <w:p w14:paraId="0D37BA1E">
      <w:pPr>
        <w:pStyle w:val="25"/>
        <w:spacing w:line="360" w:lineRule="auto"/>
        <w:ind w:firstLine="420" w:firstLineChars="200"/>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 xml:space="preserve">1.7 </w:t>
      </w:r>
      <w:r>
        <w:rPr>
          <w:rFonts w:hint="eastAsia" w:ascii="Times New Roman" w:hAnsi="Times New Roman"/>
          <w:color w:val="000000" w:themeColor="text1"/>
          <w:sz w:val="21"/>
          <w:highlight w:val="none"/>
          <w14:textFill>
            <w14:solidFill>
              <w14:schemeClr w14:val="tx1"/>
            </w14:solidFill>
          </w14:textFill>
        </w:rPr>
        <w:t>本工程发包人提供的材料和设备详见《发包人提供的主要材料和工程设备一览表》（表</w:t>
      </w:r>
      <w:r>
        <w:rPr>
          <w:rFonts w:ascii="Times New Roman" w:hAnsi="Times New Roman"/>
          <w:color w:val="000000" w:themeColor="text1"/>
          <w:sz w:val="21"/>
          <w:highlight w:val="none"/>
          <w14:textFill>
            <w14:solidFill>
              <w14:schemeClr w14:val="tx1"/>
            </w14:solidFill>
          </w14:textFill>
        </w:rPr>
        <w:t>-21</w:t>
      </w:r>
      <w:r>
        <w:rPr>
          <w:rFonts w:hint="eastAsia" w:ascii="Times New Roman" w:hAnsi="Times New Roman"/>
          <w:color w:val="000000" w:themeColor="text1"/>
          <w:sz w:val="21"/>
          <w:highlight w:val="none"/>
          <w14:textFill>
            <w14:solidFill>
              <w14:schemeClr w14:val="tx1"/>
            </w14:solidFill>
          </w14:textFill>
        </w:rPr>
        <w:t>）。</w:t>
      </w:r>
    </w:p>
    <w:p w14:paraId="669C7970">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本工程部分材料和设备在采购时作为暂估价计列，结算按实调整，具体内容详见《材料（工程设备）暂估单价及调整表》（表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2A15560B">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1.9 </w:t>
      </w:r>
      <w:r>
        <w:rPr>
          <w:rFonts w:hint="eastAsia" w:cs="宋体"/>
          <w:color w:val="000000" w:themeColor="text1"/>
          <w:highlight w:val="none"/>
          <w14:textFill>
            <w14:solidFill>
              <w14:schemeClr w14:val="tx1"/>
            </w14:solidFill>
          </w14:textFill>
        </w:rPr>
        <w:t>采购时暂估专业工程的价款属于暂估价，结算按实调整，具体内容详见《专业工程暂估价及结算价表》（表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3303C50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 </w:t>
      </w:r>
      <w:r>
        <w:rPr>
          <w:rFonts w:hint="eastAsia" w:cs="宋体"/>
          <w:color w:val="000000" w:themeColor="text1"/>
          <w:highlight w:val="none"/>
          <w14:textFill>
            <w14:solidFill>
              <w14:schemeClr w14:val="tx1"/>
            </w14:solidFill>
          </w14:textFill>
        </w:rPr>
        <w:t>本工程量清单编码处标注</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号的清单项目作为主要清单项目，需要供应商提供</w:t>
      </w:r>
      <w:r>
        <w:rPr>
          <w:rFonts w:hint="eastAsia" w:hAnsi="宋体" w:cs="宋体"/>
          <w:color w:val="000000" w:themeColor="text1"/>
          <w:highlight w:val="none"/>
          <w14:textFill>
            <w14:solidFill>
              <w14:schemeClr w14:val="tx1"/>
            </w14:solidFill>
          </w14:textFill>
        </w:rPr>
        <w:t>《主要清单项目工料机分析表》（表</w:t>
      </w:r>
      <w:r>
        <w:rPr>
          <w:color w:val="000000" w:themeColor="text1"/>
          <w:highlight w:val="none"/>
          <w14:textFill>
            <w14:solidFill>
              <w14:schemeClr w14:val="tx1"/>
            </w14:solidFill>
          </w14:textFill>
        </w:rPr>
        <w:t>-10</w:t>
      </w:r>
      <w:r>
        <w:rPr>
          <w:rFonts w:hint="eastAsia" w:hAnsi="宋体"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w:t>
      </w:r>
    </w:p>
    <w:p w14:paraId="0ECEA012">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s="宋体"/>
          <w:color w:val="000000" w:themeColor="text1"/>
          <w:highlight w:val="none"/>
          <w14:textFill>
            <w14:solidFill>
              <w14:schemeClr w14:val="tx1"/>
            </w14:solidFill>
          </w14:textFill>
        </w:rPr>
        <w:t>其它需要说明的问题：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p>
    <w:p w14:paraId="485DE91D">
      <w:pPr>
        <w:spacing w:line="360" w:lineRule="auto"/>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s="宋体"/>
          <w:color w:val="000000" w:themeColor="text1"/>
          <w:highlight w:val="none"/>
          <w14:textFill>
            <w14:solidFill>
              <w14:schemeClr w14:val="tx1"/>
            </w14:solidFill>
          </w14:textFill>
        </w:rPr>
        <w:t>工程量清单与磋商文件同时发布。</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一般计税法建设工程的工程量清单表格按</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附件“增值税一般计税方法工程计价表”要求提供</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简易计税法建设工程按照《计价规范》要求的</w:t>
      </w:r>
      <w:r>
        <w:rPr>
          <w:rFonts w:hint="eastAsia" w:cs="宋体"/>
          <w:color w:val="000000" w:themeColor="text1"/>
          <w:highlight w:val="none"/>
          <w14:textFill>
            <w14:solidFill>
              <w14:schemeClr w14:val="tx1"/>
            </w14:solidFill>
          </w14:textFill>
        </w:rPr>
        <w:t>表格提供，但规费和税费要按照《关于建筑业实施营业税改征增值税后广西壮族自治区建设工程计价依据调整的通知》（桂建标〔</w:t>
      </w:r>
      <w:r>
        <w:rPr>
          <w:color w:val="000000" w:themeColor="text1"/>
          <w:highlight w:val="none"/>
          <w14:textFill>
            <w14:solidFill>
              <w14:schemeClr w14:val="tx1"/>
            </w14:solidFill>
          </w14:textFill>
        </w:rPr>
        <w:t>2016</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17</w:t>
      </w:r>
      <w:r>
        <w:rPr>
          <w:rFonts w:hint="eastAsia" w:cs="宋体"/>
          <w:color w:val="000000" w:themeColor="text1"/>
          <w:highlight w:val="none"/>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要求调整，具体</w:t>
      </w:r>
      <w:r>
        <w:rPr>
          <w:rFonts w:hint="eastAsia" w:cs="宋体"/>
          <w:color w:val="000000" w:themeColor="text1"/>
          <w:highlight w:val="none"/>
          <w14:textFill>
            <w14:solidFill>
              <w14:schemeClr w14:val="tx1"/>
            </w14:solidFill>
          </w14:textFill>
        </w:rPr>
        <w:t>包括：</w:t>
      </w:r>
    </w:p>
    <w:p w14:paraId="39EF4741">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 </w:t>
      </w:r>
      <w:r>
        <w:rPr>
          <w:rFonts w:hint="eastAsia" w:cs="宋体"/>
          <w:color w:val="000000" w:themeColor="text1"/>
          <w:highlight w:val="none"/>
          <w14:textFill>
            <w14:solidFill>
              <w14:schemeClr w14:val="tx1"/>
            </w14:solidFill>
          </w14:textFill>
        </w:rPr>
        <w:t>竞标工程量清单（封</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w:t>
      </w:r>
    </w:p>
    <w:p w14:paraId="5E2B5540">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 </w:t>
      </w:r>
      <w:r>
        <w:rPr>
          <w:rFonts w:hint="eastAsia" w:cs="宋体"/>
          <w:color w:val="000000" w:themeColor="text1"/>
          <w:highlight w:val="none"/>
          <w14:textFill>
            <w14:solidFill>
              <w14:schemeClr w14:val="tx1"/>
            </w14:solidFill>
          </w14:textFill>
        </w:rPr>
        <w:t>竞标工程量清单（封扉</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w:t>
      </w:r>
    </w:p>
    <w:p w14:paraId="00D51960">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 </w:t>
      </w:r>
      <w:r>
        <w:rPr>
          <w:rFonts w:hint="eastAsia" w:cs="宋体"/>
          <w:color w:val="000000" w:themeColor="text1"/>
          <w:highlight w:val="none"/>
          <w14:textFill>
            <w14:solidFill>
              <w14:schemeClr w14:val="tx1"/>
            </w14:solidFill>
          </w14:textFill>
        </w:rPr>
        <w:t>总说明（表</w:t>
      </w:r>
      <w:r>
        <w:rPr>
          <w:color w:val="000000" w:themeColor="text1"/>
          <w:highlight w:val="none"/>
          <w14:textFill>
            <w14:solidFill>
              <w14:schemeClr w14:val="tx1"/>
            </w14:solidFill>
          </w14:textFill>
        </w:rPr>
        <w:t>-01</w:t>
      </w:r>
      <w:r>
        <w:rPr>
          <w:rFonts w:hint="eastAsia" w:cs="宋体"/>
          <w:color w:val="000000" w:themeColor="text1"/>
          <w:highlight w:val="none"/>
          <w14:textFill>
            <w14:solidFill>
              <w14:schemeClr w14:val="tx1"/>
            </w14:solidFill>
          </w14:textFill>
        </w:rPr>
        <w:t>）</w:t>
      </w:r>
    </w:p>
    <w:p w14:paraId="6ACC5D3D">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 </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79EB53C5">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 </w:t>
      </w:r>
      <w:r>
        <w:rPr>
          <w:rFonts w:hint="eastAsia" w:cs="宋体"/>
          <w:color w:val="000000" w:themeColor="text1"/>
          <w:highlight w:val="none"/>
          <w14:textFill>
            <w14:solidFill>
              <w14:schemeClr w14:val="tx1"/>
            </w14:solidFill>
          </w14:textFill>
        </w:rPr>
        <w:t>单项工程竞标报价汇总表（表</w:t>
      </w:r>
      <w:r>
        <w:rPr>
          <w:color w:val="000000" w:themeColor="text1"/>
          <w:highlight w:val="none"/>
          <w14:textFill>
            <w14:solidFill>
              <w14:schemeClr w14:val="tx1"/>
            </w14:solidFill>
          </w14:textFill>
        </w:rPr>
        <w:t>-03</w:t>
      </w:r>
      <w:r>
        <w:rPr>
          <w:rFonts w:hint="eastAsia" w:cs="宋体"/>
          <w:color w:val="000000" w:themeColor="text1"/>
          <w:highlight w:val="none"/>
          <w14:textFill>
            <w14:solidFill>
              <w14:schemeClr w14:val="tx1"/>
            </w14:solidFill>
          </w14:textFill>
        </w:rPr>
        <w:t>）</w:t>
      </w:r>
    </w:p>
    <w:p w14:paraId="03385A6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 </w:t>
      </w:r>
      <w:r>
        <w:rPr>
          <w:rFonts w:hint="eastAsia" w:cs="宋体"/>
          <w:color w:val="000000" w:themeColor="text1"/>
          <w:highlight w:val="none"/>
          <w14:textFill>
            <w14:solidFill>
              <w14:schemeClr w14:val="tx1"/>
            </w14:solidFill>
          </w14:textFill>
        </w:rPr>
        <w:t>单位工程竞标报价汇总表（表</w:t>
      </w:r>
      <w:r>
        <w:rPr>
          <w:color w:val="000000" w:themeColor="text1"/>
          <w:highlight w:val="none"/>
          <w14:textFill>
            <w14:solidFill>
              <w14:schemeClr w14:val="tx1"/>
            </w14:solidFill>
          </w14:textFill>
        </w:rPr>
        <w:t>-04</w:t>
      </w:r>
      <w:r>
        <w:rPr>
          <w:rFonts w:hint="eastAsia" w:cs="宋体"/>
          <w:color w:val="000000" w:themeColor="text1"/>
          <w:highlight w:val="none"/>
          <w14:textFill>
            <w14:solidFill>
              <w14:schemeClr w14:val="tx1"/>
            </w14:solidFill>
          </w14:textFill>
        </w:rPr>
        <w:t>）</w:t>
      </w:r>
    </w:p>
    <w:p w14:paraId="4E49EF2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 </w:t>
      </w:r>
      <w:r>
        <w:rPr>
          <w:rFonts w:hint="eastAsia" w:cs="宋体"/>
          <w:color w:val="000000" w:themeColor="text1"/>
          <w:highlight w:val="none"/>
          <w14:textFill>
            <w14:solidFill>
              <w14:schemeClr w14:val="tx1"/>
            </w14:solidFill>
          </w14:textFill>
        </w:rPr>
        <w:t>分部分项工程和单价措施项目清单与计价表（表</w:t>
      </w:r>
      <w:r>
        <w:rPr>
          <w:color w:val="000000" w:themeColor="text1"/>
          <w:highlight w:val="none"/>
          <w14:textFill>
            <w14:solidFill>
              <w14:schemeClr w14:val="tx1"/>
            </w14:solidFill>
          </w14:textFill>
        </w:rPr>
        <w:t>-08</w:t>
      </w:r>
      <w:r>
        <w:rPr>
          <w:rFonts w:hint="eastAsia" w:cs="宋体"/>
          <w:color w:val="000000" w:themeColor="text1"/>
          <w:highlight w:val="none"/>
          <w14:textFill>
            <w14:solidFill>
              <w14:schemeClr w14:val="tx1"/>
            </w14:solidFill>
          </w14:textFill>
        </w:rPr>
        <w:t>）</w:t>
      </w:r>
    </w:p>
    <w:p w14:paraId="221A80FA">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总价措施项目清单与计价表（表</w:t>
      </w: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w:t>
      </w:r>
    </w:p>
    <w:p w14:paraId="549446EC">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1.9 </w:t>
      </w:r>
      <w:r>
        <w:rPr>
          <w:rFonts w:hint="eastAsia" w:cs="宋体"/>
          <w:color w:val="000000" w:themeColor="text1"/>
          <w:highlight w:val="none"/>
          <w14:textFill>
            <w14:solidFill>
              <w14:schemeClr w14:val="tx1"/>
            </w14:solidFill>
          </w14:textFill>
        </w:rPr>
        <w:t>其他项目清单与计价汇总表（表</w:t>
      </w: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w:t>
      </w:r>
    </w:p>
    <w:p w14:paraId="6C8BE529">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 </w:t>
      </w:r>
      <w:r>
        <w:rPr>
          <w:rFonts w:hint="eastAsia" w:cs="宋体"/>
          <w:color w:val="000000" w:themeColor="text1"/>
          <w:highlight w:val="none"/>
          <w14:textFill>
            <w14:solidFill>
              <w14:schemeClr w14:val="tx1"/>
            </w14:solidFill>
          </w14:textFill>
        </w:rPr>
        <w:t>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6388DDBE">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s="宋体"/>
          <w:color w:val="000000" w:themeColor="text1"/>
          <w:highlight w:val="none"/>
          <w14:textFill>
            <w14:solidFill>
              <w14:schemeClr w14:val="tx1"/>
            </w14:solidFill>
          </w14:textFill>
        </w:rPr>
        <w:t>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1479D818">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s="宋体"/>
          <w:color w:val="000000" w:themeColor="text1"/>
          <w:highlight w:val="none"/>
          <w14:textFill>
            <w14:solidFill>
              <w14:schemeClr w14:val="tx1"/>
            </w14:solidFill>
          </w14:textFill>
        </w:rPr>
        <w:t>专业工程暂估价</w:t>
      </w:r>
      <w:r>
        <w:rPr>
          <w:rFonts w:hint="eastAsia"/>
          <w:color w:val="000000" w:themeColor="text1"/>
          <w:highlight w:val="none"/>
          <w14:textFill>
            <w14:solidFill>
              <w14:schemeClr w14:val="tx1"/>
            </w14:solidFill>
          </w14:textFill>
        </w:rPr>
        <w:t>及结算价</w:t>
      </w:r>
      <w:r>
        <w:rPr>
          <w:rFonts w:hint="eastAsia" w:cs="宋体"/>
          <w:color w:val="000000" w:themeColor="text1"/>
          <w:highlight w:val="none"/>
          <w14:textFill>
            <w14:solidFill>
              <w14:schemeClr w14:val="tx1"/>
            </w14:solidFill>
          </w14:textFill>
        </w:rPr>
        <w:t>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000219C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s="宋体"/>
          <w:color w:val="000000" w:themeColor="text1"/>
          <w:highlight w:val="none"/>
          <w14:textFill>
            <w14:solidFill>
              <w14:schemeClr w14:val="tx1"/>
            </w14:solidFill>
          </w14:textFill>
        </w:rPr>
        <w:t>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5EBDFC27">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 </w:t>
      </w:r>
      <w:r>
        <w:rPr>
          <w:rFonts w:hint="eastAsia" w:cs="宋体"/>
          <w:color w:val="000000" w:themeColor="text1"/>
          <w:highlight w:val="none"/>
          <w14:textFill>
            <w14:solidFill>
              <w14:schemeClr w14:val="tx1"/>
            </w14:solidFill>
          </w14:textFill>
        </w:rPr>
        <w:t>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35CBF87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 </w:t>
      </w:r>
      <w:r>
        <w:rPr>
          <w:rFonts w:hint="eastAsia" w:cs="宋体"/>
          <w:color w:val="000000" w:themeColor="text1"/>
          <w:highlight w:val="none"/>
          <w14:textFill>
            <w14:solidFill>
              <w14:schemeClr w14:val="tx1"/>
            </w14:solidFill>
          </w14:textFill>
        </w:rPr>
        <w:t>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6F70CE87">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1.16 </w:t>
      </w:r>
      <w:r>
        <w:rPr>
          <w:rFonts w:hint="eastAsia" w:cs="宋体"/>
          <w:color w:val="000000" w:themeColor="text1"/>
          <w:highlight w:val="none"/>
          <w14:textFill>
            <w14:solidFill>
              <w14:schemeClr w14:val="tx1"/>
            </w14:solidFill>
          </w14:textFill>
        </w:rPr>
        <w:t>规费、增值税计价表（表</w:t>
      </w:r>
      <w:r>
        <w:rPr>
          <w:color w:val="000000" w:themeColor="text1"/>
          <w:highlight w:val="none"/>
          <w14:textFill>
            <w14:solidFill>
              <w14:schemeClr w14:val="tx1"/>
            </w14:solidFill>
          </w14:textFill>
        </w:rPr>
        <w:t>-15</w:t>
      </w:r>
      <w:r>
        <w:rPr>
          <w:rFonts w:hint="eastAsia" w:cs="宋体"/>
          <w:color w:val="000000" w:themeColor="text1"/>
          <w:highlight w:val="none"/>
          <w14:textFill>
            <w14:solidFill>
              <w14:schemeClr w14:val="tx1"/>
            </w14:solidFill>
          </w14:textFill>
        </w:rPr>
        <w:t>）</w:t>
      </w:r>
    </w:p>
    <w:p w14:paraId="5F93B6DF">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1.17 </w:t>
      </w:r>
      <w:r>
        <w:rPr>
          <w:rFonts w:hint="eastAsia" w:cs="宋体"/>
          <w:color w:val="000000" w:themeColor="text1"/>
          <w:highlight w:val="none"/>
          <w14:textFill>
            <w14:solidFill>
              <w14:schemeClr w14:val="tx1"/>
            </w14:solidFill>
          </w14:textFill>
        </w:rPr>
        <w:t>发包人提供主要材料和工程设备一览表（表</w:t>
      </w:r>
      <w:r>
        <w:rPr>
          <w:color w:val="000000" w:themeColor="text1"/>
          <w:highlight w:val="none"/>
          <w14:textFill>
            <w14:solidFill>
              <w14:schemeClr w14:val="tx1"/>
            </w14:solidFill>
          </w14:textFill>
        </w:rPr>
        <w:t>-21</w:t>
      </w:r>
      <w:r>
        <w:rPr>
          <w:rFonts w:hint="eastAsia" w:cs="宋体"/>
          <w:color w:val="000000" w:themeColor="text1"/>
          <w:highlight w:val="none"/>
          <w14:textFill>
            <w14:solidFill>
              <w14:schemeClr w14:val="tx1"/>
            </w14:solidFill>
          </w14:textFill>
        </w:rPr>
        <w:t>）</w:t>
      </w:r>
    </w:p>
    <w:p w14:paraId="2C42DD59">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1.18 </w:t>
      </w:r>
      <w:r>
        <w:rPr>
          <w:rFonts w:hint="eastAsia" w:cs="宋体"/>
          <w:color w:val="000000" w:themeColor="text1"/>
          <w:highlight w:val="none"/>
          <w14:textFill>
            <w14:solidFill>
              <w14:schemeClr w14:val="tx1"/>
            </w14:solidFill>
          </w14:textFill>
        </w:rPr>
        <w:t>允许调整主要材料和工程设备一览表（适用于造价信息差额调整法）（表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w:t>
      </w:r>
    </w:p>
    <w:p w14:paraId="74373B10">
      <w:pPr>
        <w:spacing w:line="360" w:lineRule="auto"/>
        <w:ind w:firstLine="630" w:firstLineChars="300"/>
        <w:jc w:val="left"/>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1A24028C">
      <w:pPr>
        <w:spacing w:line="360" w:lineRule="auto"/>
        <w:ind w:firstLine="630" w:firstLineChars="3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1.20本工程</w:t>
      </w:r>
      <w:r>
        <w:rPr>
          <w:rFonts w:cs="宋体"/>
          <w:color w:val="000000" w:themeColor="text1"/>
          <w:highlight w:val="none"/>
          <w14:textFill>
            <w14:solidFill>
              <w14:schemeClr w14:val="tx1"/>
            </w14:solidFill>
          </w14:textFill>
        </w:rPr>
        <w:t>材料和工程设备</w:t>
      </w:r>
      <w:r>
        <w:rPr>
          <w:rFonts w:hint="eastAsia" w:cs="宋体"/>
          <w:color w:val="000000" w:themeColor="text1"/>
          <w:highlight w:val="none"/>
          <w14:textFill>
            <w14:solidFill>
              <w14:schemeClr w14:val="tx1"/>
            </w14:solidFill>
          </w14:textFill>
        </w:rPr>
        <w:t>一览表（表-24）</w:t>
      </w:r>
    </w:p>
    <w:p w14:paraId="22E79783">
      <w:pPr>
        <w:spacing w:line="360" w:lineRule="auto"/>
        <w:ind w:firstLine="630" w:firstLineChars="3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注：如本工程在合同中约定采用造价信息价差调整法，1.</w:t>
      </w:r>
      <w:r>
        <w:rPr>
          <w:color w:val="000000" w:themeColor="text1"/>
          <w:highlight w:val="none"/>
          <w14:textFill>
            <w14:solidFill>
              <w14:schemeClr w14:val="tx1"/>
            </w14:solidFill>
          </w14:textFill>
        </w:rPr>
        <w:t xml:space="preserve">18 </w:t>
      </w:r>
      <w:r>
        <w:rPr>
          <w:rFonts w:cs="宋体"/>
          <w:color w:val="000000" w:themeColor="text1"/>
          <w:highlight w:val="none"/>
          <w14:textFill>
            <w14:solidFill>
              <w14:schemeClr w14:val="tx1"/>
            </w14:solidFill>
          </w14:textFill>
        </w:rPr>
        <w:t>允许调整</w:t>
      </w:r>
      <w:r>
        <w:rPr>
          <w:rFonts w:hint="eastAsia" w:cs="宋体"/>
          <w:color w:val="000000" w:themeColor="text1"/>
          <w:highlight w:val="none"/>
          <w14:textFill>
            <w14:solidFill>
              <w14:schemeClr w14:val="tx1"/>
            </w14:solidFill>
          </w14:textFill>
        </w:rPr>
        <w:t>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）载明的主要材料和工程设备为本工程允许调整材料和工程设备，工程量清单必须提供该表格，并应载明允许调整材料和工程设备名称型号规格、单位、风险系数、基准单价等内容，且不能提供空白表。</w:t>
      </w:r>
    </w:p>
    <w:p w14:paraId="012F70E8">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以下表格视工程实际需要选用，如该工程不发生如下表格相关项目和费用，所编制工程量清单则不需列入相应表格：</w:t>
      </w:r>
    </w:p>
    <w:p w14:paraId="32CCD2E1">
      <w:pPr>
        <w:spacing w:line="360" w:lineRule="auto"/>
        <w:ind w:firstLine="630" w:firstLineChars="300"/>
        <w:jc w:val="left"/>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74529CB6">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2123428A">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③材料（工程设备）暂估单价及调整表（表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07B4FE27">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④专业工程暂估价表（表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3F694310">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⑤计日工表（表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59DABD36">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⑥总承包服务费计价表（表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1070DD5E">
      <w:pPr>
        <w:spacing w:line="360" w:lineRule="auto"/>
        <w:ind w:firstLine="630" w:firstLineChars="3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⑦税前项目清单与计价表（表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00AA1586">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 8 \* GB3</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⑧</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5EB8CD7A">
      <w:pPr>
        <w:pStyle w:val="3"/>
        <w:spacing w:before="0" w:after="0" w:line="360" w:lineRule="auto"/>
        <w:rPr>
          <w:color w:val="000000" w:themeColor="text1"/>
          <w:highlight w:val="none"/>
          <w14:textFill>
            <w14:solidFill>
              <w14:schemeClr w14:val="tx1"/>
            </w14:solidFill>
          </w14:textFill>
        </w:rPr>
      </w:pPr>
      <w:bookmarkStart w:id="84" w:name="_Toc122424251"/>
      <w:bookmarkStart w:id="85" w:name="_Toc407135285"/>
      <w:bookmarkStart w:id="86" w:name="_Toc990933621"/>
      <w:bookmarkStart w:id="87" w:name="_Toc78449870"/>
      <w:bookmarkStart w:id="88" w:name="_Toc122424002"/>
      <w:bookmarkStart w:id="89" w:name="_Toc347872619"/>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s="黑体"/>
          <w:color w:val="000000" w:themeColor="text1"/>
          <w:highlight w:val="none"/>
          <w:lang w:val="en-US" w:eastAsia="zh-CN"/>
          <w14:textFill>
            <w14:solidFill>
              <w14:schemeClr w14:val="tx1"/>
            </w14:solidFill>
          </w14:textFill>
        </w:rPr>
        <w:t>招标</w:t>
      </w:r>
      <w:r>
        <w:rPr>
          <w:rFonts w:hint="eastAsia" w:cs="黑体"/>
          <w:color w:val="000000" w:themeColor="text1"/>
          <w:highlight w:val="none"/>
          <w14:textFill>
            <w14:solidFill>
              <w14:schemeClr w14:val="tx1"/>
            </w14:solidFill>
          </w14:textFill>
        </w:rPr>
        <w:t>控制价编制说明</w:t>
      </w:r>
      <w:bookmarkEnd w:id="84"/>
      <w:bookmarkEnd w:id="85"/>
      <w:bookmarkEnd w:id="86"/>
      <w:bookmarkEnd w:id="87"/>
      <w:bookmarkEnd w:id="88"/>
      <w:bookmarkEnd w:id="89"/>
    </w:p>
    <w:p w14:paraId="631807AC">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 </w:t>
      </w:r>
      <w:r>
        <w:rPr>
          <w:rFonts w:hint="eastAsia" w:hAnsi="宋体" w:cs="宋体"/>
          <w:color w:val="000000" w:themeColor="text1"/>
          <w:highlight w:val="none"/>
          <w:lang w:val="en-US" w:eastAsia="zh-CN"/>
          <w14:textFill>
            <w14:solidFill>
              <w14:schemeClr w14:val="tx1"/>
            </w14:solidFill>
          </w14:textFill>
        </w:rPr>
        <w:t>招标</w:t>
      </w:r>
      <w:r>
        <w:rPr>
          <w:rFonts w:hint="eastAsia" w:hAnsi="宋体" w:cs="宋体"/>
          <w:color w:val="000000" w:themeColor="text1"/>
          <w:highlight w:val="none"/>
          <w14:textFill>
            <w14:solidFill>
              <w14:schemeClr w14:val="tx1"/>
            </w14:solidFill>
          </w14:textFill>
        </w:rPr>
        <w:t>控制价编制依据：</w:t>
      </w:r>
    </w:p>
    <w:p w14:paraId="0F5CC437">
      <w:pPr>
        <w:spacing w:line="360" w:lineRule="auto"/>
        <w:ind w:firstLine="420" w:firstLineChars="200"/>
        <w:rPr>
          <w:rFonts w:hint="eastAsia" w:hAnsi="宋体"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《计价规范》及《计算规范》、</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号）等</w:t>
      </w:r>
      <w:r>
        <w:rPr>
          <w:rFonts w:hint="eastAsia" w:hAnsi="宋体" w:cs="宋体"/>
          <w:color w:val="000000" w:themeColor="text1"/>
          <w:highlight w:val="none"/>
          <w:lang w:eastAsia="zh-CN"/>
          <w14:textFill>
            <w14:solidFill>
              <w14:schemeClr w14:val="tx1"/>
            </w14:solidFill>
          </w14:textFill>
        </w:rPr>
        <w:t>；</w:t>
      </w:r>
    </w:p>
    <w:p w14:paraId="12C1C25C">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）自治区住房城乡建设行政主管部门颁发的计价定额及有关规定：</w:t>
      </w:r>
      <w:r>
        <w:rPr>
          <w:rFonts w:hint="eastAsia"/>
          <w:color w:val="000000" w:themeColor="text1"/>
          <w:highlight w:val="none"/>
          <w:u w:val="single"/>
          <w14:textFill>
            <w14:solidFill>
              <w14:schemeClr w14:val="tx1"/>
            </w14:solidFill>
          </w14:textFill>
        </w:rPr>
        <w:t>详见</w:t>
      </w:r>
      <w:r>
        <w:rPr>
          <w:color w:val="000000" w:themeColor="text1"/>
          <w:highlight w:val="none"/>
          <w:u w:val="single"/>
          <w14:textFill>
            <w14:solidFill>
              <w14:schemeClr w14:val="tx1"/>
            </w14:solidFill>
          </w14:textFill>
        </w:rPr>
        <w:t xml:space="preserve">工程量清单说明   </w:t>
      </w:r>
      <w:r>
        <w:rPr>
          <w:rFonts w:hint="eastAsia" w:cs="宋体"/>
          <w:color w:val="000000" w:themeColor="text1"/>
          <w:highlight w:val="none"/>
          <w14:textFill>
            <w14:solidFill>
              <w14:schemeClr w14:val="tx1"/>
            </w14:solidFill>
          </w14:textFill>
        </w:rPr>
        <w:t>。</w:t>
      </w:r>
    </w:p>
    <w:p w14:paraId="68A2D56A">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）建设工程设计文件及相关资料：</w:t>
      </w:r>
      <w:r>
        <w:rPr>
          <w:color w:val="000000" w:themeColor="text1"/>
          <w:highlight w:val="none"/>
          <w:u w:val="single"/>
          <w14:textFill>
            <w14:solidFill>
              <w14:schemeClr w14:val="tx1"/>
            </w14:solidFill>
          </w14:textFill>
        </w:rPr>
        <w:t>施工</w:t>
      </w:r>
      <w:r>
        <w:rPr>
          <w:rFonts w:hint="eastAsia"/>
          <w:color w:val="000000" w:themeColor="text1"/>
          <w:highlight w:val="none"/>
          <w:u w:val="single"/>
          <w14:textFill>
            <w14:solidFill>
              <w14:schemeClr w14:val="tx1"/>
            </w14:solidFill>
          </w14:textFill>
        </w:rPr>
        <w:t>图纸、工程量清单</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14:paraId="42FEFBFE">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）本工程磋商文件及工程量清单</w:t>
      </w:r>
      <w:r>
        <w:rPr>
          <w:rFonts w:hint="eastAsia" w:cs="宋体"/>
          <w:color w:val="000000" w:themeColor="text1"/>
          <w:highlight w:val="none"/>
          <w:lang w:eastAsia="zh-CN"/>
          <w14:textFill>
            <w14:solidFill>
              <w14:schemeClr w14:val="tx1"/>
            </w14:solidFill>
          </w14:textFill>
        </w:rPr>
        <w:t>；</w:t>
      </w:r>
    </w:p>
    <w:p w14:paraId="4215C793">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）与建设项目相关的标准、规范、技术资料</w:t>
      </w:r>
      <w:r>
        <w:rPr>
          <w:rFonts w:hint="eastAsia" w:cs="宋体"/>
          <w:color w:val="000000" w:themeColor="text1"/>
          <w:highlight w:val="none"/>
          <w:lang w:eastAsia="zh-CN"/>
          <w14:textFill>
            <w14:solidFill>
              <w14:schemeClr w14:val="tx1"/>
            </w14:solidFill>
          </w14:textFill>
        </w:rPr>
        <w:t>；</w:t>
      </w:r>
    </w:p>
    <w:p w14:paraId="3C55D5B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）施工现场情况、工程特点及常规施工方案</w:t>
      </w:r>
      <w:r>
        <w:rPr>
          <w:rFonts w:hint="eastAsia" w:cs="宋体"/>
          <w:color w:val="000000" w:themeColor="text1"/>
          <w:highlight w:val="none"/>
          <w:lang w:eastAsia="zh-CN"/>
          <w14:textFill>
            <w14:solidFill>
              <w14:schemeClr w14:val="tx1"/>
            </w14:solidFill>
          </w14:textFill>
        </w:rPr>
        <w:t>；</w:t>
      </w:r>
    </w:p>
    <w:p w14:paraId="24F34C95">
      <w:pPr>
        <w:spacing w:line="360" w:lineRule="auto"/>
        <w:ind w:firstLine="420" w:firstLineChars="200"/>
        <w:rPr>
          <w:rFonts w:hAnsi="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）材料价格信息</w:t>
      </w:r>
      <w:r>
        <w:rPr>
          <w:rFonts w:hint="eastAsia" w:hAnsi="宋体" w:cs="宋体"/>
          <w:color w:val="000000" w:themeColor="text1"/>
          <w:highlight w:val="none"/>
          <w14:textFill>
            <w14:solidFill>
              <w14:schemeClr w14:val="tx1"/>
            </w14:solidFill>
          </w14:textFill>
        </w:rPr>
        <w:t>：材料价格主要按照</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钦州</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市建设工程造价管理机构发布的工程造价信息</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2025</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年第</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4月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下半月</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期，不足部分参考市场定价</w:t>
      </w:r>
      <w:r>
        <w:rPr>
          <w:rFonts w:hint="eastAsia" w:hAnsi="宋体" w:cs="宋体"/>
          <w:color w:val="000000" w:themeColor="text1"/>
          <w:highlight w:val="none"/>
          <w14:textFill>
            <w14:solidFill>
              <w14:schemeClr w14:val="tx1"/>
            </w14:solidFill>
          </w14:textFill>
        </w:rPr>
        <w:t>。</w:t>
      </w:r>
    </w:p>
    <w:p w14:paraId="76552271">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 </w:t>
      </w:r>
      <w:r>
        <w:rPr>
          <w:rFonts w:hint="eastAsia" w:hAnsi="宋体" w:cs="宋体"/>
          <w:color w:val="000000" w:themeColor="text1"/>
          <w:highlight w:val="none"/>
          <w14:textFill>
            <w14:solidFill>
              <w14:schemeClr w14:val="tx1"/>
            </w14:solidFill>
          </w14:textFill>
        </w:rPr>
        <w:t>分部分项及单价措施项目综合单价应包括磋商文件中采购人要求供应商所承担的风险内容及其范围（幅度）产生的风险费用。</w:t>
      </w:r>
    </w:p>
    <w:p w14:paraId="125023A6">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2.3 </w:t>
      </w:r>
      <w:r>
        <w:rPr>
          <w:rFonts w:hint="eastAsia" w:hAnsi="宋体" w:cs="宋体"/>
          <w:color w:val="000000" w:themeColor="text1"/>
          <w:highlight w:val="none"/>
          <w14:textFill>
            <w14:solidFill>
              <w14:schemeClr w14:val="tx1"/>
            </w14:solidFill>
          </w14:textFill>
        </w:rPr>
        <w:t>总价措施项目应根据拟定的磋商文件和常规施工方案按《计价规范》和《计算规范》规定编制。</w:t>
      </w:r>
    </w:p>
    <w:p w14:paraId="1732488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其他项目费应按下列规定报价：</w:t>
      </w:r>
    </w:p>
    <w:p w14:paraId="7378F9BB">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）暂列金额应按工程量清单中列出的金额填写</w:t>
      </w:r>
      <w:r>
        <w:rPr>
          <w:rFonts w:hint="eastAsia" w:cs="宋体"/>
          <w:color w:val="000000" w:themeColor="text1"/>
          <w:highlight w:val="none"/>
          <w:lang w:eastAsia="zh-CN"/>
          <w14:textFill>
            <w14:solidFill>
              <w14:schemeClr w14:val="tx1"/>
            </w14:solidFill>
          </w14:textFill>
        </w:rPr>
        <w:t>；</w:t>
      </w:r>
    </w:p>
    <w:p w14:paraId="3EEE2615">
      <w:pPr>
        <w:pStyle w:val="157"/>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）材料、工程设备暂估价应按工程量清单中列出的单价计入综合单价</w:t>
      </w:r>
      <w:r>
        <w:rPr>
          <w:rFonts w:hint="eastAsia" w:cs="宋体"/>
          <w:color w:val="000000" w:themeColor="text1"/>
          <w:highlight w:val="none"/>
          <w:lang w:eastAsia="zh-CN"/>
          <w14:textFill>
            <w14:solidFill>
              <w14:schemeClr w14:val="tx1"/>
            </w14:solidFill>
          </w14:textFill>
        </w:rPr>
        <w:t>；</w:t>
      </w:r>
    </w:p>
    <w:p w14:paraId="314FE6BC">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）专业工程暂估价应按工程量清单中列出的金额填写</w:t>
      </w:r>
      <w:r>
        <w:rPr>
          <w:rFonts w:hint="eastAsia" w:cs="宋体"/>
          <w:color w:val="000000" w:themeColor="text1"/>
          <w:highlight w:val="none"/>
          <w:lang w:eastAsia="zh-CN"/>
          <w14:textFill>
            <w14:solidFill>
              <w14:schemeClr w14:val="tx1"/>
            </w14:solidFill>
          </w14:textFill>
        </w:rPr>
        <w:t>；</w:t>
      </w:r>
    </w:p>
    <w:p w14:paraId="655C712D">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）计日工应按工程量清单中列出的项目和数量，根据工程特点和有关计价依据确定的综合单价计算</w:t>
      </w:r>
      <w:r>
        <w:rPr>
          <w:rFonts w:hint="eastAsia" w:cs="宋体"/>
          <w:color w:val="000000" w:themeColor="text1"/>
          <w:highlight w:val="none"/>
          <w:lang w:eastAsia="zh-CN"/>
          <w14:textFill>
            <w14:solidFill>
              <w14:schemeClr w14:val="tx1"/>
            </w14:solidFill>
          </w14:textFill>
        </w:rPr>
        <w:t>；</w:t>
      </w:r>
    </w:p>
    <w:p w14:paraId="6DEF3BC6">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）总承包服务费应根据工程量清单列出的内容</w:t>
      </w:r>
      <w:r>
        <w:rPr>
          <w:rFonts w:hint="eastAsia" w:hAnsi="宋体" w:cs="宋体"/>
          <w:color w:val="000000" w:themeColor="text1"/>
          <w:highlight w:val="none"/>
          <w14:textFill>
            <w14:solidFill>
              <w14:schemeClr w14:val="tx1"/>
            </w14:solidFill>
          </w14:textFill>
        </w:rPr>
        <w:t>和要求，按自治区住房城乡建设行政主管部门颁发的计价定额及有关规定计算</w:t>
      </w:r>
      <w:r>
        <w:rPr>
          <w:rFonts w:hint="eastAsia" w:cs="宋体"/>
          <w:color w:val="000000" w:themeColor="text1"/>
          <w:highlight w:val="none"/>
          <w14:textFill>
            <w14:solidFill>
              <w14:schemeClr w14:val="tx1"/>
            </w14:solidFill>
          </w14:textFill>
        </w:rPr>
        <w:t>。</w:t>
      </w:r>
    </w:p>
    <w:p w14:paraId="1FAC5BAD">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（6）对建设单位创建优质工程的，鼓励在采购控制价和预算中按广西区工程建设定额规定计列工程优质费，并明确工程优质费不可竞争。</w:t>
      </w:r>
    </w:p>
    <w:p w14:paraId="497B6DEC">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2.5 </w:t>
      </w:r>
      <w:r>
        <w:rPr>
          <w:rFonts w:hint="eastAsia" w:cs="宋体"/>
          <w:color w:val="000000" w:themeColor="text1"/>
          <w:highlight w:val="none"/>
          <w14:textFill>
            <w14:solidFill>
              <w14:schemeClr w14:val="tx1"/>
            </w14:solidFill>
          </w14:textFill>
        </w:rPr>
        <w:t>规费和增值税应按规定确定，作为不可竞争费用。</w:t>
      </w:r>
    </w:p>
    <w:p w14:paraId="2881E1A8">
      <w:pPr>
        <w:spacing w:line="360" w:lineRule="auto"/>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2.6 </w:t>
      </w:r>
      <w:r>
        <w:rPr>
          <w:rFonts w:hint="eastAsia" w:hAnsi="宋体" w:cs="宋体"/>
          <w:color w:val="000000" w:themeColor="text1"/>
          <w:highlight w:val="none"/>
          <w14:textFill>
            <w14:solidFill>
              <w14:schemeClr w14:val="tx1"/>
            </w14:solidFill>
          </w14:textFill>
        </w:rPr>
        <w:t>其它需要说明的问题：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6F5DC526">
      <w:pPr>
        <w:pStyle w:val="3"/>
        <w:spacing w:before="0" w:after="0" w:line="360" w:lineRule="auto"/>
        <w:rPr>
          <w:color w:val="000000" w:themeColor="text1"/>
          <w:highlight w:val="none"/>
          <w14:textFill>
            <w14:solidFill>
              <w14:schemeClr w14:val="tx1"/>
            </w14:solidFill>
          </w14:textFill>
        </w:rPr>
      </w:pPr>
      <w:bookmarkStart w:id="90" w:name="_Toc407135286"/>
      <w:bookmarkStart w:id="91" w:name="_Toc122424252"/>
      <w:bookmarkStart w:id="92" w:name="_Toc122424003"/>
      <w:bookmarkStart w:id="93" w:name="_Toc378483916"/>
      <w:bookmarkStart w:id="94" w:name="_Toc879821176"/>
      <w:bookmarkStart w:id="95" w:name="_Toc78449871"/>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s="黑体"/>
          <w:color w:val="000000" w:themeColor="text1"/>
          <w:highlight w:val="none"/>
          <w14:textFill>
            <w14:solidFill>
              <w14:schemeClr w14:val="tx1"/>
            </w14:solidFill>
          </w14:textFill>
        </w:rPr>
        <w:t>竞标报价（已标价工程量清单）编制说明</w:t>
      </w:r>
      <w:bookmarkEnd w:id="90"/>
      <w:bookmarkEnd w:id="91"/>
      <w:bookmarkEnd w:id="92"/>
      <w:bookmarkEnd w:id="93"/>
      <w:bookmarkEnd w:id="94"/>
      <w:bookmarkEnd w:id="95"/>
    </w:p>
    <w:p w14:paraId="3D34A529">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3.1 </w:t>
      </w:r>
      <w:r>
        <w:rPr>
          <w:rFonts w:hint="eastAsia" w:cs="宋体"/>
          <w:color w:val="000000" w:themeColor="text1"/>
          <w:highlight w:val="none"/>
          <w14:textFill>
            <w14:solidFill>
              <w14:schemeClr w14:val="tx1"/>
            </w14:solidFill>
          </w14:textFill>
        </w:rPr>
        <w:t>供应商应依据磋商文件、工程量清单以及《计价规范》、《计算规范》自主报价，自主报价</w:t>
      </w:r>
      <w:r>
        <w:rPr>
          <w:rFonts w:hint="eastAsia" w:hAnsi="宋体" w:cs="宋体"/>
          <w:color w:val="000000" w:themeColor="text1"/>
          <w:highlight w:val="none"/>
          <w14:textFill>
            <w14:solidFill>
              <w14:schemeClr w14:val="tx1"/>
            </w14:solidFill>
          </w14:textFill>
        </w:rPr>
        <w:t>不得违反计价规范强制性条文规定。</w:t>
      </w:r>
      <w:r>
        <w:rPr>
          <w:rFonts w:hint="eastAsia" w:cs="宋体"/>
          <w:color w:val="000000" w:themeColor="text1"/>
          <w:highlight w:val="none"/>
          <w14:textFill>
            <w14:solidFill>
              <w14:schemeClr w14:val="tx1"/>
            </w14:solidFill>
          </w14:textFill>
        </w:rPr>
        <w:t>供应商不得采用总价让利或以百分比让利等形式进行报价，任何优惠（或降价、让利）均应反映在相应清单项目的综合单价中。同时，不得出现任意一项单价重大让利，</w:t>
      </w:r>
      <w:r>
        <w:rPr>
          <w:rFonts w:hint="eastAsia" w:hAnsi="宋体" w:cs="宋体"/>
          <w:color w:val="000000" w:themeColor="text1"/>
          <w:highlight w:val="none"/>
          <w14:textFill>
            <w14:solidFill>
              <w14:schemeClr w14:val="tx1"/>
            </w14:solidFill>
          </w14:textFill>
        </w:rPr>
        <w:t>不得以自有机械闲置、自有材料等不计成本为由</w:t>
      </w:r>
      <w:r>
        <w:rPr>
          <w:rFonts w:hint="eastAsia" w:cs="宋体"/>
          <w:color w:val="000000" w:themeColor="text1"/>
          <w:highlight w:val="none"/>
          <w14:textFill>
            <w14:solidFill>
              <w14:schemeClr w14:val="tx1"/>
            </w14:solidFill>
          </w14:textFill>
        </w:rPr>
        <w:t>低于工程成本报价。</w:t>
      </w:r>
    </w:p>
    <w:p w14:paraId="64CD6FA0">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 </w:t>
      </w:r>
      <w:r>
        <w:rPr>
          <w:rFonts w:hint="eastAsia" w:cs="宋体"/>
          <w:color w:val="000000" w:themeColor="text1"/>
          <w:highlight w:val="none"/>
          <w14:textFill>
            <w14:solidFill>
              <w14:schemeClr w14:val="tx1"/>
            </w14:solidFill>
          </w14:textFill>
        </w:rPr>
        <w:t>供应商应按工程量清单填报价格。项目编码、项目名称、项目特征、计量单位、工程量必须与工程量清单一致，</w:t>
      </w:r>
      <w:r>
        <w:rPr>
          <w:rFonts w:hint="eastAsia" w:hAnsi="宋体" w:cs="宋体"/>
          <w:color w:val="000000" w:themeColor="text1"/>
          <w:highlight w:val="none"/>
          <w14:textFill>
            <w14:solidFill>
              <w14:schemeClr w14:val="tx1"/>
            </w14:solidFill>
          </w14:textFill>
        </w:rPr>
        <w:t>供应商不得对工程量清单项目进行增减调整。</w:t>
      </w:r>
    </w:p>
    <w:p w14:paraId="5F6B123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 </w:t>
      </w:r>
      <w:r>
        <w:rPr>
          <w:rFonts w:hint="eastAsia" w:cs="宋体"/>
          <w:color w:val="000000" w:themeColor="text1"/>
          <w:highlight w:val="none"/>
          <w14:textFill>
            <w14:solidFill>
              <w14:schemeClr w14:val="tx1"/>
            </w14:solidFill>
          </w14:textFill>
        </w:rPr>
        <w:t>综合单价中应包含磋商文件中划分的应由供应商承担的风险范围及其费用。</w:t>
      </w:r>
    </w:p>
    <w:p w14:paraId="2FE6BF28">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3.4 </w:t>
      </w:r>
      <w:r>
        <w:rPr>
          <w:rFonts w:hint="eastAsia" w:hAnsi="宋体" w:cs="宋体"/>
          <w:color w:val="000000" w:themeColor="text1"/>
          <w:highlight w:val="none"/>
          <w14:textFill>
            <w14:solidFill>
              <w14:schemeClr w14:val="tx1"/>
            </w14:solidFill>
          </w14:textFill>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9896BF3">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 </w:t>
      </w:r>
      <w:r>
        <w:rPr>
          <w:rFonts w:hint="eastAsia" w:hAnsi="宋体" w:cs="宋体"/>
          <w:color w:val="000000" w:themeColor="text1"/>
          <w:highlight w:val="none"/>
          <w14:textFill>
            <w14:solidFill>
              <w14:schemeClr w14:val="tx1"/>
            </w14:solidFill>
          </w14:textFill>
        </w:rPr>
        <w:t>总价措施项目的金额应根据磋商文件及竞标时拟定的施工组织设计或施工方案，按计价规范的规定自主确定。但</w:t>
      </w:r>
      <w:r>
        <w:rPr>
          <w:rFonts w:hint="eastAsia" w:cs="宋体"/>
          <w:color w:val="000000" w:themeColor="text1"/>
          <w:highlight w:val="none"/>
          <w14:textFill>
            <w14:solidFill>
              <w14:schemeClr w14:val="tx1"/>
            </w14:solidFill>
          </w14:textFill>
        </w:rPr>
        <w:t>安全文明施工费按国家、省级或行业建设主管部门的有关规定执行，作为不竞争费用单列。</w:t>
      </w:r>
    </w:p>
    <w:p w14:paraId="1922FE1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3.6 </w:t>
      </w:r>
      <w:r>
        <w:rPr>
          <w:rFonts w:hint="eastAsia" w:cs="宋体"/>
          <w:color w:val="000000" w:themeColor="text1"/>
          <w:highlight w:val="none"/>
          <w14:textFill>
            <w14:solidFill>
              <w14:schemeClr w14:val="tx1"/>
            </w14:solidFill>
          </w14:textFill>
        </w:rPr>
        <w:t>其他项目费应按下列规定报价：</w:t>
      </w:r>
    </w:p>
    <w:p w14:paraId="352343D2">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）暂列金额应按工程量清单中列出的金额填写</w:t>
      </w:r>
      <w:r>
        <w:rPr>
          <w:rFonts w:hint="eastAsia" w:cs="宋体"/>
          <w:color w:val="000000" w:themeColor="text1"/>
          <w:highlight w:val="none"/>
          <w:lang w:eastAsia="zh-CN"/>
          <w14:textFill>
            <w14:solidFill>
              <w14:schemeClr w14:val="tx1"/>
            </w14:solidFill>
          </w14:textFill>
        </w:rPr>
        <w:t>；</w:t>
      </w:r>
    </w:p>
    <w:p w14:paraId="2CC69413">
      <w:pPr>
        <w:pStyle w:val="157"/>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）材料、工程设备暂估价应按工程量清单中列出的单价计入综合单价</w:t>
      </w:r>
      <w:r>
        <w:rPr>
          <w:rFonts w:hint="eastAsia" w:cs="宋体"/>
          <w:color w:val="000000" w:themeColor="text1"/>
          <w:highlight w:val="none"/>
          <w:lang w:eastAsia="zh-CN"/>
          <w14:textFill>
            <w14:solidFill>
              <w14:schemeClr w14:val="tx1"/>
            </w14:solidFill>
          </w14:textFill>
        </w:rPr>
        <w:t>；</w:t>
      </w:r>
    </w:p>
    <w:p w14:paraId="422BC28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）专业工程暂估价应按工程量清单中列出的金额填写</w:t>
      </w:r>
      <w:r>
        <w:rPr>
          <w:rFonts w:hint="eastAsia" w:cs="宋体"/>
          <w:color w:val="000000" w:themeColor="text1"/>
          <w:highlight w:val="none"/>
          <w:lang w:eastAsia="zh-CN"/>
          <w14:textFill>
            <w14:solidFill>
              <w14:schemeClr w14:val="tx1"/>
            </w14:solidFill>
          </w14:textFill>
        </w:rPr>
        <w:t>；</w:t>
      </w:r>
    </w:p>
    <w:p w14:paraId="04C1995B">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）计日工应按工程量清单中列出的项目和估算数量，自主确定综合单价并计算计日工总额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计日工单价均不含规费和税金</w:t>
      </w:r>
      <w:r>
        <w:rPr>
          <w:rFonts w:hint="eastAsia" w:cs="宋体"/>
          <w:color w:val="000000" w:themeColor="text1"/>
          <w:highlight w:val="none"/>
          <w:lang w:eastAsia="zh-CN"/>
          <w14:textFill>
            <w14:solidFill>
              <w14:schemeClr w14:val="tx1"/>
            </w14:solidFill>
          </w14:textFill>
        </w:rPr>
        <w:t>；</w:t>
      </w:r>
    </w:p>
    <w:p w14:paraId="5AB14DA2">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）总承包服务费应根据工程量清单中列出的内容</w:t>
      </w:r>
      <w:r>
        <w:rPr>
          <w:rFonts w:hint="eastAsia" w:hAnsi="宋体" w:cs="宋体"/>
          <w:color w:val="000000" w:themeColor="text1"/>
          <w:highlight w:val="none"/>
          <w14:textFill>
            <w14:solidFill>
              <w14:schemeClr w14:val="tx1"/>
            </w14:solidFill>
          </w14:textFill>
        </w:rPr>
        <w:t>和供应材料、设备情况，按照采购人提出的协调、配合与服务要求和施工现场管理需要</w:t>
      </w:r>
      <w:r>
        <w:rPr>
          <w:rFonts w:hint="eastAsia" w:cs="宋体"/>
          <w:color w:val="000000" w:themeColor="text1"/>
          <w:highlight w:val="none"/>
          <w14:textFill>
            <w14:solidFill>
              <w14:schemeClr w14:val="tx1"/>
            </w14:solidFill>
          </w14:textFill>
        </w:rPr>
        <w:t>自主确定。</w:t>
      </w:r>
    </w:p>
    <w:p w14:paraId="4EC2F455">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（6）对建设单位创建优质工程的，鼓励在采购控制价和预算中按我区工程建设定额规定计列工程优质费，并明确工程优质费不可竞争。</w:t>
      </w:r>
    </w:p>
    <w:p w14:paraId="7245BEA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3.7 </w:t>
      </w:r>
      <w:r>
        <w:rPr>
          <w:rFonts w:hint="eastAsia" w:cs="宋体"/>
          <w:color w:val="000000" w:themeColor="text1"/>
          <w:highlight w:val="none"/>
          <w14:textFill>
            <w14:solidFill>
              <w14:schemeClr w14:val="tx1"/>
            </w14:solidFill>
          </w14:textFill>
        </w:rPr>
        <w:t>规费和增值税应按规定确定，作为不可竞争费用。</w:t>
      </w:r>
    </w:p>
    <w:p w14:paraId="52C23178">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3.8 </w:t>
      </w:r>
      <w:r>
        <w:rPr>
          <w:rFonts w:hint="eastAsia" w:cs="宋体"/>
          <w:color w:val="000000" w:themeColor="text1"/>
          <w:highlight w:val="none"/>
          <w14:textFill>
            <w14:solidFill>
              <w14:schemeClr w14:val="tx1"/>
            </w14:solidFill>
          </w14:textFill>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7CC14D97">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3.9 </w:t>
      </w:r>
      <w:r>
        <w:rPr>
          <w:rFonts w:hint="eastAsia" w:cs="宋体"/>
          <w:color w:val="000000" w:themeColor="text1"/>
          <w:highlight w:val="none"/>
          <w14:textFill>
            <w14:solidFill>
              <w14:schemeClr w14:val="tx1"/>
            </w14:solidFill>
          </w14:textFill>
        </w:rPr>
        <w:t>竞标总价应当与分部分项工程费、措施项目费、其他项目费和规费、增值税的合计金额一致。</w:t>
      </w:r>
    </w:p>
    <w:p w14:paraId="38CECA21">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供应商应按《允许调整主要材料和工程设备一览表》的内容填报，不得擅自调整材料和设备名称型号规格、单位、风险系数、基准单价。</w:t>
      </w:r>
    </w:p>
    <w:p w14:paraId="76CA637F">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竞标报价</w:t>
      </w:r>
      <w:r>
        <w:rPr>
          <w:rFonts w:hint="eastAsia" w:cs="宋体"/>
          <w:color w:val="000000" w:themeColor="text1"/>
          <w:highlight w:val="none"/>
          <w14:textFill>
            <w14:solidFill>
              <w14:schemeClr w14:val="tx1"/>
            </w14:solidFill>
          </w14:textFill>
        </w:rPr>
        <w:t>表格按本工程工程量清单表格要求填写，并</w:t>
      </w:r>
      <w:r>
        <w:rPr>
          <w:rFonts w:hint="eastAsia" w:hAnsi="宋体" w:cs="宋体"/>
          <w:color w:val="000000" w:themeColor="text1"/>
          <w:highlight w:val="none"/>
          <w14:textFill>
            <w14:solidFill>
              <w14:schemeClr w14:val="tx1"/>
            </w14:solidFill>
          </w14:textFill>
        </w:rPr>
        <w:t>应按磋商文件的要求，附上《工程量清单综合单价分析表》（表</w:t>
      </w:r>
      <w:r>
        <w:rPr>
          <w:color w:val="000000" w:themeColor="text1"/>
          <w:highlight w:val="none"/>
          <w14:textFill>
            <w14:solidFill>
              <w14:schemeClr w14:val="tx1"/>
            </w14:solidFill>
          </w14:textFill>
        </w:rPr>
        <w:t>-09</w:t>
      </w:r>
      <w:r>
        <w:rPr>
          <w:rFonts w:hint="eastAsia" w:hAnsi="宋体" w:cs="宋体"/>
          <w:color w:val="000000" w:themeColor="text1"/>
          <w:highlight w:val="none"/>
          <w14:textFill>
            <w14:solidFill>
              <w14:schemeClr w14:val="tx1"/>
            </w14:solidFill>
          </w14:textFill>
        </w:rPr>
        <w:t>）和《主要清单项目工料机分析表》（表</w:t>
      </w:r>
      <w:r>
        <w:rPr>
          <w:color w:val="000000" w:themeColor="text1"/>
          <w:highlight w:val="none"/>
          <w14:textFill>
            <w14:solidFill>
              <w14:schemeClr w14:val="tx1"/>
            </w14:solidFill>
          </w14:textFill>
        </w:rPr>
        <w:t>-10</w:t>
      </w:r>
      <w:r>
        <w:rPr>
          <w:rFonts w:hint="eastAsia" w:hAnsi="宋体" w:cs="宋体"/>
          <w:color w:val="000000" w:themeColor="text1"/>
          <w:highlight w:val="none"/>
          <w14:textFill>
            <w14:solidFill>
              <w14:schemeClr w14:val="tx1"/>
            </w14:solidFill>
          </w14:textFill>
        </w:rPr>
        <w:t>）。</w:t>
      </w:r>
    </w:p>
    <w:p w14:paraId="250F559C">
      <w:pPr>
        <w:spacing w:line="360" w:lineRule="auto"/>
        <w:ind w:firstLine="420" w:firstLineChars="200"/>
        <w:rPr>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未尽事宜详见本工程工程量清单、采购控制价编制说明以及现行《计价规范》等有关规定执行。</w:t>
      </w:r>
    </w:p>
    <w:p w14:paraId="45EEF6CF">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因2021年《广西壮族自治区园林绿化及仿古建筑工程费用定额》采用全费用综合单价形式，故园林绿化及仿古建筑工程的工程量清单及计价采用《自治区住房和城乡建设厅关于建设工程造价改革试点项目招竞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2DD4073E">
      <w:pPr>
        <w:pStyle w:val="3"/>
        <w:spacing w:before="0" w:after="0" w:line="360" w:lineRule="auto"/>
        <w:rPr>
          <w:rFonts w:cs="黑体"/>
          <w:color w:val="000000" w:themeColor="text1"/>
          <w:highlight w:val="none"/>
          <w14:textFill>
            <w14:solidFill>
              <w14:schemeClr w14:val="tx1"/>
            </w14:solidFill>
          </w14:textFill>
        </w:rPr>
      </w:pPr>
      <w:bookmarkStart w:id="96" w:name="_Toc122424004"/>
      <w:bookmarkStart w:id="97" w:name="_Toc122424253"/>
      <w:r>
        <w:rPr>
          <w:rFonts w:hint="eastAsia" w:cs="黑体"/>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工程量清单及</w:t>
      </w:r>
      <w:r>
        <w:rPr>
          <w:rFonts w:hint="eastAsia" w:cs="黑体"/>
          <w:color w:val="000000" w:themeColor="text1"/>
          <w:highlight w:val="none"/>
          <w14:textFill>
            <w14:solidFill>
              <w14:schemeClr w14:val="tx1"/>
            </w14:solidFill>
          </w14:textFill>
        </w:rPr>
        <w:t>图纸（另册）</w:t>
      </w:r>
      <w:bookmarkEnd w:id="96"/>
      <w:bookmarkEnd w:id="97"/>
    </w:p>
    <w:p w14:paraId="422A264D">
      <w:pPr>
        <w:pStyle w:val="4"/>
        <w:spacing w:before="0" w:after="0" w:line="360" w:lineRule="auto"/>
        <w:rPr>
          <w:color w:val="000000" w:themeColor="text1"/>
          <w:highlight w:val="none"/>
          <w14:textFill>
            <w14:solidFill>
              <w14:schemeClr w14:val="tx1"/>
            </w14:solidFill>
          </w14:textFill>
        </w:rPr>
      </w:pPr>
      <w:r>
        <w:rPr>
          <w:rFonts w:cs="黑体"/>
          <w:color w:val="000000" w:themeColor="text1"/>
          <w:highlight w:val="none"/>
          <w14:textFill>
            <w14:solidFill>
              <w14:schemeClr w14:val="tx1"/>
            </w14:solidFill>
          </w14:textFill>
        </w:rPr>
        <w:br w:type="page"/>
      </w:r>
    </w:p>
    <w:p w14:paraId="0820D523">
      <w:pPr>
        <w:rPr>
          <w:color w:val="000000" w:themeColor="text1"/>
          <w:highlight w:val="none"/>
          <w14:textFill>
            <w14:solidFill>
              <w14:schemeClr w14:val="tx1"/>
            </w14:solidFill>
          </w14:textFill>
        </w:rPr>
      </w:pPr>
    </w:p>
    <w:p w14:paraId="6B247C16">
      <w:pPr>
        <w:rPr>
          <w:color w:val="000000" w:themeColor="text1"/>
          <w:highlight w:val="none"/>
          <w14:textFill>
            <w14:solidFill>
              <w14:schemeClr w14:val="tx1"/>
            </w14:solidFill>
          </w14:textFill>
        </w:rPr>
      </w:pPr>
    </w:p>
    <w:p w14:paraId="24406129">
      <w:pPr>
        <w:rPr>
          <w:color w:val="000000" w:themeColor="text1"/>
          <w:highlight w:val="none"/>
          <w14:textFill>
            <w14:solidFill>
              <w14:schemeClr w14:val="tx1"/>
            </w14:solidFill>
          </w14:textFill>
        </w:rPr>
      </w:pPr>
    </w:p>
    <w:p w14:paraId="0A1BB3C6">
      <w:pPr>
        <w:rPr>
          <w:color w:val="000000" w:themeColor="text1"/>
          <w:highlight w:val="none"/>
          <w14:textFill>
            <w14:solidFill>
              <w14:schemeClr w14:val="tx1"/>
            </w14:solidFill>
          </w14:textFill>
        </w:rPr>
      </w:pPr>
    </w:p>
    <w:p w14:paraId="62537427">
      <w:pPr>
        <w:rPr>
          <w:color w:val="000000" w:themeColor="text1"/>
          <w:highlight w:val="none"/>
          <w14:textFill>
            <w14:solidFill>
              <w14:schemeClr w14:val="tx1"/>
            </w14:solidFill>
          </w14:textFill>
        </w:rPr>
      </w:pPr>
    </w:p>
    <w:p w14:paraId="014E2C32">
      <w:pPr>
        <w:rPr>
          <w:color w:val="000000" w:themeColor="text1"/>
          <w:highlight w:val="none"/>
          <w14:textFill>
            <w14:solidFill>
              <w14:schemeClr w14:val="tx1"/>
            </w14:solidFill>
          </w14:textFill>
        </w:rPr>
      </w:pPr>
    </w:p>
    <w:p w14:paraId="2A915A26">
      <w:pPr>
        <w:rPr>
          <w:color w:val="000000" w:themeColor="text1"/>
          <w:highlight w:val="none"/>
          <w14:textFill>
            <w14:solidFill>
              <w14:schemeClr w14:val="tx1"/>
            </w14:solidFill>
          </w14:textFill>
        </w:rPr>
      </w:pPr>
    </w:p>
    <w:p w14:paraId="7625017D">
      <w:pPr>
        <w:rPr>
          <w:color w:val="000000" w:themeColor="text1"/>
          <w:highlight w:val="none"/>
          <w14:textFill>
            <w14:solidFill>
              <w14:schemeClr w14:val="tx1"/>
            </w14:solidFill>
          </w14:textFill>
        </w:rPr>
      </w:pPr>
    </w:p>
    <w:p w14:paraId="378A9009">
      <w:pPr>
        <w:rPr>
          <w:color w:val="000000" w:themeColor="text1"/>
          <w:highlight w:val="none"/>
          <w14:textFill>
            <w14:solidFill>
              <w14:schemeClr w14:val="tx1"/>
            </w14:solidFill>
          </w14:textFill>
        </w:rPr>
      </w:pPr>
    </w:p>
    <w:p w14:paraId="0B6799D5">
      <w:pPr>
        <w:rPr>
          <w:color w:val="000000" w:themeColor="text1"/>
          <w:highlight w:val="none"/>
          <w14:textFill>
            <w14:solidFill>
              <w14:schemeClr w14:val="tx1"/>
            </w14:solidFill>
          </w14:textFill>
        </w:rPr>
      </w:pPr>
    </w:p>
    <w:p w14:paraId="69C9E13E">
      <w:pPr>
        <w:rPr>
          <w:color w:val="000000" w:themeColor="text1"/>
          <w:highlight w:val="none"/>
          <w14:textFill>
            <w14:solidFill>
              <w14:schemeClr w14:val="tx1"/>
            </w14:solidFill>
          </w14:textFill>
        </w:rPr>
      </w:pPr>
    </w:p>
    <w:p w14:paraId="7EB9A177">
      <w:pPr>
        <w:rPr>
          <w:color w:val="000000" w:themeColor="text1"/>
          <w:highlight w:val="none"/>
          <w14:textFill>
            <w14:solidFill>
              <w14:schemeClr w14:val="tx1"/>
            </w14:solidFill>
          </w14:textFill>
        </w:rPr>
      </w:pPr>
    </w:p>
    <w:p w14:paraId="6C7F7D01">
      <w:pPr>
        <w:rPr>
          <w:color w:val="000000" w:themeColor="text1"/>
          <w:highlight w:val="none"/>
          <w14:textFill>
            <w14:solidFill>
              <w14:schemeClr w14:val="tx1"/>
            </w14:solidFill>
          </w14:textFill>
        </w:rPr>
      </w:pPr>
    </w:p>
    <w:p w14:paraId="10032C17">
      <w:pPr>
        <w:rPr>
          <w:color w:val="000000" w:themeColor="text1"/>
          <w:highlight w:val="none"/>
          <w14:textFill>
            <w14:solidFill>
              <w14:schemeClr w14:val="tx1"/>
            </w14:solidFill>
          </w14:textFill>
        </w:rPr>
      </w:pPr>
    </w:p>
    <w:p w14:paraId="42D8375C">
      <w:pPr>
        <w:rPr>
          <w:color w:val="000000" w:themeColor="text1"/>
          <w:highlight w:val="none"/>
          <w14:textFill>
            <w14:solidFill>
              <w14:schemeClr w14:val="tx1"/>
            </w14:solidFill>
          </w14:textFill>
        </w:rPr>
      </w:pPr>
    </w:p>
    <w:p w14:paraId="4395943B">
      <w:pPr>
        <w:rPr>
          <w:color w:val="000000" w:themeColor="text1"/>
          <w:highlight w:val="none"/>
          <w14:textFill>
            <w14:solidFill>
              <w14:schemeClr w14:val="tx1"/>
            </w14:solidFill>
          </w14:textFill>
        </w:rPr>
      </w:pPr>
    </w:p>
    <w:p w14:paraId="43789DA9">
      <w:pPr>
        <w:rPr>
          <w:color w:val="000000" w:themeColor="text1"/>
          <w:highlight w:val="none"/>
          <w14:textFill>
            <w14:solidFill>
              <w14:schemeClr w14:val="tx1"/>
            </w14:solidFill>
          </w14:textFill>
        </w:rPr>
      </w:pPr>
    </w:p>
    <w:p w14:paraId="701EF5F1">
      <w:pPr>
        <w:pStyle w:val="2"/>
        <w:jc w:val="center"/>
        <w:rPr>
          <w:color w:val="000000" w:themeColor="text1"/>
          <w:highlight w:val="none"/>
          <w14:textFill>
            <w14:solidFill>
              <w14:schemeClr w14:val="tx1"/>
            </w14:solidFill>
          </w14:textFill>
        </w:rPr>
      </w:pPr>
      <w:bookmarkStart w:id="98" w:name="_Toc122424265"/>
      <w:r>
        <w:rPr>
          <w:rFonts w:hint="eastAsia"/>
          <w:color w:val="000000" w:themeColor="text1"/>
          <w:highlight w:val="none"/>
          <w14:textFill>
            <w14:solidFill>
              <w14:schemeClr w14:val="tx1"/>
            </w14:solidFill>
          </w14:textFill>
        </w:rPr>
        <w:t>第六章 响应文件格式</w:t>
      </w:r>
      <w:bookmarkEnd w:id="98"/>
    </w:p>
    <w:p w14:paraId="6A5657B5">
      <w:pPr>
        <w:spacing w:line="240" w:lineRule="atLeast"/>
        <w:rPr>
          <w:rFonts w:ascii="宋体" w:hAnsi="宋体"/>
          <w:b/>
          <w:color w:val="000000" w:themeColor="text1"/>
          <w:sz w:val="32"/>
          <w:szCs w:val="32"/>
          <w:highlight w:val="none"/>
          <w14:textFill>
            <w14:solidFill>
              <w14:schemeClr w14:val="tx1"/>
            </w14:solidFill>
          </w14:textFill>
        </w:rPr>
      </w:pPr>
    </w:p>
    <w:p w14:paraId="7448AF09">
      <w:pPr>
        <w:spacing w:line="240" w:lineRule="atLeast"/>
        <w:rPr>
          <w:rFonts w:ascii="宋体" w:hAnsi="宋体"/>
          <w:b/>
          <w:color w:val="000000" w:themeColor="text1"/>
          <w:sz w:val="32"/>
          <w:szCs w:val="32"/>
          <w:highlight w:val="none"/>
          <w14:textFill>
            <w14:solidFill>
              <w14:schemeClr w14:val="tx1"/>
            </w14:solidFill>
          </w14:textFill>
        </w:rPr>
      </w:pPr>
    </w:p>
    <w:p w14:paraId="7EC04E73">
      <w:pPr>
        <w:spacing w:line="240" w:lineRule="atLeast"/>
        <w:rPr>
          <w:rFonts w:ascii="宋体" w:hAnsi="宋体"/>
          <w:b/>
          <w:color w:val="000000" w:themeColor="text1"/>
          <w:sz w:val="32"/>
          <w:szCs w:val="32"/>
          <w:highlight w:val="none"/>
          <w14:textFill>
            <w14:solidFill>
              <w14:schemeClr w14:val="tx1"/>
            </w14:solidFill>
          </w14:textFill>
        </w:rPr>
      </w:pPr>
    </w:p>
    <w:p w14:paraId="73FE7891">
      <w:pPr>
        <w:spacing w:line="240" w:lineRule="atLeast"/>
        <w:rPr>
          <w:rFonts w:ascii="宋体" w:hAnsi="宋体"/>
          <w:b/>
          <w:color w:val="000000" w:themeColor="text1"/>
          <w:sz w:val="32"/>
          <w:szCs w:val="32"/>
          <w:highlight w:val="none"/>
          <w14:textFill>
            <w14:solidFill>
              <w14:schemeClr w14:val="tx1"/>
            </w14:solidFill>
          </w14:textFill>
        </w:rPr>
      </w:pPr>
    </w:p>
    <w:p w14:paraId="06C3A90A">
      <w:pPr>
        <w:spacing w:line="240" w:lineRule="atLeast"/>
        <w:rPr>
          <w:rFonts w:ascii="宋体" w:hAnsi="宋体"/>
          <w:b/>
          <w:color w:val="000000" w:themeColor="text1"/>
          <w:sz w:val="32"/>
          <w:szCs w:val="32"/>
          <w:highlight w:val="none"/>
          <w14:textFill>
            <w14:solidFill>
              <w14:schemeClr w14:val="tx1"/>
            </w14:solidFill>
          </w14:textFill>
        </w:rPr>
      </w:pPr>
    </w:p>
    <w:p w14:paraId="1B6EC939">
      <w:pPr>
        <w:spacing w:line="240" w:lineRule="atLeast"/>
        <w:rPr>
          <w:rFonts w:ascii="宋体" w:hAnsi="宋体"/>
          <w:b/>
          <w:color w:val="000000" w:themeColor="text1"/>
          <w:sz w:val="32"/>
          <w:szCs w:val="32"/>
          <w:highlight w:val="none"/>
          <w14:textFill>
            <w14:solidFill>
              <w14:schemeClr w14:val="tx1"/>
            </w14:solidFill>
          </w14:textFill>
        </w:rPr>
      </w:pPr>
    </w:p>
    <w:p w14:paraId="1458E236">
      <w:pPr>
        <w:spacing w:line="240" w:lineRule="atLeast"/>
        <w:rPr>
          <w:rFonts w:ascii="宋体" w:hAnsi="宋体"/>
          <w:b/>
          <w:color w:val="000000" w:themeColor="text1"/>
          <w:sz w:val="32"/>
          <w:szCs w:val="32"/>
          <w:highlight w:val="none"/>
          <w14:textFill>
            <w14:solidFill>
              <w14:schemeClr w14:val="tx1"/>
            </w14:solidFill>
          </w14:textFill>
        </w:rPr>
      </w:pPr>
    </w:p>
    <w:p w14:paraId="26EB43DB">
      <w:pPr>
        <w:spacing w:line="240" w:lineRule="atLeast"/>
        <w:rPr>
          <w:rFonts w:ascii="宋体" w:hAnsi="宋体"/>
          <w:b/>
          <w:color w:val="000000" w:themeColor="text1"/>
          <w:sz w:val="32"/>
          <w:szCs w:val="32"/>
          <w:highlight w:val="none"/>
          <w14:textFill>
            <w14:solidFill>
              <w14:schemeClr w14:val="tx1"/>
            </w14:solidFill>
          </w14:textFill>
        </w:rPr>
      </w:pPr>
    </w:p>
    <w:p w14:paraId="5ECA08F8">
      <w:pPr>
        <w:spacing w:line="240" w:lineRule="atLeast"/>
        <w:rPr>
          <w:rFonts w:ascii="宋体" w:hAnsi="宋体"/>
          <w:b/>
          <w:color w:val="000000" w:themeColor="text1"/>
          <w:sz w:val="32"/>
          <w:szCs w:val="32"/>
          <w:highlight w:val="none"/>
          <w14:textFill>
            <w14:solidFill>
              <w14:schemeClr w14:val="tx1"/>
            </w14:solidFill>
          </w14:textFill>
        </w:rPr>
      </w:pPr>
    </w:p>
    <w:p w14:paraId="4A5EBBEF">
      <w:pPr>
        <w:spacing w:line="240" w:lineRule="atLeast"/>
        <w:rPr>
          <w:rFonts w:ascii="宋体" w:hAnsi="宋体"/>
          <w:b/>
          <w:color w:val="000000" w:themeColor="text1"/>
          <w:sz w:val="32"/>
          <w:szCs w:val="32"/>
          <w:highlight w:val="none"/>
          <w14:textFill>
            <w14:solidFill>
              <w14:schemeClr w14:val="tx1"/>
            </w14:solidFill>
          </w14:textFill>
        </w:rPr>
      </w:pPr>
    </w:p>
    <w:p w14:paraId="5C93C5E1">
      <w:pPr>
        <w:snapToGrid w:val="0"/>
        <w:spacing w:before="50" w:after="50"/>
        <w:outlineLvl w:val="1"/>
        <w:rPr>
          <w:rFonts w:ascii="宋体" w:hAnsi="宋体"/>
          <w:b/>
          <w:bCs/>
          <w:color w:val="000000" w:themeColor="text1"/>
          <w:sz w:val="24"/>
          <w:highlight w:val="none"/>
          <w14:textFill>
            <w14:solidFill>
              <w14:schemeClr w14:val="tx1"/>
            </w14:solidFill>
          </w14:textFill>
        </w:rPr>
      </w:pPr>
    </w:p>
    <w:p w14:paraId="4C21880F">
      <w:pPr>
        <w:rPr>
          <w:b/>
          <w:color w:val="000000" w:themeColor="text1"/>
          <w:sz w:val="32"/>
          <w:szCs w:val="32"/>
          <w:highlight w:val="none"/>
          <w14:textFill>
            <w14:solidFill>
              <w14:schemeClr w14:val="tx1"/>
            </w14:solidFill>
          </w14:textFill>
        </w:rPr>
      </w:pPr>
      <w:bookmarkStart w:id="99" w:name="_Toc35611438"/>
      <w:bookmarkStart w:id="100" w:name="_Toc31723070"/>
      <w:bookmarkStart w:id="101" w:name="_Toc44229899"/>
      <w:bookmarkStart w:id="102" w:name="_Toc71366186"/>
      <w:bookmarkStart w:id="103" w:name="_Toc31728084"/>
      <w:bookmarkStart w:id="104" w:name="_Toc35611516"/>
      <w:r>
        <w:rPr>
          <w:b/>
          <w:color w:val="000000" w:themeColor="text1"/>
          <w:sz w:val="32"/>
          <w:szCs w:val="32"/>
          <w:highlight w:val="none"/>
          <w14:textFill>
            <w14:solidFill>
              <w14:schemeClr w14:val="tx1"/>
            </w14:solidFill>
          </w14:textFill>
        </w:rPr>
        <w:br w:type="page"/>
      </w:r>
      <w:r>
        <w:rPr>
          <w:rFonts w:hint="eastAsia"/>
          <w:b/>
          <w:color w:val="000000" w:themeColor="text1"/>
          <w:sz w:val="32"/>
          <w:szCs w:val="32"/>
          <w:highlight w:val="none"/>
          <w14:textFill>
            <w14:solidFill>
              <w14:schemeClr w14:val="tx1"/>
            </w14:solidFill>
          </w14:textFill>
        </w:rPr>
        <w:t>一、资格证明文件格式</w:t>
      </w:r>
      <w:bookmarkEnd w:id="99"/>
      <w:bookmarkEnd w:id="100"/>
      <w:bookmarkEnd w:id="101"/>
      <w:bookmarkEnd w:id="102"/>
      <w:bookmarkEnd w:id="103"/>
      <w:bookmarkEnd w:id="104"/>
    </w:p>
    <w:p w14:paraId="5B8234F7">
      <w:pPr>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14:paraId="3277847A">
      <w:pPr>
        <w:snapToGrid w:val="0"/>
        <w:spacing w:beforeLines="50" w:after="50"/>
        <w:jc w:val="center"/>
        <w:rPr>
          <w:rFonts w:ascii="宋体" w:hAnsi="宋体"/>
          <w:color w:val="000000" w:themeColor="text1"/>
          <w:sz w:val="44"/>
          <w:szCs w:val="44"/>
          <w:highlight w:val="none"/>
          <w14:textFill>
            <w14:solidFill>
              <w14:schemeClr w14:val="tx1"/>
            </w14:solidFill>
          </w14:textFill>
        </w:rPr>
      </w:pPr>
    </w:p>
    <w:p w14:paraId="205808D4">
      <w:pPr>
        <w:snapToGrid w:val="0"/>
        <w:spacing w:beforeLines="50" w:after="50"/>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0B57EB23">
      <w:pPr>
        <w:snapToGrid w:val="0"/>
        <w:spacing w:beforeLines="50" w:after="50"/>
        <w:rPr>
          <w:rFonts w:ascii="宋体" w:hAnsi="宋体"/>
          <w:color w:val="000000" w:themeColor="text1"/>
          <w:sz w:val="24"/>
          <w:szCs w:val="20"/>
          <w:highlight w:val="none"/>
          <w14:textFill>
            <w14:solidFill>
              <w14:schemeClr w14:val="tx1"/>
            </w14:solidFill>
          </w14:textFill>
        </w:rPr>
      </w:pPr>
    </w:p>
    <w:p w14:paraId="740F38CE">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29323839">
      <w:pPr>
        <w:snapToGrid w:val="0"/>
        <w:spacing w:beforeLines="50" w:after="50"/>
        <w:rPr>
          <w:rFonts w:ascii="宋体" w:hAnsi="宋体"/>
          <w:bCs/>
          <w:color w:val="000000" w:themeColor="text1"/>
          <w:sz w:val="24"/>
          <w:szCs w:val="20"/>
          <w:highlight w:val="none"/>
          <w14:textFill>
            <w14:solidFill>
              <w14:schemeClr w14:val="tx1"/>
            </w14:solidFill>
          </w14:textFill>
        </w:rPr>
      </w:pPr>
    </w:p>
    <w:p w14:paraId="5B583D31">
      <w:pPr>
        <w:snapToGrid w:val="0"/>
        <w:spacing w:beforeLines="50" w:after="50"/>
        <w:rPr>
          <w:rFonts w:ascii="宋体" w:hAnsi="宋体"/>
          <w:bCs/>
          <w:color w:val="000000" w:themeColor="text1"/>
          <w:sz w:val="24"/>
          <w:szCs w:val="20"/>
          <w:highlight w:val="none"/>
          <w14:textFill>
            <w14:solidFill>
              <w14:schemeClr w14:val="tx1"/>
            </w14:solidFill>
          </w14:textFill>
        </w:rPr>
      </w:pPr>
    </w:p>
    <w:p w14:paraId="713FEAB1">
      <w:pPr>
        <w:snapToGrid w:val="0"/>
        <w:spacing w:beforeLines="50" w:after="50"/>
        <w:rPr>
          <w:rFonts w:ascii="宋体" w:hAnsi="宋体"/>
          <w:bCs/>
          <w:color w:val="000000" w:themeColor="text1"/>
          <w:sz w:val="24"/>
          <w:szCs w:val="20"/>
          <w:highlight w:val="none"/>
          <w14:textFill>
            <w14:solidFill>
              <w14:schemeClr w14:val="tx1"/>
            </w14:solidFill>
          </w14:textFill>
        </w:rPr>
      </w:pPr>
    </w:p>
    <w:p w14:paraId="55E4A1B9">
      <w:pPr>
        <w:snapToGrid w:val="0"/>
        <w:spacing w:beforeLines="50" w:after="50"/>
        <w:rPr>
          <w:rFonts w:ascii="宋体" w:hAnsi="宋体"/>
          <w:bCs/>
          <w:color w:val="000000" w:themeColor="text1"/>
          <w:sz w:val="24"/>
          <w:szCs w:val="20"/>
          <w:highlight w:val="none"/>
          <w14:textFill>
            <w14:solidFill>
              <w14:schemeClr w14:val="tx1"/>
            </w14:solidFill>
          </w14:textFill>
        </w:rPr>
      </w:pPr>
    </w:p>
    <w:p w14:paraId="604D1B2E">
      <w:pPr>
        <w:snapToGrid w:val="0"/>
        <w:spacing w:beforeLines="50" w:after="50"/>
        <w:rPr>
          <w:rFonts w:ascii="宋体" w:hAnsi="宋体"/>
          <w:bCs/>
          <w:color w:val="000000" w:themeColor="text1"/>
          <w:sz w:val="24"/>
          <w:szCs w:val="20"/>
          <w:highlight w:val="none"/>
          <w14:textFill>
            <w14:solidFill>
              <w14:schemeClr w14:val="tx1"/>
            </w14:solidFill>
          </w14:textFill>
        </w:rPr>
      </w:pPr>
    </w:p>
    <w:p w14:paraId="686F4E40">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69A196C7">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0203B189">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E7F68B8">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06252AB4">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25E8CA6D">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2DBC030">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75FD3AA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2FB723EF">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A665832">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7CD41E5">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0B1A81C6">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112C2C86">
      <w:pPr>
        <w:snapToGrid w:val="0"/>
        <w:spacing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68B7D110">
      <w:pPr>
        <w:snapToGrid w:val="0"/>
        <w:spacing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62E852C1">
      <w:pPr>
        <w:snapToGrid w:val="0"/>
        <w:spacing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57EF7064">
      <w:pPr>
        <w:spacing w:line="300" w:lineRule="auto"/>
        <w:rPr>
          <w:rFonts w:ascii="宋体" w:hAnsi="宋体"/>
          <w:color w:val="000000" w:themeColor="text1"/>
          <w:szCs w:val="21"/>
          <w:highlight w:val="none"/>
          <w14:textFill>
            <w14:solidFill>
              <w14:schemeClr w14:val="tx1"/>
            </w14:solidFill>
          </w14:textFill>
        </w:rPr>
      </w:pPr>
    </w:p>
    <w:p w14:paraId="1C50D006">
      <w:pPr>
        <w:spacing w:line="300" w:lineRule="auto"/>
        <w:rPr>
          <w:rFonts w:ascii="宋体" w:hAnsi="宋体"/>
          <w:color w:val="000000" w:themeColor="text1"/>
          <w:szCs w:val="21"/>
          <w:highlight w:val="none"/>
          <w14:textFill>
            <w14:solidFill>
              <w14:schemeClr w14:val="tx1"/>
            </w14:solidFill>
          </w14:textFill>
        </w:rPr>
      </w:pPr>
    </w:p>
    <w:p w14:paraId="44602D32">
      <w:pPr>
        <w:spacing w:line="300" w:lineRule="auto"/>
        <w:rPr>
          <w:rFonts w:ascii="宋体" w:hAnsi="宋体"/>
          <w:color w:val="000000" w:themeColor="text1"/>
          <w:szCs w:val="21"/>
          <w:highlight w:val="none"/>
          <w14:textFill>
            <w14:solidFill>
              <w14:schemeClr w14:val="tx1"/>
            </w14:solidFill>
          </w14:textFill>
        </w:rPr>
      </w:pPr>
    </w:p>
    <w:p w14:paraId="7FCA3D6C">
      <w:pPr>
        <w:spacing w:line="300" w:lineRule="auto"/>
        <w:rPr>
          <w:rFonts w:ascii="宋体" w:hAnsi="宋体"/>
          <w:color w:val="000000" w:themeColor="text1"/>
          <w:szCs w:val="21"/>
          <w:highlight w:val="none"/>
          <w14:textFill>
            <w14:solidFill>
              <w14:schemeClr w14:val="tx1"/>
            </w14:solidFill>
          </w14:textFill>
        </w:rPr>
      </w:pPr>
    </w:p>
    <w:p w14:paraId="4C3F6595">
      <w:pPr>
        <w:spacing w:line="300" w:lineRule="auto"/>
        <w:rPr>
          <w:rFonts w:ascii="宋体" w:hAnsi="宋体"/>
          <w:color w:val="000000" w:themeColor="text1"/>
          <w:szCs w:val="21"/>
          <w:highlight w:val="none"/>
          <w14:textFill>
            <w14:solidFill>
              <w14:schemeClr w14:val="tx1"/>
            </w14:solidFill>
          </w14:textFill>
        </w:rPr>
      </w:pPr>
    </w:p>
    <w:p w14:paraId="7D88D069">
      <w:pPr>
        <w:spacing w:line="300" w:lineRule="auto"/>
        <w:rPr>
          <w:rFonts w:ascii="宋体" w:hAnsi="宋体"/>
          <w:color w:val="000000" w:themeColor="text1"/>
          <w:szCs w:val="21"/>
          <w:highlight w:val="none"/>
          <w14:textFill>
            <w14:solidFill>
              <w14:schemeClr w14:val="tx1"/>
            </w14:solidFill>
          </w14:textFill>
        </w:rPr>
      </w:pPr>
    </w:p>
    <w:p w14:paraId="19596B0A">
      <w:pPr>
        <w:spacing w:line="300" w:lineRule="auto"/>
        <w:rPr>
          <w:rFonts w:ascii="宋体" w:hAnsi="宋体"/>
          <w:color w:val="000000" w:themeColor="text1"/>
          <w:szCs w:val="21"/>
          <w:highlight w:val="none"/>
          <w14:textFill>
            <w14:solidFill>
              <w14:schemeClr w14:val="tx1"/>
            </w14:solidFill>
          </w14:textFill>
        </w:rPr>
      </w:pPr>
    </w:p>
    <w:p w14:paraId="4581264A">
      <w:pPr>
        <w:spacing w:line="300" w:lineRule="auto"/>
        <w:rPr>
          <w:rFonts w:ascii="宋体" w:hAnsi="宋体"/>
          <w:color w:val="000000" w:themeColor="text1"/>
          <w:szCs w:val="21"/>
          <w:highlight w:val="none"/>
          <w14:textFill>
            <w14:solidFill>
              <w14:schemeClr w14:val="tx1"/>
            </w14:solidFill>
          </w14:textFill>
        </w:rPr>
      </w:pPr>
    </w:p>
    <w:p w14:paraId="5E3DD4A7">
      <w:pPr>
        <w:spacing w:line="300" w:lineRule="auto"/>
        <w:rPr>
          <w:rFonts w:ascii="宋体" w:hAnsi="宋体"/>
          <w:color w:val="000000" w:themeColor="text1"/>
          <w:szCs w:val="21"/>
          <w:highlight w:val="none"/>
          <w14:textFill>
            <w14:solidFill>
              <w14:schemeClr w14:val="tx1"/>
            </w14:solidFill>
          </w14:textFill>
        </w:rPr>
      </w:pPr>
    </w:p>
    <w:p w14:paraId="7D1E9775">
      <w:pPr>
        <w:spacing w:line="300" w:lineRule="auto"/>
        <w:rPr>
          <w:rFonts w:ascii="宋体" w:hAnsi="宋体"/>
          <w:color w:val="000000" w:themeColor="text1"/>
          <w:szCs w:val="21"/>
          <w:highlight w:val="none"/>
          <w14:textFill>
            <w14:solidFill>
              <w14:schemeClr w14:val="tx1"/>
            </w14:solidFill>
          </w14:textFill>
        </w:rPr>
      </w:pPr>
    </w:p>
    <w:p w14:paraId="1A582249">
      <w:pPr>
        <w:spacing w:line="300" w:lineRule="auto"/>
        <w:rPr>
          <w:rFonts w:ascii="宋体" w:hAnsi="宋体"/>
          <w:color w:val="000000" w:themeColor="text1"/>
          <w:szCs w:val="21"/>
          <w:highlight w:val="none"/>
          <w14:textFill>
            <w14:solidFill>
              <w14:schemeClr w14:val="tx1"/>
            </w14:solidFill>
          </w14:textFill>
        </w:rPr>
      </w:pPr>
    </w:p>
    <w:p w14:paraId="4F5E910D">
      <w:pPr>
        <w:spacing w:line="300" w:lineRule="auto"/>
        <w:rPr>
          <w:rFonts w:ascii="宋体" w:hAnsi="宋体"/>
          <w:color w:val="000000" w:themeColor="text1"/>
          <w:szCs w:val="21"/>
          <w:highlight w:val="none"/>
          <w14:textFill>
            <w14:solidFill>
              <w14:schemeClr w14:val="tx1"/>
            </w14:solidFill>
          </w14:textFill>
        </w:rPr>
      </w:pPr>
    </w:p>
    <w:p w14:paraId="1D379B18">
      <w:pPr>
        <w:spacing w:line="300" w:lineRule="auto"/>
        <w:rPr>
          <w:rFonts w:ascii="宋体" w:hAnsi="宋体"/>
          <w:color w:val="000000" w:themeColor="text1"/>
          <w:szCs w:val="21"/>
          <w:highlight w:val="none"/>
          <w14:textFill>
            <w14:solidFill>
              <w14:schemeClr w14:val="tx1"/>
            </w14:solidFill>
          </w14:textFill>
        </w:rPr>
      </w:pPr>
    </w:p>
    <w:p w14:paraId="5B725928">
      <w:pPr>
        <w:spacing w:line="300" w:lineRule="auto"/>
        <w:rPr>
          <w:rFonts w:ascii="宋体" w:hAnsi="宋体"/>
          <w:color w:val="000000" w:themeColor="text1"/>
          <w:szCs w:val="21"/>
          <w:highlight w:val="none"/>
          <w14:textFill>
            <w14:solidFill>
              <w14:schemeClr w14:val="tx1"/>
            </w14:solidFill>
          </w14:textFill>
        </w:rPr>
      </w:pPr>
    </w:p>
    <w:p w14:paraId="36BCF19C">
      <w:pPr>
        <w:spacing w:line="300" w:lineRule="auto"/>
        <w:rPr>
          <w:rFonts w:ascii="宋体" w:hAnsi="宋体"/>
          <w:color w:val="000000" w:themeColor="text1"/>
          <w:szCs w:val="21"/>
          <w:highlight w:val="none"/>
          <w14:textFill>
            <w14:solidFill>
              <w14:schemeClr w14:val="tx1"/>
            </w14:solidFill>
          </w14:textFill>
        </w:rPr>
      </w:pPr>
    </w:p>
    <w:p w14:paraId="44E7119F">
      <w:pPr>
        <w:spacing w:line="32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 xml:space="preserve"> </w:t>
      </w:r>
    </w:p>
    <w:p w14:paraId="6393788D">
      <w:pPr>
        <w:wordWrap w:val="0"/>
        <w:spacing w:beforeLines="50" w:after="50" w:line="320" w:lineRule="exact"/>
        <w:ind w:right="482" w:firstLine="210" w:firstLineChars="100"/>
        <w:contextualSpacing/>
        <w:jc w:val="center"/>
        <w:rPr>
          <w:rFonts w:ascii="宋体" w:hAnsi="宋体"/>
          <w:color w:val="000000" w:themeColor="text1"/>
          <w:szCs w:val="21"/>
          <w:highlight w:val="none"/>
          <w14:textFill>
            <w14:solidFill>
              <w14:schemeClr w14:val="tx1"/>
            </w14:solidFill>
          </w14:textFill>
        </w:rPr>
      </w:pPr>
    </w:p>
    <w:p w14:paraId="209E9F39">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14:paraId="52B8C4DB">
      <w:pPr>
        <w:snapToGrid w:val="0"/>
        <w:spacing w:beforeLines="50" w:after="50" w:line="360" w:lineRule="auto"/>
        <w:jc w:val="center"/>
        <w:rPr>
          <w:rFonts w:ascii="宋体" w:hAnsi="宋体"/>
          <w:b/>
          <w:color w:val="000000" w:themeColor="text1"/>
          <w:sz w:val="24"/>
          <w:highlight w:val="none"/>
          <w14:textFill>
            <w14:solidFill>
              <w14:schemeClr w14:val="tx1"/>
            </w14:solidFill>
          </w14:textFill>
        </w:rPr>
      </w:pPr>
    </w:p>
    <w:p w14:paraId="05C5B15E">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14:paraId="0F24E072">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76139A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E5781">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C60044">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5D3788">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80B6B0">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DB458D">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6D4F84A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624F6F">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95DD5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15C5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A118C">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7DDEE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3B53249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1A57C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1D958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E1895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2C88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BBD1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2D92922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F8E4BA">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66356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6F8B0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B2F4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5B59AC">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52C4B12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72AF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47FBE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BE32E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7174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A3D28B">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0E3E6490">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6DC7C26E">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出资额或者持有股份的比例虽然不足百分之五十，但依其出资额或者持有的股份所享有的表决权已足以对股东会、股东大会的决议产生重大影响的股东。</w:t>
      </w:r>
    </w:p>
    <w:p w14:paraId="2115A161">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1C850A4D">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w:t>
      </w:r>
      <w:r>
        <w:rPr>
          <w:rFonts w:hint="eastAsia" w:ascii="宋体" w:hAnsi="宋体"/>
          <w:color w:val="000000" w:themeColor="text1"/>
          <w:sz w:val="24"/>
          <w:highlight w:val="none"/>
          <w14:textFill>
            <w14:solidFill>
              <w14:schemeClr w14:val="tx1"/>
            </w14:solidFill>
          </w14:textFill>
        </w:rPr>
        <w:t>则在“直接控股股东名称”填“无”</w:t>
      </w:r>
      <w:r>
        <w:rPr>
          <w:rFonts w:hint="eastAsia" w:ascii="宋体" w:hAnsi="宋体" w:cs="宋体"/>
          <w:color w:val="000000" w:themeColor="text1"/>
          <w:sz w:val="24"/>
          <w:highlight w:val="none"/>
          <w14:textFill>
            <w14:solidFill>
              <w14:schemeClr w14:val="tx1"/>
            </w14:solidFill>
          </w14:textFill>
        </w:rPr>
        <w:t>。</w:t>
      </w:r>
    </w:p>
    <w:p w14:paraId="4CB55FE0">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p>
    <w:p w14:paraId="118F8397">
      <w:pPr>
        <w:spacing w:line="360" w:lineRule="auto"/>
        <w:ind w:firstLine="560" w:firstLineChars="200"/>
        <w:contextualSpacing/>
        <w:jc w:val="left"/>
        <w:rPr>
          <w:rFonts w:ascii="宋体" w:hAnsi="宋体" w:cs="宋体"/>
          <w:color w:val="000000" w:themeColor="text1"/>
          <w:sz w:val="28"/>
          <w:szCs w:val="28"/>
          <w:highlight w:val="none"/>
          <w14:textFill>
            <w14:solidFill>
              <w14:schemeClr w14:val="tx1"/>
            </w14:solidFill>
          </w14:textFill>
        </w:rPr>
      </w:pPr>
    </w:p>
    <w:p w14:paraId="4C669016">
      <w:pPr>
        <w:spacing w:line="360" w:lineRule="auto"/>
        <w:ind w:right="480"/>
        <w:contextualSpacing/>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p>
    <w:p w14:paraId="397047F9">
      <w:pPr>
        <w:spacing w:line="360" w:lineRule="auto"/>
        <w:ind w:right="480" w:firstLine="3000" w:firstLineChars="1250"/>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4C31129">
      <w:pPr>
        <w:spacing w:line="360" w:lineRule="auto"/>
        <w:ind w:firstLine="480" w:firstLineChars="200"/>
        <w:contextualSpacing/>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472E9763">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4A2E37C4">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14:paraId="12207E19">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2F8C4FD">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B136A">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2DCEF4">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21B0DB">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546BE">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相互关系</w:t>
            </w:r>
          </w:p>
        </w:tc>
      </w:tr>
      <w:tr w14:paraId="183663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6D38B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9636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07A46">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B372A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70F5D8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C9E40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E57B6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8E2E1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A0204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67550BF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BBCC7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A369F">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EC088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4EA95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443B69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275DE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3B084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984D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F915B9">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13162E27">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464A5930">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66E8D904">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778D6F37">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3.供应商不存在直接管理关系的，则在“直接管理关系单位名称”填“无”。</w:t>
      </w:r>
    </w:p>
    <w:p w14:paraId="6D7E6255">
      <w:pPr>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7C4F191A">
      <w:pPr>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39910DAB">
      <w:pPr>
        <w:spacing w:line="360" w:lineRule="auto"/>
        <w:contextualSpacing/>
        <w:jc w:val="left"/>
        <w:rPr>
          <w:color w:val="000000" w:themeColor="text1"/>
          <w:sz w:val="28"/>
          <w:szCs w:val="28"/>
          <w:highlight w:val="none"/>
          <w14:textFill>
            <w14:solidFill>
              <w14:schemeClr w14:val="tx1"/>
            </w14:solidFill>
          </w14:textFill>
        </w:rPr>
      </w:pPr>
    </w:p>
    <w:p w14:paraId="283098A5">
      <w:pPr>
        <w:spacing w:line="360" w:lineRule="auto"/>
        <w:contextualSpacing/>
        <w:jc w:val="left"/>
        <w:rPr>
          <w:color w:val="000000" w:themeColor="text1"/>
          <w:sz w:val="28"/>
          <w:szCs w:val="28"/>
          <w:highlight w:val="none"/>
          <w14:textFill>
            <w14:solidFill>
              <w14:schemeClr w14:val="tx1"/>
            </w14:solidFill>
          </w14:textFill>
        </w:rPr>
      </w:pPr>
    </w:p>
    <w:p w14:paraId="6CBD546A">
      <w:pPr>
        <w:spacing w:line="360" w:lineRule="auto"/>
        <w:contextualSpacing/>
        <w:jc w:val="left"/>
        <w:rPr>
          <w:color w:val="000000" w:themeColor="text1"/>
          <w:sz w:val="28"/>
          <w:szCs w:val="28"/>
          <w:highlight w:val="none"/>
          <w14:textFill>
            <w14:solidFill>
              <w14:schemeClr w14:val="tx1"/>
            </w14:solidFill>
          </w14:textFill>
        </w:rPr>
      </w:pPr>
    </w:p>
    <w:p w14:paraId="283D7FB3">
      <w:pPr>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2FAE5A1D">
      <w:pPr>
        <w:spacing w:line="360" w:lineRule="auto"/>
        <w:ind w:right="480"/>
        <w:contextualSpacing/>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法定代表人或者委托代理人（签字或者电子签名）：</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0387228E">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r>
        <w:rPr>
          <w:rFonts w:hint="eastAsia" w:ascii="宋体" w:hAnsi="宋体"/>
          <w:color w:val="000000" w:themeColor="text1"/>
          <w:sz w:val="24"/>
          <w:highlight w:val="none"/>
          <w:u w:val="single"/>
          <w14:textFill>
            <w14:solidFill>
              <w14:schemeClr w14:val="tx1"/>
            </w14:solidFill>
          </w14:textFill>
        </w:rPr>
        <w:t xml:space="preserve">                </w:t>
      </w:r>
    </w:p>
    <w:p w14:paraId="4BD00C24">
      <w:pPr>
        <w:spacing w:line="360" w:lineRule="auto"/>
        <w:ind w:firstLine="480" w:firstLineChars="200"/>
        <w:contextualSpacing/>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614D9127">
      <w:pPr>
        <w:spacing w:line="320" w:lineRule="exact"/>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竞标声明</w:t>
      </w:r>
    </w:p>
    <w:p w14:paraId="5D0445D7">
      <w:pPr>
        <w:spacing w:line="320" w:lineRule="exact"/>
        <w:jc w:val="center"/>
        <w:rPr>
          <w:rFonts w:ascii="宋体" w:hAnsi="宋体"/>
          <w:color w:val="000000" w:themeColor="text1"/>
          <w:sz w:val="24"/>
          <w:szCs w:val="20"/>
          <w:highlight w:val="none"/>
          <w14:textFill>
            <w14:solidFill>
              <w14:schemeClr w14:val="tx1"/>
            </w14:solidFill>
          </w14:textFill>
        </w:rPr>
      </w:pPr>
    </w:p>
    <w:p w14:paraId="03A4F639">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62126B7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31C2C6E">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（项目名称）（项目编号）</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项目的竞标，为便于贵方公正、择优地确定成交供应商及其服务，我方就本次竞标有关事项郑重声明如下：</w:t>
      </w:r>
    </w:p>
    <w:p w14:paraId="44B0B42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6F971617">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226F9CC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630EACEC">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r>
        <w:rPr>
          <w:rFonts w:hint="eastAsia" w:ascii="宋体" w:hAnsi="宋体" w:cs="宋体"/>
          <w:color w:val="000000" w:themeColor="text1"/>
          <w:sz w:val="24"/>
          <w:highlight w:val="none"/>
          <w:lang w:eastAsia="zh-CN"/>
          <w14:textFill>
            <w14:solidFill>
              <w14:schemeClr w14:val="tx1"/>
            </w14:solidFill>
          </w14:textFill>
        </w:rPr>
        <w:t>；</w:t>
      </w:r>
    </w:p>
    <w:p w14:paraId="31964984">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r>
        <w:rPr>
          <w:rFonts w:hint="eastAsia" w:ascii="宋体" w:hAnsi="宋体" w:cs="宋体"/>
          <w:color w:val="000000" w:themeColor="text1"/>
          <w:sz w:val="24"/>
          <w:highlight w:val="none"/>
          <w:lang w:eastAsia="zh-CN"/>
          <w14:textFill>
            <w14:solidFill>
              <w14:schemeClr w14:val="tx1"/>
            </w14:solidFill>
          </w14:textFill>
        </w:rPr>
        <w:t>；</w:t>
      </w:r>
    </w:p>
    <w:p w14:paraId="32286B05">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r>
        <w:rPr>
          <w:rFonts w:hint="eastAsia" w:ascii="宋体" w:hAnsi="宋体" w:cs="宋体"/>
          <w:color w:val="000000" w:themeColor="text1"/>
          <w:sz w:val="24"/>
          <w:highlight w:val="none"/>
          <w:lang w:eastAsia="zh-CN"/>
          <w14:textFill>
            <w14:solidFill>
              <w14:schemeClr w14:val="tx1"/>
            </w14:solidFill>
          </w14:textFill>
        </w:rPr>
        <w:t>；</w:t>
      </w:r>
    </w:p>
    <w:p w14:paraId="32BF8C69">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5382F75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6062619B">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r>
        <w:rPr>
          <w:rFonts w:hint="eastAsia" w:ascii="宋体" w:hAnsi="宋体" w:cs="宋体"/>
          <w:color w:val="000000" w:themeColor="text1"/>
          <w:sz w:val="24"/>
          <w:highlight w:val="none"/>
          <w:lang w:eastAsia="zh-CN"/>
          <w14:textFill>
            <w14:solidFill>
              <w14:schemeClr w14:val="tx1"/>
            </w14:solidFill>
          </w14:textFill>
        </w:rPr>
        <w:t>；</w:t>
      </w:r>
    </w:p>
    <w:p w14:paraId="5B7C1E48">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r>
        <w:rPr>
          <w:rFonts w:hint="eastAsia" w:ascii="宋体" w:hAnsi="宋体" w:cs="宋体"/>
          <w:color w:val="000000" w:themeColor="text1"/>
          <w:sz w:val="24"/>
          <w:highlight w:val="none"/>
          <w:lang w:eastAsia="zh-CN"/>
          <w14:textFill>
            <w14:solidFill>
              <w14:schemeClr w14:val="tx1"/>
            </w14:solidFill>
          </w14:textFill>
        </w:rPr>
        <w:t>；</w:t>
      </w:r>
    </w:p>
    <w:p w14:paraId="26B9DD6E">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r>
        <w:rPr>
          <w:rFonts w:hint="eastAsia" w:ascii="宋体" w:hAnsi="宋体" w:cs="宋体"/>
          <w:color w:val="000000" w:themeColor="text1"/>
          <w:sz w:val="24"/>
          <w:highlight w:val="none"/>
          <w:lang w:eastAsia="zh-CN"/>
          <w14:textFill>
            <w14:solidFill>
              <w14:schemeClr w14:val="tx1"/>
            </w14:solidFill>
          </w14:textFill>
        </w:rPr>
        <w:t>；</w:t>
      </w:r>
    </w:p>
    <w:p w14:paraId="44183D0C">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r>
        <w:rPr>
          <w:rFonts w:hint="eastAsia" w:ascii="宋体" w:hAnsi="宋体" w:cs="宋体"/>
          <w:color w:val="000000" w:themeColor="text1"/>
          <w:sz w:val="24"/>
          <w:highlight w:val="none"/>
          <w:lang w:eastAsia="zh-CN"/>
          <w14:textFill>
            <w14:solidFill>
              <w14:schemeClr w14:val="tx1"/>
            </w14:solidFill>
          </w14:textFill>
        </w:rPr>
        <w:t>；</w:t>
      </w:r>
    </w:p>
    <w:p w14:paraId="362CE868">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r>
        <w:rPr>
          <w:rFonts w:hint="eastAsia" w:ascii="宋体" w:hAnsi="宋体" w:cs="宋体"/>
          <w:color w:val="000000" w:themeColor="text1"/>
          <w:sz w:val="24"/>
          <w:highlight w:val="none"/>
          <w:lang w:eastAsia="zh-CN"/>
          <w14:textFill>
            <w14:solidFill>
              <w14:schemeClr w14:val="tx1"/>
            </w14:solidFill>
          </w14:textFill>
        </w:rPr>
        <w:t>；</w:t>
      </w:r>
    </w:p>
    <w:p w14:paraId="2FA7A0A2">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11B57C05">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9CB69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8A8F40">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lang w:eastAsia="zh-CN"/>
          <w14:textFill>
            <w14:solidFill>
              <w14:schemeClr w14:val="tx1"/>
            </w14:solidFill>
          </w14:textFill>
        </w:rPr>
        <w:t>；</w:t>
      </w:r>
    </w:p>
    <w:p w14:paraId="54D1D9BC">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w:t>
      </w:r>
    </w:p>
    <w:p w14:paraId="15E93032">
      <w:pPr>
        <w:pStyle w:val="25"/>
        <w:spacing w:line="360" w:lineRule="auto"/>
        <w:ind w:firstLine="480" w:firstLineChars="200"/>
        <w:contextualSpacing/>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szCs w:val="24"/>
          <w:highlight w:val="none"/>
          <w:u w:val="single"/>
          <w14:textFill>
            <w14:solidFill>
              <w14:schemeClr w14:val="tx1"/>
            </w14:solidFill>
          </w14:textFill>
        </w:rPr>
        <w:t xml:space="preserve">        </w:t>
      </w:r>
    </w:p>
    <w:p w14:paraId="26C92C7D">
      <w:pPr>
        <w:pStyle w:val="25"/>
        <w:spacing w:line="360" w:lineRule="auto"/>
        <w:ind w:firstLine="480" w:firstLineChars="200"/>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电子邮箱：</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294A740E">
      <w:pPr>
        <w:pStyle w:val="21"/>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账号：</w:t>
      </w:r>
      <w:r>
        <w:rPr>
          <w:rFonts w:hint="eastAsia" w:ascii="宋体" w:hAnsi="宋体" w:cs="宋体"/>
          <w:color w:val="000000" w:themeColor="text1"/>
          <w:sz w:val="24"/>
          <w:highlight w:val="none"/>
          <w:u w:val="single"/>
          <w14:textFill>
            <w14:solidFill>
              <w14:schemeClr w14:val="tx1"/>
            </w14:solidFill>
          </w14:textFill>
        </w:rPr>
        <w:t xml:space="preserve">                               </w:t>
      </w:r>
    </w:p>
    <w:p w14:paraId="6883839B">
      <w:pPr>
        <w:pStyle w:val="21"/>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425AA991">
      <w:pPr>
        <w:pStyle w:val="21"/>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5A5F0307">
      <w:pPr>
        <w:spacing w:line="360" w:lineRule="auto"/>
        <w:ind w:firstLine="482" w:firstLineChars="200"/>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如为联合体竞标，盖章处须加盖联合体牵头人电子签章并由联合体牵头人法定代表人签字或者盖章或者电子签名，否则响应文件按无效处理。</w:t>
      </w:r>
    </w:p>
    <w:p w14:paraId="4E4456D3">
      <w:pPr>
        <w:spacing w:line="360" w:lineRule="auto"/>
        <w:contextualSpacing/>
        <w:jc w:val="left"/>
        <w:rPr>
          <w:rFonts w:ascii="宋体" w:hAnsi="宋体" w:cs="宋体"/>
          <w:color w:val="000000" w:themeColor="text1"/>
          <w:sz w:val="24"/>
          <w:highlight w:val="none"/>
          <w14:textFill>
            <w14:solidFill>
              <w14:schemeClr w14:val="tx1"/>
            </w14:solidFill>
          </w14:textFill>
        </w:rPr>
      </w:pPr>
    </w:p>
    <w:p w14:paraId="61EBA48E">
      <w:pPr>
        <w:spacing w:line="360" w:lineRule="auto"/>
        <w:ind w:firstLine="1800" w:firstLineChars="750"/>
        <w:contextualSpacing/>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14:textFill>
            <w14:solidFill>
              <w14:schemeClr w14:val="tx1"/>
            </w14:solidFill>
          </w14:textFill>
        </w:rPr>
        <w:t>签字或者盖章或者电子签名</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p w14:paraId="356D8EA9">
      <w:pPr>
        <w:spacing w:line="360" w:lineRule="auto"/>
        <w:ind w:firstLine="4320" w:firstLineChars="1800"/>
        <w:contextualSpacing/>
        <w:rPr>
          <w:rFonts w:ascii="宋体" w:hAnsi="宋体" w:cs="宋体"/>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供应商（电子签章）：</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7463234">
      <w:pPr>
        <w:pStyle w:val="21"/>
        <w:tabs>
          <w:tab w:val="left" w:pos="939"/>
        </w:tabs>
        <w:spacing w:line="360" w:lineRule="auto"/>
        <w:ind w:left="0" w:leftChars="0"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    月    日</w:t>
      </w:r>
    </w:p>
    <w:p w14:paraId="783F4E70">
      <w:pPr>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6C72892D">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292DE92D">
      <w:pPr>
        <w:snapToGrid w:val="0"/>
        <w:spacing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A3935A9">
      <w:pPr>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444AEDD1">
      <w:pPr>
        <w:snapToGrid w:val="0"/>
        <w:spacing w:beforeLines="50" w:after="50"/>
        <w:rPr>
          <w:rFonts w:ascii="宋体" w:hAnsi="宋体"/>
          <w:color w:val="000000" w:themeColor="text1"/>
          <w:sz w:val="24"/>
          <w:szCs w:val="20"/>
          <w:highlight w:val="none"/>
          <w14:textFill>
            <w14:solidFill>
              <w14:schemeClr w14:val="tx1"/>
            </w14:solidFill>
          </w14:textFill>
        </w:rPr>
      </w:pPr>
    </w:p>
    <w:p w14:paraId="6BF095EF">
      <w:pPr>
        <w:snapToGrid w:val="0"/>
        <w:spacing w:beforeLines="50" w:after="50"/>
        <w:rPr>
          <w:rFonts w:ascii="宋体" w:hAnsi="宋体"/>
          <w:color w:val="000000" w:themeColor="text1"/>
          <w:sz w:val="24"/>
          <w:szCs w:val="20"/>
          <w:highlight w:val="none"/>
          <w14:textFill>
            <w14:solidFill>
              <w14:schemeClr w14:val="tx1"/>
            </w14:solidFill>
          </w14:textFill>
        </w:rPr>
      </w:pPr>
    </w:p>
    <w:p w14:paraId="1129D702">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04D468B0">
      <w:pPr>
        <w:snapToGrid w:val="0"/>
        <w:spacing w:beforeLines="50" w:after="50"/>
        <w:rPr>
          <w:rFonts w:ascii="宋体" w:hAnsi="宋体"/>
          <w:bCs/>
          <w:color w:val="000000" w:themeColor="text1"/>
          <w:sz w:val="24"/>
          <w:szCs w:val="20"/>
          <w:highlight w:val="none"/>
          <w14:textFill>
            <w14:solidFill>
              <w14:schemeClr w14:val="tx1"/>
            </w14:solidFill>
          </w14:textFill>
        </w:rPr>
      </w:pPr>
    </w:p>
    <w:p w14:paraId="4B25335A">
      <w:pPr>
        <w:snapToGrid w:val="0"/>
        <w:spacing w:beforeLines="50" w:after="50"/>
        <w:rPr>
          <w:rFonts w:ascii="宋体" w:hAnsi="宋体"/>
          <w:bCs/>
          <w:color w:val="000000" w:themeColor="text1"/>
          <w:sz w:val="24"/>
          <w:szCs w:val="20"/>
          <w:highlight w:val="none"/>
          <w14:textFill>
            <w14:solidFill>
              <w14:schemeClr w14:val="tx1"/>
            </w14:solidFill>
          </w14:textFill>
        </w:rPr>
      </w:pPr>
    </w:p>
    <w:p w14:paraId="303CD352">
      <w:pPr>
        <w:snapToGrid w:val="0"/>
        <w:spacing w:beforeLines="50" w:after="50"/>
        <w:rPr>
          <w:rFonts w:ascii="宋体" w:hAnsi="宋体"/>
          <w:bCs/>
          <w:color w:val="000000" w:themeColor="text1"/>
          <w:sz w:val="24"/>
          <w:szCs w:val="20"/>
          <w:highlight w:val="none"/>
          <w14:textFill>
            <w14:solidFill>
              <w14:schemeClr w14:val="tx1"/>
            </w14:solidFill>
          </w14:textFill>
        </w:rPr>
      </w:pPr>
    </w:p>
    <w:p w14:paraId="4E08136B">
      <w:pPr>
        <w:snapToGrid w:val="0"/>
        <w:spacing w:beforeLines="50" w:after="50"/>
        <w:rPr>
          <w:rFonts w:ascii="宋体" w:hAnsi="宋体"/>
          <w:bCs/>
          <w:color w:val="000000" w:themeColor="text1"/>
          <w:sz w:val="24"/>
          <w:szCs w:val="20"/>
          <w:highlight w:val="none"/>
          <w14:textFill>
            <w14:solidFill>
              <w14:schemeClr w14:val="tx1"/>
            </w14:solidFill>
          </w14:textFill>
        </w:rPr>
      </w:pPr>
    </w:p>
    <w:p w14:paraId="4947E242">
      <w:pPr>
        <w:snapToGrid w:val="0"/>
        <w:spacing w:beforeLines="50" w:after="50"/>
        <w:rPr>
          <w:rFonts w:ascii="宋体" w:hAnsi="宋体"/>
          <w:bCs/>
          <w:color w:val="000000" w:themeColor="text1"/>
          <w:sz w:val="24"/>
          <w:szCs w:val="20"/>
          <w:highlight w:val="none"/>
          <w14:textFill>
            <w14:solidFill>
              <w14:schemeClr w14:val="tx1"/>
            </w14:solidFill>
          </w14:textFill>
        </w:rPr>
      </w:pPr>
    </w:p>
    <w:p w14:paraId="7BE0FC7D">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7E7D17C7">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0BEF39B0">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63D4ACED">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106380AD">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6A895362">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30E2E064">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6836E064">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77A9AD8B">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3C2489A6">
      <w:pPr>
        <w:pStyle w:val="7"/>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4D378885">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1D23442C">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07AAAF31">
      <w:pPr>
        <w:snapToGrid w:val="0"/>
        <w:spacing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33D72496">
      <w:pPr>
        <w:spacing w:line="520" w:lineRule="exact"/>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09F05EDB">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竞标函及竞标函附录</w:t>
      </w:r>
    </w:p>
    <w:p w14:paraId="27ADA714">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p>
    <w:p w14:paraId="4142F147">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（一）竞标函</w:t>
      </w:r>
    </w:p>
    <w:p w14:paraId="1EB404D9">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p>
    <w:p w14:paraId="07FE78A0">
      <w:pPr>
        <w:spacing w:line="360" w:lineRule="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val="zh-CN" w:bidi="zh-CN"/>
          <w14:textFill>
            <w14:solidFill>
              <w14:schemeClr w14:val="tx1"/>
            </w14:solidFill>
          </w14:textFill>
        </w:rPr>
        <w:t>采购人</w:t>
      </w:r>
      <w:r>
        <w:rPr>
          <w:color w:val="000000" w:themeColor="text1"/>
          <w:szCs w:val="21"/>
          <w:highlight w:val="none"/>
          <w:lang w:val="zh-CN" w:bidi="zh-CN"/>
          <w14:textFill>
            <w14:solidFill>
              <w14:schemeClr w14:val="tx1"/>
            </w14:solidFill>
          </w14:textFill>
        </w:rPr>
        <w:t>名称</w:t>
      </w:r>
      <w:r>
        <w:rPr>
          <w:color w:val="000000" w:themeColor="text1"/>
          <w:szCs w:val="21"/>
          <w:highlight w:val="none"/>
          <w14:textFill>
            <w14:solidFill>
              <w14:schemeClr w14:val="tx1"/>
            </w14:solidFill>
          </w14:textFill>
        </w:rPr>
        <w:t>）：</w:t>
      </w:r>
    </w:p>
    <w:p w14:paraId="1ED6408B">
      <w:pPr>
        <w:pStyle w:val="178"/>
        <w:numPr>
          <w:ilvl w:val="0"/>
          <w:numId w:val="2"/>
        </w:numPr>
        <w:tabs>
          <w:tab w:val="left" w:pos="762"/>
          <w:tab w:val="left" w:pos="2074"/>
          <w:tab w:val="left" w:pos="3430"/>
          <w:tab w:val="left" w:pos="4687"/>
          <w:tab w:val="left" w:pos="7898"/>
        </w:tabs>
        <w:ind w:firstLine="440"/>
        <w:rPr>
          <w:rFonts w:ascii="Times New Roman" w:hAnsi="Times New Roman" w:cs="Times New Roman"/>
          <w:color w:val="000000" w:themeColor="text1"/>
          <w:szCs w:val="21"/>
          <w:highlight w:val="none"/>
          <w14:textFill>
            <w14:solidFill>
              <w14:schemeClr w14:val="tx1"/>
            </w14:solidFill>
          </w14:textFill>
        </w:rPr>
      </w:pPr>
      <w:bookmarkStart w:id="105" w:name="bookmark2065"/>
      <w:bookmarkEnd w:id="105"/>
      <w:r>
        <w:rPr>
          <w:rFonts w:ascii="Times New Roman" w:hAnsi="Times New Roman" w:cs="Times New Roman"/>
          <w:color w:val="000000" w:themeColor="text1"/>
          <w:szCs w:val="21"/>
          <w:highlight w:val="none"/>
          <w14:textFill>
            <w14:solidFill>
              <w14:schemeClr w14:val="tx1"/>
            </w14:solidFill>
          </w14:textFill>
        </w:rPr>
        <w:t>我方已仔细研究了</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（项目名称</w:t>
      </w:r>
      <w:r>
        <w:rPr>
          <w:rFonts w:hint="eastAsia" w:ascii="Times New Roman" w:hAnsi="Times New Roman" w:cs="Times New Roman"/>
          <w:color w:val="000000" w:themeColor="text1"/>
          <w:szCs w:val="21"/>
          <w:highlight w:val="none"/>
          <w:u w:val="single"/>
          <w14:textFill>
            <w14:solidFill>
              <w14:schemeClr w14:val="tx1"/>
            </w14:solidFill>
          </w14:textFill>
        </w:rPr>
        <w:t>、项目编号</w:t>
      </w:r>
      <w:r>
        <w:rPr>
          <w:rFonts w:ascii="Times New Roman" w:hAnsi="Times New Roman" w:cs="Times New Roman"/>
          <w:color w:val="000000" w:themeColor="text1"/>
          <w:szCs w:val="21"/>
          <w:highlight w:val="none"/>
          <w:u w:val="single"/>
          <w14:textFill>
            <w14:solidFill>
              <w14:schemeClr w14:val="tx1"/>
            </w14:solidFill>
          </w14:textFill>
        </w:rPr>
        <w:t>）</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文件的全部内容，愿意以人民币（大写）</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元（¥</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）的</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标总报价，工期</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日历天，按合同约定实施和完成承包工程，修补工程中的任何缺陷，工程质量达到</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lang w:val="en-US" w:bidi="en-US"/>
          <w14:textFill>
            <w14:solidFill>
              <w14:schemeClr w14:val="tx1"/>
            </w14:solidFill>
          </w14:textFill>
        </w:rPr>
        <w:t>。</w:t>
      </w:r>
    </w:p>
    <w:p w14:paraId="1A125258">
      <w:pPr>
        <w:pStyle w:val="178"/>
        <w:numPr>
          <w:ilvl w:val="0"/>
          <w:numId w:val="2"/>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bookmarkStart w:id="106" w:name="bookmark2068"/>
      <w:bookmarkEnd w:id="106"/>
      <w:bookmarkStart w:id="107" w:name="bookmark2067"/>
      <w:bookmarkEnd w:id="107"/>
      <w:bookmarkStart w:id="108" w:name="bookmark2066"/>
      <w:bookmarkEnd w:id="108"/>
      <w:r>
        <w:rPr>
          <w:rFonts w:hint="eastAsia"/>
          <w:color w:val="000000" w:themeColor="text1"/>
          <w:highlight w:val="none"/>
          <w14:textFill>
            <w14:solidFill>
              <w14:schemeClr w14:val="tx1"/>
            </w14:solidFill>
          </w14:textFill>
        </w:rPr>
        <w:t>我方承认竞标函附录是我方竞标函的组成部分。</w:t>
      </w:r>
    </w:p>
    <w:p w14:paraId="362E501F">
      <w:pPr>
        <w:pStyle w:val="178"/>
        <w:numPr>
          <w:ilvl w:val="0"/>
          <w:numId w:val="2"/>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如我方</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w:t>
      </w:r>
    </w:p>
    <w:p w14:paraId="1D94CE18">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09" w:name="bookmark2069"/>
      <w:r>
        <w:rPr>
          <w:rFonts w:ascii="Times New Roman" w:hAnsi="Times New Roman" w:cs="Times New Roman"/>
          <w:color w:val="000000" w:themeColor="text1"/>
          <w:szCs w:val="21"/>
          <w:highlight w:val="none"/>
          <w14:textFill>
            <w14:solidFill>
              <w14:schemeClr w14:val="tx1"/>
            </w14:solidFill>
          </w14:textFill>
        </w:rPr>
        <w:t>（</w:t>
      </w:r>
      <w:bookmarkEnd w:id="109"/>
      <w:r>
        <w:rPr>
          <w:rFonts w:ascii="Times New Roman" w:hAnsi="Times New Roman" w:cs="Times New Roman"/>
          <w:color w:val="000000" w:themeColor="text1"/>
          <w:szCs w:val="21"/>
          <w:highlight w:val="none"/>
          <w14:textFill>
            <w14:solidFill>
              <w14:schemeClr w14:val="tx1"/>
            </w14:solidFill>
          </w14:textFill>
        </w:rPr>
        <w:t>1）我方承诺在收到</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通知书后，在</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通知书规定的期限内与你方签订合同。</w:t>
      </w:r>
    </w:p>
    <w:p w14:paraId="68FCC11A">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10" w:name="bookmark2070"/>
      <w:r>
        <w:rPr>
          <w:rFonts w:ascii="Times New Roman" w:hAnsi="Times New Roman" w:cs="Times New Roman"/>
          <w:color w:val="000000" w:themeColor="text1"/>
          <w:szCs w:val="21"/>
          <w:highlight w:val="none"/>
          <w14:textFill>
            <w14:solidFill>
              <w14:schemeClr w14:val="tx1"/>
            </w14:solidFill>
          </w14:textFill>
        </w:rPr>
        <w:t>（</w:t>
      </w:r>
      <w:bookmarkEnd w:id="110"/>
      <w:r>
        <w:rPr>
          <w:rFonts w:ascii="Times New Roman" w:hAnsi="Times New Roman" w:cs="Times New Roman"/>
          <w:color w:val="000000" w:themeColor="text1"/>
          <w:szCs w:val="21"/>
          <w:highlight w:val="none"/>
          <w14:textFill>
            <w14:solidFill>
              <w14:schemeClr w14:val="tx1"/>
            </w14:solidFill>
          </w14:textFill>
        </w:rPr>
        <w:t>2）</w:t>
      </w:r>
      <w:r>
        <w:rPr>
          <w:color w:val="000000" w:themeColor="text1"/>
          <w:highlight w:val="none"/>
          <w14:textFill>
            <w14:solidFill>
              <w14:schemeClr w14:val="tx1"/>
            </w14:solidFill>
          </w14:textFill>
        </w:rPr>
        <w:t>在签订合同时不向你方提出附加条件</w:t>
      </w:r>
      <w:r>
        <w:rPr>
          <w:rFonts w:ascii="Times New Roman" w:hAnsi="Times New Roman" w:cs="Times New Roman"/>
          <w:color w:val="000000" w:themeColor="text1"/>
          <w:szCs w:val="21"/>
          <w:highlight w:val="none"/>
          <w14:textFill>
            <w14:solidFill>
              <w14:schemeClr w14:val="tx1"/>
            </w14:solidFill>
          </w14:textFill>
        </w:rPr>
        <w:t>。</w:t>
      </w:r>
    </w:p>
    <w:p w14:paraId="55D79DAC">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11" w:name="bookmark2071"/>
      <w:r>
        <w:rPr>
          <w:rFonts w:ascii="Times New Roman" w:hAnsi="Times New Roman" w:cs="Times New Roman"/>
          <w:color w:val="000000" w:themeColor="text1"/>
          <w:szCs w:val="21"/>
          <w:highlight w:val="none"/>
          <w14:textFill>
            <w14:solidFill>
              <w14:schemeClr w14:val="tx1"/>
            </w14:solidFill>
          </w14:textFill>
        </w:rPr>
        <w:t>（</w:t>
      </w:r>
      <w:bookmarkEnd w:id="111"/>
      <w:r>
        <w:rPr>
          <w:rFonts w:ascii="Times New Roman" w:hAnsi="Times New Roman" w:cs="Times New Roman"/>
          <w:color w:val="000000" w:themeColor="text1"/>
          <w:szCs w:val="21"/>
          <w:highlight w:val="none"/>
          <w14:textFill>
            <w14:solidFill>
              <w14:schemeClr w14:val="tx1"/>
            </w14:solidFill>
          </w14:textFill>
        </w:rPr>
        <w:t>3）我方承诺按照</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文件规定向你方递交履约担保。</w:t>
      </w:r>
    </w:p>
    <w:p w14:paraId="1872A305">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12" w:name="bookmark2072"/>
      <w:r>
        <w:rPr>
          <w:rFonts w:ascii="Times New Roman" w:hAnsi="Times New Roman" w:cs="Times New Roman"/>
          <w:color w:val="000000" w:themeColor="text1"/>
          <w:szCs w:val="21"/>
          <w:highlight w:val="none"/>
          <w14:textFill>
            <w14:solidFill>
              <w14:schemeClr w14:val="tx1"/>
            </w14:solidFill>
          </w14:textFill>
        </w:rPr>
        <w:t>（</w:t>
      </w:r>
      <w:bookmarkEnd w:id="112"/>
      <w:r>
        <w:rPr>
          <w:rFonts w:ascii="Times New Roman" w:hAnsi="Times New Roman" w:cs="Times New Roman"/>
          <w:color w:val="000000" w:themeColor="text1"/>
          <w:szCs w:val="21"/>
          <w:highlight w:val="none"/>
          <w14:textFill>
            <w14:solidFill>
              <w14:schemeClr w14:val="tx1"/>
            </w14:solidFill>
          </w14:textFill>
        </w:rPr>
        <w:t>4）我方承诺在合同约定的期限内完成并移交全部合同工程。</w:t>
      </w:r>
    </w:p>
    <w:p w14:paraId="24BCEFF9">
      <w:pPr>
        <w:pStyle w:val="178"/>
        <w:numPr>
          <w:ilvl w:val="0"/>
          <w:numId w:val="2"/>
        </w:numPr>
        <w:tabs>
          <w:tab w:val="left" w:pos="762"/>
        </w:tabs>
        <w:ind w:firstLine="440"/>
        <w:rPr>
          <w:rFonts w:ascii="Times New Roman" w:hAnsi="Times New Roman" w:cs="Times New Roman"/>
          <w:color w:val="000000" w:themeColor="text1"/>
          <w:szCs w:val="21"/>
          <w:highlight w:val="none"/>
          <w14:textFill>
            <w14:solidFill>
              <w14:schemeClr w14:val="tx1"/>
            </w14:solidFill>
          </w14:textFill>
        </w:rPr>
      </w:pPr>
      <w:bookmarkStart w:id="113" w:name="bookmark2073"/>
      <w:bookmarkEnd w:id="113"/>
      <w:r>
        <w:rPr>
          <w:color w:val="000000" w:themeColor="text1"/>
          <w:highlight w:val="none"/>
          <w14:textFill>
            <w14:solidFill>
              <w14:schemeClr w14:val="tx1"/>
            </w14:solidFill>
          </w14:textFill>
        </w:rPr>
        <w:t>在合同协议书正式签署生效之前，本</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w:t>
      </w:r>
      <w:r>
        <w:rPr>
          <w:color w:val="000000" w:themeColor="text1"/>
          <w:highlight w:val="none"/>
          <w14:textFill>
            <w14:solidFill>
              <w14:schemeClr w14:val="tx1"/>
            </w14:solidFill>
          </w14:textFill>
        </w:rPr>
        <w:t>函连同你方的</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通知书将构成我们双方之间共同遵守的文件，对双方具有约束力</w:t>
      </w:r>
      <w:r>
        <w:rPr>
          <w:rFonts w:ascii="Times New Roman" w:hAnsi="Times New Roman" w:cs="Times New Roman"/>
          <w:color w:val="000000" w:themeColor="text1"/>
          <w:szCs w:val="21"/>
          <w:highlight w:val="none"/>
          <w14:textFill>
            <w14:solidFill>
              <w14:schemeClr w14:val="tx1"/>
            </w14:solidFill>
          </w14:textFill>
        </w:rPr>
        <w:t>。</w:t>
      </w:r>
    </w:p>
    <w:p w14:paraId="219C97D8">
      <w:pPr>
        <w:spacing w:line="360" w:lineRule="auto"/>
        <w:ind w:firstLine="420" w:firstLineChars="200"/>
        <w:rPr>
          <w:color w:val="000000" w:themeColor="text1"/>
          <w:szCs w:val="21"/>
          <w:highlight w:val="none"/>
          <w14:textFill>
            <w14:solidFill>
              <w14:schemeClr w14:val="tx1"/>
            </w14:solidFill>
          </w14:textFill>
        </w:rPr>
      </w:pPr>
      <w:bookmarkStart w:id="114" w:name="bookmark2074"/>
      <w:bookmarkEnd w:id="114"/>
      <w:r>
        <w:rPr>
          <w:rFonts w:hint="eastAsia"/>
          <w:color w:val="000000" w:themeColor="text1"/>
          <w:szCs w:val="21"/>
          <w:highlight w:val="none"/>
          <w14:textFill>
            <w14:solidFill>
              <w14:schemeClr w14:val="tx1"/>
            </w14:solidFill>
          </w14:textFill>
        </w:rPr>
        <w:t>5.</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（其他补充说明）。</w:t>
      </w:r>
    </w:p>
    <w:p w14:paraId="4A2ACE95">
      <w:pPr>
        <w:spacing w:line="360" w:lineRule="auto"/>
        <w:jc w:val="center"/>
        <w:rPr>
          <w:rFonts w:ascii="宋体" w:hAnsi="宋体" w:cs="方正小标宋简体"/>
          <w:b/>
          <w:bCs/>
          <w:color w:val="000000" w:themeColor="text1"/>
          <w:sz w:val="32"/>
          <w:szCs w:val="32"/>
          <w:highlight w:val="none"/>
          <w14:textFill>
            <w14:solidFill>
              <w14:schemeClr w14:val="tx1"/>
            </w14:solidFill>
          </w14:textFill>
        </w:rPr>
      </w:pPr>
    </w:p>
    <w:p w14:paraId="0FEC81D6">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法定代表人或者委托代理人（签字或者电子签名）：                    </w:t>
      </w:r>
    </w:p>
    <w:p w14:paraId="50975BD1">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3076D3F8">
      <w:pPr>
        <w:spacing w:line="360" w:lineRule="auto"/>
        <w:jc w:val="center"/>
        <w:rPr>
          <w:rFonts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r>
        <w:rPr>
          <w:rFonts w:ascii="宋体" w:hAnsi="宋体" w:cs="方正小标宋简体"/>
          <w:b/>
          <w:bCs/>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（二）竞标函附录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11B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D8466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号</w:t>
            </w:r>
          </w:p>
        </w:tc>
        <w:tc>
          <w:tcPr>
            <w:tcW w:w="1985" w:type="dxa"/>
            <w:vAlign w:val="center"/>
          </w:tcPr>
          <w:p w14:paraId="32AEFFC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条款内容</w:t>
            </w:r>
          </w:p>
        </w:tc>
        <w:tc>
          <w:tcPr>
            <w:tcW w:w="2126" w:type="dxa"/>
            <w:vAlign w:val="center"/>
          </w:tcPr>
          <w:p w14:paraId="3F5B745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合同条款号</w:t>
            </w:r>
          </w:p>
        </w:tc>
        <w:tc>
          <w:tcPr>
            <w:tcW w:w="1984" w:type="dxa"/>
            <w:vAlign w:val="center"/>
          </w:tcPr>
          <w:p w14:paraId="1C432AD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约定内容</w:t>
            </w:r>
          </w:p>
        </w:tc>
        <w:tc>
          <w:tcPr>
            <w:tcW w:w="1843" w:type="dxa"/>
            <w:vAlign w:val="center"/>
          </w:tcPr>
          <w:p w14:paraId="4420201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供应商响应情况</w:t>
            </w:r>
          </w:p>
        </w:tc>
      </w:tr>
      <w:tr w14:paraId="103B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95100A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985" w:type="dxa"/>
            <w:vAlign w:val="center"/>
          </w:tcPr>
          <w:p w14:paraId="78C7B7FF">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项目经理</w:t>
            </w:r>
          </w:p>
        </w:tc>
        <w:tc>
          <w:tcPr>
            <w:tcW w:w="2126" w:type="dxa"/>
            <w:tcMar>
              <w:left w:w="170" w:type="dxa"/>
            </w:tcMar>
            <w:vAlign w:val="center"/>
          </w:tcPr>
          <w:p w14:paraId="15965E2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2B2218CB">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r>
              <w:rPr>
                <w:color w:val="000000" w:themeColor="text1"/>
                <w:highlight w:val="none"/>
                <w:u w:val="single"/>
                <w14:textFill>
                  <w14:solidFill>
                    <w14:schemeClr w14:val="tx1"/>
                  </w14:solidFill>
                </w14:textFill>
              </w:rPr>
              <w:t xml:space="preserve">          </w:t>
            </w:r>
          </w:p>
        </w:tc>
        <w:tc>
          <w:tcPr>
            <w:tcW w:w="1843" w:type="dxa"/>
            <w:vAlign w:val="center"/>
          </w:tcPr>
          <w:p w14:paraId="478F48E0">
            <w:pPr>
              <w:jc w:val="center"/>
              <w:rPr>
                <w:color w:val="000000" w:themeColor="text1"/>
                <w:highlight w:val="none"/>
                <w14:textFill>
                  <w14:solidFill>
                    <w14:schemeClr w14:val="tx1"/>
                  </w14:solidFill>
                </w14:textFill>
              </w:rPr>
            </w:pPr>
          </w:p>
        </w:tc>
      </w:tr>
      <w:tr w14:paraId="7874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C98C12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985" w:type="dxa"/>
            <w:vAlign w:val="center"/>
          </w:tcPr>
          <w:p w14:paraId="7556F5D9">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竞标有效期</w:t>
            </w:r>
          </w:p>
        </w:tc>
        <w:tc>
          <w:tcPr>
            <w:tcW w:w="2126" w:type="dxa"/>
            <w:tcMar>
              <w:left w:w="170" w:type="dxa"/>
            </w:tcMar>
            <w:vAlign w:val="center"/>
          </w:tcPr>
          <w:p w14:paraId="3A0AB2CE">
            <w:pPr>
              <w:rPr>
                <w:color w:val="000000" w:themeColor="text1"/>
                <w:highlight w:val="none"/>
                <w14:textFill>
                  <w14:solidFill>
                    <w14:schemeClr w14:val="tx1"/>
                  </w14:solidFill>
                </w14:textFill>
              </w:rPr>
            </w:pPr>
          </w:p>
        </w:tc>
        <w:tc>
          <w:tcPr>
            <w:tcW w:w="1984" w:type="dxa"/>
            <w:vAlign w:val="center"/>
          </w:tcPr>
          <w:p w14:paraId="7D9163B5">
            <w:pPr>
              <w:jc w:val="center"/>
              <w:rPr>
                <w:color w:val="000000" w:themeColor="text1"/>
                <w:highlight w:val="none"/>
                <w:u w:val="single"/>
                <w14:textFill>
                  <w14:solidFill>
                    <w14:schemeClr w14:val="tx1"/>
                  </w14:solidFill>
                </w14:textFill>
              </w:rPr>
            </w:pPr>
          </w:p>
        </w:tc>
        <w:tc>
          <w:tcPr>
            <w:tcW w:w="1843" w:type="dxa"/>
            <w:vAlign w:val="center"/>
          </w:tcPr>
          <w:p w14:paraId="13AE0FFE">
            <w:pPr>
              <w:jc w:val="center"/>
              <w:rPr>
                <w:color w:val="000000" w:themeColor="text1"/>
                <w:highlight w:val="none"/>
                <w14:textFill>
                  <w14:solidFill>
                    <w14:schemeClr w14:val="tx1"/>
                  </w14:solidFill>
                </w14:textFill>
              </w:rPr>
            </w:pPr>
          </w:p>
        </w:tc>
      </w:tr>
      <w:tr w14:paraId="205A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FB68FE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985" w:type="dxa"/>
            <w:vAlign w:val="center"/>
          </w:tcPr>
          <w:p w14:paraId="0382D510">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工期</w:t>
            </w:r>
          </w:p>
        </w:tc>
        <w:tc>
          <w:tcPr>
            <w:tcW w:w="2126" w:type="dxa"/>
            <w:tcMar>
              <w:left w:w="170" w:type="dxa"/>
            </w:tcMar>
            <w:vAlign w:val="center"/>
          </w:tcPr>
          <w:p w14:paraId="266C9DF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510D30CB">
            <w:pPr>
              <w:jc w:val="center"/>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日历天</w:t>
            </w:r>
          </w:p>
        </w:tc>
        <w:tc>
          <w:tcPr>
            <w:tcW w:w="1843" w:type="dxa"/>
            <w:vAlign w:val="center"/>
          </w:tcPr>
          <w:p w14:paraId="1C54CA3E">
            <w:pPr>
              <w:jc w:val="center"/>
              <w:rPr>
                <w:color w:val="000000" w:themeColor="text1"/>
                <w:highlight w:val="none"/>
                <w14:textFill>
                  <w14:solidFill>
                    <w14:schemeClr w14:val="tx1"/>
                  </w14:solidFill>
                </w14:textFill>
              </w:rPr>
            </w:pPr>
          </w:p>
        </w:tc>
      </w:tr>
      <w:tr w14:paraId="65D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BA91A7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985" w:type="dxa"/>
            <w:vAlign w:val="center"/>
          </w:tcPr>
          <w:p w14:paraId="046A9BF4">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缺陷责任期</w:t>
            </w:r>
          </w:p>
        </w:tc>
        <w:tc>
          <w:tcPr>
            <w:tcW w:w="2126" w:type="dxa"/>
            <w:tcMar>
              <w:left w:w="170" w:type="dxa"/>
            </w:tcMar>
            <w:vAlign w:val="center"/>
          </w:tcPr>
          <w:p w14:paraId="1C6E2268">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6ED247FF">
            <w:pPr>
              <w:jc w:val="center"/>
              <w:rPr>
                <w:color w:val="000000" w:themeColor="text1"/>
                <w:highlight w:val="none"/>
                <w14:textFill>
                  <w14:solidFill>
                    <w14:schemeClr w14:val="tx1"/>
                  </w14:solidFill>
                </w14:textFill>
              </w:rPr>
            </w:pPr>
          </w:p>
        </w:tc>
        <w:tc>
          <w:tcPr>
            <w:tcW w:w="1843" w:type="dxa"/>
            <w:vAlign w:val="center"/>
          </w:tcPr>
          <w:p w14:paraId="346E4AE4">
            <w:pPr>
              <w:jc w:val="center"/>
              <w:rPr>
                <w:color w:val="000000" w:themeColor="text1"/>
                <w:highlight w:val="none"/>
                <w14:textFill>
                  <w14:solidFill>
                    <w14:schemeClr w14:val="tx1"/>
                  </w14:solidFill>
                </w14:textFill>
              </w:rPr>
            </w:pPr>
          </w:p>
        </w:tc>
      </w:tr>
      <w:tr w14:paraId="10A3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D46D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985" w:type="dxa"/>
            <w:vAlign w:val="center"/>
          </w:tcPr>
          <w:p w14:paraId="1D5C9380">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发包人支付担保</w:t>
            </w:r>
          </w:p>
        </w:tc>
        <w:tc>
          <w:tcPr>
            <w:tcW w:w="2126" w:type="dxa"/>
            <w:tcMar>
              <w:left w:w="170" w:type="dxa"/>
            </w:tcMar>
            <w:vAlign w:val="center"/>
          </w:tcPr>
          <w:p w14:paraId="6DA9CC1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7AE7F510">
            <w:pPr>
              <w:jc w:val="center"/>
              <w:rPr>
                <w:color w:val="000000" w:themeColor="text1"/>
                <w:highlight w:val="none"/>
                <w14:textFill>
                  <w14:solidFill>
                    <w14:schemeClr w14:val="tx1"/>
                  </w14:solidFill>
                </w14:textFill>
              </w:rPr>
            </w:pPr>
          </w:p>
        </w:tc>
        <w:tc>
          <w:tcPr>
            <w:tcW w:w="1843" w:type="dxa"/>
            <w:vAlign w:val="center"/>
          </w:tcPr>
          <w:p w14:paraId="4A0755C1">
            <w:pPr>
              <w:jc w:val="center"/>
              <w:rPr>
                <w:color w:val="000000" w:themeColor="text1"/>
                <w:highlight w:val="none"/>
                <w14:textFill>
                  <w14:solidFill>
                    <w14:schemeClr w14:val="tx1"/>
                  </w14:solidFill>
                </w14:textFill>
              </w:rPr>
            </w:pPr>
          </w:p>
        </w:tc>
      </w:tr>
      <w:tr w14:paraId="502A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3FA14C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985" w:type="dxa"/>
            <w:vAlign w:val="center"/>
          </w:tcPr>
          <w:p w14:paraId="62D52550">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承包人履约担保金额</w:t>
            </w:r>
          </w:p>
        </w:tc>
        <w:tc>
          <w:tcPr>
            <w:tcW w:w="2126" w:type="dxa"/>
            <w:tcMar>
              <w:left w:w="170" w:type="dxa"/>
            </w:tcMar>
            <w:vAlign w:val="center"/>
          </w:tcPr>
          <w:p w14:paraId="7BC9269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385B3A78">
            <w:pPr>
              <w:jc w:val="center"/>
              <w:rPr>
                <w:color w:val="000000" w:themeColor="text1"/>
                <w:highlight w:val="none"/>
                <w14:textFill>
                  <w14:solidFill>
                    <w14:schemeClr w14:val="tx1"/>
                  </w14:solidFill>
                </w14:textFill>
              </w:rPr>
            </w:pPr>
          </w:p>
        </w:tc>
        <w:tc>
          <w:tcPr>
            <w:tcW w:w="1843" w:type="dxa"/>
            <w:vAlign w:val="center"/>
          </w:tcPr>
          <w:p w14:paraId="159D0636">
            <w:pPr>
              <w:jc w:val="center"/>
              <w:rPr>
                <w:color w:val="000000" w:themeColor="text1"/>
                <w:highlight w:val="none"/>
                <w14:textFill>
                  <w14:solidFill>
                    <w14:schemeClr w14:val="tx1"/>
                  </w14:solidFill>
                </w14:textFill>
              </w:rPr>
            </w:pPr>
          </w:p>
        </w:tc>
      </w:tr>
      <w:tr w14:paraId="7A25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370E5A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1985" w:type="dxa"/>
            <w:vAlign w:val="center"/>
          </w:tcPr>
          <w:p w14:paraId="26DBF496">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分包</w:t>
            </w:r>
          </w:p>
        </w:tc>
        <w:tc>
          <w:tcPr>
            <w:tcW w:w="2126" w:type="dxa"/>
            <w:tcMar>
              <w:left w:w="170" w:type="dxa"/>
            </w:tcMar>
            <w:vAlign w:val="center"/>
          </w:tcPr>
          <w:p w14:paraId="10708D0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7BC7E42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见分包项目情况表</w:t>
            </w:r>
          </w:p>
        </w:tc>
        <w:tc>
          <w:tcPr>
            <w:tcW w:w="1843" w:type="dxa"/>
            <w:vAlign w:val="center"/>
          </w:tcPr>
          <w:p w14:paraId="2E2B438B">
            <w:pPr>
              <w:jc w:val="center"/>
              <w:rPr>
                <w:color w:val="000000" w:themeColor="text1"/>
                <w:highlight w:val="none"/>
                <w14:textFill>
                  <w14:solidFill>
                    <w14:schemeClr w14:val="tx1"/>
                  </w14:solidFill>
                </w14:textFill>
              </w:rPr>
            </w:pPr>
          </w:p>
        </w:tc>
      </w:tr>
      <w:tr w14:paraId="599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C88C1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1985" w:type="dxa"/>
            <w:vAlign w:val="center"/>
          </w:tcPr>
          <w:p w14:paraId="20E2FD15">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逾期竣工违约金</w:t>
            </w:r>
          </w:p>
        </w:tc>
        <w:tc>
          <w:tcPr>
            <w:tcW w:w="2126" w:type="dxa"/>
            <w:tcMar>
              <w:left w:w="170" w:type="dxa"/>
            </w:tcMar>
            <w:vAlign w:val="center"/>
          </w:tcPr>
          <w:p w14:paraId="5B85366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22604FD2">
            <w:pPr>
              <w:rPr>
                <w:color w:val="000000" w:themeColor="text1"/>
                <w:highlight w:val="none"/>
                <w14:textFill>
                  <w14:solidFill>
                    <w14:schemeClr w14:val="tx1"/>
                  </w14:solidFill>
                </w14:textFill>
              </w:rPr>
            </w:pPr>
          </w:p>
        </w:tc>
        <w:tc>
          <w:tcPr>
            <w:tcW w:w="1843" w:type="dxa"/>
            <w:vAlign w:val="center"/>
          </w:tcPr>
          <w:p w14:paraId="3341DC31">
            <w:pPr>
              <w:jc w:val="center"/>
              <w:rPr>
                <w:color w:val="000000" w:themeColor="text1"/>
                <w:highlight w:val="none"/>
                <w14:textFill>
                  <w14:solidFill>
                    <w14:schemeClr w14:val="tx1"/>
                  </w14:solidFill>
                </w14:textFill>
              </w:rPr>
            </w:pPr>
          </w:p>
        </w:tc>
      </w:tr>
      <w:tr w14:paraId="2594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7CE2AB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1985" w:type="dxa"/>
            <w:vAlign w:val="center"/>
          </w:tcPr>
          <w:p w14:paraId="0AB28659">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逾期竣工违约金最高限额</w:t>
            </w:r>
          </w:p>
        </w:tc>
        <w:tc>
          <w:tcPr>
            <w:tcW w:w="2126" w:type="dxa"/>
            <w:tcMar>
              <w:left w:w="170" w:type="dxa"/>
            </w:tcMar>
            <w:vAlign w:val="center"/>
          </w:tcPr>
          <w:p w14:paraId="03487E2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56B91D7E">
            <w:pPr>
              <w:rPr>
                <w:color w:val="000000" w:themeColor="text1"/>
                <w:highlight w:val="none"/>
                <w14:textFill>
                  <w14:solidFill>
                    <w14:schemeClr w14:val="tx1"/>
                  </w14:solidFill>
                </w14:textFill>
              </w:rPr>
            </w:pPr>
          </w:p>
        </w:tc>
        <w:tc>
          <w:tcPr>
            <w:tcW w:w="1843" w:type="dxa"/>
            <w:vAlign w:val="center"/>
          </w:tcPr>
          <w:p w14:paraId="2CCC78B9">
            <w:pPr>
              <w:jc w:val="center"/>
              <w:rPr>
                <w:color w:val="000000" w:themeColor="text1"/>
                <w:highlight w:val="none"/>
                <w14:textFill>
                  <w14:solidFill>
                    <w14:schemeClr w14:val="tx1"/>
                  </w14:solidFill>
                </w14:textFill>
              </w:rPr>
            </w:pPr>
          </w:p>
        </w:tc>
      </w:tr>
      <w:tr w14:paraId="4E7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C666A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985" w:type="dxa"/>
            <w:vAlign w:val="center"/>
          </w:tcPr>
          <w:p w14:paraId="7825FEA7">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质量标准</w:t>
            </w:r>
          </w:p>
        </w:tc>
        <w:tc>
          <w:tcPr>
            <w:tcW w:w="2126" w:type="dxa"/>
            <w:tcMar>
              <w:left w:w="170" w:type="dxa"/>
            </w:tcMar>
            <w:vAlign w:val="center"/>
          </w:tcPr>
          <w:p w14:paraId="6DCB349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5927B806">
            <w:pPr>
              <w:jc w:val="center"/>
              <w:rPr>
                <w:color w:val="000000" w:themeColor="text1"/>
                <w:highlight w:val="none"/>
                <w14:textFill>
                  <w14:solidFill>
                    <w14:schemeClr w14:val="tx1"/>
                  </w14:solidFill>
                </w14:textFill>
              </w:rPr>
            </w:pPr>
          </w:p>
        </w:tc>
        <w:tc>
          <w:tcPr>
            <w:tcW w:w="1843" w:type="dxa"/>
            <w:vAlign w:val="center"/>
          </w:tcPr>
          <w:p w14:paraId="3C0BB9A4">
            <w:pPr>
              <w:jc w:val="center"/>
              <w:rPr>
                <w:color w:val="000000" w:themeColor="text1"/>
                <w:highlight w:val="none"/>
                <w14:textFill>
                  <w14:solidFill>
                    <w14:schemeClr w14:val="tx1"/>
                  </w14:solidFill>
                </w14:textFill>
              </w:rPr>
            </w:pPr>
          </w:p>
        </w:tc>
      </w:tr>
      <w:tr w14:paraId="6926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2B937C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1985" w:type="dxa"/>
            <w:vAlign w:val="center"/>
          </w:tcPr>
          <w:p w14:paraId="1BA854EE">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预付款额度</w:t>
            </w:r>
          </w:p>
        </w:tc>
        <w:tc>
          <w:tcPr>
            <w:tcW w:w="2126" w:type="dxa"/>
            <w:tcMar>
              <w:left w:w="170" w:type="dxa"/>
            </w:tcMar>
            <w:vAlign w:val="center"/>
          </w:tcPr>
          <w:p w14:paraId="2BC1FE6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27F00379">
            <w:pPr>
              <w:jc w:val="center"/>
              <w:rPr>
                <w:color w:val="000000" w:themeColor="text1"/>
                <w:highlight w:val="none"/>
                <w14:textFill>
                  <w14:solidFill>
                    <w14:schemeClr w14:val="tx1"/>
                  </w14:solidFill>
                </w14:textFill>
              </w:rPr>
            </w:pPr>
          </w:p>
        </w:tc>
        <w:tc>
          <w:tcPr>
            <w:tcW w:w="1843" w:type="dxa"/>
            <w:vAlign w:val="center"/>
          </w:tcPr>
          <w:p w14:paraId="7E911696">
            <w:pPr>
              <w:jc w:val="center"/>
              <w:rPr>
                <w:color w:val="000000" w:themeColor="text1"/>
                <w:highlight w:val="none"/>
                <w14:textFill>
                  <w14:solidFill>
                    <w14:schemeClr w14:val="tx1"/>
                  </w14:solidFill>
                </w14:textFill>
              </w:rPr>
            </w:pPr>
          </w:p>
        </w:tc>
      </w:tr>
      <w:tr w14:paraId="169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BD4FFE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1985" w:type="dxa"/>
            <w:vAlign w:val="center"/>
          </w:tcPr>
          <w:p w14:paraId="01090C8B">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预付款保函金额</w:t>
            </w:r>
          </w:p>
        </w:tc>
        <w:tc>
          <w:tcPr>
            <w:tcW w:w="2126" w:type="dxa"/>
            <w:tcMar>
              <w:left w:w="170" w:type="dxa"/>
            </w:tcMar>
            <w:vAlign w:val="center"/>
          </w:tcPr>
          <w:p w14:paraId="1E2C420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39BFA413">
            <w:pPr>
              <w:jc w:val="center"/>
              <w:rPr>
                <w:color w:val="000000" w:themeColor="text1"/>
                <w:highlight w:val="none"/>
                <w14:textFill>
                  <w14:solidFill>
                    <w14:schemeClr w14:val="tx1"/>
                  </w14:solidFill>
                </w14:textFill>
              </w:rPr>
            </w:pPr>
          </w:p>
        </w:tc>
        <w:tc>
          <w:tcPr>
            <w:tcW w:w="1843" w:type="dxa"/>
            <w:vAlign w:val="center"/>
          </w:tcPr>
          <w:p w14:paraId="341F0FCC">
            <w:pPr>
              <w:jc w:val="center"/>
              <w:rPr>
                <w:color w:val="000000" w:themeColor="text1"/>
                <w:highlight w:val="none"/>
                <w14:textFill>
                  <w14:solidFill>
                    <w14:schemeClr w14:val="tx1"/>
                  </w14:solidFill>
                </w14:textFill>
              </w:rPr>
            </w:pPr>
          </w:p>
        </w:tc>
      </w:tr>
      <w:tr w14:paraId="5E9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3C6475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p>
        </w:tc>
        <w:tc>
          <w:tcPr>
            <w:tcW w:w="1985" w:type="dxa"/>
            <w:vAlign w:val="center"/>
          </w:tcPr>
          <w:p w14:paraId="46C32ADC">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质量保证金额度</w:t>
            </w:r>
          </w:p>
        </w:tc>
        <w:tc>
          <w:tcPr>
            <w:tcW w:w="2126" w:type="dxa"/>
            <w:tcMar>
              <w:left w:w="170" w:type="dxa"/>
            </w:tcMar>
            <w:vAlign w:val="center"/>
          </w:tcPr>
          <w:p w14:paraId="144B1A9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4FEBEA5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结算价的</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tc>
        <w:tc>
          <w:tcPr>
            <w:tcW w:w="1843" w:type="dxa"/>
            <w:vAlign w:val="center"/>
          </w:tcPr>
          <w:p w14:paraId="7D0AACC4">
            <w:pPr>
              <w:jc w:val="center"/>
              <w:rPr>
                <w:color w:val="000000" w:themeColor="text1"/>
                <w:highlight w:val="none"/>
                <w14:textFill>
                  <w14:solidFill>
                    <w14:schemeClr w14:val="tx1"/>
                  </w14:solidFill>
                </w14:textFill>
              </w:rPr>
            </w:pPr>
          </w:p>
        </w:tc>
      </w:tr>
      <w:tr w14:paraId="7D8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1952F6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5" w:type="dxa"/>
            <w:vAlign w:val="center"/>
          </w:tcPr>
          <w:p w14:paraId="589DCB2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126" w:type="dxa"/>
            <w:tcMar>
              <w:left w:w="170" w:type="dxa"/>
            </w:tcMar>
            <w:vAlign w:val="center"/>
          </w:tcPr>
          <w:p w14:paraId="57C54B95">
            <w:pPr>
              <w:rPr>
                <w:color w:val="000000" w:themeColor="text1"/>
                <w:highlight w:val="none"/>
                <w14:textFill>
                  <w14:solidFill>
                    <w14:schemeClr w14:val="tx1"/>
                  </w14:solidFill>
                </w14:textFill>
              </w:rPr>
            </w:pPr>
          </w:p>
        </w:tc>
        <w:tc>
          <w:tcPr>
            <w:tcW w:w="1984" w:type="dxa"/>
            <w:vAlign w:val="center"/>
          </w:tcPr>
          <w:p w14:paraId="452DF66E">
            <w:pPr>
              <w:jc w:val="center"/>
              <w:rPr>
                <w:color w:val="000000" w:themeColor="text1"/>
                <w:highlight w:val="none"/>
                <w14:textFill>
                  <w14:solidFill>
                    <w14:schemeClr w14:val="tx1"/>
                  </w14:solidFill>
                </w14:textFill>
              </w:rPr>
            </w:pPr>
          </w:p>
        </w:tc>
        <w:tc>
          <w:tcPr>
            <w:tcW w:w="1843" w:type="dxa"/>
            <w:vAlign w:val="center"/>
          </w:tcPr>
          <w:p w14:paraId="058F248E">
            <w:pPr>
              <w:jc w:val="center"/>
              <w:rPr>
                <w:color w:val="000000" w:themeColor="text1"/>
                <w:highlight w:val="none"/>
                <w14:textFill>
                  <w14:solidFill>
                    <w14:schemeClr w14:val="tx1"/>
                  </w14:solidFill>
                </w14:textFill>
              </w:rPr>
            </w:pPr>
          </w:p>
        </w:tc>
      </w:tr>
      <w:tr w14:paraId="57B3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4F4A8913">
            <w:pPr>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说明：供应商在响应磋商文件中规定的实质性要求和条件的基础上，可做出其他有利于采购人的承诺。此类承诺可在本表中予以补充填写。</w:t>
            </w:r>
          </w:p>
        </w:tc>
      </w:tr>
    </w:tbl>
    <w:p w14:paraId="438BFE4F">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p>
    <w:p w14:paraId="479C1CFB">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法定代表人或者委托代理人（签字或者电子签名）：                    </w:t>
      </w:r>
    </w:p>
    <w:p w14:paraId="51CCC49B">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4B824BA6">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0D9D0E3">
      <w:pPr>
        <w:spacing w:line="360" w:lineRule="auto"/>
        <w:rPr>
          <w:rFonts w:ascii="宋体" w:hAnsi="宋体" w:cs="仿宋_GB2312"/>
          <w:color w:val="000000" w:themeColor="text1"/>
          <w:sz w:val="24"/>
          <w:highlight w:val="none"/>
          <w14:textFill>
            <w14:solidFill>
              <w14:schemeClr w14:val="tx1"/>
            </w14:solidFill>
          </w14:textFill>
        </w:rPr>
      </w:pPr>
    </w:p>
    <w:p w14:paraId="0E2EEA96">
      <w:pPr>
        <w:spacing w:line="360" w:lineRule="auto"/>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竞标报价表</w:t>
      </w:r>
    </w:p>
    <w:p w14:paraId="5439E838">
      <w:pPr>
        <w:spacing w:line="44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528907A4">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6178AF7C">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r>
        <w:rPr>
          <w:rFonts w:hint="eastAsia" w:ascii="宋体" w:hAnsi="宋体" w:cs="仿宋_GB2312"/>
          <w:color w:val="000000" w:themeColor="text1"/>
          <w:sz w:val="24"/>
          <w:highlight w:val="none"/>
          <w:u w:val="single"/>
          <w14:textFill>
            <w14:solidFill>
              <w14:schemeClr w14:val="tx1"/>
            </w14:solidFill>
          </w14:textFill>
        </w:rPr>
        <w:t xml:space="preserve">            </w:t>
      </w:r>
    </w:p>
    <w:p w14:paraId="2A3F5327">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6BE592A8">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单位：元</w:t>
      </w:r>
    </w:p>
    <w:tbl>
      <w:tblPr>
        <w:tblStyle w:val="4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EE2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92BCF78">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D106604">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r>
              <w:rPr>
                <w:rFonts w:ascii="宋体" w:hAnsi="宋体" w:cs="仿宋_GB2312"/>
                <w:color w:val="000000" w:themeColor="text1"/>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2C90A9D5">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5DCFADF9">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E07E7F0">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083F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312C4A3">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003A93FE">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vAlign w:val="center"/>
          </w:tcPr>
          <w:p w14:paraId="646ECF9F">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1项</w:t>
            </w:r>
          </w:p>
        </w:tc>
        <w:tc>
          <w:tcPr>
            <w:tcW w:w="3107" w:type="dxa"/>
            <w:tcBorders>
              <w:top w:val="single" w:color="auto" w:sz="4" w:space="0"/>
              <w:left w:val="single" w:color="auto" w:sz="4" w:space="0"/>
              <w:bottom w:val="single" w:color="auto" w:sz="4" w:space="0"/>
              <w:right w:val="single" w:color="auto" w:sz="4" w:space="0"/>
            </w:tcBorders>
          </w:tcPr>
          <w:p w14:paraId="49AF751B">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3D862958">
            <w:pPr>
              <w:spacing w:line="360" w:lineRule="auto"/>
              <w:contextualSpacing/>
              <w:rPr>
                <w:rFonts w:ascii="宋体" w:hAnsi="宋体" w:cs="仿宋_GB2312"/>
                <w:color w:val="000000" w:themeColor="text1"/>
                <w:sz w:val="24"/>
                <w:highlight w:val="none"/>
                <w14:textFill>
                  <w14:solidFill>
                    <w14:schemeClr w14:val="tx1"/>
                  </w14:solidFill>
                </w14:textFill>
              </w:rPr>
            </w:pPr>
          </w:p>
        </w:tc>
      </w:tr>
      <w:tr w14:paraId="0FFA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1B7A512">
            <w:pPr>
              <w:pStyle w:val="17"/>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合计金额（人民币）</w:t>
            </w:r>
            <w:r>
              <w:rPr>
                <w:rFonts w:hint="eastAsia" w:ascii="宋体" w:hAnsi="宋体" w:cs="仿宋_GB2312"/>
                <w:color w:val="000000" w:themeColor="text1"/>
                <w:sz w:val="24"/>
                <w:highlight w:val="none"/>
                <w:u w:val="single"/>
                <w14:textFill>
                  <w14:solidFill>
                    <w14:schemeClr w14:val="tx1"/>
                  </w14:solidFill>
                </w14:textFill>
              </w:rPr>
              <w:t xml:space="preserve">大写：                      </w:t>
            </w:r>
            <w:r>
              <w:rPr>
                <w:rFonts w:hint="eastAsia" w:ascii="宋体" w:hAnsi="宋体" w:cs="仿宋_GB2312"/>
                <w:color w:val="000000" w:themeColor="text1"/>
                <w:sz w:val="24"/>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485C1F65">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2DAAB329">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007102CA">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6E3E52EC">
      <w:pPr>
        <w:spacing w:line="360" w:lineRule="auto"/>
        <w:ind w:firstLine="480" w:firstLineChars="200"/>
        <w:contextualSpacing/>
        <w:jc w:val="left"/>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39802808">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2DEFBC32">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法定代表人或者委托代理人（签字或者电子签名）：                    </w:t>
      </w:r>
    </w:p>
    <w:p w14:paraId="472FD62E">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44E45DB">
      <w:pPr>
        <w:spacing w:line="360" w:lineRule="auto"/>
        <w:ind w:right="-817" w:rightChars="-389"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685D537F">
      <w:pPr>
        <w:spacing w:line="360" w:lineRule="auto"/>
        <w:contextualSpacing/>
        <w:jc w:val="center"/>
        <w:rPr>
          <w:rFonts w:ascii="宋体" w:hAnsi="宋体" w:cs="仿宋_GB2312"/>
          <w:b/>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已标价工程量清单</w:t>
      </w:r>
    </w:p>
    <w:p w14:paraId="110B8C6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已标价工程量清单应按第五章</w:t>
      </w:r>
      <w:r>
        <w:rPr>
          <w:rFonts w:hint="eastAsia"/>
          <w:color w:val="000000" w:themeColor="text1"/>
          <w:highlight w:val="none"/>
          <w14:textFill>
            <w14:solidFill>
              <w14:schemeClr w14:val="tx1"/>
            </w14:solidFill>
          </w14:textFill>
        </w:rPr>
        <w:t>“工程量清单及图纸”</w:t>
      </w:r>
      <w:r>
        <w:rPr>
          <w:rFonts w:hint="eastAsia" w:cs="宋体"/>
          <w:color w:val="000000" w:themeColor="text1"/>
          <w:highlight w:val="none"/>
          <w14:textFill>
            <w14:solidFill>
              <w14:schemeClr w14:val="tx1"/>
            </w14:solidFill>
          </w14:textFill>
        </w:rPr>
        <w:t>中的相关表格及竞标报价说明填写。构成合同文件的已标价工程量清单包括第五章</w:t>
      </w:r>
      <w:r>
        <w:rPr>
          <w:rFonts w:hint="eastAsia"/>
          <w:color w:val="000000" w:themeColor="text1"/>
          <w:highlight w:val="none"/>
          <w14:textFill>
            <w14:solidFill>
              <w14:schemeClr w14:val="tx1"/>
            </w14:solidFill>
          </w14:textFill>
        </w:rPr>
        <w:t>“工程量清单及图纸”</w:t>
      </w:r>
      <w:r>
        <w:rPr>
          <w:rFonts w:hint="eastAsia" w:cs="宋体"/>
          <w:color w:val="000000" w:themeColor="text1"/>
          <w:highlight w:val="none"/>
          <w14:textFill>
            <w14:solidFill>
              <w14:schemeClr w14:val="tx1"/>
            </w14:solidFill>
          </w14:textFill>
        </w:rPr>
        <w:t>有关工程量清单、竞标报价以及其他说明的内容。</w:t>
      </w:r>
    </w:p>
    <w:p w14:paraId="0ABC8658">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s="宋体"/>
          <w:color w:val="000000" w:themeColor="text1"/>
          <w:highlight w:val="none"/>
          <w14:textFill>
            <w14:solidFill>
              <w14:schemeClr w14:val="tx1"/>
            </w14:solidFill>
          </w14:textFill>
        </w:rPr>
        <w:t>一般计税法建设工程已标价工程量清单表格按</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附件“增值税一般计税方法工程计价表”</w:t>
      </w:r>
      <w:r>
        <w:rPr>
          <w:rFonts w:hint="eastAsia" w:cs="宋体"/>
          <w:color w:val="000000" w:themeColor="text1"/>
          <w:highlight w:val="none"/>
          <w14:textFill>
            <w14:solidFill>
              <w14:schemeClr w14:val="tx1"/>
            </w14:solidFill>
          </w14:textFill>
        </w:rPr>
        <w:t>要求提供，简易计税法表格按《</w:t>
      </w:r>
      <w:r>
        <w:rPr>
          <w:color w:val="000000" w:themeColor="text1"/>
          <w:highlight w:val="none"/>
          <w14:textFill>
            <w14:solidFill>
              <w14:schemeClr w14:val="tx1"/>
            </w14:solidFill>
          </w14:textFill>
        </w:rPr>
        <w:t>&lt;</w:t>
      </w:r>
      <w:r>
        <w:rPr>
          <w:rFonts w:hint="eastAsia" w:cs="宋体"/>
          <w:color w:val="000000" w:themeColor="text1"/>
          <w:highlight w:val="none"/>
          <w14:textFill>
            <w14:solidFill>
              <w14:schemeClr w14:val="tx1"/>
            </w14:solidFill>
          </w14:textFill>
        </w:rPr>
        <w:t>建设工程工程量清单计价规范</w:t>
      </w:r>
      <w:r>
        <w:rPr>
          <w:color w:val="000000" w:themeColor="text1"/>
          <w:highlight w:val="none"/>
          <w14:textFill>
            <w14:solidFill>
              <w14:schemeClr w14:val="tx1"/>
            </w14:solidFill>
          </w14:textFill>
        </w:rPr>
        <w:t>&gt;</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GB5050-2013</w:t>
      </w:r>
      <w:r>
        <w:rPr>
          <w:rFonts w:hint="eastAsia" w:cs="宋体"/>
          <w:color w:val="000000" w:themeColor="text1"/>
          <w:highlight w:val="none"/>
          <w14:textFill>
            <w14:solidFill>
              <w14:schemeClr w14:val="tx1"/>
            </w14:solidFill>
          </w14:textFill>
        </w:rPr>
        <w:t>）广西壮族自治区实施细则》要求的表格提供，但规费和税费按照</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000000" w:themeColor="text1"/>
          <w:highlight w:val="none"/>
          <w14:textFill>
            <w14:solidFill>
              <w14:schemeClr w14:val="tx1"/>
            </w14:solidFill>
          </w14:textFill>
        </w:rPr>
        <w:t>调整</w:t>
      </w:r>
      <w:r>
        <w:rPr>
          <w:rFonts w:hint="eastAsia" w:cs="宋体"/>
          <w:color w:val="000000" w:themeColor="text1"/>
          <w:highlight w:val="none"/>
          <w14:textFill>
            <w14:solidFill>
              <w14:schemeClr w14:val="tx1"/>
            </w14:solidFill>
          </w14:textFill>
        </w:rPr>
        <w:t>，具体内容包括：</w:t>
      </w:r>
    </w:p>
    <w:p w14:paraId="5CEA5B68">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 </w:t>
      </w:r>
      <w:r>
        <w:rPr>
          <w:rFonts w:hint="eastAsia" w:cs="宋体"/>
          <w:color w:val="000000" w:themeColor="text1"/>
          <w:highlight w:val="none"/>
          <w14:textFill>
            <w14:solidFill>
              <w14:schemeClr w14:val="tx1"/>
            </w14:solidFill>
          </w14:textFill>
        </w:rPr>
        <w:t>竞标总价（封</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p>
    <w:p w14:paraId="6E99CA88">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 </w:t>
      </w:r>
      <w:r>
        <w:rPr>
          <w:rFonts w:hint="eastAsia" w:cs="宋体"/>
          <w:color w:val="000000" w:themeColor="text1"/>
          <w:highlight w:val="none"/>
          <w14:textFill>
            <w14:solidFill>
              <w14:schemeClr w14:val="tx1"/>
            </w14:solidFill>
          </w14:textFill>
        </w:rPr>
        <w:t>竞标总价（扉</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p>
    <w:p w14:paraId="2CFE6D0E">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 </w:t>
      </w:r>
      <w:r>
        <w:rPr>
          <w:rFonts w:hint="eastAsia" w:cs="宋体"/>
          <w:color w:val="000000" w:themeColor="text1"/>
          <w:highlight w:val="none"/>
          <w14:textFill>
            <w14:solidFill>
              <w14:schemeClr w14:val="tx1"/>
            </w14:solidFill>
          </w14:textFill>
        </w:rPr>
        <w:t>总说明（表</w:t>
      </w:r>
      <w:r>
        <w:rPr>
          <w:color w:val="000000" w:themeColor="text1"/>
          <w:highlight w:val="none"/>
          <w14:textFill>
            <w14:solidFill>
              <w14:schemeClr w14:val="tx1"/>
            </w14:solidFill>
          </w14:textFill>
        </w:rPr>
        <w:t>-01</w:t>
      </w:r>
      <w:r>
        <w:rPr>
          <w:rFonts w:hint="eastAsia" w:cs="宋体"/>
          <w:color w:val="000000" w:themeColor="text1"/>
          <w:highlight w:val="none"/>
          <w14:textFill>
            <w14:solidFill>
              <w14:schemeClr w14:val="tx1"/>
            </w14:solidFill>
          </w14:textFill>
        </w:rPr>
        <w:t>）</w:t>
      </w:r>
    </w:p>
    <w:p w14:paraId="049B44D1">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 </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1423482F">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 </w:t>
      </w:r>
      <w:r>
        <w:rPr>
          <w:rFonts w:hint="eastAsia" w:cs="宋体"/>
          <w:color w:val="000000" w:themeColor="text1"/>
          <w:highlight w:val="none"/>
          <w14:textFill>
            <w14:solidFill>
              <w14:schemeClr w14:val="tx1"/>
            </w14:solidFill>
          </w14:textFill>
        </w:rPr>
        <w:t>单项工程竞标报价汇总表（表</w:t>
      </w:r>
      <w:r>
        <w:rPr>
          <w:color w:val="000000" w:themeColor="text1"/>
          <w:highlight w:val="none"/>
          <w14:textFill>
            <w14:solidFill>
              <w14:schemeClr w14:val="tx1"/>
            </w14:solidFill>
          </w14:textFill>
        </w:rPr>
        <w:t>-03</w:t>
      </w:r>
      <w:r>
        <w:rPr>
          <w:rFonts w:hint="eastAsia" w:cs="宋体"/>
          <w:color w:val="000000" w:themeColor="text1"/>
          <w:highlight w:val="none"/>
          <w14:textFill>
            <w14:solidFill>
              <w14:schemeClr w14:val="tx1"/>
            </w14:solidFill>
          </w14:textFill>
        </w:rPr>
        <w:t>）</w:t>
      </w:r>
    </w:p>
    <w:p w14:paraId="330FEECA">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 </w:t>
      </w:r>
      <w:r>
        <w:rPr>
          <w:rFonts w:hint="eastAsia" w:cs="宋体"/>
          <w:color w:val="000000" w:themeColor="text1"/>
          <w:highlight w:val="none"/>
          <w14:textFill>
            <w14:solidFill>
              <w14:schemeClr w14:val="tx1"/>
            </w14:solidFill>
          </w14:textFill>
        </w:rPr>
        <w:t>单位工程竞标报价汇总表（表</w:t>
      </w:r>
      <w:r>
        <w:rPr>
          <w:color w:val="000000" w:themeColor="text1"/>
          <w:highlight w:val="none"/>
          <w14:textFill>
            <w14:solidFill>
              <w14:schemeClr w14:val="tx1"/>
            </w14:solidFill>
          </w14:textFill>
        </w:rPr>
        <w:t>-04</w:t>
      </w:r>
      <w:r>
        <w:rPr>
          <w:rFonts w:hint="eastAsia" w:cs="宋体"/>
          <w:color w:val="000000" w:themeColor="text1"/>
          <w:highlight w:val="none"/>
          <w14:textFill>
            <w14:solidFill>
              <w14:schemeClr w14:val="tx1"/>
            </w14:solidFill>
          </w14:textFill>
        </w:rPr>
        <w:t>）</w:t>
      </w:r>
    </w:p>
    <w:p w14:paraId="59A1CB2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 </w:t>
      </w:r>
      <w:r>
        <w:rPr>
          <w:rFonts w:hint="eastAsia" w:cs="宋体"/>
          <w:color w:val="000000" w:themeColor="text1"/>
          <w:highlight w:val="none"/>
          <w14:textFill>
            <w14:solidFill>
              <w14:schemeClr w14:val="tx1"/>
            </w14:solidFill>
          </w14:textFill>
        </w:rPr>
        <w:t>分部分项工程和单价措施项目清单与计价表（表</w:t>
      </w:r>
      <w:r>
        <w:rPr>
          <w:color w:val="000000" w:themeColor="text1"/>
          <w:highlight w:val="none"/>
          <w14:textFill>
            <w14:solidFill>
              <w14:schemeClr w14:val="tx1"/>
            </w14:solidFill>
          </w14:textFill>
        </w:rPr>
        <w:t>-08</w:t>
      </w:r>
      <w:r>
        <w:rPr>
          <w:rFonts w:hint="eastAsia" w:cs="宋体"/>
          <w:color w:val="000000" w:themeColor="text1"/>
          <w:highlight w:val="none"/>
          <w14:textFill>
            <w14:solidFill>
              <w14:schemeClr w14:val="tx1"/>
            </w14:solidFill>
          </w14:textFill>
        </w:rPr>
        <w:t>）</w:t>
      </w:r>
    </w:p>
    <w:p w14:paraId="33D71547">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工程量清单综合单价分析表（表</w:t>
      </w:r>
      <w:r>
        <w:rPr>
          <w:color w:val="000000" w:themeColor="text1"/>
          <w:highlight w:val="none"/>
          <w14:textFill>
            <w14:solidFill>
              <w14:schemeClr w14:val="tx1"/>
            </w14:solidFill>
          </w14:textFill>
        </w:rPr>
        <w:t>-09</w:t>
      </w:r>
      <w:r>
        <w:rPr>
          <w:rFonts w:hint="eastAsia" w:cs="宋体"/>
          <w:color w:val="000000" w:themeColor="text1"/>
          <w:highlight w:val="none"/>
          <w14:textFill>
            <w14:solidFill>
              <w14:schemeClr w14:val="tx1"/>
            </w14:solidFill>
          </w14:textFill>
        </w:rPr>
        <w:t>）</w:t>
      </w:r>
    </w:p>
    <w:p w14:paraId="28210756">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1.9 </w:t>
      </w:r>
      <w:r>
        <w:rPr>
          <w:rFonts w:hint="eastAsia" w:cs="宋体"/>
          <w:color w:val="000000" w:themeColor="text1"/>
          <w:highlight w:val="none"/>
          <w14:textFill>
            <w14:solidFill>
              <w14:schemeClr w14:val="tx1"/>
            </w14:solidFill>
          </w14:textFill>
        </w:rPr>
        <w:t>主要清单项目工料机分析表（表</w:t>
      </w: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）【备注：可按要求有选择的提供】</w:t>
      </w:r>
    </w:p>
    <w:p w14:paraId="56EEA87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 </w:t>
      </w:r>
      <w:r>
        <w:rPr>
          <w:rFonts w:hint="eastAsia" w:cs="宋体"/>
          <w:color w:val="000000" w:themeColor="text1"/>
          <w:highlight w:val="none"/>
          <w14:textFill>
            <w14:solidFill>
              <w14:schemeClr w14:val="tx1"/>
            </w14:solidFill>
          </w14:textFill>
        </w:rPr>
        <w:t>总价措施项目清单与计价表（表</w:t>
      </w: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w:t>
      </w:r>
    </w:p>
    <w:p w14:paraId="4EA6FB72">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s="宋体"/>
          <w:color w:val="000000" w:themeColor="text1"/>
          <w:highlight w:val="none"/>
          <w14:textFill>
            <w14:solidFill>
              <w14:schemeClr w14:val="tx1"/>
            </w14:solidFill>
          </w14:textFill>
        </w:rPr>
        <w:t>其他项目清单与计价汇总表（表</w:t>
      </w: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w:t>
      </w:r>
    </w:p>
    <w:p w14:paraId="5D30171A">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s="宋体"/>
          <w:color w:val="000000" w:themeColor="text1"/>
          <w:highlight w:val="none"/>
          <w14:textFill>
            <w14:solidFill>
              <w14:schemeClr w14:val="tx1"/>
            </w14:solidFill>
          </w14:textFill>
        </w:rPr>
        <w:t>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31E16B0B">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s="宋体"/>
          <w:color w:val="000000" w:themeColor="text1"/>
          <w:highlight w:val="none"/>
          <w14:textFill>
            <w14:solidFill>
              <w14:schemeClr w14:val="tx1"/>
            </w14:solidFill>
          </w14:textFill>
        </w:rPr>
        <w:t>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1321AF9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 </w:t>
      </w:r>
      <w:r>
        <w:rPr>
          <w:rFonts w:hint="eastAsia" w:cs="宋体"/>
          <w:color w:val="000000" w:themeColor="text1"/>
          <w:highlight w:val="none"/>
          <w14:textFill>
            <w14:solidFill>
              <w14:schemeClr w14:val="tx1"/>
            </w14:solidFill>
          </w14:textFill>
        </w:rPr>
        <w:t>专业工程暂估价及结算价表（表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4F5E3BB1">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w:t>
      </w:r>
      <w:r>
        <w:rPr>
          <w:rFonts w:hint="eastAsia" w:cs="宋体"/>
          <w:color w:val="000000" w:themeColor="text1"/>
          <w:highlight w:val="none"/>
          <w14:textFill>
            <w14:solidFill>
              <w14:schemeClr w14:val="tx1"/>
            </w14:solidFill>
          </w14:textFill>
        </w:rPr>
        <w:t>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5AF8CBA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1.16 </w:t>
      </w:r>
      <w:r>
        <w:rPr>
          <w:rFonts w:hint="eastAsia" w:cs="宋体"/>
          <w:color w:val="000000" w:themeColor="text1"/>
          <w:highlight w:val="none"/>
          <w14:textFill>
            <w14:solidFill>
              <w14:schemeClr w14:val="tx1"/>
            </w14:solidFill>
          </w14:textFill>
        </w:rPr>
        <w:t>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08DC7F2C">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1.17 </w:t>
      </w:r>
      <w:r>
        <w:rPr>
          <w:rFonts w:hint="eastAsia" w:cs="宋体"/>
          <w:color w:val="000000" w:themeColor="text1"/>
          <w:highlight w:val="none"/>
          <w14:textFill>
            <w14:solidFill>
              <w14:schemeClr w14:val="tx1"/>
            </w14:solidFill>
          </w14:textFill>
        </w:rPr>
        <w:t>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2F07B32D">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1.18 </w:t>
      </w:r>
      <w:r>
        <w:rPr>
          <w:rFonts w:hint="eastAsia" w:cs="宋体"/>
          <w:color w:val="000000" w:themeColor="text1"/>
          <w:highlight w:val="none"/>
          <w14:textFill>
            <w14:solidFill>
              <w14:schemeClr w14:val="tx1"/>
            </w14:solidFill>
          </w14:textFill>
        </w:rPr>
        <w:t>规费、增值税计价表（表</w:t>
      </w:r>
      <w:r>
        <w:rPr>
          <w:color w:val="000000" w:themeColor="text1"/>
          <w:highlight w:val="none"/>
          <w14:textFill>
            <w14:solidFill>
              <w14:schemeClr w14:val="tx1"/>
            </w14:solidFill>
          </w14:textFill>
        </w:rPr>
        <w:t>-15</w:t>
      </w:r>
      <w:r>
        <w:rPr>
          <w:rFonts w:hint="eastAsia" w:cs="宋体"/>
          <w:color w:val="000000" w:themeColor="text1"/>
          <w:highlight w:val="none"/>
          <w14:textFill>
            <w14:solidFill>
              <w14:schemeClr w14:val="tx1"/>
            </w14:solidFill>
          </w14:textFill>
        </w:rPr>
        <w:t>）</w:t>
      </w:r>
    </w:p>
    <w:p w14:paraId="2E893AFC">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1.19 </w:t>
      </w:r>
      <w:r>
        <w:rPr>
          <w:rFonts w:hint="eastAsia" w:cs="宋体"/>
          <w:color w:val="000000" w:themeColor="text1"/>
          <w:highlight w:val="none"/>
          <w14:textFill>
            <w14:solidFill>
              <w14:schemeClr w14:val="tx1"/>
            </w14:solidFill>
          </w14:textFill>
        </w:rPr>
        <w:t>发包人提供主要材料和工程设备一览表（表</w:t>
      </w:r>
      <w:r>
        <w:rPr>
          <w:color w:val="000000" w:themeColor="text1"/>
          <w:highlight w:val="none"/>
          <w14:textFill>
            <w14:solidFill>
              <w14:schemeClr w14:val="tx1"/>
            </w14:solidFill>
          </w14:textFill>
        </w:rPr>
        <w:t>-21</w:t>
      </w:r>
      <w:r>
        <w:rPr>
          <w:rFonts w:hint="eastAsia" w:cs="宋体"/>
          <w:color w:val="000000" w:themeColor="text1"/>
          <w:highlight w:val="none"/>
          <w14:textFill>
            <w14:solidFill>
              <w14:schemeClr w14:val="tx1"/>
            </w14:solidFill>
          </w14:textFill>
        </w:rPr>
        <w:t>）</w:t>
      </w:r>
    </w:p>
    <w:p w14:paraId="1842D31E">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1.20 </w:t>
      </w:r>
      <w:r>
        <w:rPr>
          <w:rFonts w:hint="eastAsia" w:cs="宋体"/>
          <w:color w:val="000000" w:themeColor="text1"/>
          <w:highlight w:val="none"/>
          <w14:textFill>
            <w14:solidFill>
              <w14:schemeClr w14:val="tx1"/>
            </w14:solidFill>
          </w14:textFill>
        </w:rPr>
        <w:t>允许调整主要材料和工程设备一览表（适用于造价信息差额调整法）（表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w:t>
      </w:r>
    </w:p>
    <w:p w14:paraId="1C884ADD">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1.21 </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0F7FA4C5">
      <w:pPr>
        <w:spacing w:line="360"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本工程</w:t>
      </w:r>
      <w:r>
        <w:rPr>
          <w:rFonts w:cs="宋体"/>
          <w:color w:val="000000" w:themeColor="text1"/>
          <w:highlight w:val="none"/>
          <w14:textFill>
            <w14:solidFill>
              <w14:schemeClr w14:val="tx1"/>
            </w14:solidFill>
          </w14:textFill>
        </w:rPr>
        <w:t>材料和工程设备</w:t>
      </w:r>
      <w:r>
        <w:rPr>
          <w:rFonts w:hint="eastAsia" w:cs="宋体"/>
          <w:color w:val="000000" w:themeColor="text1"/>
          <w:highlight w:val="none"/>
          <w14:textFill>
            <w14:solidFill>
              <w14:schemeClr w14:val="tx1"/>
            </w14:solidFill>
          </w14:textFill>
        </w:rPr>
        <w:t>一览表（表-24）</w:t>
      </w:r>
    </w:p>
    <w:p w14:paraId="5AB73F80">
      <w:pPr>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备注：</w:t>
      </w:r>
    </w:p>
    <w:p w14:paraId="746D3725">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）供应商在上传竞标报价文件时应上传纸质竞标总价封面的原件扫描件。报标总价封面必须经供应商盖章，并由法定代表人（或其授权人）签字（或盖章），同时由编制人签字盖专用章。</w:t>
      </w:r>
    </w:p>
    <w:p w14:paraId="5686345D">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1.8</w:t>
      </w:r>
      <w:r>
        <w:rPr>
          <w:rFonts w:hint="eastAsia" w:cs="宋体"/>
          <w:color w:val="000000" w:themeColor="text1"/>
          <w:highlight w:val="none"/>
          <w14:textFill>
            <w14:solidFill>
              <w14:schemeClr w14:val="tx1"/>
            </w14:solidFill>
          </w14:textFill>
        </w:rPr>
        <w:t>工程量清单综合单价分析表和</w:t>
      </w:r>
      <w:r>
        <w:rPr>
          <w:color w:val="000000" w:themeColor="text1"/>
          <w:highlight w:val="none"/>
          <w14:textFill>
            <w14:solidFill>
              <w14:schemeClr w14:val="tx1"/>
            </w14:solidFill>
          </w14:textFill>
        </w:rPr>
        <w:t>1.9</w:t>
      </w:r>
      <w:r>
        <w:rPr>
          <w:rFonts w:hint="eastAsia" w:cs="宋体"/>
          <w:color w:val="000000" w:themeColor="text1"/>
          <w:highlight w:val="none"/>
          <w14:textFill>
            <w14:solidFill>
              <w14:schemeClr w14:val="tx1"/>
            </w14:solidFill>
          </w14:textFill>
        </w:rPr>
        <w:t>主要清单项目工料机分析表要求附上。</w:t>
      </w:r>
    </w:p>
    <w:p w14:paraId="681D9825">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）已标价工程量清单表格要严格按照采购工程量清单给出的表格要求和内容填报。如本工程在合同中约定采用造价信息价差调整法，1.</w:t>
      </w: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允许调整主要材料和工程设备一览表（适用于造价信息差额调整法）（表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载明的主要材料和工程设备为本工程允许调整的材料和工程设备，采购工程量清单必须提供该表格，且不能提供空白表。以下表格视工程实际需要选用，如该工程不发生如下表格相关项目和费用，采购工程量清单不应列入该部分表格，已标价工程量清单亦不包括这部分表格。</w:t>
      </w:r>
    </w:p>
    <w:p w14:paraId="15FB7B83">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5E748C98">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6B6BEA78">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③材料（工程设备）暂估单位及调整表（表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3E98880A">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④专业工程暂估价及结算价表（表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247A8E36">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⑤计日工表表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7039A16F">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⑥总承包服务费计价表（表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76E7B355">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⑦税前项目清单与计价表（表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004CBFCA">
      <w:pPr>
        <w:spacing w:line="360" w:lineRule="auto"/>
        <w:ind w:firstLine="420" w:firstLineChars="20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 8 \* GB3</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⑧</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32823EBB">
      <w:pPr>
        <w:spacing w:line="360" w:lineRule="auto"/>
        <w:ind w:firstLine="420" w:firstLineChars="200"/>
        <w:contextualSpacing/>
        <w:jc w:val="left"/>
        <w:rPr>
          <w:rFonts w:hAnsi="宋体" w:cs="宋体"/>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w:t>
      </w:r>
      <w:r>
        <w:rPr>
          <w:rFonts w:hint="eastAsia" w:hAnsi="宋体" w:cs="宋体"/>
          <w:color w:val="000000" w:themeColor="text1"/>
          <w:kern w:val="0"/>
          <w:highlight w:val="none"/>
          <w14:textFill>
            <w14:solidFill>
              <w14:schemeClr w14:val="tx1"/>
            </w14:solidFill>
          </w14:textFill>
        </w:rPr>
        <w:t>因2021年《广西壮族自治区园林绿化及仿古建筑工程费用定额》采用全费用综合单价形式，故园林绿化及仿古建筑工程的已标价工程量清单</w:t>
      </w:r>
      <w:r>
        <w:rPr>
          <w:rFonts w:hint="eastAsia" w:cs="黑体"/>
          <w:color w:val="000000" w:themeColor="text1"/>
          <w:highlight w:val="none"/>
          <w14:textFill>
            <w14:solidFill>
              <w14:schemeClr w14:val="tx1"/>
            </w14:solidFill>
          </w14:textFill>
        </w:rPr>
        <w:t>采用</w:t>
      </w:r>
      <w:r>
        <w:rPr>
          <w:rFonts w:hint="eastAsia" w:hAnsi="宋体" w:cs="宋体"/>
          <w:color w:val="000000" w:themeColor="text1"/>
          <w:kern w:val="0"/>
          <w:highlight w:val="none"/>
          <w14:textFill>
            <w14:solidFill>
              <w14:schemeClr w14:val="tx1"/>
            </w14:solidFill>
          </w14:textFill>
        </w:rPr>
        <w:t>《自治区住房和城乡建设厅关于建设工程造价改革试点项目招竞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108B4AC9">
      <w:pPr>
        <w:spacing w:line="360" w:lineRule="auto"/>
        <w:contextualSpacing/>
        <w:jc w:val="left"/>
        <w:rPr>
          <w:color w:val="000000" w:themeColor="text1"/>
          <w:highlight w:val="none"/>
          <w14:textFill>
            <w14:solidFill>
              <w14:schemeClr w14:val="tx1"/>
            </w14:solidFill>
          </w14:textFill>
        </w:rPr>
      </w:pPr>
    </w:p>
    <w:p w14:paraId="06581E6C">
      <w:pPr>
        <w:spacing w:line="360" w:lineRule="auto"/>
        <w:ind w:firstLine="643" w:firstLineChars="200"/>
        <w:contextualSpacing/>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商务技术文件格式</w:t>
      </w:r>
    </w:p>
    <w:p w14:paraId="29C56DAF">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5CD644D7">
      <w:pPr>
        <w:snapToGrid w:val="0"/>
        <w:spacing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7981FD6">
      <w:pPr>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09377884">
      <w:pPr>
        <w:snapToGrid w:val="0"/>
        <w:spacing w:beforeLines="50" w:after="50"/>
        <w:rPr>
          <w:rFonts w:ascii="宋体" w:hAnsi="宋体"/>
          <w:color w:val="000000" w:themeColor="text1"/>
          <w:sz w:val="24"/>
          <w:szCs w:val="20"/>
          <w:highlight w:val="none"/>
          <w14:textFill>
            <w14:solidFill>
              <w14:schemeClr w14:val="tx1"/>
            </w14:solidFill>
          </w14:textFill>
        </w:rPr>
      </w:pPr>
    </w:p>
    <w:p w14:paraId="2B807718">
      <w:pPr>
        <w:snapToGrid w:val="0"/>
        <w:spacing w:beforeLines="50" w:after="50"/>
        <w:rPr>
          <w:rFonts w:ascii="宋体" w:hAnsi="宋体"/>
          <w:color w:val="000000" w:themeColor="text1"/>
          <w:sz w:val="24"/>
          <w:szCs w:val="20"/>
          <w:highlight w:val="none"/>
          <w14:textFill>
            <w14:solidFill>
              <w14:schemeClr w14:val="tx1"/>
            </w14:solidFill>
          </w14:textFill>
        </w:rPr>
      </w:pPr>
    </w:p>
    <w:p w14:paraId="1D32249A">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4757BF29">
      <w:pPr>
        <w:snapToGrid w:val="0"/>
        <w:spacing w:beforeLines="50" w:after="50"/>
        <w:rPr>
          <w:rFonts w:ascii="宋体" w:hAnsi="宋体"/>
          <w:bCs/>
          <w:color w:val="000000" w:themeColor="text1"/>
          <w:sz w:val="24"/>
          <w:szCs w:val="20"/>
          <w:highlight w:val="none"/>
          <w14:textFill>
            <w14:solidFill>
              <w14:schemeClr w14:val="tx1"/>
            </w14:solidFill>
          </w14:textFill>
        </w:rPr>
      </w:pPr>
    </w:p>
    <w:p w14:paraId="6493308E">
      <w:pPr>
        <w:snapToGrid w:val="0"/>
        <w:spacing w:beforeLines="50" w:after="50"/>
        <w:rPr>
          <w:rFonts w:ascii="宋体" w:hAnsi="宋体"/>
          <w:bCs/>
          <w:color w:val="000000" w:themeColor="text1"/>
          <w:sz w:val="24"/>
          <w:szCs w:val="20"/>
          <w:highlight w:val="none"/>
          <w14:textFill>
            <w14:solidFill>
              <w14:schemeClr w14:val="tx1"/>
            </w14:solidFill>
          </w14:textFill>
        </w:rPr>
      </w:pPr>
    </w:p>
    <w:p w14:paraId="74EDA225">
      <w:pPr>
        <w:snapToGrid w:val="0"/>
        <w:spacing w:beforeLines="50" w:after="50"/>
        <w:rPr>
          <w:rFonts w:ascii="宋体" w:hAnsi="宋体"/>
          <w:bCs/>
          <w:color w:val="000000" w:themeColor="text1"/>
          <w:sz w:val="24"/>
          <w:szCs w:val="20"/>
          <w:highlight w:val="none"/>
          <w14:textFill>
            <w14:solidFill>
              <w14:schemeClr w14:val="tx1"/>
            </w14:solidFill>
          </w14:textFill>
        </w:rPr>
      </w:pPr>
    </w:p>
    <w:p w14:paraId="1237F5C8">
      <w:pPr>
        <w:snapToGrid w:val="0"/>
        <w:spacing w:beforeLines="50" w:after="50"/>
        <w:rPr>
          <w:rFonts w:ascii="宋体" w:hAnsi="宋体"/>
          <w:bCs/>
          <w:color w:val="000000" w:themeColor="text1"/>
          <w:sz w:val="24"/>
          <w:szCs w:val="20"/>
          <w:highlight w:val="none"/>
          <w14:textFill>
            <w14:solidFill>
              <w14:schemeClr w14:val="tx1"/>
            </w14:solidFill>
          </w14:textFill>
        </w:rPr>
      </w:pPr>
    </w:p>
    <w:p w14:paraId="51764DC4">
      <w:pPr>
        <w:snapToGrid w:val="0"/>
        <w:spacing w:beforeLines="50" w:after="50"/>
        <w:rPr>
          <w:rFonts w:ascii="宋体" w:hAnsi="宋体"/>
          <w:bCs/>
          <w:color w:val="000000" w:themeColor="text1"/>
          <w:sz w:val="24"/>
          <w:szCs w:val="20"/>
          <w:highlight w:val="none"/>
          <w14:textFill>
            <w14:solidFill>
              <w14:schemeClr w14:val="tx1"/>
            </w14:solidFill>
          </w14:textFill>
        </w:rPr>
      </w:pPr>
    </w:p>
    <w:p w14:paraId="5B2A61E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0A2DC8EB">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6BD6ED8E">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3D320042">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6EC2A7A6">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0283BAA0">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63309BC">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792917EC">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64665BE7">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5E0DA4DF">
      <w:pPr>
        <w:pStyle w:val="7"/>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38AB0816">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2B1E2CF0">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0B7727E6">
      <w:pPr>
        <w:snapToGrid w:val="0"/>
        <w:spacing w:beforeLines="50" w:after="50" w:line="360" w:lineRule="auto"/>
        <w:ind w:right="480" w:firstLine="240" w:firstLineChars="100"/>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57D4448E">
      <w:pPr>
        <w:snapToGrid w:val="0"/>
        <w:spacing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3554E3A9">
      <w:pPr>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2A35BAE6">
      <w:pPr>
        <w:spacing w:line="520" w:lineRule="exact"/>
        <w:jc w:val="center"/>
        <w:rPr>
          <w:rFonts w:ascii="宋体" w:hAnsi="宋体" w:cs="仿宋_GB2312"/>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无串通竞标行为的承诺函</w:t>
      </w:r>
    </w:p>
    <w:p w14:paraId="4AC18B11">
      <w:pPr>
        <w:spacing w:line="360" w:lineRule="auto"/>
        <w:ind w:firstLine="640"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3A8AB1D1">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4343E631">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1.不同供应商的响应文件由同一单位或者个人编制</w:t>
      </w:r>
      <w:r>
        <w:rPr>
          <w:rFonts w:hint="eastAsia" w:ascii="宋体" w:hAnsi="宋体" w:cs="仿宋_GB2312"/>
          <w:color w:val="000000" w:themeColor="text1"/>
          <w:sz w:val="24"/>
          <w:highlight w:val="none"/>
          <w:lang w:eastAsia="zh-CN"/>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 xml:space="preserve"> </w:t>
      </w:r>
    </w:p>
    <w:p w14:paraId="2F0632FE">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r>
        <w:rPr>
          <w:rFonts w:hint="eastAsia" w:ascii="宋体" w:hAnsi="宋体" w:cs="仿宋_GB2312"/>
          <w:color w:val="000000" w:themeColor="text1"/>
          <w:sz w:val="24"/>
          <w:highlight w:val="none"/>
          <w:lang w:eastAsia="zh-CN"/>
          <w14:textFill>
            <w14:solidFill>
              <w14:schemeClr w14:val="tx1"/>
            </w14:solidFill>
          </w14:textFill>
        </w:rPr>
        <w:t>；</w:t>
      </w:r>
    </w:p>
    <w:p w14:paraId="1AF682AA">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r>
        <w:rPr>
          <w:rFonts w:hint="eastAsia" w:ascii="宋体" w:hAnsi="宋体" w:cs="仿宋_GB2312"/>
          <w:color w:val="000000" w:themeColor="text1"/>
          <w:sz w:val="24"/>
          <w:highlight w:val="none"/>
          <w:lang w:eastAsia="zh-CN"/>
          <w14:textFill>
            <w14:solidFill>
              <w14:schemeClr w14:val="tx1"/>
            </w14:solidFill>
          </w14:textFill>
        </w:rPr>
        <w:t>；</w:t>
      </w:r>
    </w:p>
    <w:p w14:paraId="3AF80EE7">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r>
        <w:rPr>
          <w:rFonts w:hint="eastAsia" w:ascii="宋体" w:hAnsi="宋体" w:cs="仿宋_GB2312"/>
          <w:color w:val="000000" w:themeColor="text1"/>
          <w:spacing w:val="-6"/>
          <w:sz w:val="24"/>
          <w:highlight w:val="none"/>
          <w:lang w:eastAsia="zh-CN"/>
          <w14:textFill>
            <w14:solidFill>
              <w14:schemeClr w14:val="tx1"/>
            </w14:solidFill>
          </w14:textFill>
        </w:rPr>
        <w:t>；</w:t>
      </w:r>
    </w:p>
    <w:p w14:paraId="38BF8ABC">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r>
        <w:rPr>
          <w:rFonts w:hint="eastAsia" w:ascii="宋体" w:hAnsi="宋体" w:cs="仿宋_GB2312"/>
          <w:color w:val="000000" w:themeColor="text1"/>
          <w:sz w:val="24"/>
          <w:highlight w:val="none"/>
          <w:lang w:eastAsia="zh-CN"/>
          <w14:textFill>
            <w14:solidFill>
              <w14:schemeClr w14:val="tx1"/>
            </w14:solidFill>
          </w14:textFill>
        </w:rPr>
        <w:t>；</w:t>
      </w:r>
    </w:p>
    <w:p w14:paraId="068E1863">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14:paraId="379A9122">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1C86A080">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r>
        <w:rPr>
          <w:rFonts w:hint="eastAsia" w:ascii="宋体" w:hAnsi="宋体" w:cs="仿宋_GB2312"/>
          <w:color w:val="000000" w:themeColor="text1"/>
          <w:sz w:val="24"/>
          <w:highlight w:val="none"/>
          <w:lang w:eastAsia="zh-CN"/>
          <w14:textFill>
            <w14:solidFill>
              <w14:schemeClr w14:val="tx1"/>
            </w14:solidFill>
          </w14:textFill>
        </w:rPr>
        <w:t>；</w:t>
      </w:r>
    </w:p>
    <w:p w14:paraId="34D94096">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r>
        <w:rPr>
          <w:rFonts w:hint="eastAsia" w:ascii="宋体" w:hAnsi="宋体" w:cs="仿宋_GB2312"/>
          <w:color w:val="000000" w:themeColor="text1"/>
          <w:sz w:val="24"/>
          <w:highlight w:val="none"/>
          <w:lang w:eastAsia="zh-CN"/>
          <w14:textFill>
            <w14:solidFill>
              <w14:schemeClr w14:val="tx1"/>
            </w14:solidFill>
          </w14:textFill>
        </w:rPr>
        <w:t>；</w:t>
      </w:r>
    </w:p>
    <w:p w14:paraId="4760E550">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r>
        <w:rPr>
          <w:rFonts w:hint="eastAsia" w:ascii="宋体" w:hAnsi="宋体" w:cs="仿宋_GB2312"/>
          <w:color w:val="000000" w:themeColor="text1"/>
          <w:spacing w:val="-6"/>
          <w:sz w:val="24"/>
          <w:highlight w:val="none"/>
          <w:lang w:eastAsia="zh-CN"/>
          <w14:textFill>
            <w14:solidFill>
              <w14:schemeClr w14:val="tx1"/>
            </w14:solidFill>
          </w14:textFill>
        </w:rPr>
        <w:t>；</w:t>
      </w:r>
    </w:p>
    <w:p w14:paraId="62C5E313">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r>
        <w:rPr>
          <w:rFonts w:hint="eastAsia" w:ascii="宋体" w:hAnsi="宋体" w:cs="仿宋_GB2312"/>
          <w:color w:val="000000" w:themeColor="text1"/>
          <w:sz w:val="24"/>
          <w:highlight w:val="none"/>
          <w:lang w:eastAsia="zh-CN"/>
          <w14:textFill>
            <w14:solidFill>
              <w14:schemeClr w14:val="tx1"/>
            </w14:solidFill>
          </w14:textFill>
        </w:rPr>
        <w:t>；</w:t>
      </w:r>
    </w:p>
    <w:p w14:paraId="61D53645">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r>
        <w:rPr>
          <w:rFonts w:hint="eastAsia" w:ascii="宋体" w:hAnsi="宋体" w:cs="仿宋_GB2312"/>
          <w:color w:val="000000" w:themeColor="text1"/>
          <w:sz w:val="24"/>
          <w:highlight w:val="none"/>
          <w:lang w:eastAsia="zh-CN"/>
          <w14:textFill>
            <w14:solidFill>
              <w14:schemeClr w14:val="tx1"/>
            </w14:solidFill>
          </w14:textFill>
        </w:rPr>
        <w:t>；</w:t>
      </w:r>
    </w:p>
    <w:p w14:paraId="3F4EC40A">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r>
        <w:rPr>
          <w:rFonts w:hint="eastAsia" w:ascii="宋体" w:hAnsi="宋体" w:cs="仿宋_GB2312"/>
          <w:color w:val="000000" w:themeColor="text1"/>
          <w:sz w:val="24"/>
          <w:highlight w:val="none"/>
          <w:lang w:eastAsia="zh-CN"/>
          <w14:textFill>
            <w14:solidFill>
              <w14:schemeClr w14:val="tx1"/>
            </w14:solidFill>
          </w14:textFill>
        </w:rPr>
        <w:t>；</w:t>
      </w:r>
    </w:p>
    <w:p w14:paraId="032F057B">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6D99AA10">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14:paraId="099959B6">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1E92DC12">
      <w:pPr>
        <w:spacing w:line="360" w:lineRule="auto"/>
        <w:contextualSpacing/>
        <w:rPr>
          <w:rFonts w:ascii="宋体" w:hAnsi="宋体" w:cs="仿宋_GB2312"/>
          <w:color w:val="000000" w:themeColor="text1"/>
          <w:sz w:val="24"/>
          <w:highlight w:val="none"/>
          <w14:textFill>
            <w14:solidFill>
              <w14:schemeClr w14:val="tx1"/>
            </w14:solidFill>
          </w14:textFill>
        </w:rPr>
      </w:pPr>
    </w:p>
    <w:p w14:paraId="24C85552">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134E612F">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1C170148">
      <w:pPr>
        <w:spacing w:line="520" w:lineRule="exact"/>
        <w:jc w:val="center"/>
        <w:rPr>
          <w:rFonts w:ascii="宋体" w:hAnsi="宋体" w:cs="仿宋_GB2312"/>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法定代表人证明书</w:t>
      </w:r>
    </w:p>
    <w:p w14:paraId="3720C318">
      <w:pPr>
        <w:spacing w:line="360" w:lineRule="auto"/>
        <w:ind w:left="54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5DE16268">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p>
    <w:p w14:paraId="21805E75">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r>
        <w:rPr>
          <w:rFonts w:hint="eastAsia" w:ascii="宋体" w:hAnsi="宋体" w:cs="仿宋_GB2312"/>
          <w:color w:val="000000" w:themeColor="text1"/>
          <w:sz w:val="24"/>
          <w:highlight w:val="none"/>
          <w:u w:val="single"/>
          <w14:textFill>
            <w14:solidFill>
              <w14:schemeClr w14:val="tx1"/>
            </w14:solidFill>
          </w14:textFill>
        </w:rPr>
        <w:t xml:space="preserve">                                                        </w:t>
      </w:r>
    </w:p>
    <w:p w14:paraId="4C90F876">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性     别：</w:t>
      </w:r>
      <w:r>
        <w:rPr>
          <w:rFonts w:hint="eastAsia" w:ascii="宋体" w:hAnsi="宋体" w:cs="仿宋_GB2312"/>
          <w:color w:val="000000" w:themeColor="text1"/>
          <w:sz w:val="24"/>
          <w:highlight w:val="none"/>
          <w:u w:val="single"/>
          <w14:textFill>
            <w14:solidFill>
              <w14:schemeClr w14:val="tx1"/>
            </w14:solidFill>
          </w14:textFill>
        </w:rPr>
        <w:t xml:space="preserve">                </w:t>
      </w:r>
    </w:p>
    <w:p w14:paraId="7E2F6F30">
      <w:pPr>
        <w:spacing w:line="360" w:lineRule="auto"/>
        <w:ind w:left="540"/>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职     务：</w:t>
      </w:r>
      <w:r>
        <w:rPr>
          <w:rFonts w:hint="eastAsia" w:ascii="宋体" w:hAnsi="宋体" w:cs="仿宋_GB2312"/>
          <w:color w:val="000000" w:themeColor="text1"/>
          <w:sz w:val="24"/>
          <w:highlight w:val="none"/>
          <w:u w:val="single"/>
          <w14:textFill>
            <w14:solidFill>
              <w14:schemeClr w14:val="tx1"/>
            </w14:solidFill>
          </w14:textFill>
        </w:rPr>
        <w:t xml:space="preserve">                </w:t>
      </w:r>
    </w:p>
    <w:p w14:paraId="48B8C8D9">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r>
        <w:rPr>
          <w:rFonts w:hint="eastAsia" w:ascii="宋体" w:hAnsi="宋体" w:cs="仿宋_GB2312"/>
          <w:color w:val="000000" w:themeColor="text1"/>
          <w:sz w:val="24"/>
          <w:highlight w:val="none"/>
          <w:u w:val="single"/>
          <w14:textFill>
            <w14:solidFill>
              <w14:schemeClr w14:val="tx1"/>
            </w14:solidFill>
          </w14:textFill>
        </w:rPr>
        <w:t xml:space="preserve">                                        </w:t>
      </w:r>
    </w:p>
    <w:p w14:paraId="0E8597FD">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14:paraId="2D7AAB88">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5B54D1C8">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5B3A2757">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369C6421">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4B9BA14B">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3F992E8D">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0CE77AB9">
      <w:pPr>
        <w:spacing w:line="360" w:lineRule="auto"/>
        <w:ind w:left="540" w:firstLine="3000" w:firstLineChars="125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14:textFill>
            <w14:solidFill>
              <w14:schemeClr w14:val="tx1"/>
            </w14:solidFill>
          </w14:textFill>
        </w:rPr>
        <w:t xml:space="preserve">               </w:t>
      </w:r>
    </w:p>
    <w:p w14:paraId="1FE2665F">
      <w:pPr>
        <w:spacing w:line="360" w:lineRule="auto"/>
        <w:ind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月</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日</w:t>
      </w:r>
    </w:p>
    <w:p w14:paraId="5F36045A">
      <w:pPr>
        <w:spacing w:line="360" w:lineRule="auto"/>
        <w:contextualSpacing/>
        <w:jc w:val="center"/>
        <w:rPr>
          <w:rFonts w:ascii="宋体" w:hAnsi="宋体" w:cs="仿宋_GB2312"/>
          <w:b/>
          <w:color w:val="000000" w:themeColor="text1"/>
          <w:sz w:val="24"/>
          <w:highlight w:val="none"/>
          <w14:textFill>
            <w14:solidFill>
              <w14:schemeClr w14:val="tx1"/>
            </w14:solidFill>
          </w14:textFill>
        </w:rPr>
      </w:pPr>
    </w:p>
    <w:p w14:paraId="5044510B">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674B8C00">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注：联合体竞标的只需牵头人出具。</w:t>
      </w:r>
    </w:p>
    <w:p w14:paraId="2F545572">
      <w:pPr>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14:paraId="318E3CAE">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 xml:space="preserve"> </w:t>
      </w:r>
    </w:p>
    <w:p w14:paraId="2FD9ECD7">
      <w:pPr>
        <w:spacing w:line="520" w:lineRule="exact"/>
        <w:jc w:val="center"/>
        <w:rPr>
          <w:rFonts w:ascii="宋体" w:hAnsi="宋体" w:cs="方正小标宋简体"/>
          <w:b/>
          <w:color w:val="000000" w:themeColor="text1"/>
          <w:sz w:val="32"/>
          <w:szCs w:val="32"/>
          <w:highlight w:val="none"/>
          <w14:textFill>
            <w14:solidFill>
              <w14:schemeClr w14:val="tx1"/>
            </w14:solidFill>
          </w14:textFill>
        </w:rPr>
      </w:pPr>
      <w:bookmarkStart w:id="115" w:name="_Hlk65853643"/>
      <w:r>
        <w:rPr>
          <w:rFonts w:hint="eastAsia" w:ascii="宋体" w:hAnsi="宋体" w:cs="方正小标宋简体"/>
          <w:b/>
          <w:color w:val="000000" w:themeColor="text1"/>
          <w:sz w:val="32"/>
          <w:szCs w:val="32"/>
          <w:highlight w:val="none"/>
          <w14:textFill>
            <w14:solidFill>
              <w14:schemeClr w14:val="tx1"/>
            </w14:solidFill>
          </w14:textFill>
        </w:rPr>
        <w:t>授权委托书</w:t>
      </w:r>
    </w:p>
    <w:p w14:paraId="75657EDE">
      <w:pPr>
        <w:spacing w:line="520" w:lineRule="exact"/>
        <w:jc w:val="center"/>
        <w:rPr>
          <w:rFonts w:ascii="宋体" w:hAnsi="宋体" w:cs="方正小标宋简体"/>
          <w:b/>
          <w:color w:val="000000" w:themeColor="text1"/>
          <w:sz w:val="24"/>
          <w:highlight w:val="none"/>
          <w14:textFill>
            <w14:solidFill>
              <w14:schemeClr w14:val="tx1"/>
            </w14:solidFill>
          </w14:textFill>
        </w:rPr>
      </w:pPr>
      <w:r>
        <w:rPr>
          <w:rFonts w:hint="eastAsia" w:ascii="宋体" w:hAnsi="宋体" w:cs="方正小标宋简体"/>
          <w:b/>
          <w:color w:val="000000" w:themeColor="text1"/>
          <w:sz w:val="24"/>
          <w:highlight w:val="none"/>
          <w14:textFill>
            <w14:solidFill>
              <w14:schemeClr w14:val="tx1"/>
            </w14:solidFill>
          </w14:textFill>
        </w:rPr>
        <w:t>（非联合体竞标格式）</w:t>
      </w:r>
    </w:p>
    <w:p w14:paraId="6584C3A0">
      <w:pPr>
        <w:spacing w:line="520" w:lineRule="exact"/>
        <w:jc w:val="center"/>
        <w:rPr>
          <w:rFonts w:ascii="宋体" w:hAnsi="宋体" w:cs="方正小标宋简体"/>
          <w:b/>
          <w:color w:val="000000" w:themeColor="text1"/>
          <w:sz w:val="24"/>
          <w:highlight w:val="none"/>
          <w14:textFill>
            <w14:solidFill>
              <w14:schemeClr w14:val="tx1"/>
            </w14:solidFill>
          </w14:textFill>
        </w:rPr>
      </w:pPr>
      <w:r>
        <w:rPr>
          <w:rFonts w:hint="eastAsia" w:ascii="宋体" w:hAnsi="宋体" w:cs="方正小标宋简体"/>
          <w:b/>
          <w:color w:val="000000" w:themeColor="text1"/>
          <w:sz w:val="24"/>
          <w:highlight w:val="none"/>
          <w14:textFill>
            <w14:solidFill>
              <w14:schemeClr w14:val="tx1"/>
            </w14:solidFill>
          </w14:textFill>
        </w:rPr>
        <w:t>（如有委托时）</w:t>
      </w:r>
    </w:p>
    <w:p w14:paraId="4E7724E3">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6C0F237D">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5D18358D">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t>□法定代表人/□负责人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5A6F096B">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0ECB543D">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0F9DCB9">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510F0BC0">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2C25E059">
      <w:pPr>
        <w:spacing w:line="360" w:lineRule="auto"/>
        <w:rPr>
          <w:rFonts w:ascii="宋体" w:hAnsi="宋体" w:cs="仿宋_GB2312"/>
          <w:color w:val="000000" w:themeColor="text1"/>
          <w:sz w:val="24"/>
          <w:highlight w:val="none"/>
          <w14:textFill>
            <w14:solidFill>
              <w14:schemeClr w14:val="tx1"/>
            </w14:solidFill>
          </w14:textFill>
        </w:rPr>
      </w:pPr>
    </w:p>
    <w:p w14:paraId="622C32D5">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仿宋_GB2312"/>
          <w:color w:val="000000" w:themeColor="text1"/>
          <w:sz w:val="24"/>
          <w:highlight w:val="none"/>
          <w14:textFill>
            <w14:solidFill>
              <w14:schemeClr w14:val="tx1"/>
            </w14:solidFill>
          </w14:textFill>
        </w:rPr>
        <w:t xml:space="preserve">）：     法定代表人（签字或者盖章或者电子签名）：                    </w:t>
      </w:r>
    </w:p>
    <w:p w14:paraId="49D5B4D1">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14:paraId="00EDBF06">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69FA3BE2">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供应商（电子签章）：                      </w:t>
      </w:r>
    </w:p>
    <w:p w14:paraId="78000545">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5B4D3771">
      <w:pPr>
        <w:spacing w:line="360" w:lineRule="auto"/>
        <w:rPr>
          <w:rFonts w:ascii="宋体" w:hAnsi="宋体" w:cs="仿宋_GB2312"/>
          <w:color w:val="000000" w:themeColor="text1"/>
          <w:sz w:val="24"/>
          <w:highlight w:val="none"/>
          <w14:textFill>
            <w14:solidFill>
              <w14:schemeClr w14:val="tx1"/>
            </w14:solidFill>
          </w14:textFill>
        </w:rPr>
      </w:pPr>
    </w:p>
    <w:p w14:paraId="0302F0F5">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115F3CE4">
      <w:pPr>
        <w:spacing w:line="360" w:lineRule="auto"/>
        <w:ind w:firstLine="420" w:firstLineChars="200"/>
        <w:jc w:val="left"/>
        <w:rPr>
          <w:rFonts w:ascii="仿宋_GB2312" w:hAnsi="仿宋_GB2312" w:eastAsia="仿宋_GB2312" w:cs="仿宋_GB2312"/>
          <w:color w:val="000000" w:themeColor="text1"/>
          <w:szCs w:val="21"/>
          <w:highlight w:val="none"/>
          <w14:textFill>
            <w14:solidFill>
              <w14:schemeClr w14:val="tx1"/>
            </w14:solidFill>
          </w14:textFill>
        </w:rPr>
      </w:pPr>
    </w:p>
    <w:p w14:paraId="01CE04A4">
      <w:pPr>
        <w:spacing w:line="360" w:lineRule="auto"/>
        <w:contextualSpacing/>
        <w:rPr>
          <w:rFonts w:ascii="宋体" w:hAnsi="宋体" w:cs="仿宋_GB2312"/>
          <w:color w:val="000000" w:themeColor="text1"/>
          <w:sz w:val="24"/>
          <w:highlight w:val="none"/>
          <w14:textFill>
            <w14:solidFill>
              <w14:schemeClr w14:val="tx1"/>
            </w14:solidFill>
          </w14:textFill>
        </w:rPr>
      </w:pPr>
    </w:p>
    <w:bookmarkEnd w:id="115"/>
    <w:p w14:paraId="62362927">
      <w:pPr>
        <w:spacing w:line="360" w:lineRule="auto"/>
        <w:jc w:val="center"/>
        <w:rPr>
          <w:rFonts w:ascii="宋体" w:hAnsi="宋体" w:cs="方正小标宋简体"/>
          <w:b/>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建筑材料和设备节能环保要求承诺书</w:t>
      </w:r>
    </w:p>
    <w:p w14:paraId="1FD2A16A">
      <w:pPr>
        <w:spacing w:line="360" w:lineRule="auto"/>
        <w:jc w:val="center"/>
        <w:rPr>
          <w:rFonts w:ascii="宋体" w:hAnsi="宋体" w:cs="宋体"/>
          <w:color w:val="000000" w:themeColor="text1"/>
          <w:szCs w:val="21"/>
          <w:highlight w:val="none"/>
          <w14:textFill>
            <w14:solidFill>
              <w14:schemeClr w14:val="tx1"/>
            </w14:solidFill>
          </w14:textFill>
        </w:rPr>
      </w:pPr>
    </w:p>
    <w:p w14:paraId="4ACB16A0">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我方承诺，一旦成交，我方保证严格执行</w:t>
      </w:r>
      <w:r>
        <w:rPr>
          <w:rFonts w:hint="eastAsia" w:cs="宋体"/>
          <w:color w:val="000000" w:themeColor="text1"/>
          <w:sz w:val="24"/>
          <w:highlight w:val="none"/>
          <w14:textFill>
            <w14:solidFill>
              <w14:schemeClr w14:val="tx1"/>
            </w14:solidFill>
          </w14:textFill>
        </w:rPr>
        <w:t>《财政部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发展改革委</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生态环境部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市场监管总局关于调整优化节能产品、环境标志产品政府采购执行机制的通知》（财库〔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9</w:t>
      </w:r>
      <w:r>
        <w:rPr>
          <w:rFonts w:hint="eastAsia" w:cs="宋体"/>
          <w:color w:val="000000" w:themeColor="text1"/>
          <w:sz w:val="24"/>
          <w:highlight w:val="none"/>
          <w14:textFill>
            <w14:solidFill>
              <w14:schemeClr w14:val="tx1"/>
            </w14:solidFill>
          </w14:textFill>
        </w:rPr>
        <w:t>号）和《关于印发节能产品政府采购品目清单的通知》（财库〔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号）的规定，所有工程中涉及的建筑材料和设备如属于财库〔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号文中《节能产品政府采购品目清单》内标注“★”的产品，都使用政府强制采购的节能产品。</w:t>
      </w:r>
      <w:r>
        <w:rPr>
          <w:rFonts w:hint="eastAsia"/>
          <w:color w:val="000000" w:themeColor="text1"/>
          <w:sz w:val="24"/>
          <w:highlight w:val="none"/>
          <w14:textFill>
            <w14:solidFill>
              <w14:schemeClr w14:val="tx1"/>
            </w14:solidFill>
          </w14:textFill>
        </w:rPr>
        <w:t>如我方在该项目的承包中出现未按规定执行的情形，我方愿意按照相关规定接受采购人及有关行政主管部门的处罚，愿意承担一切后果，并不再寻求任何旨在减轻或者免除法律责任的辩解。</w:t>
      </w:r>
    </w:p>
    <w:p w14:paraId="12C7DFC0">
      <w:pPr>
        <w:spacing w:line="360" w:lineRule="auto"/>
        <w:ind w:firstLine="480" w:firstLineChars="200"/>
        <w:jc w:val="center"/>
        <w:rPr>
          <w:color w:val="000000" w:themeColor="text1"/>
          <w:sz w:val="24"/>
          <w:highlight w:val="none"/>
          <w14:textFill>
            <w14:solidFill>
              <w14:schemeClr w14:val="tx1"/>
            </w14:solidFill>
          </w14:textFill>
        </w:rPr>
      </w:pPr>
    </w:p>
    <w:p w14:paraId="53CEE00E">
      <w:pPr>
        <w:spacing w:line="360" w:lineRule="auto"/>
        <w:contextualSpacing/>
        <w:rPr>
          <w:rFonts w:ascii="宋体" w:hAnsi="宋体" w:cs="仿宋_GB2312"/>
          <w:color w:val="000000" w:themeColor="text1"/>
          <w:sz w:val="24"/>
          <w:highlight w:val="none"/>
          <w14:textFill>
            <w14:solidFill>
              <w14:schemeClr w14:val="tx1"/>
            </w14:solidFill>
          </w14:textFill>
        </w:rPr>
      </w:pPr>
    </w:p>
    <w:p w14:paraId="46094518">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26435918">
      <w:pPr>
        <w:snapToGrid w:val="0"/>
        <w:spacing w:beforeLines="50" w:after="5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25701D46">
      <w:pPr>
        <w:snapToGrid w:val="0"/>
        <w:spacing w:beforeLines="50" w:after="50"/>
        <w:jc w:val="left"/>
        <w:rPr>
          <w:rFonts w:hint="eastAsia" w:ascii="宋体" w:hAnsi="宋体" w:cs="方正小标宋简体"/>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br w:type="page"/>
      </w:r>
      <w:r>
        <w:rPr>
          <w:rFonts w:hint="eastAsia" w:ascii="宋体" w:hAnsi="宋体" w:cs="仿宋_GB2312"/>
          <w:color w:val="000000" w:themeColor="text1"/>
          <w:sz w:val="24"/>
          <w:highlight w:val="none"/>
          <w:lang w:val="en-US" w:eastAsia="zh-CN"/>
          <w14:textFill>
            <w14:solidFill>
              <w14:schemeClr w14:val="tx1"/>
            </w14:solidFill>
          </w14:textFill>
        </w:rPr>
        <w:t xml:space="preserve">                    </w:t>
      </w:r>
      <w:r>
        <w:rPr>
          <w:rFonts w:hint="eastAsia" w:ascii="宋体" w:hAnsi="宋体" w:cs="方正小标宋简体"/>
          <w:b/>
          <w:color w:val="000000" w:themeColor="text1"/>
          <w:sz w:val="32"/>
          <w:szCs w:val="32"/>
          <w:highlight w:val="none"/>
          <w14:textFill>
            <w14:solidFill>
              <w14:schemeClr w14:val="tx1"/>
            </w14:solidFill>
          </w14:textFill>
        </w:rPr>
        <w:t>技术商务要求响应表</w:t>
      </w:r>
    </w:p>
    <w:p w14:paraId="7722BF1E">
      <w:pPr>
        <w:spacing w:line="360" w:lineRule="auto"/>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r>
        <w:rPr>
          <w:rFonts w:hint="eastAsia" w:ascii="宋体" w:hAnsi="宋体" w:cs="仿宋_GB2312"/>
          <w:color w:val="000000" w:themeColor="text1"/>
          <w:sz w:val="24"/>
          <w:highlight w:val="none"/>
          <w:u w:val="single"/>
          <w14:textFill>
            <w14:solidFill>
              <w14:schemeClr w14:val="tx1"/>
            </w14:solidFill>
          </w14:textFill>
        </w:rPr>
        <w:t xml:space="preserve">                 </w:t>
      </w:r>
    </w:p>
    <w:p w14:paraId="7F0C2EA9">
      <w:pPr>
        <w:spacing w:line="360" w:lineRule="auto"/>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r>
        <w:rPr>
          <w:rFonts w:hint="eastAsia" w:ascii="宋体" w:hAnsi="宋体" w:cs="仿宋_GB2312"/>
          <w:color w:val="000000" w:themeColor="text1"/>
          <w:sz w:val="24"/>
          <w:highlight w:val="none"/>
          <w:u w:val="single"/>
          <w14:textFill>
            <w14:solidFill>
              <w14:schemeClr w14:val="tx1"/>
            </w14:solidFill>
          </w14:textFill>
        </w:rPr>
        <w:t xml:space="preserve">                 </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1117"/>
        <w:gridCol w:w="2836"/>
        <w:gridCol w:w="2735"/>
        <w:gridCol w:w="1492"/>
      </w:tblGrid>
      <w:tr w14:paraId="342C6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0ECB4C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16" w:name="_Toc301781611"/>
            <w:bookmarkStart w:id="117" w:name="_Toc295404981"/>
            <w:bookmarkStart w:id="118" w:name="_Toc173211900"/>
            <w:bookmarkStart w:id="119" w:name="_Toc373333689"/>
            <w:bookmarkStart w:id="120" w:name="_Toc173066401"/>
            <w:bookmarkStart w:id="121" w:name="_Toc254970588"/>
            <w:bookmarkStart w:id="122" w:name="_Toc254970729"/>
            <w:bookmarkStart w:id="123" w:name="_Toc383699906"/>
            <w:bookmarkStart w:id="124" w:name="_Toc297193185"/>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序号</w:t>
            </w:r>
            <w:bookmarkEnd w:id="116"/>
            <w:bookmarkEnd w:id="117"/>
            <w:bookmarkEnd w:id="118"/>
            <w:bookmarkEnd w:id="119"/>
            <w:bookmarkEnd w:id="120"/>
            <w:bookmarkEnd w:id="121"/>
            <w:bookmarkEnd w:id="122"/>
            <w:bookmarkEnd w:id="123"/>
            <w:bookmarkEnd w:id="124"/>
          </w:p>
        </w:tc>
        <w:tc>
          <w:tcPr>
            <w:tcW w:w="614" w:type="pct"/>
            <w:tcBorders>
              <w:right w:val="single" w:color="auto" w:sz="4" w:space="0"/>
            </w:tcBorders>
            <w:noWrap w:val="0"/>
            <w:vAlign w:val="center"/>
          </w:tcPr>
          <w:p w14:paraId="4A132473">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名称</w:t>
            </w:r>
          </w:p>
        </w:tc>
        <w:tc>
          <w:tcPr>
            <w:tcW w:w="1559" w:type="pct"/>
            <w:tcBorders>
              <w:left w:val="single" w:color="auto" w:sz="4" w:space="0"/>
            </w:tcBorders>
            <w:noWrap w:val="0"/>
            <w:vAlign w:val="center"/>
          </w:tcPr>
          <w:p w14:paraId="0A2710D4">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磋商文件要求</w:t>
            </w:r>
          </w:p>
        </w:tc>
        <w:tc>
          <w:tcPr>
            <w:tcW w:w="1503" w:type="pct"/>
            <w:noWrap w:val="0"/>
            <w:vAlign w:val="center"/>
          </w:tcPr>
          <w:p w14:paraId="7138ABB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25" w:name="_Toc173066403"/>
            <w:bookmarkStart w:id="126" w:name="_Toc254970731"/>
            <w:bookmarkStart w:id="127" w:name="_Toc297193187"/>
            <w:bookmarkStart w:id="128" w:name="_Toc173211902"/>
            <w:bookmarkStart w:id="129" w:name="_Toc301781613"/>
            <w:bookmarkStart w:id="130" w:name="_Toc373333691"/>
            <w:bookmarkStart w:id="131" w:name="_Toc295404983"/>
            <w:bookmarkStart w:id="132" w:name="_Toc383699908"/>
            <w:bookmarkStart w:id="133" w:name="_Toc254970590"/>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竞标响应</w:t>
            </w:r>
            <w:bookmarkEnd w:id="125"/>
            <w:bookmarkEnd w:id="126"/>
            <w:bookmarkEnd w:id="127"/>
            <w:bookmarkEnd w:id="128"/>
            <w:bookmarkEnd w:id="129"/>
            <w:bookmarkEnd w:id="130"/>
            <w:bookmarkEnd w:id="131"/>
            <w:bookmarkEnd w:id="132"/>
            <w:bookmarkEnd w:id="133"/>
          </w:p>
        </w:tc>
        <w:tc>
          <w:tcPr>
            <w:tcW w:w="820" w:type="pct"/>
            <w:noWrap w:val="0"/>
            <w:vAlign w:val="center"/>
          </w:tcPr>
          <w:p w14:paraId="54DB0BD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34" w:name="_Toc295404984"/>
            <w:bookmarkStart w:id="135" w:name="_Toc297193188"/>
            <w:bookmarkStart w:id="136" w:name="_Toc254970591"/>
            <w:bookmarkStart w:id="137" w:name="_Toc301781614"/>
            <w:bookmarkStart w:id="138" w:name="_Toc383699909"/>
            <w:bookmarkStart w:id="139" w:name="_Toc373333692"/>
            <w:bookmarkStart w:id="140" w:name="_Toc173066404"/>
            <w:bookmarkStart w:id="141" w:name="_Toc254970732"/>
            <w:bookmarkStart w:id="142" w:name="_Toc173211903"/>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偏离</w:t>
            </w:r>
            <w:bookmarkEnd w:id="134"/>
            <w:bookmarkEnd w:id="135"/>
            <w:bookmarkEnd w:id="136"/>
            <w:bookmarkEnd w:id="137"/>
            <w:bookmarkEnd w:id="138"/>
            <w:bookmarkEnd w:id="139"/>
            <w:bookmarkEnd w:id="140"/>
            <w:bookmarkEnd w:id="141"/>
            <w:bookmarkEnd w:id="142"/>
            <w:bookmarkStart w:id="143" w:name="_Toc373333693"/>
            <w:bookmarkStart w:id="144" w:name="_Toc301781615"/>
            <w:bookmarkStart w:id="145" w:name="_Toc383699910"/>
            <w:bookmarkStart w:id="146" w:name="_Toc173066405"/>
            <w:bookmarkStart w:id="147" w:name="_Toc297193189"/>
            <w:bookmarkStart w:id="148" w:name="_Toc295404985"/>
            <w:bookmarkStart w:id="149" w:name="_Toc254970733"/>
            <w:bookmarkStart w:id="150" w:name="_Toc254970592"/>
            <w:bookmarkStart w:id="151" w:name="_Toc173211904"/>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说明</w:t>
            </w:r>
            <w:bookmarkEnd w:id="143"/>
            <w:bookmarkEnd w:id="144"/>
            <w:bookmarkEnd w:id="145"/>
            <w:bookmarkEnd w:id="146"/>
            <w:bookmarkEnd w:id="147"/>
            <w:bookmarkEnd w:id="148"/>
            <w:bookmarkEnd w:id="149"/>
            <w:bookmarkEnd w:id="150"/>
            <w:bookmarkEnd w:id="151"/>
          </w:p>
        </w:tc>
      </w:tr>
      <w:tr w14:paraId="03561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1422F01">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52" w:name="_Toc297193190"/>
            <w:bookmarkStart w:id="153" w:name="_Toc254970734"/>
            <w:bookmarkStart w:id="154" w:name="_Toc254970593"/>
            <w:bookmarkStart w:id="155" w:name="_Toc295404986"/>
            <w:bookmarkStart w:id="156" w:name="_Toc173066406"/>
            <w:bookmarkStart w:id="157" w:name="_Toc383699911"/>
            <w:bookmarkStart w:id="158" w:name="_Toc301781616"/>
            <w:bookmarkStart w:id="159" w:name="_Toc173211905"/>
            <w:bookmarkStart w:id="160" w:name="_Toc373333694"/>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w:t>
            </w:r>
            <w:bookmarkEnd w:id="152"/>
            <w:bookmarkEnd w:id="153"/>
            <w:bookmarkEnd w:id="154"/>
            <w:bookmarkEnd w:id="155"/>
            <w:bookmarkEnd w:id="156"/>
            <w:bookmarkEnd w:id="157"/>
            <w:bookmarkEnd w:id="158"/>
            <w:bookmarkEnd w:id="159"/>
            <w:bookmarkEnd w:id="160"/>
          </w:p>
        </w:tc>
        <w:tc>
          <w:tcPr>
            <w:tcW w:w="614" w:type="pct"/>
            <w:tcBorders>
              <w:right w:val="single" w:color="auto" w:sz="4" w:space="0"/>
            </w:tcBorders>
            <w:noWrap w:val="0"/>
            <w:vAlign w:val="center"/>
          </w:tcPr>
          <w:p w14:paraId="4BFD6A0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一、建设地点：</w:t>
            </w:r>
          </w:p>
        </w:tc>
        <w:tc>
          <w:tcPr>
            <w:tcW w:w="1559" w:type="pct"/>
            <w:tcBorders>
              <w:left w:val="single" w:color="auto" w:sz="4" w:space="0"/>
            </w:tcBorders>
            <w:noWrap w:val="0"/>
            <w:vAlign w:val="center"/>
          </w:tcPr>
          <w:p w14:paraId="4D3F810E">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07470799">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7092E65F">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14E8C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DFCAAED">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61" w:name="_Toc173211906"/>
            <w:bookmarkStart w:id="162" w:name="_Toc297193191"/>
            <w:bookmarkStart w:id="163" w:name="_Toc383699912"/>
            <w:bookmarkStart w:id="164" w:name="_Toc254970735"/>
            <w:bookmarkStart w:id="165" w:name="_Toc173066407"/>
            <w:bookmarkStart w:id="166" w:name="_Toc301781617"/>
            <w:bookmarkStart w:id="167" w:name="_Toc295404987"/>
            <w:bookmarkStart w:id="168" w:name="_Toc373333695"/>
            <w:bookmarkStart w:id="169" w:name="_Toc254970594"/>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2</w:t>
            </w:r>
            <w:bookmarkEnd w:id="161"/>
            <w:bookmarkEnd w:id="162"/>
            <w:bookmarkEnd w:id="163"/>
            <w:bookmarkEnd w:id="164"/>
            <w:bookmarkEnd w:id="165"/>
            <w:bookmarkEnd w:id="166"/>
            <w:bookmarkEnd w:id="167"/>
            <w:bookmarkEnd w:id="168"/>
            <w:bookmarkEnd w:id="169"/>
          </w:p>
        </w:tc>
        <w:tc>
          <w:tcPr>
            <w:tcW w:w="614" w:type="pct"/>
            <w:tcBorders>
              <w:right w:val="single" w:color="auto" w:sz="4" w:space="0"/>
            </w:tcBorders>
            <w:noWrap w:val="0"/>
            <w:vAlign w:val="center"/>
          </w:tcPr>
          <w:p w14:paraId="2272EAA3">
            <w:pPr>
              <w:pStyle w:val="20"/>
              <w:spacing w:line="360" w:lineRule="auto"/>
              <w:ind w:firstLine="0" w:firstLineChars="0"/>
              <w:contextualSpacing/>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p>
        </w:tc>
        <w:tc>
          <w:tcPr>
            <w:tcW w:w="1559" w:type="pct"/>
            <w:tcBorders>
              <w:left w:val="single" w:color="auto" w:sz="4" w:space="0"/>
            </w:tcBorders>
            <w:noWrap w:val="0"/>
            <w:vAlign w:val="center"/>
          </w:tcPr>
          <w:p w14:paraId="221111DD">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4673B60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59D91911">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57CDF5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F4C5787">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70" w:name="_Toc254970595"/>
            <w:bookmarkStart w:id="171" w:name="_Toc373333696"/>
            <w:bookmarkStart w:id="172" w:name="_Toc295404988"/>
            <w:bookmarkStart w:id="173" w:name="_Toc254970736"/>
            <w:bookmarkStart w:id="174" w:name="_Toc301781618"/>
            <w:bookmarkStart w:id="175" w:name="_Toc383699913"/>
            <w:bookmarkStart w:id="176" w:name="_Toc297193192"/>
            <w:bookmarkStart w:id="177" w:name="_Toc173211907"/>
            <w:bookmarkStart w:id="178" w:name="_Toc173066408"/>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bookmarkEnd w:id="170"/>
            <w:bookmarkEnd w:id="171"/>
            <w:bookmarkEnd w:id="172"/>
            <w:bookmarkEnd w:id="173"/>
            <w:bookmarkEnd w:id="174"/>
            <w:bookmarkEnd w:id="175"/>
            <w:bookmarkEnd w:id="176"/>
            <w:bookmarkEnd w:id="177"/>
            <w:bookmarkEnd w:id="178"/>
          </w:p>
        </w:tc>
        <w:tc>
          <w:tcPr>
            <w:tcW w:w="614" w:type="pct"/>
            <w:tcBorders>
              <w:right w:val="single" w:color="auto" w:sz="4" w:space="0"/>
            </w:tcBorders>
            <w:noWrap w:val="0"/>
            <w:vAlign w:val="center"/>
          </w:tcPr>
          <w:p w14:paraId="76D1CCB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59" w:type="pct"/>
            <w:tcBorders>
              <w:left w:val="single" w:color="auto" w:sz="4" w:space="0"/>
            </w:tcBorders>
            <w:noWrap w:val="0"/>
            <w:vAlign w:val="center"/>
          </w:tcPr>
          <w:p w14:paraId="67E42E1F">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0496247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714551FD">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52ACA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AE580F1">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79" w:name="_Toc254970737"/>
            <w:bookmarkStart w:id="180" w:name="_Toc373333697"/>
            <w:bookmarkStart w:id="181" w:name="_Toc297193193"/>
            <w:bookmarkStart w:id="182" w:name="_Toc295404989"/>
            <w:bookmarkStart w:id="183" w:name="_Toc383699914"/>
            <w:bookmarkStart w:id="184" w:name="_Toc301781619"/>
            <w:bookmarkStart w:id="185" w:name="_Toc173211908"/>
            <w:bookmarkStart w:id="186" w:name="_Toc254970596"/>
            <w:bookmarkStart w:id="187" w:name="_Toc173066409"/>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bookmarkEnd w:id="179"/>
            <w:bookmarkEnd w:id="180"/>
            <w:bookmarkEnd w:id="181"/>
            <w:bookmarkEnd w:id="182"/>
            <w:bookmarkEnd w:id="183"/>
            <w:bookmarkEnd w:id="184"/>
            <w:bookmarkEnd w:id="185"/>
            <w:bookmarkEnd w:id="186"/>
            <w:bookmarkEnd w:id="187"/>
          </w:p>
        </w:tc>
        <w:tc>
          <w:tcPr>
            <w:tcW w:w="614" w:type="pct"/>
            <w:tcBorders>
              <w:right w:val="single" w:color="auto" w:sz="4" w:space="0"/>
            </w:tcBorders>
            <w:noWrap w:val="0"/>
            <w:vAlign w:val="center"/>
          </w:tcPr>
          <w:p w14:paraId="26A93CFB">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▲计划工期</w:t>
            </w:r>
          </w:p>
        </w:tc>
        <w:tc>
          <w:tcPr>
            <w:tcW w:w="1559" w:type="pct"/>
            <w:tcBorders>
              <w:left w:val="single" w:color="auto" w:sz="4" w:space="0"/>
            </w:tcBorders>
            <w:noWrap w:val="0"/>
            <w:vAlign w:val="center"/>
          </w:tcPr>
          <w:p w14:paraId="58A31BDF">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5DF54D9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16753CD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00BFD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27C8C87">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88" w:name="_Toc297193194"/>
            <w:bookmarkStart w:id="189" w:name="_Toc173211909"/>
            <w:bookmarkStart w:id="190" w:name="_Toc254970738"/>
            <w:bookmarkStart w:id="191" w:name="_Toc383699915"/>
            <w:bookmarkStart w:id="192" w:name="_Toc173066410"/>
            <w:bookmarkStart w:id="193" w:name="_Toc254970597"/>
            <w:bookmarkStart w:id="194" w:name="_Toc373333698"/>
            <w:bookmarkStart w:id="195" w:name="_Toc301781620"/>
            <w:bookmarkStart w:id="196" w:name="_Toc295404990"/>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5</w:t>
            </w:r>
            <w:bookmarkEnd w:id="188"/>
            <w:bookmarkEnd w:id="189"/>
            <w:bookmarkEnd w:id="190"/>
            <w:bookmarkEnd w:id="191"/>
            <w:bookmarkEnd w:id="192"/>
            <w:bookmarkEnd w:id="193"/>
            <w:bookmarkEnd w:id="194"/>
            <w:bookmarkEnd w:id="195"/>
            <w:bookmarkEnd w:id="196"/>
          </w:p>
        </w:tc>
        <w:tc>
          <w:tcPr>
            <w:tcW w:w="614" w:type="pct"/>
            <w:tcBorders>
              <w:right w:val="single" w:color="auto" w:sz="4" w:space="0"/>
            </w:tcBorders>
            <w:noWrap w:val="0"/>
            <w:vAlign w:val="center"/>
          </w:tcPr>
          <w:p w14:paraId="6E8C12B1">
            <w:pPr>
              <w:pStyle w:val="20"/>
              <w:spacing w:line="360" w:lineRule="auto"/>
              <w:ind w:firstLine="0" w:firstLineChars="0"/>
              <w:contextualSpacing/>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p>
        </w:tc>
        <w:tc>
          <w:tcPr>
            <w:tcW w:w="1559" w:type="pct"/>
            <w:tcBorders>
              <w:left w:val="single" w:color="auto" w:sz="4" w:space="0"/>
            </w:tcBorders>
            <w:noWrap w:val="0"/>
            <w:vAlign w:val="center"/>
          </w:tcPr>
          <w:p w14:paraId="7D6021F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152D0B36">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067D346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4E1E42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4B961FB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97" w:name="_Toc301781621"/>
            <w:bookmarkStart w:id="198" w:name="_Toc373333699"/>
            <w:bookmarkStart w:id="199" w:name="_Toc254970602"/>
            <w:bookmarkStart w:id="200" w:name="_Toc297193195"/>
            <w:bookmarkStart w:id="201" w:name="_Toc383699916"/>
            <w:bookmarkStart w:id="202" w:name="_Toc254970743"/>
            <w:bookmarkStart w:id="203" w:name="_Toc173211914"/>
            <w:bookmarkStart w:id="204" w:name="_Toc173066415"/>
            <w:bookmarkStart w:id="205" w:name="_Toc295404991"/>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bookmarkEnd w:id="197"/>
            <w:bookmarkEnd w:id="198"/>
            <w:bookmarkEnd w:id="199"/>
            <w:bookmarkEnd w:id="200"/>
            <w:bookmarkEnd w:id="201"/>
            <w:bookmarkEnd w:id="202"/>
            <w:bookmarkEnd w:id="203"/>
            <w:bookmarkEnd w:id="204"/>
            <w:bookmarkEnd w:id="205"/>
          </w:p>
        </w:tc>
        <w:tc>
          <w:tcPr>
            <w:tcW w:w="614" w:type="pct"/>
            <w:tcBorders>
              <w:right w:val="single" w:color="auto" w:sz="4" w:space="0"/>
            </w:tcBorders>
            <w:noWrap w:val="0"/>
            <w:vAlign w:val="center"/>
          </w:tcPr>
          <w:p w14:paraId="6DF736DE">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59" w:type="pct"/>
            <w:tcBorders>
              <w:left w:val="single" w:color="auto" w:sz="4" w:space="0"/>
            </w:tcBorders>
            <w:noWrap w:val="0"/>
            <w:vAlign w:val="center"/>
          </w:tcPr>
          <w:p w14:paraId="2DF5DB6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3745FB02">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tcBorders>
              <w:right w:val="single" w:color="auto" w:sz="4" w:space="0"/>
            </w:tcBorders>
            <w:noWrap w:val="0"/>
            <w:vAlign w:val="center"/>
          </w:tcPr>
          <w:p w14:paraId="5987F34B">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bl>
    <w:p w14:paraId="07F96226">
      <w:pPr>
        <w:adjustRightInd w:val="0"/>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E902DC3">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14:paraId="1CADD461">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 说明：应对照磋商文件“第三章 采购需求”中的所有要求逐条作出明确响应，并作出偏离说明。</w:t>
      </w:r>
    </w:p>
    <w:p w14:paraId="2FBD8A12">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14:paraId="411B1477">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70DCFCD8">
      <w:pPr>
        <w:spacing w:line="360" w:lineRule="auto"/>
        <w:ind w:right="-817" w:rightChars="-389"/>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p>
    <w:p w14:paraId="74BA2068">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5EC8DFA5">
      <w:pPr>
        <w:spacing w:line="360" w:lineRule="auto"/>
        <w:ind w:right="-817" w:rightChars="-389"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56FBB82B">
      <w:pP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br w:type="page"/>
      </w:r>
    </w:p>
    <w:p w14:paraId="26AC7E6D">
      <w:pPr>
        <w:widowControl w:val="0"/>
        <w:jc w:val="center"/>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建设工程项目管理承诺书</w:t>
      </w:r>
    </w:p>
    <w:p w14:paraId="0C2EBA81">
      <w:pPr>
        <w:spacing w:line="480" w:lineRule="auto"/>
        <w:jc w:val="left"/>
        <w:rPr>
          <w:color w:val="000000" w:themeColor="text1"/>
          <w:highlight w:val="none"/>
          <w14:textFill>
            <w14:solidFill>
              <w14:schemeClr w14:val="tx1"/>
            </w14:solidFill>
          </w14:textFill>
        </w:rPr>
      </w:pPr>
    </w:p>
    <w:p w14:paraId="58DA55F5">
      <w:pPr>
        <w:spacing w:line="480" w:lineRule="auto"/>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（采购人名称）：</w:t>
      </w:r>
    </w:p>
    <w:p w14:paraId="2021C040">
      <w:pPr>
        <w:spacing w:line="520" w:lineRule="exact"/>
        <w:ind w:left="-10" w:firstLine="455" w:firstLineChars="217"/>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作为参与</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（工程名称）项目的供应商，根据国家、自治区相关文件规定，我方在此向采购人承诺：</w:t>
      </w:r>
    </w:p>
    <w:p w14:paraId="6E65E000">
      <w:pPr>
        <w:spacing w:line="520" w:lineRule="exact"/>
        <w:ind w:left="-10" w:firstLine="455" w:firstLineChars="2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1、一旦</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，我方保证按照政府相关部门的规定，</w:t>
      </w:r>
      <w:r>
        <w:rPr>
          <w:rFonts w:hint="eastAsia" w:ascii="宋体" w:hAnsi="宋体"/>
          <w:color w:val="000000" w:themeColor="text1"/>
          <w:highlight w:val="none"/>
          <w14:textFill>
            <w14:solidFill>
              <w14:schemeClr w14:val="tx1"/>
            </w14:solidFill>
          </w14:textFill>
        </w:rPr>
        <w:t>在成交后7个工作日内，按照《保障农民工工资支付条例》规定及广西壮族自治区有关规定开设农民工工资专用账户，并按要求比例将农民工工资保证金存入</w:t>
      </w:r>
      <w:r>
        <w:rPr>
          <w:rFonts w:hint="eastAsia" w:ascii="宋体" w:hAnsi="宋体"/>
          <w:color w:val="000000" w:themeColor="text1"/>
          <w:highlight w:val="none"/>
          <w:lang w:val="en-US" w:eastAsia="zh-CN"/>
          <w14:textFill>
            <w14:solidFill>
              <w14:schemeClr w14:val="tx1"/>
            </w14:solidFill>
          </w14:textFill>
        </w:rPr>
        <w:t>账</w:t>
      </w:r>
      <w:r>
        <w:rPr>
          <w:rFonts w:hint="eastAsia" w:ascii="宋体" w:hAnsi="宋体"/>
          <w:color w:val="000000" w:themeColor="text1"/>
          <w:highlight w:val="none"/>
          <w14:textFill>
            <w14:solidFill>
              <w14:schemeClr w14:val="tx1"/>
            </w14:solidFill>
          </w14:textFill>
        </w:rPr>
        <w:t>户</w:t>
      </w:r>
      <w:r>
        <w:rPr>
          <w:rFonts w:hint="eastAsia"/>
          <w:color w:val="000000" w:themeColor="text1"/>
          <w:highlight w:val="none"/>
          <w14:textFill>
            <w14:solidFill>
              <w14:schemeClr w14:val="tx1"/>
            </w14:solidFill>
          </w14:textFill>
        </w:rPr>
        <w:t>，专项用于支付本工程提供劳动的农民工被拖欠的工资。</w:t>
      </w:r>
      <w:r>
        <w:rPr>
          <w:color w:val="000000" w:themeColor="text1"/>
          <w:highlight w:val="none"/>
          <w14:textFill>
            <w14:solidFill>
              <w14:schemeClr w14:val="tx1"/>
            </w14:solidFill>
          </w14:textFill>
        </w:rPr>
        <w:t>按照与农民工依法约定的工资支付周期和具体支付日期支付工资</w:t>
      </w:r>
      <w:r>
        <w:rPr>
          <w:rFonts w:hint="eastAsia"/>
          <w:color w:val="000000" w:themeColor="text1"/>
          <w:highlight w:val="none"/>
          <w14:textFill>
            <w14:solidFill>
              <w14:schemeClr w14:val="tx1"/>
            </w14:solidFill>
          </w14:textFill>
        </w:rPr>
        <w:t>，保证</w:t>
      </w:r>
      <w:r>
        <w:rPr>
          <w:color w:val="000000" w:themeColor="text1"/>
          <w:highlight w:val="none"/>
          <w14:textFill>
            <w14:solidFill>
              <w14:schemeClr w14:val="tx1"/>
            </w14:solidFill>
          </w14:textFill>
        </w:rPr>
        <w:t>每月至少向农民工足额支付一次工资。</w:t>
      </w:r>
    </w:p>
    <w:p w14:paraId="4AE0B187">
      <w:pPr>
        <w:spacing w:line="520" w:lineRule="exact"/>
        <w:ind w:left="-10" w:firstLine="455" w:firstLineChars="2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2、一旦</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，我方保证在施工过程中，严格执行《广西壮族自治区建筑工程安全文明施工费使用管理细则》（桂建质〔20</w:t>
      </w:r>
      <w:r>
        <w:rPr>
          <w:rFonts w:hint="eastAsia"/>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t>号）的有关规定，确保建设工程各项安全防护、文明施工措施落实到位。如我方在该项目的承包中出现未按桂建质〔20</w:t>
      </w:r>
      <w:r>
        <w:rPr>
          <w:rFonts w:hint="eastAsia"/>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t>号文附件一规定执行的情形，我方愿意按照相关规定接受建设单位及有关主管部门的处罚。</w:t>
      </w:r>
    </w:p>
    <w:p w14:paraId="55D969F9">
      <w:pPr>
        <w:spacing w:line="520" w:lineRule="exact"/>
        <w:ind w:left="-2" w:leftChars="-1" w:firstLine="449" w:firstLineChars="214"/>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3、一旦</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D8A7857">
      <w:pPr>
        <w:spacing w:line="520" w:lineRule="exact"/>
        <w:ind w:left="-10" w:firstLine="455" w:firstLineChars="217"/>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4、一旦成交，我方保证在施工过程中，严格执行《关于禁止使用不符合规范要求的竹脚手架的通知》（</w:t>
      </w:r>
      <w:r>
        <w:rPr>
          <w:color w:val="000000" w:themeColor="text1"/>
          <w:highlight w:val="none"/>
          <w14:textFill>
            <w14:solidFill>
              <w14:schemeClr w14:val="tx1"/>
            </w14:solidFill>
          </w14:textFill>
        </w:rPr>
        <w:t>桂建</w:t>
      </w:r>
      <w:r>
        <w:rPr>
          <w:rFonts w:hint="eastAsia"/>
          <w:color w:val="000000" w:themeColor="text1"/>
          <w:highlight w:val="none"/>
          <w14:textFill>
            <w14:solidFill>
              <w14:schemeClr w14:val="tx1"/>
            </w14:solidFill>
          </w14:textFill>
        </w:rPr>
        <w:t>管字</w:t>
      </w:r>
      <w:r>
        <w:rPr>
          <w:color w:val="000000" w:themeColor="text1"/>
          <w:highlight w:val="none"/>
          <w14:textFill>
            <w14:solidFill>
              <w14:schemeClr w14:val="tx1"/>
            </w14:solidFill>
          </w14:textFill>
        </w:rPr>
        <w:t>〔200</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）的有关规定，不使用竹脚手架。如我方在该</w:t>
      </w:r>
      <w:r>
        <w:rPr>
          <w:color w:val="000000" w:themeColor="text1"/>
          <w:highlight w:val="none"/>
          <w14:textFill>
            <w14:solidFill>
              <w14:schemeClr w14:val="tx1"/>
            </w14:solidFill>
          </w14:textFill>
        </w:rPr>
        <w:t>项目的承包中出现未按规定执行的情形，我方愿意按照相关规定接受建设单位及有关主管部门的处罚。</w:t>
      </w:r>
    </w:p>
    <w:p w14:paraId="17341643">
      <w:pPr>
        <w:spacing w:line="520" w:lineRule="exact"/>
        <w:ind w:left="-10" w:firstLine="455" w:firstLineChars="217"/>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594E06E">
      <w:pPr>
        <w:spacing w:line="520" w:lineRule="exact"/>
        <w:jc w:val="left"/>
        <w:rPr>
          <w:color w:val="000000" w:themeColor="text1"/>
          <w:highlight w:val="none"/>
          <w14:textFill>
            <w14:solidFill>
              <w14:schemeClr w14:val="tx1"/>
            </w14:solidFill>
          </w14:textFill>
        </w:rPr>
      </w:pPr>
    </w:p>
    <w:p w14:paraId="5AED4C39">
      <w:pPr>
        <w:spacing w:line="360" w:lineRule="auto"/>
        <w:ind w:firstLine="4410" w:firstLineChars="2100"/>
        <w:jc w:val="left"/>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供应商：</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（电子签章）</w:t>
      </w:r>
    </w:p>
    <w:p w14:paraId="24DEE38B">
      <w:pPr>
        <w:spacing w:line="360" w:lineRule="auto"/>
        <w:ind w:firstLine="4410" w:firstLineChars="2100"/>
        <w:jc w:val="left"/>
        <w:rPr>
          <w:rFonts w:hint="eastAsia"/>
          <w:color w:val="000000" w:themeColor="text1"/>
          <w:highlight w:val="none"/>
          <w:u w:val="single"/>
          <w14:textFill>
            <w14:solidFill>
              <w14:schemeClr w14:val="tx1"/>
            </w14:solidFill>
          </w14:textFill>
        </w:rPr>
      </w:pPr>
    </w:p>
    <w:p w14:paraId="3B381905">
      <w:pPr>
        <w:ind w:firstLine="4410" w:firstLineChars="2100"/>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br w:type="page"/>
      </w:r>
    </w:p>
    <w:p w14:paraId="119C290C">
      <w:pPr>
        <w:snapToGrid w:val="0"/>
        <w:spacing w:beforeLines="50" w:after="50"/>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代理服务费承诺书</w:t>
      </w:r>
    </w:p>
    <w:p w14:paraId="62AE88A6">
      <w:pPr>
        <w:snapToGrid w:val="0"/>
        <w:spacing w:beforeLines="50" w:after="50"/>
        <w:jc w:val="center"/>
        <w:rPr>
          <w:rFonts w:ascii="宋体" w:hAnsi="宋体"/>
          <w:b/>
          <w:color w:val="000000" w:themeColor="text1"/>
          <w:sz w:val="24"/>
          <w:highlight w:val="none"/>
          <w14:textFill>
            <w14:solidFill>
              <w14:schemeClr w14:val="tx1"/>
            </w14:solidFill>
          </w14:textFill>
        </w:rPr>
      </w:pPr>
    </w:p>
    <w:p w14:paraId="37383E53">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采购代理机构名称</w:t>
      </w:r>
    </w:p>
    <w:p w14:paraId="7226E26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本单位参加了贵方组织的</w:t>
      </w:r>
      <w:r>
        <w:rPr>
          <w:rFonts w:hint="eastAsia" w:ascii="宋体" w:hAnsi="宋体"/>
          <w:color w:val="000000" w:themeColor="text1"/>
          <w:sz w:val="24"/>
          <w:highlight w:val="none"/>
          <w:u w:val="single"/>
          <w14:textFill>
            <w14:solidFill>
              <w14:schemeClr w14:val="tx1"/>
            </w14:solidFill>
          </w14:textFill>
        </w:rPr>
        <w:t xml:space="preserve">  项目名称（项目编号）  </w:t>
      </w:r>
      <w:r>
        <w:rPr>
          <w:rFonts w:hint="eastAsia" w:ascii="宋体" w:hAnsi="宋体"/>
          <w:color w:val="000000" w:themeColor="text1"/>
          <w:sz w:val="24"/>
          <w:highlight w:val="none"/>
          <w14:textFill>
            <w14:solidFill>
              <w14:schemeClr w14:val="tx1"/>
            </w14:solidFill>
          </w14:textFill>
        </w:rPr>
        <w:t>项目， 在此说明如下：</w:t>
      </w:r>
    </w:p>
    <w:p w14:paraId="3338FA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7740992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2.本单位选择第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种方式作为代理服务费开票类型：</w:t>
      </w:r>
    </w:p>
    <w:p w14:paraId="25782B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第一种方式：开具增值税普通发票。开票信息如下：</w:t>
      </w:r>
    </w:p>
    <w:p w14:paraId="440B92ED">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lang w:eastAsia="zh-CN"/>
          <w14:textFill>
            <w14:solidFill>
              <w14:schemeClr w14:val="tx1"/>
            </w14:solidFill>
          </w14:textFill>
        </w:rPr>
        <w:t>；</w:t>
      </w:r>
    </w:p>
    <w:p w14:paraId="1139916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565CB34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第二种方式：开具增值税专用发票，开票信息如下：</w:t>
      </w:r>
    </w:p>
    <w:p w14:paraId="6C6B7CC0">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lang w:eastAsia="zh-CN"/>
          <w14:textFill>
            <w14:solidFill>
              <w14:schemeClr w14:val="tx1"/>
            </w14:solidFill>
          </w14:textFill>
        </w:rPr>
        <w:t>；</w:t>
      </w:r>
    </w:p>
    <w:p w14:paraId="05060342">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lang w:eastAsia="zh-CN"/>
          <w14:textFill>
            <w14:solidFill>
              <w14:schemeClr w14:val="tx1"/>
            </w14:solidFill>
          </w14:textFill>
        </w:rPr>
        <w:t>；</w:t>
      </w:r>
    </w:p>
    <w:p w14:paraId="742F3FD7">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（3）在税局登记的地址</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lang w:eastAsia="zh-CN"/>
          <w14:textFill>
            <w14:solidFill>
              <w14:schemeClr w14:val="tx1"/>
            </w14:solidFill>
          </w14:textFill>
        </w:rPr>
        <w:t>；</w:t>
      </w:r>
    </w:p>
    <w:p w14:paraId="5C72D9A3">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（4）在税局登记的电话</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lang w:eastAsia="zh-CN"/>
          <w14:textFill>
            <w14:solidFill>
              <w14:schemeClr w14:val="tx1"/>
            </w14:solidFill>
          </w14:textFill>
        </w:rPr>
        <w:t>；</w:t>
      </w:r>
    </w:p>
    <w:p w14:paraId="2C8DFEC2">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（5）开户银行</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lang w:eastAsia="zh-CN"/>
          <w14:textFill>
            <w14:solidFill>
              <w14:schemeClr w14:val="tx1"/>
            </w14:solidFill>
          </w14:textFill>
        </w:rPr>
        <w:t>；</w:t>
      </w:r>
    </w:p>
    <w:p w14:paraId="20CA2B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（6）银行账户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48FD4309">
      <w:pPr>
        <w:spacing w:line="440" w:lineRule="exact"/>
        <w:rPr>
          <w:rFonts w:ascii="宋体" w:hAnsi="宋体"/>
          <w:color w:val="000000" w:themeColor="text1"/>
          <w:sz w:val="24"/>
          <w:highlight w:val="none"/>
          <w14:textFill>
            <w14:solidFill>
              <w14:schemeClr w14:val="tx1"/>
            </w14:solidFill>
          </w14:textFill>
        </w:rPr>
      </w:pPr>
    </w:p>
    <w:p w14:paraId="0315B8B6">
      <w:pPr>
        <w:spacing w:line="440" w:lineRule="exact"/>
        <w:rPr>
          <w:rFonts w:ascii="宋体" w:hAnsi="宋体"/>
          <w:color w:val="000000" w:themeColor="text1"/>
          <w:sz w:val="24"/>
          <w:highlight w:val="none"/>
          <w14:textFill>
            <w14:solidFill>
              <w14:schemeClr w14:val="tx1"/>
            </w14:solidFill>
          </w14:textFill>
        </w:rPr>
      </w:pPr>
    </w:p>
    <w:p w14:paraId="2647A4C0">
      <w:pPr>
        <w:spacing w:line="440" w:lineRule="exact"/>
        <w:rPr>
          <w:rFonts w:ascii="宋体" w:hAnsi="宋体"/>
          <w:color w:val="000000" w:themeColor="text1"/>
          <w:sz w:val="24"/>
          <w:highlight w:val="none"/>
          <w14:textFill>
            <w14:solidFill>
              <w14:schemeClr w14:val="tx1"/>
            </w14:solidFill>
          </w14:textFill>
        </w:rPr>
      </w:pPr>
    </w:p>
    <w:p w14:paraId="39F3BEBE">
      <w:pPr>
        <w:snapToGrid w:val="0"/>
        <w:spacing w:line="360" w:lineRule="auto"/>
        <w:ind w:left="-2" w:leftChars="-1" w:right="-817" w:rightChars="-389" w:firstLine="1920" w:firstLineChars="8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法定代表人或者委托代理人（签字或者电子签名）： </w:t>
      </w:r>
    </w:p>
    <w:p w14:paraId="7030FDD2">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供应商公章（电子签章）：</w:t>
      </w:r>
    </w:p>
    <w:p w14:paraId="3764E108">
      <w:pPr>
        <w:spacing w:line="360" w:lineRule="auto"/>
        <w:ind w:firstLine="480" w:firstLineChars="200"/>
        <w:jc w:val="center"/>
        <w:rPr>
          <w:rFonts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r>
        <w:rPr>
          <w:rFonts w:ascii="仿宋_GB2312" w:hAnsi="仿宋_GB2312" w:eastAsia="仿宋_GB2312" w:cs="仿宋_GB2312"/>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施工组织设计</w:t>
      </w:r>
    </w:p>
    <w:p w14:paraId="7BE402B0">
      <w:pPr>
        <w:spacing w:line="360" w:lineRule="auto"/>
        <w:ind w:firstLine="420" w:firstLineChars="20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施工组织</w:t>
      </w:r>
      <w:r>
        <w:rPr>
          <w:rFonts w:hint="eastAsia"/>
          <w:color w:val="000000" w:themeColor="text1"/>
          <w:highlight w:val="none"/>
          <w14:textFill>
            <w14:solidFill>
              <w14:schemeClr w14:val="tx1"/>
            </w14:solidFill>
          </w14:textFill>
        </w:rPr>
        <w:t>设计</w:t>
      </w:r>
      <w:r>
        <w:rPr>
          <w:rFonts w:hint="eastAsia" w:ascii="宋体" w:hAnsi="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以下内容顺序编制，可</w:t>
      </w:r>
      <w:r>
        <w:rPr>
          <w:rFonts w:hint="eastAsia" w:ascii="宋体" w:hAnsi="宋体"/>
          <w:color w:val="000000" w:themeColor="text1"/>
          <w:highlight w:val="none"/>
          <w14:textFill>
            <w14:solidFill>
              <w14:schemeClr w14:val="tx1"/>
            </w14:solidFill>
          </w14:textFill>
        </w:rPr>
        <w:t>采用文字并结合图表形式说明施工方法，</w:t>
      </w:r>
      <w:r>
        <w:rPr>
          <w:color w:val="000000" w:themeColor="text1"/>
          <w:highlight w:val="none"/>
          <w14:textFill>
            <w14:solidFill>
              <w14:schemeClr w14:val="tx1"/>
            </w14:solidFill>
          </w14:textFill>
        </w:rPr>
        <w:t>施工组织</w:t>
      </w:r>
      <w:r>
        <w:rPr>
          <w:rFonts w:hint="eastAsia"/>
          <w:color w:val="000000" w:themeColor="text1"/>
          <w:highlight w:val="none"/>
          <w14:textFill>
            <w14:solidFill>
              <w14:schemeClr w14:val="tx1"/>
            </w14:solidFill>
          </w14:textFill>
        </w:rPr>
        <w:t>设计具体</w:t>
      </w:r>
      <w:r>
        <w:rPr>
          <w:color w:val="000000" w:themeColor="text1"/>
          <w:highlight w:val="none"/>
          <w14:textFill>
            <w14:solidFill>
              <w14:schemeClr w14:val="tx1"/>
            </w14:solidFill>
          </w14:textFill>
        </w:rPr>
        <w:t>内容</w:t>
      </w:r>
      <w:r>
        <w:rPr>
          <w:rFonts w:hint="eastAsia" w:cs="宋体"/>
          <w:color w:val="000000" w:themeColor="text1"/>
          <w:highlight w:val="none"/>
          <w14:textFill>
            <w14:solidFill>
              <w14:schemeClr w14:val="tx1"/>
            </w14:solidFill>
          </w14:textFill>
        </w:rPr>
        <w:t>如下：</w:t>
      </w:r>
    </w:p>
    <w:p w14:paraId="5991BF6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（1）概述</w:t>
      </w:r>
    </w:p>
    <w:p w14:paraId="50EC001A">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（2）主要施工方法；</w:t>
      </w:r>
    </w:p>
    <w:p w14:paraId="5E7B98E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（3）拟投入的主要物资计划</w:t>
      </w:r>
    </w:p>
    <w:p w14:paraId="6F4C0B8B">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）劳动力安排计划；</w:t>
      </w:r>
    </w:p>
    <w:p w14:paraId="3CD958EC">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）确保工程质量的技术组织措施；</w:t>
      </w:r>
    </w:p>
    <w:p w14:paraId="42BFF151">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）确保安全生产的技术组织措施；</w:t>
      </w:r>
    </w:p>
    <w:p w14:paraId="119F3A8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）确保工期的技术组织措施；</w:t>
      </w:r>
    </w:p>
    <w:p w14:paraId="441051C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）确保文明施工的技术组织措施；</w:t>
      </w:r>
    </w:p>
    <w:p w14:paraId="7FFF5911">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）工程施工的重点和难点及保证措施；</w:t>
      </w:r>
    </w:p>
    <w:p w14:paraId="41A1FE1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）施工总平面布置图；</w:t>
      </w:r>
    </w:p>
    <w:p w14:paraId="21D44351">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如有）</w:t>
      </w:r>
      <w:r>
        <w:rPr>
          <w:rFonts w:hint="eastAsia"/>
          <w:color w:val="000000" w:themeColor="text1"/>
          <w:highlight w:val="none"/>
          <w14:textFill>
            <w14:solidFill>
              <w14:schemeClr w14:val="tx1"/>
            </w14:solidFill>
          </w14:textFill>
        </w:rPr>
        <w:t>（与第四章“评审程序、评审方法和评审标准”中的评审</w:t>
      </w:r>
      <w:r>
        <w:rPr>
          <w:color w:val="000000" w:themeColor="text1"/>
          <w:highlight w:val="none"/>
          <w14:textFill>
            <w14:solidFill>
              <w14:schemeClr w14:val="tx1"/>
            </w14:solidFill>
          </w14:textFill>
        </w:rPr>
        <w:t>标准一致</w:t>
      </w:r>
      <w:r>
        <w:rPr>
          <w:rFonts w:hint="eastAsia"/>
          <w:color w:val="000000" w:themeColor="text1"/>
          <w:highlight w:val="none"/>
          <w14:textFill>
            <w14:solidFill>
              <w14:schemeClr w14:val="tx1"/>
            </w14:solidFill>
          </w14:textFill>
        </w:rPr>
        <w:t>）</w:t>
      </w:r>
    </w:p>
    <w:p w14:paraId="558CF31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技术标</w:t>
      </w:r>
      <w:r>
        <w:rPr>
          <w:color w:val="000000" w:themeColor="text1"/>
          <w:highlight w:val="none"/>
          <w14:textFill>
            <w14:solidFill>
              <w14:schemeClr w14:val="tx1"/>
            </w14:solidFill>
          </w14:textFill>
        </w:rPr>
        <w:t>施工组织</w:t>
      </w:r>
      <w:r>
        <w:rPr>
          <w:rFonts w:hint="eastAsia"/>
          <w:color w:val="000000" w:themeColor="text1"/>
          <w:highlight w:val="none"/>
          <w14:textFill>
            <w14:solidFill>
              <w14:schemeClr w14:val="tx1"/>
            </w14:solidFill>
          </w14:textFill>
        </w:rPr>
        <w:t>设计除采用文字表述外可附下列图表，图表及格式要求附后。</w:t>
      </w:r>
    </w:p>
    <w:p w14:paraId="4783E23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附表一</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劳动力计划表</w:t>
      </w:r>
    </w:p>
    <w:p w14:paraId="1D926B9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附表二</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计划开、竣工日期和施工进度计划（网络图或横道图）</w:t>
      </w:r>
    </w:p>
    <w:p w14:paraId="58757FC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附表三</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施工总平面图</w:t>
      </w:r>
    </w:p>
    <w:p w14:paraId="667EDEA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附表四</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临时用地表</w:t>
      </w:r>
    </w:p>
    <w:p w14:paraId="5978138E">
      <w:pPr>
        <w:spacing w:line="360" w:lineRule="auto"/>
        <w:ind w:firstLine="420" w:firstLineChars="200"/>
        <w:rPr>
          <w:color w:val="000000" w:themeColor="text1"/>
          <w:highlight w:val="none"/>
          <w14:textFill>
            <w14:solidFill>
              <w14:schemeClr w14:val="tx1"/>
            </w14:solidFill>
          </w14:textFill>
        </w:rPr>
      </w:pPr>
    </w:p>
    <w:p w14:paraId="5DA91DD5">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附表一：劳动力计划表</w:t>
      </w:r>
    </w:p>
    <w:p w14:paraId="0E1E1F70">
      <w:pPr>
        <w:ind w:firstLine="7245" w:firstLineChars="34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单位：人</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253F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28BF0B">
            <w:pPr>
              <w:spacing w:line="360" w:lineRule="auto"/>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工种</w:t>
            </w:r>
          </w:p>
        </w:tc>
        <w:tc>
          <w:tcPr>
            <w:tcW w:w="7248" w:type="dxa"/>
            <w:gridSpan w:val="6"/>
            <w:vAlign w:val="center"/>
          </w:tcPr>
          <w:p w14:paraId="0C8D10DC">
            <w:pPr>
              <w:spacing w:line="360" w:lineRule="auto"/>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按工程施工阶段投入劳动力情况</w:t>
            </w:r>
          </w:p>
        </w:tc>
      </w:tr>
      <w:tr w14:paraId="18D4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2B35D48">
            <w:pPr>
              <w:spacing w:line="360" w:lineRule="auto"/>
              <w:jc w:val="center"/>
              <w:rPr>
                <w:color w:val="000000" w:themeColor="text1"/>
                <w:highlight w:val="none"/>
                <w14:textFill>
                  <w14:solidFill>
                    <w14:schemeClr w14:val="tx1"/>
                  </w14:solidFill>
                </w14:textFill>
              </w:rPr>
            </w:pPr>
          </w:p>
        </w:tc>
        <w:tc>
          <w:tcPr>
            <w:tcW w:w="961" w:type="dxa"/>
            <w:vAlign w:val="center"/>
          </w:tcPr>
          <w:p w14:paraId="2189B5F5">
            <w:pPr>
              <w:spacing w:line="360" w:lineRule="auto"/>
              <w:jc w:val="center"/>
              <w:rPr>
                <w:color w:val="000000" w:themeColor="text1"/>
                <w:highlight w:val="none"/>
                <w14:textFill>
                  <w14:solidFill>
                    <w14:schemeClr w14:val="tx1"/>
                  </w14:solidFill>
                </w14:textFill>
              </w:rPr>
            </w:pPr>
          </w:p>
        </w:tc>
        <w:tc>
          <w:tcPr>
            <w:tcW w:w="1257" w:type="dxa"/>
            <w:vAlign w:val="center"/>
          </w:tcPr>
          <w:p w14:paraId="5B35650F">
            <w:pPr>
              <w:spacing w:line="360" w:lineRule="auto"/>
              <w:jc w:val="center"/>
              <w:rPr>
                <w:color w:val="000000" w:themeColor="text1"/>
                <w:highlight w:val="none"/>
                <w14:textFill>
                  <w14:solidFill>
                    <w14:schemeClr w14:val="tx1"/>
                  </w14:solidFill>
                </w14:textFill>
              </w:rPr>
            </w:pPr>
          </w:p>
        </w:tc>
        <w:tc>
          <w:tcPr>
            <w:tcW w:w="1257" w:type="dxa"/>
            <w:vAlign w:val="center"/>
          </w:tcPr>
          <w:p w14:paraId="14488CEF">
            <w:pPr>
              <w:spacing w:line="360" w:lineRule="auto"/>
              <w:jc w:val="center"/>
              <w:rPr>
                <w:color w:val="000000" w:themeColor="text1"/>
                <w:highlight w:val="none"/>
                <w14:textFill>
                  <w14:solidFill>
                    <w14:schemeClr w14:val="tx1"/>
                  </w14:solidFill>
                </w14:textFill>
              </w:rPr>
            </w:pPr>
          </w:p>
        </w:tc>
        <w:tc>
          <w:tcPr>
            <w:tcW w:w="1258" w:type="dxa"/>
            <w:vAlign w:val="center"/>
          </w:tcPr>
          <w:p w14:paraId="27672FEB">
            <w:pPr>
              <w:spacing w:line="360" w:lineRule="auto"/>
              <w:jc w:val="center"/>
              <w:rPr>
                <w:color w:val="000000" w:themeColor="text1"/>
                <w:highlight w:val="none"/>
                <w14:textFill>
                  <w14:solidFill>
                    <w14:schemeClr w14:val="tx1"/>
                  </w14:solidFill>
                </w14:textFill>
              </w:rPr>
            </w:pPr>
          </w:p>
        </w:tc>
        <w:tc>
          <w:tcPr>
            <w:tcW w:w="1257" w:type="dxa"/>
            <w:vAlign w:val="center"/>
          </w:tcPr>
          <w:p w14:paraId="27D3B689">
            <w:pPr>
              <w:spacing w:line="360" w:lineRule="auto"/>
              <w:jc w:val="center"/>
              <w:rPr>
                <w:color w:val="000000" w:themeColor="text1"/>
                <w:highlight w:val="none"/>
                <w14:textFill>
                  <w14:solidFill>
                    <w14:schemeClr w14:val="tx1"/>
                  </w14:solidFill>
                </w14:textFill>
              </w:rPr>
            </w:pPr>
          </w:p>
        </w:tc>
        <w:tc>
          <w:tcPr>
            <w:tcW w:w="1258" w:type="dxa"/>
            <w:vAlign w:val="center"/>
          </w:tcPr>
          <w:p w14:paraId="2257CDA4">
            <w:pPr>
              <w:spacing w:line="360" w:lineRule="auto"/>
              <w:jc w:val="center"/>
              <w:rPr>
                <w:color w:val="000000" w:themeColor="text1"/>
                <w:highlight w:val="none"/>
                <w14:textFill>
                  <w14:solidFill>
                    <w14:schemeClr w14:val="tx1"/>
                  </w14:solidFill>
                </w14:textFill>
              </w:rPr>
            </w:pPr>
          </w:p>
        </w:tc>
      </w:tr>
      <w:tr w14:paraId="4091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E503C36">
            <w:pPr>
              <w:spacing w:line="360" w:lineRule="auto"/>
              <w:jc w:val="center"/>
              <w:rPr>
                <w:color w:val="000000" w:themeColor="text1"/>
                <w:highlight w:val="none"/>
                <w14:textFill>
                  <w14:solidFill>
                    <w14:schemeClr w14:val="tx1"/>
                  </w14:solidFill>
                </w14:textFill>
              </w:rPr>
            </w:pPr>
          </w:p>
        </w:tc>
        <w:tc>
          <w:tcPr>
            <w:tcW w:w="961" w:type="dxa"/>
            <w:vAlign w:val="center"/>
          </w:tcPr>
          <w:p w14:paraId="35FAAE5E">
            <w:pPr>
              <w:spacing w:line="360" w:lineRule="auto"/>
              <w:jc w:val="center"/>
              <w:rPr>
                <w:color w:val="000000" w:themeColor="text1"/>
                <w:highlight w:val="none"/>
                <w14:textFill>
                  <w14:solidFill>
                    <w14:schemeClr w14:val="tx1"/>
                  </w14:solidFill>
                </w14:textFill>
              </w:rPr>
            </w:pPr>
          </w:p>
        </w:tc>
        <w:tc>
          <w:tcPr>
            <w:tcW w:w="1257" w:type="dxa"/>
            <w:vAlign w:val="center"/>
          </w:tcPr>
          <w:p w14:paraId="023F1585">
            <w:pPr>
              <w:spacing w:line="360" w:lineRule="auto"/>
              <w:jc w:val="center"/>
              <w:rPr>
                <w:color w:val="000000" w:themeColor="text1"/>
                <w:highlight w:val="none"/>
                <w14:textFill>
                  <w14:solidFill>
                    <w14:schemeClr w14:val="tx1"/>
                  </w14:solidFill>
                </w14:textFill>
              </w:rPr>
            </w:pPr>
          </w:p>
        </w:tc>
        <w:tc>
          <w:tcPr>
            <w:tcW w:w="1257" w:type="dxa"/>
            <w:vAlign w:val="center"/>
          </w:tcPr>
          <w:p w14:paraId="35E18B76">
            <w:pPr>
              <w:spacing w:line="360" w:lineRule="auto"/>
              <w:jc w:val="center"/>
              <w:rPr>
                <w:color w:val="000000" w:themeColor="text1"/>
                <w:highlight w:val="none"/>
                <w14:textFill>
                  <w14:solidFill>
                    <w14:schemeClr w14:val="tx1"/>
                  </w14:solidFill>
                </w14:textFill>
              </w:rPr>
            </w:pPr>
          </w:p>
        </w:tc>
        <w:tc>
          <w:tcPr>
            <w:tcW w:w="1258" w:type="dxa"/>
            <w:vAlign w:val="center"/>
          </w:tcPr>
          <w:p w14:paraId="23DE9352">
            <w:pPr>
              <w:spacing w:line="360" w:lineRule="auto"/>
              <w:jc w:val="center"/>
              <w:rPr>
                <w:color w:val="000000" w:themeColor="text1"/>
                <w:highlight w:val="none"/>
                <w14:textFill>
                  <w14:solidFill>
                    <w14:schemeClr w14:val="tx1"/>
                  </w14:solidFill>
                </w14:textFill>
              </w:rPr>
            </w:pPr>
          </w:p>
        </w:tc>
        <w:tc>
          <w:tcPr>
            <w:tcW w:w="1257" w:type="dxa"/>
            <w:vAlign w:val="center"/>
          </w:tcPr>
          <w:p w14:paraId="2AA6AF52">
            <w:pPr>
              <w:spacing w:line="360" w:lineRule="auto"/>
              <w:jc w:val="center"/>
              <w:rPr>
                <w:color w:val="000000" w:themeColor="text1"/>
                <w:highlight w:val="none"/>
                <w14:textFill>
                  <w14:solidFill>
                    <w14:schemeClr w14:val="tx1"/>
                  </w14:solidFill>
                </w14:textFill>
              </w:rPr>
            </w:pPr>
          </w:p>
        </w:tc>
        <w:tc>
          <w:tcPr>
            <w:tcW w:w="1258" w:type="dxa"/>
            <w:vAlign w:val="center"/>
          </w:tcPr>
          <w:p w14:paraId="797B8DEB">
            <w:pPr>
              <w:spacing w:line="360" w:lineRule="auto"/>
              <w:jc w:val="center"/>
              <w:rPr>
                <w:color w:val="000000" w:themeColor="text1"/>
                <w:highlight w:val="none"/>
                <w14:textFill>
                  <w14:solidFill>
                    <w14:schemeClr w14:val="tx1"/>
                  </w14:solidFill>
                </w14:textFill>
              </w:rPr>
            </w:pPr>
          </w:p>
        </w:tc>
      </w:tr>
      <w:tr w14:paraId="2659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094404">
            <w:pPr>
              <w:spacing w:line="360" w:lineRule="auto"/>
              <w:jc w:val="center"/>
              <w:rPr>
                <w:color w:val="000000" w:themeColor="text1"/>
                <w:highlight w:val="none"/>
                <w14:textFill>
                  <w14:solidFill>
                    <w14:schemeClr w14:val="tx1"/>
                  </w14:solidFill>
                </w14:textFill>
              </w:rPr>
            </w:pPr>
          </w:p>
        </w:tc>
        <w:tc>
          <w:tcPr>
            <w:tcW w:w="961" w:type="dxa"/>
            <w:vAlign w:val="center"/>
          </w:tcPr>
          <w:p w14:paraId="59225384">
            <w:pPr>
              <w:spacing w:line="360" w:lineRule="auto"/>
              <w:jc w:val="center"/>
              <w:rPr>
                <w:color w:val="000000" w:themeColor="text1"/>
                <w:highlight w:val="none"/>
                <w14:textFill>
                  <w14:solidFill>
                    <w14:schemeClr w14:val="tx1"/>
                  </w14:solidFill>
                </w14:textFill>
              </w:rPr>
            </w:pPr>
          </w:p>
        </w:tc>
        <w:tc>
          <w:tcPr>
            <w:tcW w:w="1257" w:type="dxa"/>
            <w:vAlign w:val="center"/>
          </w:tcPr>
          <w:p w14:paraId="23A0A3D0">
            <w:pPr>
              <w:spacing w:line="360" w:lineRule="auto"/>
              <w:jc w:val="center"/>
              <w:rPr>
                <w:color w:val="000000" w:themeColor="text1"/>
                <w:highlight w:val="none"/>
                <w14:textFill>
                  <w14:solidFill>
                    <w14:schemeClr w14:val="tx1"/>
                  </w14:solidFill>
                </w14:textFill>
              </w:rPr>
            </w:pPr>
          </w:p>
        </w:tc>
        <w:tc>
          <w:tcPr>
            <w:tcW w:w="1257" w:type="dxa"/>
            <w:vAlign w:val="center"/>
          </w:tcPr>
          <w:p w14:paraId="11D3BAA1">
            <w:pPr>
              <w:spacing w:line="360" w:lineRule="auto"/>
              <w:jc w:val="center"/>
              <w:rPr>
                <w:color w:val="000000" w:themeColor="text1"/>
                <w:highlight w:val="none"/>
                <w14:textFill>
                  <w14:solidFill>
                    <w14:schemeClr w14:val="tx1"/>
                  </w14:solidFill>
                </w14:textFill>
              </w:rPr>
            </w:pPr>
          </w:p>
        </w:tc>
        <w:tc>
          <w:tcPr>
            <w:tcW w:w="1258" w:type="dxa"/>
            <w:vAlign w:val="center"/>
          </w:tcPr>
          <w:p w14:paraId="294A48A5">
            <w:pPr>
              <w:spacing w:line="360" w:lineRule="auto"/>
              <w:jc w:val="center"/>
              <w:rPr>
                <w:color w:val="000000" w:themeColor="text1"/>
                <w:highlight w:val="none"/>
                <w14:textFill>
                  <w14:solidFill>
                    <w14:schemeClr w14:val="tx1"/>
                  </w14:solidFill>
                </w14:textFill>
              </w:rPr>
            </w:pPr>
          </w:p>
        </w:tc>
        <w:tc>
          <w:tcPr>
            <w:tcW w:w="1257" w:type="dxa"/>
            <w:vAlign w:val="center"/>
          </w:tcPr>
          <w:p w14:paraId="2CB20123">
            <w:pPr>
              <w:spacing w:line="360" w:lineRule="auto"/>
              <w:jc w:val="center"/>
              <w:rPr>
                <w:color w:val="000000" w:themeColor="text1"/>
                <w:highlight w:val="none"/>
                <w14:textFill>
                  <w14:solidFill>
                    <w14:schemeClr w14:val="tx1"/>
                  </w14:solidFill>
                </w14:textFill>
              </w:rPr>
            </w:pPr>
          </w:p>
        </w:tc>
        <w:tc>
          <w:tcPr>
            <w:tcW w:w="1258" w:type="dxa"/>
            <w:vAlign w:val="center"/>
          </w:tcPr>
          <w:p w14:paraId="09595B7C">
            <w:pPr>
              <w:spacing w:line="360" w:lineRule="auto"/>
              <w:jc w:val="center"/>
              <w:rPr>
                <w:color w:val="000000" w:themeColor="text1"/>
                <w:highlight w:val="none"/>
                <w14:textFill>
                  <w14:solidFill>
                    <w14:schemeClr w14:val="tx1"/>
                  </w14:solidFill>
                </w14:textFill>
              </w:rPr>
            </w:pPr>
          </w:p>
        </w:tc>
      </w:tr>
      <w:tr w14:paraId="597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CC797AA">
            <w:pPr>
              <w:spacing w:line="360" w:lineRule="auto"/>
              <w:jc w:val="center"/>
              <w:rPr>
                <w:color w:val="000000" w:themeColor="text1"/>
                <w:highlight w:val="none"/>
                <w14:textFill>
                  <w14:solidFill>
                    <w14:schemeClr w14:val="tx1"/>
                  </w14:solidFill>
                </w14:textFill>
              </w:rPr>
            </w:pPr>
          </w:p>
        </w:tc>
        <w:tc>
          <w:tcPr>
            <w:tcW w:w="961" w:type="dxa"/>
            <w:vAlign w:val="center"/>
          </w:tcPr>
          <w:p w14:paraId="48FDABD2">
            <w:pPr>
              <w:spacing w:line="360" w:lineRule="auto"/>
              <w:jc w:val="center"/>
              <w:rPr>
                <w:color w:val="000000" w:themeColor="text1"/>
                <w:highlight w:val="none"/>
                <w14:textFill>
                  <w14:solidFill>
                    <w14:schemeClr w14:val="tx1"/>
                  </w14:solidFill>
                </w14:textFill>
              </w:rPr>
            </w:pPr>
          </w:p>
        </w:tc>
        <w:tc>
          <w:tcPr>
            <w:tcW w:w="1257" w:type="dxa"/>
            <w:vAlign w:val="center"/>
          </w:tcPr>
          <w:p w14:paraId="0BAF3F87">
            <w:pPr>
              <w:spacing w:line="360" w:lineRule="auto"/>
              <w:jc w:val="center"/>
              <w:rPr>
                <w:color w:val="000000" w:themeColor="text1"/>
                <w:highlight w:val="none"/>
                <w14:textFill>
                  <w14:solidFill>
                    <w14:schemeClr w14:val="tx1"/>
                  </w14:solidFill>
                </w14:textFill>
              </w:rPr>
            </w:pPr>
          </w:p>
        </w:tc>
        <w:tc>
          <w:tcPr>
            <w:tcW w:w="1257" w:type="dxa"/>
            <w:vAlign w:val="center"/>
          </w:tcPr>
          <w:p w14:paraId="4082DF36">
            <w:pPr>
              <w:spacing w:line="360" w:lineRule="auto"/>
              <w:jc w:val="center"/>
              <w:rPr>
                <w:color w:val="000000" w:themeColor="text1"/>
                <w:highlight w:val="none"/>
                <w14:textFill>
                  <w14:solidFill>
                    <w14:schemeClr w14:val="tx1"/>
                  </w14:solidFill>
                </w14:textFill>
              </w:rPr>
            </w:pPr>
          </w:p>
        </w:tc>
        <w:tc>
          <w:tcPr>
            <w:tcW w:w="1258" w:type="dxa"/>
            <w:vAlign w:val="center"/>
          </w:tcPr>
          <w:p w14:paraId="7B4A871C">
            <w:pPr>
              <w:spacing w:line="360" w:lineRule="auto"/>
              <w:jc w:val="center"/>
              <w:rPr>
                <w:color w:val="000000" w:themeColor="text1"/>
                <w:highlight w:val="none"/>
                <w14:textFill>
                  <w14:solidFill>
                    <w14:schemeClr w14:val="tx1"/>
                  </w14:solidFill>
                </w14:textFill>
              </w:rPr>
            </w:pPr>
          </w:p>
        </w:tc>
        <w:tc>
          <w:tcPr>
            <w:tcW w:w="1257" w:type="dxa"/>
            <w:vAlign w:val="center"/>
          </w:tcPr>
          <w:p w14:paraId="4D7C75D7">
            <w:pPr>
              <w:spacing w:line="360" w:lineRule="auto"/>
              <w:jc w:val="center"/>
              <w:rPr>
                <w:color w:val="000000" w:themeColor="text1"/>
                <w:highlight w:val="none"/>
                <w14:textFill>
                  <w14:solidFill>
                    <w14:schemeClr w14:val="tx1"/>
                  </w14:solidFill>
                </w14:textFill>
              </w:rPr>
            </w:pPr>
          </w:p>
        </w:tc>
        <w:tc>
          <w:tcPr>
            <w:tcW w:w="1258" w:type="dxa"/>
            <w:vAlign w:val="center"/>
          </w:tcPr>
          <w:p w14:paraId="060B18E0">
            <w:pPr>
              <w:spacing w:line="360" w:lineRule="auto"/>
              <w:jc w:val="center"/>
              <w:rPr>
                <w:color w:val="000000" w:themeColor="text1"/>
                <w:highlight w:val="none"/>
                <w14:textFill>
                  <w14:solidFill>
                    <w14:schemeClr w14:val="tx1"/>
                  </w14:solidFill>
                </w14:textFill>
              </w:rPr>
            </w:pPr>
          </w:p>
        </w:tc>
      </w:tr>
      <w:tr w14:paraId="6BCC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6356D62">
            <w:pPr>
              <w:spacing w:line="360" w:lineRule="auto"/>
              <w:jc w:val="center"/>
              <w:rPr>
                <w:color w:val="000000" w:themeColor="text1"/>
                <w:highlight w:val="none"/>
                <w14:textFill>
                  <w14:solidFill>
                    <w14:schemeClr w14:val="tx1"/>
                  </w14:solidFill>
                </w14:textFill>
              </w:rPr>
            </w:pPr>
          </w:p>
        </w:tc>
        <w:tc>
          <w:tcPr>
            <w:tcW w:w="961" w:type="dxa"/>
            <w:vAlign w:val="center"/>
          </w:tcPr>
          <w:p w14:paraId="72862E33">
            <w:pPr>
              <w:spacing w:line="360" w:lineRule="auto"/>
              <w:jc w:val="center"/>
              <w:rPr>
                <w:color w:val="000000" w:themeColor="text1"/>
                <w:highlight w:val="none"/>
                <w14:textFill>
                  <w14:solidFill>
                    <w14:schemeClr w14:val="tx1"/>
                  </w14:solidFill>
                </w14:textFill>
              </w:rPr>
            </w:pPr>
          </w:p>
        </w:tc>
        <w:tc>
          <w:tcPr>
            <w:tcW w:w="1257" w:type="dxa"/>
            <w:vAlign w:val="center"/>
          </w:tcPr>
          <w:p w14:paraId="4411D856">
            <w:pPr>
              <w:spacing w:line="360" w:lineRule="auto"/>
              <w:jc w:val="center"/>
              <w:rPr>
                <w:color w:val="000000" w:themeColor="text1"/>
                <w:highlight w:val="none"/>
                <w14:textFill>
                  <w14:solidFill>
                    <w14:schemeClr w14:val="tx1"/>
                  </w14:solidFill>
                </w14:textFill>
              </w:rPr>
            </w:pPr>
          </w:p>
        </w:tc>
        <w:tc>
          <w:tcPr>
            <w:tcW w:w="1257" w:type="dxa"/>
            <w:vAlign w:val="center"/>
          </w:tcPr>
          <w:p w14:paraId="5B997FA6">
            <w:pPr>
              <w:spacing w:line="360" w:lineRule="auto"/>
              <w:jc w:val="center"/>
              <w:rPr>
                <w:color w:val="000000" w:themeColor="text1"/>
                <w:highlight w:val="none"/>
                <w14:textFill>
                  <w14:solidFill>
                    <w14:schemeClr w14:val="tx1"/>
                  </w14:solidFill>
                </w14:textFill>
              </w:rPr>
            </w:pPr>
          </w:p>
        </w:tc>
        <w:tc>
          <w:tcPr>
            <w:tcW w:w="1258" w:type="dxa"/>
            <w:vAlign w:val="center"/>
          </w:tcPr>
          <w:p w14:paraId="7F791949">
            <w:pPr>
              <w:spacing w:line="360" w:lineRule="auto"/>
              <w:jc w:val="center"/>
              <w:rPr>
                <w:color w:val="000000" w:themeColor="text1"/>
                <w:highlight w:val="none"/>
                <w14:textFill>
                  <w14:solidFill>
                    <w14:schemeClr w14:val="tx1"/>
                  </w14:solidFill>
                </w14:textFill>
              </w:rPr>
            </w:pPr>
          </w:p>
        </w:tc>
        <w:tc>
          <w:tcPr>
            <w:tcW w:w="1257" w:type="dxa"/>
            <w:vAlign w:val="center"/>
          </w:tcPr>
          <w:p w14:paraId="3A200865">
            <w:pPr>
              <w:spacing w:line="360" w:lineRule="auto"/>
              <w:jc w:val="center"/>
              <w:rPr>
                <w:color w:val="000000" w:themeColor="text1"/>
                <w:highlight w:val="none"/>
                <w14:textFill>
                  <w14:solidFill>
                    <w14:schemeClr w14:val="tx1"/>
                  </w14:solidFill>
                </w14:textFill>
              </w:rPr>
            </w:pPr>
          </w:p>
        </w:tc>
        <w:tc>
          <w:tcPr>
            <w:tcW w:w="1258" w:type="dxa"/>
            <w:vAlign w:val="center"/>
          </w:tcPr>
          <w:p w14:paraId="41E5F581">
            <w:pPr>
              <w:spacing w:line="360" w:lineRule="auto"/>
              <w:jc w:val="center"/>
              <w:rPr>
                <w:color w:val="000000" w:themeColor="text1"/>
                <w:highlight w:val="none"/>
                <w14:textFill>
                  <w14:solidFill>
                    <w14:schemeClr w14:val="tx1"/>
                  </w14:solidFill>
                </w14:textFill>
              </w:rPr>
            </w:pPr>
          </w:p>
        </w:tc>
      </w:tr>
      <w:tr w14:paraId="604D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299A35A">
            <w:pPr>
              <w:spacing w:line="360" w:lineRule="auto"/>
              <w:jc w:val="center"/>
              <w:rPr>
                <w:color w:val="000000" w:themeColor="text1"/>
                <w:highlight w:val="none"/>
                <w14:textFill>
                  <w14:solidFill>
                    <w14:schemeClr w14:val="tx1"/>
                  </w14:solidFill>
                </w14:textFill>
              </w:rPr>
            </w:pPr>
          </w:p>
        </w:tc>
        <w:tc>
          <w:tcPr>
            <w:tcW w:w="961" w:type="dxa"/>
            <w:vAlign w:val="center"/>
          </w:tcPr>
          <w:p w14:paraId="30BD65F2">
            <w:pPr>
              <w:spacing w:line="360" w:lineRule="auto"/>
              <w:jc w:val="center"/>
              <w:rPr>
                <w:color w:val="000000" w:themeColor="text1"/>
                <w:highlight w:val="none"/>
                <w14:textFill>
                  <w14:solidFill>
                    <w14:schemeClr w14:val="tx1"/>
                  </w14:solidFill>
                </w14:textFill>
              </w:rPr>
            </w:pPr>
          </w:p>
        </w:tc>
        <w:tc>
          <w:tcPr>
            <w:tcW w:w="1257" w:type="dxa"/>
            <w:vAlign w:val="center"/>
          </w:tcPr>
          <w:p w14:paraId="09780CD2">
            <w:pPr>
              <w:spacing w:line="360" w:lineRule="auto"/>
              <w:jc w:val="center"/>
              <w:rPr>
                <w:color w:val="000000" w:themeColor="text1"/>
                <w:highlight w:val="none"/>
                <w14:textFill>
                  <w14:solidFill>
                    <w14:schemeClr w14:val="tx1"/>
                  </w14:solidFill>
                </w14:textFill>
              </w:rPr>
            </w:pPr>
          </w:p>
        </w:tc>
        <w:tc>
          <w:tcPr>
            <w:tcW w:w="1257" w:type="dxa"/>
            <w:vAlign w:val="center"/>
          </w:tcPr>
          <w:p w14:paraId="442D9FE7">
            <w:pPr>
              <w:spacing w:line="360" w:lineRule="auto"/>
              <w:jc w:val="center"/>
              <w:rPr>
                <w:color w:val="000000" w:themeColor="text1"/>
                <w:highlight w:val="none"/>
                <w14:textFill>
                  <w14:solidFill>
                    <w14:schemeClr w14:val="tx1"/>
                  </w14:solidFill>
                </w14:textFill>
              </w:rPr>
            </w:pPr>
          </w:p>
        </w:tc>
        <w:tc>
          <w:tcPr>
            <w:tcW w:w="1258" w:type="dxa"/>
            <w:vAlign w:val="center"/>
          </w:tcPr>
          <w:p w14:paraId="15C613B5">
            <w:pPr>
              <w:spacing w:line="360" w:lineRule="auto"/>
              <w:jc w:val="center"/>
              <w:rPr>
                <w:color w:val="000000" w:themeColor="text1"/>
                <w:highlight w:val="none"/>
                <w14:textFill>
                  <w14:solidFill>
                    <w14:schemeClr w14:val="tx1"/>
                  </w14:solidFill>
                </w14:textFill>
              </w:rPr>
            </w:pPr>
          </w:p>
        </w:tc>
        <w:tc>
          <w:tcPr>
            <w:tcW w:w="1257" w:type="dxa"/>
            <w:vAlign w:val="center"/>
          </w:tcPr>
          <w:p w14:paraId="34661173">
            <w:pPr>
              <w:spacing w:line="360" w:lineRule="auto"/>
              <w:jc w:val="center"/>
              <w:rPr>
                <w:color w:val="000000" w:themeColor="text1"/>
                <w:highlight w:val="none"/>
                <w14:textFill>
                  <w14:solidFill>
                    <w14:schemeClr w14:val="tx1"/>
                  </w14:solidFill>
                </w14:textFill>
              </w:rPr>
            </w:pPr>
          </w:p>
        </w:tc>
        <w:tc>
          <w:tcPr>
            <w:tcW w:w="1258" w:type="dxa"/>
            <w:vAlign w:val="center"/>
          </w:tcPr>
          <w:p w14:paraId="391A0DB1">
            <w:pPr>
              <w:spacing w:line="360" w:lineRule="auto"/>
              <w:jc w:val="center"/>
              <w:rPr>
                <w:color w:val="000000" w:themeColor="text1"/>
                <w:highlight w:val="none"/>
                <w14:textFill>
                  <w14:solidFill>
                    <w14:schemeClr w14:val="tx1"/>
                  </w14:solidFill>
                </w14:textFill>
              </w:rPr>
            </w:pPr>
          </w:p>
        </w:tc>
      </w:tr>
    </w:tbl>
    <w:p w14:paraId="2AA45C82">
      <w:pPr>
        <w:rPr>
          <w:color w:val="000000" w:themeColor="text1"/>
          <w:highlight w:val="none"/>
          <w14:textFill>
            <w14:solidFill>
              <w14:schemeClr w14:val="tx1"/>
            </w14:solidFill>
          </w14:textFill>
        </w:rPr>
      </w:pPr>
    </w:p>
    <w:p w14:paraId="56E358CF">
      <w:pPr>
        <w:rPr>
          <w:b/>
          <w:bCs/>
          <w:color w:val="000000" w:themeColor="text1"/>
          <w:highlight w:val="none"/>
          <w14:textFill>
            <w14:solidFill>
              <w14:schemeClr w14:val="tx1"/>
            </w14:solidFill>
          </w14:textFill>
        </w:rPr>
      </w:pPr>
    </w:p>
    <w:p w14:paraId="7474EB88">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附表二：计划开、竣工日期和施工进度计划（网络图或横道图）</w:t>
      </w:r>
    </w:p>
    <w:p w14:paraId="18D64B94">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供应商应提交施工进度计划，说明按磋商文件要求的工期进行施工的各个关键日期。成交的供应商还应按合同条件有关条款的要求提交详细的施工进度计划。</w:t>
      </w:r>
    </w:p>
    <w:p w14:paraId="42DF15CE">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s="宋体"/>
          <w:color w:val="000000" w:themeColor="text1"/>
          <w:highlight w:val="none"/>
          <w14:textFill>
            <w14:solidFill>
              <w14:schemeClr w14:val="tx1"/>
            </w14:solidFill>
          </w14:textFill>
        </w:rPr>
        <w:t>施工进度计划可采用网络图（或横道图）表示，说明计划开工日期和各分项工程各阶段的完工日期和分包合同签订的日期。</w:t>
      </w:r>
    </w:p>
    <w:p w14:paraId="4A443E37">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cs="宋体"/>
          <w:color w:val="000000" w:themeColor="text1"/>
          <w:highlight w:val="none"/>
          <w14:textFill>
            <w14:solidFill>
              <w14:schemeClr w14:val="tx1"/>
            </w14:solidFill>
          </w14:textFill>
        </w:rPr>
        <w:t>施工进度计划应与施工组织设计相适应。</w:t>
      </w:r>
    </w:p>
    <w:p w14:paraId="07CC02B1">
      <w:pPr>
        <w:spacing w:line="360" w:lineRule="auto"/>
        <w:ind w:left="-6" w:firstLine="420"/>
        <w:rPr>
          <w:color w:val="000000" w:themeColor="text1"/>
          <w:highlight w:val="none"/>
          <w14:textFill>
            <w14:solidFill>
              <w14:schemeClr w14:val="tx1"/>
            </w14:solidFill>
          </w14:textFill>
        </w:rPr>
      </w:pPr>
    </w:p>
    <w:p w14:paraId="5F35AD7F">
      <w:pPr>
        <w:rPr>
          <w:color w:val="000000" w:themeColor="text1"/>
          <w:highlight w:val="none"/>
          <w14:textFill>
            <w14:solidFill>
              <w14:schemeClr w14:val="tx1"/>
            </w14:solidFill>
          </w14:textFill>
        </w:rPr>
      </w:pPr>
    </w:p>
    <w:p w14:paraId="0347EE88">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附表三：施工总平面图</w:t>
      </w:r>
    </w:p>
    <w:p w14:paraId="04BA595F">
      <w:pPr>
        <w:spacing w:line="460" w:lineRule="exact"/>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供应商应递交一份施工总平面图，绘出现场临时设施布置图表并附文字说明，说明临时设施、加工车间、现场办公、设备及仓储、供电、供水、卫生、生活、道路、消防等设施的情况和布置。</w:t>
      </w:r>
    </w:p>
    <w:p w14:paraId="762A99FE">
      <w:pPr>
        <w:rPr>
          <w:color w:val="000000" w:themeColor="text1"/>
          <w:highlight w:val="none"/>
          <w14:textFill>
            <w14:solidFill>
              <w14:schemeClr w14:val="tx1"/>
            </w14:solidFill>
          </w14:textFill>
        </w:rPr>
      </w:pPr>
    </w:p>
    <w:p w14:paraId="44F319ED">
      <w:pPr>
        <w:rPr>
          <w:color w:val="000000" w:themeColor="text1"/>
          <w:highlight w:val="none"/>
          <w14:textFill>
            <w14:solidFill>
              <w14:schemeClr w14:val="tx1"/>
            </w14:solidFill>
          </w14:textFill>
        </w:rPr>
      </w:pPr>
    </w:p>
    <w:p w14:paraId="13EFECC8">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附表四：临时用地表</w:t>
      </w:r>
    </w:p>
    <w:tbl>
      <w:tblPr>
        <w:tblStyle w:val="4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2B9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568845C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用途</w:t>
            </w:r>
          </w:p>
        </w:tc>
        <w:tc>
          <w:tcPr>
            <w:tcW w:w="2357" w:type="dxa"/>
            <w:vAlign w:val="center"/>
          </w:tcPr>
          <w:p w14:paraId="70E6171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面积（平方米）</w:t>
            </w:r>
          </w:p>
        </w:tc>
        <w:tc>
          <w:tcPr>
            <w:tcW w:w="2356" w:type="dxa"/>
            <w:vAlign w:val="center"/>
          </w:tcPr>
          <w:p w14:paraId="70C887D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位置</w:t>
            </w:r>
          </w:p>
        </w:tc>
        <w:tc>
          <w:tcPr>
            <w:tcW w:w="2136" w:type="dxa"/>
            <w:vAlign w:val="center"/>
          </w:tcPr>
          <w:p w14:paraId="4DBF53B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需用时间</w:t>
            </w:r>
          </w:p>
        </w:tc>
      </w:tr>
      <w:tr w14:paraId="688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7B9E11F">
            <w:pPr>
              <w:rPr>
                <w:color w:val="000000" w:themeColor="text1"/>
                <w:highlight w:val="none"/>
                <w14:textFill>
                  <w14:solidFill>
                    <w14:schemeClr w14:val="tx1"/>
                  </w14:solidFill>
                </w14:textFill>
              </w:rPr>
            </w:pPr>
          </w:p>
        </w:tc>
        <w:tc>
          <w:tcPr>
            <w:tcW w:w="2357" w:type="dxa"/>
          </w:tcPr>
          <w:p w14:paraId="1EAB0649">
            <w:pPr>
              <w:rPr>
                <w:color w:val="000000" w:themeColor="text1"/>
                <w:highlight w:val="none"/>
                <w14:textFill>
                  <w14:solidFill>
                    <w14:schemeClr w14:val="tx1"/>
                  </w14:solidFill>
                </w14:textFill>
              </w:rPr>
            </w:pPr>
          </w:p>
        </w:tc>
        <w:tc>
          <w:tcPr>
            <w:tcW w:w="2356" w:type="dxa"/>
          </w:tcPr>
          <w:p w14:paraId="7847656E">
            <w:pPr>
              <w:rPr>
                <w:color w:val="000000" w:themeColor="text1"/>
                <w:highlight w:val="none"/>
                <w14:textFill>
                  <w14:solidFill>
                    <w14:schemeClr w14:val="tx1"/>
                  </w14:solidFill>
                </w14:textFill>
              </w:rPr>
            </w:pPr>
          </w:p>
        </w:tc>
        <w:tc>
          <w:tcPr>
            <w:tcW w:w="2136" w:type="dxa"/>
          </w:tcPr>
          <w:p w14:paraId="1F8CCD5A">
            <w:pPr>
              <w:rPr>
                <w:color w:val="000000" w:themeColor="text1"/>
                <w:highlight w:val="none"/>
                <w14:textFill>
                  <w14:solidFill>
                    <w14:schemeClr w14:val="tx1"/>
                  </w14:solidFill>
                </w14:textFill>
              </w:rPr>
            </w:pPr>
          </w:p>
        </w:tc>
      </w:tr>
      <w:tr w14:paraId="1D01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DAE171">
            <w:pPr>
              <w:rPr>
                <w:color w:val="000000" w:themeColor="text1"/>
                <w:highlight w:val="none"/>
                <w14:textFill>
                  <w14:solidFill>
                    <w14:schemeClr w14:val="tx1"/>
                  </w14:solidFill>
                </w14:textFill>
              </w:rPr>
            </w:pPr>
          </w:p>
        </w:tc>
        <w:tc>
          <w:tcPr>
            <w:tcW w:w="2357" w:type="dxa"/>
          </w:tcPr>
          <w:p w14:paraId="488A6504">
            <w:pPr>
              <w:rPr>
                <w:color w:val="000000" w:themeColor="text1"/>
                <w:highlight w:val="none"/>
                <w14:textFill>
                  <w14:solidFill>
                    <w14:schemeClr w14:val="tx1"/>
                  </w14:solidFill>
                </w14:textFill>
              </w:rPr>
            </w:pPr>
          </w:p>
        </w:tc>
        <w:tc>
          <w:tcPr>
            <w:tcW w:w="2356" w:type="dxa"/>
          </w:tcPr>
          <w:p w14:paraId="0481618E">
            <w:pPr>
              <w:rPr>
                <w:color w:val="000000" w:themeColor="text1"/>
                <w:highlight w:val="none"/>
                <w14:textFill>
                  <w14:solidFill>
                    <w14:schemeClr w14:val="tx1"/>
                  </w14:solidFill>
                </w14:textFill>
              </w:rPr>
            </w:pPr>
          </w:p>
        </w:tc>
        <w:tc>
          <w:tcPr>
            <w:tcW w:w="2136" w:type="dxa"/>
          </w:tcPr>
          <w:p w14:paraId="16B0D2A9">
            <w:pPr>
              <w:rPr>
                <w:color w:val="000000" w:themeColor="text1"/>
                <w:highlight w:val="none"/>
                <w14:textFill>
                  <w14:solidFill>
                    <w14:schemeClr w14:val="tx1"/>
                  </w14:solidFill>
                </w14:textFill>
              </w:rPr>
            </w:pPr>
          </w:p>
        </w:tc>
      </w:tr>
      <w:tr w14:paraId="1C88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AA599E8">
            <w:pPr>
              <w:rPr>
                <w:color w:val="000000" w:themeColor="text1"/>
                <w:highlight w:val="none"/>
                <w14:textFill>
                  <w14:solidFill>
                    <w14:schemeClr w14:val="tx1"/>
                  </w14:solidFill>
                </w14:textFill>
              </w:rPr>
            </w:pPr>
          </w:p>
        </w:tc>
        <w:tc>
          <w:tcPr>
            <w:tcW w:w="2357" w:type="dxa"/>
          </w:tcPr>
          <w:p w14:paraId="62167DC5">
            <w:pPr>
              <w:rPr>
                <w:color w:val="000000" w:themeColor="text1"/>
                <w:highlight w:val="none"/>
                <w14:textFill>
                  <w14:solidFill>
                    <w14:schemeClr w14:val="tx1"/>
                  </w14:solidFill>
                </w14:textFill>
              </w:rPr>
            </w:pPr>
          </w:p>
        </w:tc>
        <w:tc>
          <w:tcPr>
            <w:tcW w:w="2356" w:type="dxa"/>
          </w:tcPr>
          <w:p w14:paraId="0DAB37FF">
            <w:pPr>
              <w:rPr>
                <w:color w:val="000000" w:themeColor="text1"/>
                <w:highlight w:val="none"/>
                <w14:textFill>
                  <w14:solidFill>
                    <w14:schemeClr w14:val="tx1"/>
                  </w14:solidFill>
                </w14:textFill>
              </w:rPr>
            </w:pPr>
          </w:p>
        </w:tc>
        <w:tc>
          <w:tcPr>
            <w:tcW w:w="2136" w:type="dxa"/>
          </w:tcPr>
          <w:p w14:paraId="2475CDD2">
            <w:pPr>
              <w:rPr>
                <w:color w:val="000000" w:themeColor="text1"/>
                <w:highlight w:val="none"/>
                <w14:textFill>
                  <w14:solidFill>
                    <w14:schemeClr w14:val="tx1"/>
                  </w14:solidFill>
                </w14:textFill>
              </w:rPr>
            </w:pPr>
          </w:p>
        </w:tc>
      </w:tr>
      <w:tr w14:paraId="643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AA6EEFE">
            <w:pPr>
              <w:rPr>
                <w:color w:val="000000" w:themeColor="text1"/>
                <w:highlight w:val="none"/>
                <w14:textFill>
                  <w14:solidFill>
                    <w14:schemeClr w14:val="tx1"/>
                  </w14:solidFill>
                </w14:textFill>
              </w:rPr>
            </w:pPr>
          </w:p>
        </w:tc>
        <w:tc>
          <w:tcPr>
            <w:tcW w:w="2357" w:type="dxa"/>
          </w:tcPr>
          <w:p w14:paraId="4A606D64">
            <w:pPr>
              <w:rPr>
                <w:color w:val="000000" w:themeColor="text1"/>
                <w:highlight w:val="none"/>
                <w14:textFill>
                  <w14:solidFill>
                    <w14:schemeClr w14:val="tx1"/>
                  </w14:solidFill>
                </w14:textFill>
              </w:rPr>
            </w:pPr>
          </w:p>
        </w:tc>
        <w:tc>
          <w:tcPr>
            <w:tcW w:w="2356" w:type="dxa"/>
          </w:tcPr>
          <w:p w14:paraId="7EBD4394">
            <w:pPr>
              <w:rPr>
                <w:color w:val="000000" w:themeColor="text1"/>
                <w:highlight w:val="none"/>
                <w14:textFill>
                  <w14:solidFill>
                    <w14:schemeClr w14:val="tx1"/>
                  </w14:solidFill>
                </w14:textFill>
              </w:rPr>
            </w:pPr>
          </w:p>
        </w:tc>
        <w:tc>
          <w:tcPr>
            <w:tcW w:w="2136" w:type="dxa"/>
          </w:tcPr>
          <w:p w14:paraId="251BE939">
            <w:pPr>
              <w:rPr>
                <w:color w:val="000000" w:themeColor="text1"/>
                <w:highlight w:val="none"/>
                <w14:textFill>
                  <w14:solidFill>
                    <w14:schemeClr w14:val="tx1"/>
                  </w14:solidFill>
                </w14:textFill>
              </w:rPr>
            </w:pPr>
          </w:p>
        </w:tc>
      </w:tr>
    </w:tbl>
    <w:p w14:paraId="47693020">
      <w:pPr>
        <w:spacing w:line="360" w:lineRule="auto"/>
        <w:ind w:firstLine="880" w:firstLineChars="200"/>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6AF194EE">
      <w:pPr>
        <w:spacing w:line="36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4063BEC5">
      <w:pPr>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280E288B">
      <w:pPr>
        <w:spacing w:line="360" w:lineRule="auto"/>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w:t>
      </w:r>
    </w:p>
    <w:p w14:paraId="5730BB89">
      <w:pPr>
        <w:adjustRightInd w:val="0"/>
        <w:snapToGrid w:val="0"/>
        <w:spacing w:line="360" w:lineRule="auto"/>
        <w:jc w:val="center"/>
        <w:rPr>
          <w:rFonts w:ascii="宋体" w:hAnsi="宋体"/>
          <w:b/>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bookmarkStart w:id="206" w:name="OLE_LINK27"/>
      <w:bookmarkStart w:id="207" w:name="OLE_LINK28"/>
      <w:r>
        <w:rPr>
          <w:rFonts w:hint="eastAsia" w:ascii="宋体" w:hAnsi="宋体" w:cs="方正小标宋简体"/>
          <w:b/>
          <w:bCs/>
          <w:color w:val="000000" w:themeColor="text1"/>
          <w:sz w:val="32"/>
          <w:szCs w:val="32"/>
          <w:highlight w:val="none"/>
          <w14:textFill>
            <w14:solidFill>
              <w14:schemeClr w14:val="tx1"/>
            </w14:solidFill>
          </w14:textFill>
        </w:rPr>
        <w:t>项目管理机构配备情况表及主要人员简历表</w:t>
      </w:r>
      <w:bookmarkEnd w:id="206"/>
      <w:bookmarkEnd w:id="207"/>
    </w:p>
    <w:p w14:paraId="70294EC7">
      <w:pPr>
        <w:snapToGrid w:val="0"/>
        <w:spacing w:beforeLines="50" w:after="50"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（一）项目管理机构配备情况表</w:t>
      </w:r>
    </w:p>
    <w:p w14:paraId="52B91E2B">
      <w:pPr>
        <w:pStyle w:val="25"/>
        <w:spacing w:line="360" w:lineRule="auto"/>
        <w:contextualSpacing/>
        <w:rPr>
          <w:color w:val="000000" w:themeColor="text1"/>
          <w:sz w:val="24"/>
          <w:szCs w:val="24"/>
          <w:highlight w:val="none"/>
          <w14:textFill>
            <w14:solidFill>
              <w14:schemeClr w14:val="tx1"/>
            </w14:solidFill>
          </w14:textFill>
        </w:rPr>
      </w:pPr>
      <w:r>
        <w:rPr>
          <w:rFonts w:hint="eastAsia" w:hAnsi="宋体" w:cs="仿宋_GB2312"/>
          <w:color w:val="000000" w:themeColor="text1"/>
          <w:sz w:val="24"/>
          <w:highlight w:val="none"/>
          <w14:textFill>
            <w14:solidFill>
              <w14:schemeClr w14:val="tx1"/>
            </w14:solidFill>
          </w14:textFill>
        </w:rPr>
        <w:t>分标（如有）</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p>
    <w:tbl>
      <w:tblPr>
        <w:tblStyle w:val="4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CA6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2FA09016">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岗位</w:t>
            </w:r>
          </w:p>
        </w:tc>
        <w:tc>
          <w:tcPr>
            <w:tcW w:w="670" w:type="dxa"/>
            <w:vMerge w:val="restart"/>
            <w:vAlign w:val="center"/>
          </w:tcPr>
          <w:p w14:paraId="499ED81C">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829" w:type="dxa"/>
            <w:vMerge w:val="restart"/>
            <w:vAlign w:val="center"/>
          </w:tcPr>
          <w:p w14:paraId="1ED306F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w:t>
            </w:r>
          </w:p>
        </w:tc>
        <w:tc>
          <w:tcPr>
            <w:tcW w:w="816" w:type="dxa"/>
            <w:vMerge w:val="restart"/>
            <w:vAlign w:val="center"/>
          </w:tcPr>
          <w:p w14:paraId="45E57292">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4188" w:type="dxa"/>
            <w:gridSpan w:val="4"/>
            <w:vAlign w:val="center"/>
          </w:tcPr>
          <w:p w14:paraId="0BD36D0A">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执业或职业资格</w:t>
            </w:r>
          </w:p>
        </w:tc>
        <w:tc>
          <w:tcPr>
            <w:tcW w:w="2443" w:type="dxa"/>
            <w:gridSpan w:val="2"/>
            <w:vAlign w:val="center"/>
          </w:tcPr>
          <w:p w14:paraId="5956BF42">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承担完工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在建工程情况</w:t>
            </w:r>
          </w:p>
        </w:tc>
      </w:tr>
      <w:tr w14:paraId="304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82C7A67">
            <w:pPr>
              <w:ind w:left="223" w:hanging="222" w:hangingChars="106"/>
              <w:jc w:val="center"/>
              <w:rPr>
                <w:color w:val="000000" w:themeColor="text1"/>
                <w:highlight w:val="none"/>
                <w14:textFill>
                  <w14:solidFill>
                    <w14:schemeClr w14:val="tx1"/>
                  </w14:solidFill>
                </w14:textFill>
              </w:rPr>
            </w:pPr>
          </w:p>
        </w:tc>
        <w:tc>
          <w:tcPr>
            <w:tcW w:w="670" w:type="dxa"/>
            <w:vMerge w:val="continue"/>
            <w:vAlign w:val="center"/>
          </w:tcPr>
          <w:p w14:paraId="0E92F55A">
            <w:pPr>
              <w:ind w:left="223" w:hanging="222" w:hangingChars="106"/>
              <w:jc w:val="center"/>
              <w:rPr>
                <w:color w:val="000000" w:themeColor="text1"/>
                <w:highlight w:val="none"/>
                <w14:textFill>
                  <w14:solidFill>
                    <w14:schemeClr w14:val="tx1"/>
                  </w14:solidFill>
                </w14:textFill>
              </w:rPr>
            </w:pPr>
          </w:p>
        </w:tc>
        <w:tc>
          <w:tcPr>
            <w:tcW w:w="829" w:type="dxa"/>
            <w:vMerge w:val="continue"/>
            <w:vAlign w:val="center"/>
          </w:tcPr>
          <w:p w14:paraId="1D376984">
            <w:pPr>
              <w:ind w:left="223" w:hanging="222" w:hangingChars="106"/>
              <w:jc w:val="center"/>
              <w:rPr>
                <w:color w:val="000000" w:themeColor="text1"/>
                <w:highlight w:val="none"/>
                <w14:textFill>
                  <w14:solidFill>
                    <w14:schemeClr w14:val="tx1"/>
                  </w14:solidFill>
                </w14:textFill>
              </w:rPr>
            </w:pPr>
          </w:p>
        </w:tc>
        <w:tc>
          <w:tcPr>
            <w:tcW w:w="816" w:type="dxa"/>
            <w:vMerge w:val="continue"/>
            <w:vAlign w:val="center"/>
          </w:tcPr>
          <w:p w14:paraId="20D733F0">
            <w:pPr>
              <w:ind w:left="223" w:hanging="222" w:hangingChars="106"/>
              <w:jc w:val="center"/>
              <w:rPr>
                <w:color w:val="000000" w:themeColor="text1"/>
                <w:highlight w:val="none"/>
                <w14:textFill>
                  <w14:solidFill>
                    <w14:schemeClr w14:val="tx1"/>
                  </w14:solidFill>
                </w14:textFill>
              </w:rPr>
            </w:pPr>
          </w:p>
        </w:tc>
        <w:tc>
          <w:tcPr>
            <w:tcW w:w="1148" w:type="dxa"/>
            <w:vAlign w:val="center"/>
          </w:tcPr>
          <w:p w14:paraId="4F997540">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1148" w:type="dxa"/>
            <w:vAlign w:val="center"/>
          </w:tcPr>
          <w:p w14:paraId="5724E2B3">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148" w:type="dxa"/>
            <w:vAlign w:val="center"/>
          </w:tcPr>
          <w:p w14:paraId="679FB4C5">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744" w:type="dxa"/>
            <w:vAlign w:val="center"/>
          </w:tcPr>
          <w:p w14:paraId="7738D034">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1167" w:type="dxa"/>
            <w:vAlign w:val="center"/>
          </w:tcPr>
          <w:p w14:paraId="6F8B76A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完工/在建</w:t>
            </w:r>
          </w:p>
        </w:tc>
        <w:tc>
          <w:tcPr>
            <w:tcW w:w="1276" w:type="dxa"/>
            <w:vAlign w:val="center"/>
          </w:tcPr>
          <w:p w14:paraId="534CA57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主要项目</w:t>
            </w:r>
          </w:p>
          <w:p w14:paraId="415E624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r>
      <w:tr w14:paraId="13A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395744">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1.</w:t>
            </w:r>
            <w:r>
              <w:rPr>
                <w:color w:val="000000" w:themeColor="text1"/>
                <w:sz w:val="21"/>
                <w:szCs w:val="21"/>
                <w:highlight w:val="none"/>
                <w14:textFill>
                  <w14:solidFill>
                    <w14:schemeClr w14:val="tx1"/>
                  </w14:solidFill>
                </w14:textFill>
              </w:rPr>
              <w:t>项目经理</w:t>
            </w:r>
          </w:p>
        </w:tc>
        <w:tc>
          <w:tcPr>
            <w:tcW w:w="670" w:type="dxa"/>
            <w:vAlign w:val="center"/>
          </w:tcPr>
          <w:p w14:paraId="11869C07">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3A04EB30">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ABC9CC1">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99921B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C8426A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D2132DC">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460A67C0">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49098D37">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4ED7AA32">
            <w:pPr>
              <w:ind w:left="223" w:hanging="222" w:hangingChars="106"/>
              <w:jc w:val="center"/>
              <w:rPr>
                <w:color w:val="000000" w:themeColor="text1"/>
                <w:szCs w:val="21"/>
                <w:highlight w:val="none"/>
                <w14:textFill>
                  <w14:solidFill>
                    <w14:schemeClr w14:val="tx1"/>
                  </w14:solidFill>
                </w14:textFill>
              </w:rPr>
            </w:pPr>
          </w:p>
        </w:tc>
      </w:tr>
      <w:tr w14:paraId="723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2D6E8A5">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bidi="en-US"/>
                <w14:textFill>
                  <w14:solidFill>
                    <w14:schemeClr w14:val="tx1"/>
                  </w14:solidFill>
                </w14:textFill>
              </w:rPr>
              <w:t>2.</w:t>
            </w:r>
            <w:r>
              <w:rPr>
                <w:color w:val="000000" w:themeColor="text1"/>
                <w:sz w:val="21"/>
                <w:szCs w:val="21"/>
                <w:highlight w:val="none"/>
                <w14:textFill>
                  <w14:solidFill>
                    <w14:schemeClr w14:val="tx1"/>
                  </w14:solidFill>
                </w14:textFill>
              </w:rPr>
              <w:t>技术负责人</w:t>
            </w:r>
            <w:r>
              <w:rPr>
                <w:rFonts w:hint="eastAsia"/>
                <w:color w:val="000000" w:themeColor="text1"/>
                <w:sz w:val="21"/>
                <w:szCs w:val="21"/>
                <w:highlight w:val="none"/>
                <w14:textFill>
                  <w14:solidFill>
                    <w14:schemeClr w14:val="tx1"/>
                  </w14:solidFill>
                </w14:textFill>
              </w:rPr>
              <w:t>（项目总工）</w:t>
            </w:r>
          </w:p>
        </w:tc>
        <w:tc>
          <w:tcPr>
            <w:tcW w:w="670" w:type="dxa"/>
            <w:vAlign w:val="center"/>
          </w:tcPr>
          <w:p w14:paraId="71AAA064">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1BD5CD14">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00E0EC98">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716F7B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7606552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0ED5605B">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6D6C6F1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474BDF4B">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670D389A">
            <w:pPr>
              <w:ind w:left="223" w:hanging="222" w:hangingChars="106"/>
              <w:jc w:val="center"/>
              <w:rPr>
                <w:color w:val="000000" w:themeColor="text1"/>
                <w:szCs w:val="21"/>
                <w:highlight w:val="none"/>
                <w14:textFill>
                  <w14:solidFill>
                    <w14:schemeClr w14:val="tx1"/>
                  </w14:solidFill>
                </w14:textFill>
              </w:rPr>
            </w:pPr>
          </w:p>
        </w:tc>
      </w:tr>
      <w:tr w14:paraId="49FD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35CE9BA">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 xml:space="preserve"> 施工员</w:t>
            </w:r>
          </w:p>
        </w:tc>
        <w:tc>
          <w:tcPr>
            <w:tcW w:w="670" w:type="dxa"/>
            <w:vAlign w:val="center"/>
          </w:tcPr>
          <w:p w14:paraId="0321EE32">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7579EBD9">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701E3230">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3DDD106">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3AF8D55">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3DC3B5D">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61E1EA3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50998631">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5FE9EFAF">
            <w:pPr>
              <w:ind w:left="223" w:hanging="222" w:hangingChars="106"/>
              <w:jc w:val="center"/>
              <w:rPr>
                <w:color w:val="000000" w:themeColor="text1"/>
                <w:szCs w:val="21"/>
                <w:highlight w:val="none"/>
                <w14:textFill>
                  <w14:solidFill>
                    <w14:schemeClr w14:val="tx1"/>
                  </w14:solidFill>
                </w14:textFill>
              </w:rPr>
            </w:pPr>
          </w:p>
        </w:tc>
      </w:tr>
      <w:tr w14:paraId="269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122B447">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4.</w:t>
            </w:r>
            <w:r>
              <w:rPr>
                <w:color w:val="000000" w:themeColor="text1"/>
                <w:sz w:val="21"/>
                <w:szCs w:val="21"/>
                <w:highlight w:val="none"/>
                <w14:textFill>
                  <w14:solidFill>
                    <w14:schemeClr w14:val="tx1"/>
                  </w14:solidFill>
                </w14:textFill>
              </w:rPr>
              <w:t>安全员</w:t>
            </w:r>
          </w:p>
        </w:tc>
        <w:tc>
          <w:tcPr>
            <w:tcW w:w="670" w:type="dxa"/>
            <w:vAlign w:val="center"/>
          </w:tcPr>
          <w:p w14:paraId="6C2A5AFA">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21831085">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1DB9A7C">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6AD301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9958EDB">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C8D742C">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3754C47E">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3D85EFC2">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0C3CF46C">
            <w:pPr>
              <w:ind w:left="223" w:hanging="222" w:hangingChars="106"/>
              <w:jc w:val="center"/>
              <w:rPr>
                <w:color w:val="000000" w:themeColor="text1"/>
                <w:szCs w:val="21"/>
                <w:highlight w:val="none"/>
                <w14:textFill>
                  <w14:solidFill>
                    <w14:schemeClr w14:val="tx1"/>
                  </w14:solidFill>
                </w14:textFill>
              </w:rPr>
            </w:pPr>
          </w:p>
        </w:tc>
      </w:tr>
      <w:tr w14:paraId="4B1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4DA0BF6">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质量员</w:t>
            </w:r>
          </w:p>
        </w:tc>
        <w:tc>
          <w:tcPr>
            <w:tcW w:w="670" w:type="dxa"/>
            <w:vAlign w:val="center"/>
          </w:tcPr>
          <w:p w14:paraId="503AA978">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379BBE08">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1FA30998">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2C3583A">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5269DD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9D85632">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7E5487FF">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65CE3CA0">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3A772242">
            <w:pPr>
              <w:ind w:left="223" w:hanging="222" w:hangingChars="106"/>
              <w:jc w:val="center"/>
              <w:rPr>
                <w:color w:val="000000" w:themeColor="text1"/>
                <w:szCs w:val="21"/>
                <w:highlight w:val="none"/>
                <w14:textFill>
                  <w14:solidFill>
                    <w14:schemeClr w14:val="tx1"/>
                  </w14:solidFill>
                </w14:textFill>
              </w:rPr>
            </w:pPr>
          </w:p>
        </w:tc>
      </w:tr>
      <w:tr w14:paraId="675A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BDB118C">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6.材料员</w:t>
            </w:r>
          </w:p>
        </w:tc>
        <w:tc>
          <w:tcPr>
            <w:tcW w:w="670" w:type="dxa"/>
            <w:vAlign w:val="center"/>
          </w:tcPr>
          <w:p w14:paraId="27A85A8A">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2B29A270">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5435BB40">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2935929">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3392BF1">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86F1D0F">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5C1F3C7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0DFA87AA">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6DFE6F88">
            <w:pPr>
              <w:ind w:left="223" w:hanging="222" w:hangingChars="106"/>
              <w:jc w:val="center"/>
              <w:rPr>
                <w:color w:val="000000" w:themeColor="text1"/>
                <w:szCs w:val="21"/>
                <w:highlight w:val="none"/>
                <w14:textFill>
                  <w14:solidFill>
                    <w14:schemeClr w14:val="tx1"/>
                  </w14:solidFill>
                </w14:textFill>
              </w:rPr>
            </w:pPr>
          </w:p>
        </w:tc>
      </w:tr>
      <w:tr w14:paraId="311D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CAFECEC">
            <w:pPr>
              <w:ind w:left="223" w:hanging="222" w:hangingChars="106"/>
              <w:jc w:val="center"/>
              <w:rPr>
                <w:color w:val="000000" w:themeColor="text1"/>
                <w:szCs w:val="21"/>
                <w:highlight w:val="none"/>
                <w14:textFill>
                  <w14:solidFill>
                    <w14:schemeClr w14:val="tx1"/>
                  </w14:solidFill>
                </w14:textFill>
              </w:rPr>
            </w:pPr>
          </w:p>
        </w:tc>
        <w:tc>
          <w:tcPr>
            <w:tcW w:w="670" w:type="dxa"/>
            <w:vAlign w:val="center"/>
          </w:tcPr>
          <w:p w14:paraId="6116C7AB">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60F7FE04">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97DF85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79DC1B3C">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83F5039">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B9CCB8B">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15D4AA70">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241E2BAB">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5E48328F">
            <w:pPr>
              <w:ind w:left="223" w:hanging="222" w:hangingChars="106"/>
              <w:jc w:val="center"/>
              <w:rPr>
                <w:color w:val="000000" w:themeColor="text1"/>
                <w:szCs w:val="21"/>
                <w:highlight w:val="none"/>
                <w14:textFill>
                  <w14:solidFill>
                    <w14:schemeClr w14:val="tx1"/>
                  </w14:solidFill>
                </w14:textFill>
              </w:rPr>
            </w:pPr>
          </w:p>
        </w:tc>
      </w:tr>
      <w:tr w14:paraId="06A5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695FFB45">
            <w:pPr>
              <w:spacing w:line="360" w:lineRule="auto"/>
              <w:ind w:left="223" w:hanging="222" w:hangingChars="10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0516A46E">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备注：</w:t>
      </w:r>
    </w:p>
    <w:p w14:paraId="4AE20CCA">
      <w:pPr>
        <w:spacing w:line="360" w:lineRule="auto"/>
        <w:ind w:firstLine="480" w:firstLineChars="20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本表所列岗位的所有管理人员的情况均应如实填写。可按以上格式扩展为多页填写。</w:t>
      </w:r>
    </w:p>
    <w:p w14:paraId="035FB088">
      <w:pPr>
        <w:spacing w:line="360" w:lineRule="auto"/>
        <w:ind w:firstLine="480" w:firstLineChars="20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供应商应当在本表后附所有管理人员的身份证、职称证、执业或职业资格证书的复印件并加盖供应商电子签章。</w:t>
      </w:r>
    </w:p>
    <w:p w14:paraId="291EFA7A">
      <w:pPr>
        <w:spacing w:line="360" w:lineRule="auto"/>
        <w:ind w:firstLine="480" w:firstLineChars="200"/>
        <w:contextualSpacing/>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u w:val="single"/>
          <w14:textFill>
            <w14:solidFill>
              <w14:schemeClr w14:val="tx1"/>
            </w14:solidFill>
          </w14:textFill>
        </w:rPr>
        <w:t xml:space="preserve">        </w:t>
      </w:r>
    </w:p>
    <w:p w14:paraId="0DBFA2F2">
      <w:pPr>
        <w:spacing w:line="360" w:lineRule="auto"/>
        <w:ind w:firstLine="560" w:firstLineChars="20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供应商（电子签章）：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3125B70B">
      <w:pPr>
        <w:spacing w:line="360" w:lineRule="auto"/>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（二）拟投入的主要人员简历表</w:t>
      </w:r>
    </w:p>
    <w:p w14:paraId="284A2FEC">
      <w:pPr>
        <w:spacing w:line="360" w:lineRule="auto"/>
        <w:ind w:firstLine="562" w:firstLineChars="200"/>
        <w:jc w:val="center"/>
        <w:rPr>
          <w:color w:val="000000" w:themeColor="text1"/>
          <w:sz w:val="28"/>
          <w:szCs w:val="28"/>
          <w:highlight w:val="none"/>
          <w:u w:val="singl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项目经理简历表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6C31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5412CD98">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18" w:type="dxa"/>
            <w:gridSpan w:val="5"/>
            <w:vAlign w:val="center"/>
          </w:tcPr>
          <w:p w14:paraId="255EF565">
            <w:pPr>
              <w:jc w:val="center"/>
              <w:rPr>
                <w:color w:val="000000" w:themeColor="text1"/>
                <w:highlight w:val="none"/>
                <w14:textFill>
                  <w14:solidFill>
                    <w14:schemeClr w14:val="tx1"/>
                  </w14:solidFill>
                </w14:textFill>
              </w:rPr>
            </w:pPr>
          </w:p>
        </w:tc>
        <w:tc>
          <w:tcPr>
            <w:tcW w:w="1893" w:type="dxa"/>
            <w:gridSpan w:val="5"/>
            <w:vAlign w:val="center"/>
          </w:tcPr>
          <w:p w14:paraId="28CEB1B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173B53D3">
            <w:pPr>
              <w:jc w:val="center"/>
              <w:rPr>
                <w:color w:val="000000" w:themeColor="text1"/>
                <w:highlight w:val="none"/>
                <w14:textFill>
                  <w14:solidFill>
                    <w14:schemeClr w14:val="tx1"/>
                  </w14:solidFill>
                </w14:textFill>
              </w:rPr>
            </w:pPr>
          </w:p>
        </w:tc>
        <w:tc>
          <w:tcPr>
            <w:tcW w:w="1108" w:type="dxa"/>
            <w:vAlign w:val="center"/>
          </w:tcPr>
          <w:p w14:paraId="2AAF72A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0287419E">
            <w:pPr>
              <w:jc w:val="center"/>
              <w:rPr>
                <w:color w:val="000000" w:themeColor="text1"/>
                <w:highlight w:val="none"/>
                <w14:textFill>
                  <w14:solidFill>
                    <w14:schemeClr w14:val="tx1"/>
                  </w14:solidFill>
                </w14:textFill>
              </w:rPr>
            </w:pPr>
          </w:p>
        </w:tc>
      </w:tr>
      <w:tr w14:paraId="716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79F3C80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18" w:type="dxa"/>
            <w:gridSpan w:val="5"/>
            <w:vAlign w:val="center"/>
          </w:tcPr>
          <w:p w14:paraId="20D2C90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w:t>
            </w:r>
          </w:p>
        </w:tc>
        <w:tc>
          <w:tcPr>
            <w:tcW w:w="1893" w:type="dxa"/>
            <w:gridSpan w:val="5"/>
            <w:vAlign w:val="center"/>
          </w:tcPr>
          <w:p w14:paraId="210DEC6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6416218F">
            <w:pPr>
              <w:jc w:val="center"/>
              <w:rPr>
                <w:color w:val="000000" w:themeColor="text1"/>
                <w:highlight w:val="none"/>
                <w14:textFill>
                  <w14:solidFill>
                    <w14:schemeClr w14:val="tx1"/>
                  </w14:solidFill>
                </w14:textFill>
              </w:rPr>
            </w:pPr>
          </w:p>
        </w:tc>
        <w:tc>
          <w:tcPr>
            <w:tcW w:w="1108" w:type="dxa"/>
            <w:vAlign w:val="center"/>
          </w:tcPr>
          <w:p w14:paraId="24D5022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47914A6F">
            <w:pPr>
              <w:jc w:val="center"/>
              <w:rPr>
                <w:color w:val="000000" w:themeColor="text1"/>
                <w:highlight w:val="none"/>
                <w14:textFill>
                  <w14:solidFill>
                    <w14:schemeClr w14:val="tx1"/>
                  </w14:solidFill>
                </w14:textFill>
              </w:rPr>
            </w:pPr>
          </w:p>
        </w:tc>
      </w:tr>
      <w:tr w14:paraId="365F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48020D3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18" w:type="dxa"/>
            <w:gridSpan w:val="5"/>
            <w:vAlign w:val="center"/>
          </w:tcPr>
          <w:p w14:paraId="2A0E70ED">
            <w:pPr>
              <w:jc w:val="center"/>
              <w:rPr>
                <w:color w:val="000000" w:themeColor="text1"/>
                <w:highlight w:val="none"/>
                <w14:textFill>
                  <w14:solidFill>
                    <w14:schemeClr w14:val="tx1"/>
                  </w14:solidFill>
                </w14:textFill>
              </w:rPr>
            </w:pPr>
          </w:p>
        </w:tc>
        <w:tc>
          <w:tcPr>
            <w:tcW w:w="1893" w:type="dxa"/>
            <w:gridSpan w:val="5"/>
            <w:vAlign w:val="center"/>
          </w:tcPr>
          <w:p w14:paraId="74D1660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716738A7">
            <w:pPr>
              <w:jc w:val="center"/>
              <w:rPr>
                <w:color w:val="000000" w:themeColor="text1"/>
                <w:highlight w:val="none"/>
                <w14:textFill>
                  <w14:solidFill>
                    <w14:schemeClr w14:val="tx1"/>
                  </w14:solidFill>
                </w14:textFill>
              </w:rPr>
            </w:pPr>
          </w:p>
        </w:tc>
        <w:tc>
          <w:tcPr>
            <w:tcW w:w="1108" w:type="dxa"/>
            <w:vAlign w:val="center"/>
          </w:tcPr>
          <w:p w14:paraId="67FE8BE7">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75EEB4B1">
            <w:pPr>
              <w:jc w:val="center"/>
              <w:rPr>
                <w:color w:val="000000" w:themeColor="text1"/>
                <w:highlight w:val="none"/>
                <w14:textFill>
                  <w14:solidFill>
                    <w14:schemeClr w14:val="tx1"/>
                  </w14:solidFill>
                </w14:textFill>
              </w:rPr>
            </w:pPr>
          </w:p>
        </w:tc>
      </w:tr>
      <w:tr w14:paraId="28D7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22345D1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担任项目经理年限</w:t>
            </w:r>
          </w:p>
        </w:tc>
        <w:tc>
          <w:tcPr>
            <w:tcW w:w="2563" w:type="dxa"/>
            <w:gridSpan w:val="6"/>
            <w:vAlign w:val="center"/>
          </w:tcPr>
          <w:p w14:paraId="5BECC0BF">
            <w:pPr>
              <w:jc w:val="center"/>
              <w:rPr>
                <w:color w:val="000000" w:themeColor="text1"/>
                <w:highlight w:val="none"/>
                <w14:textFill>
                  <w14:solidFill>
                    <w14:schemeClr w14:val="tx1"/>
                  </w14:solidFill>
                </w14:textFill>
              </w:rPr>
            </w:pPr>
          </w:p>
        </w:tc>
        <w:tc>
          <w:tcPr>
            <w:tcW w:w="1209" w:type="dxa"/>
            <w:vAlign w:val="center"/>
          </w:tcPr>
          <w:p w14:paraId="55EB31C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608" w:type="dxa"/>
            <w:gridSpan w:val="10"/>
            <w:vAlign w:val="center"/>
          </w:tcPr>
          <w:p w14:paraId="71C076EF">
            <w:pPr>
              <w:jc w:val="center"/>
              <w:rPr>
                <w:color w:val="000000" w:themeColor="text1"/>
                <w:highlight w:val="none"/>
                <w14:textFill>
                  <w14:solidFill>
                    <w14:schemeClr w14:val="tx1"/>
                  </w14:solidFill>
                </w14:textFill>
              </w:rPr>
            </w:pPr>
          </w:p>
        </w:tc>
      </w:tr>
      <w:tr w14:paraId="5F24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6B9699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275" w:type="dxa"/>
            <w:gridSpan w:val="2"/>
            <w:vAlign w:val="center"/>
          </w:tcPr>
          <w:p w14:paraId="146D489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47ABA6F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gridSpan w:val="3"/>
            <w:vAlign w:val="center"/>
          </w:tcPr>
          <w:p w14:paraId="05FFC4C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764195A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3CB48E9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58A748D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776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C99437E">
            <w:pPr>
              <w:jc w:val="center"/>
              <w:rPr>
                <w:color w:val="000000" w:themeColor="text1"/>
                <w:highlight w:val="none"/>
                <w14:textFill>
                  <w14:solidFill>
                    <w14:schemeClr w14:val="tx1"/>
                  </w14:solidFill>
                </w14:textFill>
              </w:rPr>
            </w:pPr>
          </w:p>
        </w:tc>
        <w:tc>
          <w:tcPr>
            <w:tcW w:w="1275" w:type="dxa"/>
            <w:gridSpan w:val="2"/>
            <w:vAlign w:val="center"/>
          </w:tcPr>
          <w:p w14:paraId="40B287AB">
            <w:pPr>
              <w:jc w:val="center"/>
              <w:rPr>
                <w:color w:val="000000" w:themeColor="text1"/>
                <w:highlight w:val="none"/>
                <w14:textFill>
                  <w14:solidFill>
                    <w14:schemeClr w14:val="tx1"/>
                  </w14:solidFill>
                </w14:textFill>
              </w:rPr>
            </w:pPr>
          </w:p>
        </w:tc>
        <w:tc>
          <w:tcPr>
            <w:tcW w:w="1222" w:type="dxa"/>
            <w:gridSpan w:val="3"/>
            <w:vAlign w:val="center"/>
          </w:tcPr>
          <w:p w14:paraId="3B8388E5">
            <w:pPr>
              <w:jc w:val="center"/>
              <w:rPr>
                <w:rFonts w:cs="宋体"/>
                <w:color w:val="000000" w:themeColor="text1"/>
                <w:highlight w:val="none"/>
                <w14:textFill>
                  <w14:solidFill>
                    <w14:schemeClr w14:val="tx1"/>
                  </w14:solidFill>
                </w14:textFill>
              </w:rPr>
            </w:pPr>
          </w:p>
        </w:tc>
        <w:tc>
          <w:tcPr>
            <w:tcW w:w="1417" w:type="dxa"/>
            <w:gridSpan w:val="3"/>
            <w:vAlign w:val="center"/>
          </w:tcPr>
          <w:p w14:paraId="2D001141">
            <w:pPr>
              <w:jc w:val="center"/>
              <w:rPr>
                <w:color w:val="000000" w:themeColor="text1"/>
                <w:highlight w:val="none"/>
                <w14:textFill>
                  <w14:solidFill>
                    <w14:schemeClr w14:val="tx1"/>
                  </w14:solidFill>
                </w14:textFill>
              </w:rPr>
            </w:pPr>
          </w:p>
        </w:tc>
        <w:tc>
          <w:tcPr>
            <w:tcW w:w="1418" w:type="dxa"/>
            <w:gridSpan w:val="3"/>
            <w:vAlign w:val="center"/>
          </w:tcPr>
          <w:p w14:paraId="27253DF5">
            <w:pPr>
              <w:jc w:val="center"/>
              <w:rPr>
                <w:color w:val="000000" w:themeColor="text1"/>
                <w:highlight w:val="none"/>
                <w14:textFill>
                  <w14:solidFill>
                    <w14:schemeClr w14:val="tx1"/>
                  </w14:solidFill>
                </w14:textFill>
              </w:rPr>
            </w:pPr>
          </w:p>
        </w:tc>
        <w:tc>
          <w:tcPr>
            <w:tcW w:w="1632" w:type="dxa"/>
            <w:gridSpan w:val="4"/>
            <w:vAlign w:val="center"/>
          </w:tcPr>
          <w:p w14:paraId="03E559B4">
            <w:pPr>
              <w:jc w:val="center"/>
              <w:rPr>
                <w:color w:val="000000" w:themeColor="text1"/>
                <w:highlight w:val="none"/>
                <w14:textFill>
                  <w14:solidFill>
                    <w14:schemeClr w14:val="tx1"/>
                  </w14:solidFill>
                </w14:textFill>
              </w:rPr>
            </w:pPr>
          </w:p>
        </w:tc>
        <w:tc>
          <w:tcPr>
            <w:tcW w:w="1416" w:type="dxa"/>
            <w:gridSpan w:val="2"/>
            <w:vAlign w:val="center"/>
          </w:tcPr>
          <w:p w14:paraId="5BB33D9C">
            <w:pPr>
              <w:jc w:val="center"/>
              <w:rPr>
                <w:color w:val="000000" w:themeColor="text1"/>
                <w:highlight w:val="none"/>
                <w14:textFill>
                  <w14:solidFill>
                    <w14:schemeClr w14:val="tx1"/>
                  </w14:solidFill>
                </w14:textFill>
              </w:rPr>
            </w:pPr>
          </w:p>
        </w:tc>
      </w:tr>
      <w:tr w14:paraId="7735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6E9E59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275" w:type="dxa"/>
            <w:gridSpan w:val="2"/>
            <w:vAlign w:val="center"/>
          </w:tcPr>
          <w:p w14:paraId="084592A0">
            <w:pPr>
              <w:jc w:val="center"/>
              <w:rPr>
                <w:color w:val="000000" w:themeColor="text1"/>
                <w:highlight w:val="none"/>
                <w14:textFill>
                  <w14:solidFill>
                    <w14:schemeClr w14:val="tx1"/>
                  </w14:solidFill>
                </w14:textFill>
              </w:rPr>
            </w:pPr>
          </w:p>
        </w:tc>
        <w:tc>
          <w:tcPr>
            <w:tcW w:w="1222" w:type="dxa"/>
            <w:gridSpan w:val="3"/>
            <w:vAlign w:val="center"/>
          </w:tcPr>
          <w:p w14:paraId="369CF3E1">
            <w:pPr>
              <w:jc w:val="center"/>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B类</w:t>
            </w:r>
          </w:p>
        </w:tc>
        <w:tc>
          <w:tcPr>
            <w:tcW w:w="1417" w:type="dxa"/>
            <w:gridSpan w:val="3"/>
            <w:vAlign w:val="center"/>
          </w:tcPr>
          <w:p w14:paraId="111503F5">
            <w:pPr>
              <w:jc w:val="center"/>
              <w:rPr>
                <w:color w:val="000000" w:themeColor="text1"/>
                <w:highlight w:val="none"/>
                <w14:textFill>
                  <w14:solidFill>
                    <w14:schemeClr w14:val="tx1"/>
                  </w14:solidFill>
                </w14:textFill>
              </w:rPr>
            </w:pPr>
          </w:p>
        </w:tc>
        <w:tc>
          <w:tcPr>
            <w:tcW w:w="1418" w:type="dxa"/>
            <w:gridSpan w:val="3"/>
            <w:vAlign w:val="center"/>
          </w:tcPr>
          <w:p w14:paraId="69C40288">
            <w:pPr>
              <w:jc w:val="center"/>
              <w:rPr>
                <w:color w:val="000000" w:themeColor="text1"/>
                <w:highlight w:val="none"/>
                <w14:textFill>
                  <w14:solidFill>
                    <w14:schemeClr w14:val="tx1"/>
                  </w14:solidFill>
                </w14:textFill>
              </w:rPr>
            </w:pPr>
          </w:p>
        </w:tc>
        <w:tc>
          <w:tcPr>
            <w:tcW w:w="1632" w:type="dxa"/>
            <w:gridSpan w:val="4"/>
            <w:vAlign w:val="center"/>
          </w:tcPr>
          <w:p w14:paraId="29C42C65">
            <w:pPr>
              <w:jc w:val="center"/>
              <w:rPr>
                <w:color w:val="000000" w:themeColor="text1"/>
                <w:highlight w:val="none"/>
                <w14:textFill>
                  <w14:solidFill>
                    <w14:schemeClr w14:val="tx1"/>
                  </w14:solidFill>
                </w14:textFill>
              </w:rPr>
            </w:pPr>
          </w:p>
        </w:tc>
        <w:tc>
          <w:tcPr>
            <w:tcW w:w="1416" w:type="dxa"/>
            <w:gridSpan w:val="2"/>
            <w:vAlign w:val="center"/>
          </w:tcPr>
          <w:p w14:paraId="0486B23D">
            <w:pPr>
              <w:jc w:val="center"/>
              <w:rPr>
                <w:color w:val="000000" w:themeColor="text1"/>
                <w:highlight w:val="none"/>
                <w14:textFill>
                  <w14:solidFill>
                    <w14:schemeClr w14:val="tx1"/>
                  </w14:solidFill>
                </w14:textFill>
              </w:rPr>
            </w:pPr>
          </w:p>
        </w:tc>
      </w:tr>
      <w:tr w14:paraId="7EF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41B8440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5331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D571930">
            <w:pPr>
              <w:jc w:val="center"/>
              <w:rPr>
                <w:color w:val="000000" w:themeColor="text1"/>
                <w:highlight w:val="none"/>
                <w14:textFill>
                  <w14:solidFill>
                    <w14:schemeClr w14:val="tx1"/>
                  </w14:solidFill>
                </w14:textFill>
              </w:rPr>
            </w:pPr>
          </w:p>
        </w:tc>
        <w:tc>
          <w:tcPr>
            <w:tcW w:w="1548" w:type="dxa"/>
            <w:gridSpan w:val="2"/>
            <w:vAlign w:val="center"/>
          </w:tcPr>
          <w:p w14:paraId="19DDA0A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837" w:type="dxa"/>
            <w:gridSpan w:val="4"/>
            <w:vAlign w:val="center"/>
          </w:tcPr>
          <w:p w14:paraId="3D10F64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472" w:type="dxa"/>
            <w:gridSpan w:val="3"/>
            <w:vAlign w:val="center"/>
          </w:tcPr>
          <w:p w14:paraId="64439C7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6DC7788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14982FD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084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B71607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455CC4D8">
            <w:pPr>
              <w:jc w:val="center"/>
              <w:rPr>
                <w:color w:val="000000" w:themeColor="text1"/>
                <w:highlight w:val="none"/>
                <w14:textFill>
                  <w14:solidFill>
                    <w14:schemeClr w14:val="tx1"/>
                  </w14:solidFill>
                </w14:textFill>
              </w:rPr>
            </w:pPr>
          </w:p>
        </w:tc>
        <w:tc>
          <w:tcPr>
            <w:tcW w:w="1837" w:type="dxa"/>
            <w:gridSpan w:val="4"/>
            <w:vAlign w:val="center"/>
          </w:tcPr>
          <w:p w14:paraId="26EECF34">
            <w:pPr>
              <w:jc w:val="center"/>
              <w:rPr>
                <w:color w:val="000000" w:themeColor="text1"/>
                <w:highlight w:val="none"/>
                <w14:textFill>
                  <w14:solidFill>
                    <w14:schemeClr w14:val="tx1"/>
                  </w14:solidFill>
                </w14:textFill>
              </w:rPr>
            </w:pPr>
          </w:p>
        </w:tc>
        <w:tc>
          <w:tcPr>
            <w:tcW w:w="1472" w:type="dxa"/>
            <w:gridSpan w:val="3"/>
            <w:vAlign w:val="center"/>
          </w:tcPr>
          <w:p w14:paraId="0BFC61C5">
            <w:pPr>
              <w:jc w:val="center"/>
              <w:rPr>
                <w:color w:val="000000" w:themeColor="text1"/>
                <w:highlight w:val="none"/>
                <w14:textFill>
                  <w14:solidFill>
                    <w14:schemeClr w14:val="tx1"/>
                  </w14:solidFill>
                </w14:textFill>
              </w:rPr>
            </w:pPr>
          </w:p>
        </w:tc>
        <w:tc>
          <w:tcPr>
            <w:tcW w:w="1641" w:type="dxa"/>
            <w:gridSpan w:val="4"/>
            <w:vAlign w:val="center"/>
          </w:tcPr>
          <w:p w14:paraId="532235D1">
            <w:pPr>
              <w:jc w:val="center"/>
              <w:rPr>
                <w:color w:val="000000" w:themeColor="text1"/>
                <w:highlight w:val="none"/>
                <w14:textFill>
                  <w14:solidFill>
                    <w14:schemeClr w14:val="tx1"/>
                  </w14:solidFill>
                </w14:textFill>
              </w:rPr>
            </w:pPr>
          </w:p>
        </w:tc>
        <w:tc>
          <w:tcPr>
            <w:tcW w:w="1484" w:type="dxa"/>
            <w:gridSpan w:val="2"/>
            <w:vAlign w:val="center"/>
          </w:tcPr>
          <w:p w14:paraId="09C53CAC">
            <w:pPr>
              <w:jc w:val="center"/>
              <w:rPr>
                <w:color w:val="000000" w:themeColor="text1"/>
                <w:highlight w:val="none"/>
                <w14:textFill>
                  <w14:solidFill>
                    <w14:schemeClr w14:val="tx1"/>
                  </w14:solidFill>
                </w14:textFill>
              </w:rPr>
            </w:pPr>
          </w:p>
        </w:tc>
      </w:tr>
      <w:tr w14:paraId="2131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4CDD24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03C7FD8F">
            <w:pPr>
              <w:jc w:val="center"/>
              <w:rPr>
                <w:color w:val="000000" w:themeColor="text1"/>
                <w:highlight w:val="none"/>
                <w14:textFill>
                  <w14:solidFill>
                    <w14:schemeClr w14:val="tx1"/>
                  </w14:solidFill>
                </w14:textFill>
              </w:rPr>
            </w:pPr>
          </w:p>
        </w:tc>
        <w:tc>
          <w:tcPr>
            <w:tcW w:w="1837" w:type="dxa"/>
            <w:gridSpan w:val="4"/>
            <w:vAlign w:val="center"/>
          </w:tcPr>
          <w:p w14:paraId="16299E1F">
            <w:pPr>
              <w:jc w:val="center"/>
              <w:rPr>
                <w:color w:val="000000" w:themeColor="text1"/>
                <w:highlight w:val="none"/>
                <w14:textFill>
                  <w14:solidFill>
                    <w14:schemeClr w14:val="tx1"/>
                  </w14:solidFill>
                </w14:textFill>
              </w:rPr>
            </w:pPr>
          </w:p>
        </w:tc>
        <w:tc>
          <w:tcPr>
            <w:tcW w:w="1472" w:type="dxa"/>
            <w:gridSpan w:val="3"/>
            <w:vAlign w:val="center"/>
          </w:tcPr>
          <w:p w14:paraId="444641E4">
            <w:pPr>
              <w:jc w:val="center"/>
              <w:rPr>
                <w:color w:val="000000" w:themeColor="text1"/>
                <w:highlight w:val="none"/>
                <w14:textFill>
                  <w14:solidFill>
                    <w14:schemeClr w14:val="tx1"/>
                  </w14:solidFill>
                </w14:textFill>
              </w:rPr>
            </w:pPr>
          </w:p>
        </w:tc>
        <w:tc>
          <w:tcPr>
            <w:tcW w:w="1641" w:type="dxa"/>
            <w:gridSpan w:val="4"/>
            <w:vAlign w:val="center"/>
          </w:tcPr>
          <w:p w14:paraId="345377F3">
            <w:pPr>
              <w:jc w:val="center"/>
              <w:rPr>
                <w:color w:val="000000" w:themeColor="text1"/>
                <w:highlight w:val="none"/>
                <w14:textFill>
                  <w14:solidFill>
                    <w14:schemeClr w14:val="tx1"/>
                  </w14:solidFill>
                </w14:textFill>
              </w:rPr>
            </w:pPr>
          </w:p>
        </w:tc>
        <w:tc>
          <w:tcPr>
            <w:tcW w:w="1484" w:type="dxa"/>
            <w:gridSpan w:val="2"/>
            <w:vAlign w:val="center"/>
          </w:tcPr>
          <w:p w14:paraId="751D1566">
            <w:pPr>
              <w:jc w:val="center"/>
              <w:rPr>
                <w:color w:val="000000" w:themeColor="text1"/>
                <w:highlight w:val="none"/>
                <w14:textFill>
                  <w14:solidFill>
                    <w14:schemeClr w14:val="tx1"/>
                  </w14:solidFill>
                </w14:textFill>
              </w:rPr>
            </w:pPr>
          </w:p>
        </w:tc>
      </w:tr>
      <w:tr w14:paraId="2BB9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AB8E47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69AC888F">
            <w:pPr>
              <w:jc w:val="center"/>
              <w:rPr>
                <w:color w:val="000000" w:themeColor="text1"/>
                <w:highlight w:val="none"/>
                <w14:textFill>
                  <w14:solidFill>
                    <w14:schemeClr w14:val="tx1"/>
                  </w14:solidFill>
                </w14:textFill>
              </w:rPr>
            </w:pPr>
          </w:p>
        </w:tc>
        <w:tc>
          <w:tcPr>
            <w:tcW w:w="1837" w:type="dxa"/>
            <w:gridSpan w:val="4"/>
            <w:vAlign w:val="center"/>
          </w:tcPr>
          <w:p w14:paraId="20DC6FAB">
            <w:pPr>
              <w:jc w:val="center"/>
              <w:rPr>
                <w:color w:val="000000" w:themeColor="text1"/>
                <w:highlight w:val="none"/>
                <w14:textFill>
                  <w14:solidFill>
                    <w14:schemeClr w14:val="tx1"/>
                  </w14:solidFill>
                </w14:textFill>
              </w:rPr>
            </w:pPr>
          </w:p>
        </w:tc>
        <w:tc>
          <w:tcPr>
            <w:tcW w:w="1472" w:type="dxa"/>
            <w:gridSpan w:val="3"/>
            <w:vAlign w:val="center"/>
          </w:tcPr>
          <w:p w14:paraId="43A440FC">
            <w:pPr>
              <w:jc w:val="center"/>
              <w:rPr>
                <w:color w:val="000000" w:themeColor="text1"/>
                <w:highlight w:val="none"/>
                <w14:textFill>
                  <w14:solidFill>
                    <w14:schemeClr w14:val="tx1"/>
                  </w14:solidFill>
                </w14:textFill>
              </w:rPr>
            </w:pPr>
          </w:p>
        </w:tc>
        <w:tc>
          <w:tcPr>
            <w:tcW w:w="1641" w:type="dxa"/>
            <w:gridSpan w:val="4"/>
            <w:vAlign w:val="center"/>
          </w:tcPr>
          <w:p w14:paraId="28625AD0">
            <w:pPr>
              <w:jc w:val="center"/>
              <w:rPr>
                <w:color w:val="000000" w:themeColor="text1"/>
                <w:highlight w:val="none"/>
                <w14:textFill>
                  <w14:solidFill>
                    <w14:schemeClr w14:val="tx1"/>
                  </w14:solidFill>
                </w14:textFill>
              </w:rPr>
            </w:pPr>
          </w:p>
        </w:tc>
        <w:tc>
          <w:tcPr>
            <w:tcW w:w="1484" w:type="dxa"/>
            <w:gridSpan w:val="2"/>
            <w:vAlign w:val="center"/>
          </w:tcPr>
          <w:p w14:paraId="62B5B0D8">
            <w:pPr>
              <w:jc w:val="center"/>
              <w:rPr>
                <w:color w:val="000000" w:themeColor="text1"/>
                <w:highlight w:val="none"/>
                <w14:textFill>
                  <w14:solidFill>
                    <w14:schemeClr w14:val="tx1"/>
                  </w14:solidFill>
                </w14:textFill>
              </w:rPr>
            </w:pPr>
          </w:p>
        </w:tc>
      </w:tr>
      <w:tr w14:paraId="5F5F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CC23314">
            <w:pPr>
              <w:jc w:val="center"/>
              <w:rPr>
                <w:rFonts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363EF758">
            <w:pPr>
              <w:jc w:val="center"/>
              <w:rPr>
                <w:color w:val="000000" w:themeColor="text1"/>
                <w:highlight w:val="none"/>
                <w14:textFill>
                  <w14:solidFill>
                    <w14:schemeClr w14:val="tx1"/>
                  </w14:solidFill>
                </w14:textFill>
              </w:rPr>
            </w:pPr>
          </w:p>
        </w:tc>
        <w:tc>
          <w:tcPr>
            <w:tcW w:w="1837" w:type="dxa"/>
            <w:gridSpan w:val="4"/>
            <w:vAlign w:val="center"/>
          </w:tcPr>
          <w:p w14:paraId="03359EA0">
            <w:pPr>
              <w:jc w:val="center"/>
              <w:rPr>
                <w:color w:val="000000" w:themeColor="text1"/>
                <w:highlight w:val="none"/>
                <w14:textFill>
                  <w14:solidFill>
                    <w14:schemeClr w14:val="tx1"/>
                  </w14:solidFill>
                </w14:textFill>
              </w:rPr>
            </w:pPr>
          </w:p>
        </w:tc>
        <w:tc>
          <w:tcPr>
            <w:tcW w:w="1472" w:type="dxa"/>
            <w:gridSpan w:val="3"/>
            <w:vAlign w:val="center"/>
          </w:tcPr>
          <w:p w14:paraId="3F609F39">
            <w:pPr>
              <w:jc w:val="center"/>
              <w:rPr>
                <w:color w:val="000000" w:themeColor="text1"/>
                <w:highlight w:val="none"/>
                <w14:textFill>
                  <w14:solidFill>
                    <w14:schemeClr w14:val="tx1"/>
                  </w14:solidFill>
                </w14:textFill>
              </w:rPr>
            </w:pPr>
          </w:p>
        </w:tc>
        <w:tc>
          <w:tcPr>
            <w:tcW w:w="1641" w:type="dxa"/>
            <w:gridSpan w:val="4"/>
            <w:vAlign w:val="center"/>
          </w:tcPr>
          <w:p w14:paraId="3DBF53F1">
            <w:pPr>
              <w:jc w:val="center"/>
              <w:rPr>
                <w:color w:val="000000" w:themeColor="text1"/>
                <w:highlight w:val="none"/>
                <w14:textFill>
                  <w14:solidFill>
                    <w14:schemeClr w14:val="tx1"/>
                  </w14:solidFill>
                </w14:textFill>
              </w:rPr>
            </w:pPr>
          </w:p>
        </w:tc>
        <w:tc>
          <w:tcPr>
            <w:tcW w:w="1484" w:type="dxa"/>
            <w:gridSpan w:val="2"/>
            <w:vAlign w:val="center"/>
          </w:tcPr>
          <w:p w14:paraId="42B6E6DA">
            <w:pPr>
              <w:jc w:val="center"/>
              <w:rPr>
                <w:color w:val="000000" w:themeColor="text1"/>
                <w:highlight w:val="none"/>
                <w14:textFill>
                  <w14:solidFill>
                    <w14:schemeClr w14:val="tx1"/>
                  </w14:solidFill>
                </w14:textFill>
              </w:rPr>
            </w:pPr>
          </w:p>
        </w:tc>
      </w:tr>
      <w:tr w14:paraId="759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34AF18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1AC2CEFD">
            <w:pPr>
              <w:jc w:val="center"/>
              <w:rPr>
                <w:color w:val="000000" w:themeColor="text1"/>
                <w:highlight w:val="none"/>
                <w14:textFill>
                  <w14:solidFill>
                    <w14:schemeClr w14:val="tx1"/>
                  </w14:solidFill>
                </w14:textFill>
              </w:rPr>
            </w:pPr>
          </w:p>
        </w:tc>
        <w:tc>
          <w:tcPr>
            <w:tcW w:w="1837" w:type="dxa"/>
            <w:gridSpan w:val="4"/>
            <w:vAlign w:val="center"/>
          </w:tcPr>
          <w:p w14:paraId="40115040">
            <w:pPr>
              <w:jc w:val="center"/>
              <w:rPr>
                <w:color w:val="000000" w:themeColor="text1"/>
                <w:highlight w:val="none"/>
                <w14:textFill>
                  <w14:solidFill>
                    <w14:schemeClr w14:val="tx1"/>
                  </w14:solidFill>
                </w14:textFill>
              </w:rPr>
            </w:pPr>
          </w:p>
        </w:tc>
        <w:tc>
          <w:tcPr>
            <w:tcW w:w="1472" w:type="dxa"/>
            <w:gridSpan w:val="3"/>
            <w:vAlign w:val="center"/>
          </w:tcPr>
          <w:p w14:paraId="476EAE05">
            <w:pPr>
              <w:jc w:val="center"/>
              <w:rPr>
                <w:color w:val="000000" w:themeColor="text1"/>
                <w:highlight w:val="none"/>
                <w14:textFill>
                  <w14:solidFill>
                    <w14:schemeClr w14:val="tx1"/>
                  </w14:solidFill>
                </w14:textFill>
              </w:rPr>
            </w:pPr>
          </w:p>
        </w:tc>
        <w:tc>
          <w:tcPr>
            <w:tcW w:w="1641" w:type="dxa"/>
            <w:gridSpan w:val="4"/>
            <w:vAlign w:val="center"/>
          </w:tcPr>
          <w:p w14:paraId="105C089E">
            <w:pPr>
              <w:jc w:val="center"/>
              <w:rPr>
                <w:color w:val="000000" w:themeColor="text1"/>
                <w:highlight w:val="none"/>
                <w14:textFill>
                  <w14:solidFill>
                    <w14:schemeClr w14:val="tx1"/>
                  </w14:solidFill>
                </w14:textFill>
              </w:rPr>
            </w:pPr>
          </w:p>
        </w:tc>
        <w:tc>
          <w:tcPr>
            <w:tcW w:w="1484" w:type="dxa"/>
            <w:gridSpan w:val="2"/>
            <w:vAlign w:val="center"/>
          </w:tcPr>
          <w:p w14:paraId="3DB8F7D0">
            <w:pPr>
              <w:jc w:val="center"/>
              <w:rPr>
                <w:color w:val="000000" w:themeColor="text1"/>
                <w:highlight w:val="none"/>
                <w14:textFill>
                  <w14:solidFill>
                    <w14:schemeClr w14:val="tx1"/>
                  </w14:solidFill>
                </w14:textFill>
              </w:rPr>
            </w:pPr>
          </w:p>
        </w:tc>
      </w:tr>
      <w:tr w14:paraId="10D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617A5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7793C4D0">
            <w:pPr>
              <w:jc w:val="center"/>
              <w:rPr>
                <w:color w:val="000000" w:themeColor="text1"/>
                <w:highlight w:val="none"/>
                <w14:textFill>
                  <w14:solidFill>
                    <w14:schemeClr w14:val="tx1"/>
                  </w14:solidFill>
                </w14:textFill>
              </w:rPr>
            </w:pPr>
          </w:p>
        </w:tc>
        <w:tc>
          <w:tcPr>
            <w:tcW w:w="1837" w:type="dxa"/>
            <w:gridSpan w:val="4"/>
            <w:vAlign w:val="center"/>
          </w:tcPr>
          <w:p w14:paraId="20CF952A">
            <w:pPr>
              <w:jc w:val="center"/>
              <w:rPr>
                <w:color w:val="000000" w:themeColor="text1"/>
                <w:highlight w:val="none"/>
                <w14:textFill>
                  <w14:solidFill>
                    <w14:schemeClr w14:val="tx1"/>
                  </w14:solidFill>
                </w14:textFill>
              </w:rPr>
            </w:pPr>
          </w:p>
        </w:tc>
        <w:tc>
          <w:tcPr>
            <w:tcW w:w="1472" w:type="dxa"/>
            <w:gridSpan w:val="3"/>
            <w:vAlign w:val="center"/>
          </w:tcPr>
          <w:p w14:paraId="319B5651">
            <w:pPr>
              <w:jc w:val="center"/>
              <w:rPr>
                <w:color w:val="000000" w:themeColor="text1"/>
                <w:highlight w:val="none"/>
                <w14:textFill>
                  <w14:solidFill>
                    <w14:schemeClr w14:val="tx1"/>
                  </w14:solidFill>
                </w14:textFill>
              </w:rPr>
            </w:pPr>
          </w:p>
        </w:tc>
        <w:tc>
          <w:tcPr>
            <w:tcW w:w="1641" w:type="dxa"/>
            <w:gridSpan w:val="4"/>
            <w:vAlign w:val="center"/>
          </w:tcPr>
          <w:p w14:paraId="061CE39E">
            <w:pPr>
              <w:jc w:val="center"/>
              <w:rPr>
                <w:color w:val="000000" w:themeColor="text1"/>
                <w:highlight w:val="none"/>
                <w14:textFill>
                  <w14:solidFill>
                    <w14:schemeClr w14:val="tx1"/>
                  </w14:solidFill>
                </w14:textFill>
              </w:rPr>
            </w:pPr>
          </w:p>
        </w:tc>
        <w:tc>
          <w:tcPr>
            <w:tcW w:w="1484" w:type="dxa"/>
            <w:gridSpan w:val="2"/>
            <w:vAlign w:val="center"/>
          </w:tcPr>
          <w:p w14:paraId="68AA285D">
            <w:pPr>
              <w:jc w:val="center"/>
              <w:rPr>
                <w:color w:val="000000" w:themeColor="text1"/>
                <w:highlight w:val="none"/>
                <w14:textFill>
                  <w14:solidFill>
                    <w14:schemeClr w14:val="tx1"/>
                  </w14:solidFill>
                </w14:textFill>
              </w:rPr>
            </w:pPr>
          </w:p>
        </w:tc>
      </w:tr>
      <w:tr w14:paraId="69AA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CC9EDD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67ED6B9A">
            <w:pPr>
              <w:jc w:val="center"/>
              <w:rPr>
                <w:color w:val="000000" w:themeColor="text1"/>
                <w:highlight w:val="none"/>
                <w14:textFill>
                  <w14:solidFill>
                    <w14:schemeClr w14:val="tx1"/>
                  </w14:solidFill>
                </w14:textFill>
              </w:rPr>
            </w:pPr>
          </w:p>
        </w:tc>
        <w:tc>
          <w:tcPr>
            <w:tcW w:w="1837" w:type="dxa"/>
            <w:gridSpan w:val="4"/>
            <w:vAlign w:val="center"/>
          </w:tcPr>
          <w:p w14:paraId="3DB7CC8E">
            <w:pPr>
              <w:jc w:val="center"/>
              <w:rPr>
                <w:color w:val="000000" w:themeColor="text1"/>
                <w:highlight w:val="none"/>
                <w14:textFill>
                  <w14:solidFill>
                    <w14:schemeClr w14:val="tx1"/>
                  </w14:solidFill>
                </w14:textFill>
              </w:rPr>
            </w:pPr>
          </w:p>
        </w:tc>
        <w:tc>
          <w:tcPr>
            <w:tcW w:w="1472" w:type="dxa"/>
            <w:gridSpan w:val="3"/>
            <w:vAlign w:val="center"/>
          </w:tcPr>
          <w:p w14:paraId="795B68A7">
            <w:pPr>
              <w:jc w:val="center"/>
              <w:rPr>
                <w:color w:val="000000" w:themeColor="text1"/>
                <w:highlight w:val="none"/>
                <w14:textFill>
                  <w14:solidFill>
                    <w14:schemeClr w14:val="tx1"/>
                  </w14:solidFill>
                </w14:textFill>
              </w:rPr>
            </w:pPr>
          </w:p>
        </w:tc>
        <w:tc>
          <w:tcPr>
            <w:tcW w:w="1641" w:type="dxa"/>
            <w:gridSpan w:val="4"/>
            <w:vAlign w:val="center"/>
          </w:tcPr>
          <w:p w14:paraId="627137ED">
            <w:pPr>
              <w:jc w:val="center"/>
              <w:rPr>
                <w:color w:val="000000" w:themeColor="text1"/>
                <w:highlight w:val="none"/>
                <w14:textFill>
                  <w14:solidFill>
                    <w14:schemeClr w14:val="tx1"/>
                  </w14:solidFill>
                </w14:textFill>
              </w:rPr>
            </w:pPr>
          </w:p>
        </w:tc>
        <w:tc>
          <w:tcPr>
            <w:tcW w:w="1484" w:type="dxa"/>
            <w:gridSpan w:val="2"/>
            <w:vAlign w:val="center"/>
          </w:tcPr>
          <w:p w14:paraId="0F0192A5">
            <w:pPr>
              <w:jc w:val="center"/>
              <w:rPr>
                <w:color w:val="000000" w:themeColor="text1"/>
                <w:highlight w:val="none"/>
                <w14:textFill>
                  <w14:solidFill>
                    <w14:schemeClr w14:val="tx1"/>
                  </w14:solidFill>
                </w14:textFill>
              </w:rPr>
            </w:pPr>
          </w:p>
        </w:tc>
      </w:tr>
      <w:tr w14:paraId="7E0C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16C83E6">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55AC6C0B">
            <w:pPr>
              <w:jc w:val="center"/>
              <w:rPr>
                <w:color w:val="000000" w:themeColor="text1"/>
                <w:highlight w:val="none"/>
                <w14:textFill>
                  <w14:solidFill>
                    <w14:schemeClr w14:val="tx1"/>
                  </w14:solidFill>
                </w14:textFill>
              </w:rPr>
            </w:pPr>
          </w:p>
        </w:tc>
        <w:tc>
          <w:tcPr>
            <w:tcW w:w="1837" w:type="dxa"/>
            <w:gridSpan w:val="4"/>
            <w:vAlign w:val="center"/>
          </w:tcPr>
          <w:p w14:paraId="5E134580">
            <w:pPr>
              <w:jc w:val="center"/>
              <w:rPr>
                <w:color w:val="000000" w:themeColor="text1"/>
                <w:highlight w:val="none"/>
                <w14:textFill>
                  <w14:solidFill>
                    <w14:schemeClr w14:val="tx1"/>
                  </w14:solidFill>
                </w14:textFill>
              </w:rPr>
            </w:pPr>
          </w:p>
        </w:tc>
        <w:tc>
          <w:tcPr>
            <w:tcW w:w="1472" w:type="dxa"/>
            <w:gridSpan w:val="3"/>
            <w:vAlign w:val="center"/>
          </w:tcPr>
          <w:p w14:paraId="2932FB94">
            <w:pPr>
              <w:jc w:val="center"/>
              <w:rPr>
                <w:color w:val="000000" w:themeColor="text1"/>
                <w:highlight w:val="none"/>
                <w14:textFill>
                  <w14:solidFill>
                    <w14:schemeClr w14:val="tx1"/>
                  </w14:solidFill>
                </w14:textFill>
              </w:rPr>
            </w:pPr>
          </w:p>
        </w:tc>
        <w:tc>
          <w:tcPr>
            <w:tcW w:w="1641" w:type="dxa"/>
            <w:gridSpan w:val="4"/>
            <w:vAlign w:val="center"/>
          </w:tcPr>
          <w:p w14:paraId="3F7FA0D9">
            <w:pPr>
              <w:jc w:val="center"/>
              <w:rPr>
                <w:color w:val="000000" w:themeColor="text1"/>
                <w:highlight w:val="none"/>
                <w14:textFill>
                  <w14:solidFill>
                    <w14:schemeClr w14:val="tx1"/>
                  </w14:solidFill>
                </w14:textFill>
              </w:rPr>
            </w:pPr>
          </w:p>
        </w:tc>
        <w:tc>
          <w:tcPr>
            <w:tcW w:w="1484" w:type="dxa"/>
            <w:gridSpan w:val="2"/>
            <w:vAlign w:val="center"/>
          </w:tcPr>
          <w:p w14:paraId="5393E8BD">
            <w:pPr>
              <w:jc w:val="center"/>
              <w:rPr>
                <w:color w:val="000000" w:themeColor="text1"/>
                <w:highlight w:val="none"/>
                <w14:textFill>
                  <w14:solidFill>
                    <w14:schemeClr w14:val="tx1"/>
                  </w14:solidFill>
                </w14:textFill>
              </w:rPr>
            </w:pPr>
          </w:p>
        </w:tc>
      </w:tr>
      <w:tr w14:paraId="4287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B479752">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7E5B7F16">
            <w:pPr>
              <w:jc w:val="center"/>
              <w:rPr>
                <w:color w:val="000000" w:themeColor="text1"/>
                <w:highlight w:val="none"/>
                <w14:textFill>
                  <w14:solidFill>
                    <w14:schemeClr w14:val="tx1"/>
                  </w14:solidFill>
                </w14:textFill>
              </w:rPr>
            </w:pPr>
          </w:p>
        </w:tc>
        <w:tc>
          <w:tcPr>
            <w:tcW w:w="1837" w:type="dxa"/>
            <w:gridSpan w:val="4"/>
            <w:vAlign w:val="center"/>
          </w:tcPr>
          <w:p w14:paraId="57DFBBD1">
            <w:pPr>
              <w:jc w:val="center"/>
              <w:rPr>
                <w:color w:val="000000" w:themeColor="text1"/>
                <w:highlight w:val="none"/>
                <w14:textFill>
                  <w14:solidFill>
                    <w14:schemeClr w14:val="tx1"/>
                  </w14:solidFill>
                </w14:textFill>
              </w:rPr>
            </w:pPr>
          </w:p>
        </w:tc>
        <w:tc>
          <w:tcPr>
            <w:tcW w:w="1472" w:type="dxa"/>
            <w:gridSpan w:val="3"/>
            <w:vAlign w:val="center"/>
          </w:tcPr>
          <w:p w14:paraId="61F4CEF8">
            <w:pPr>
              <w:jc w:val="center"/>
              <w:rPr>
                <w:color w:val="000000" w:themeColor="text1"/>
                <w:highlight w:val="none"/>
                <w14:textFill>
                  <w14:solidFill>
                    <w14:schemeClr w14:val="tx1"/>
                  </w14:solidFill>
                </w14:textFill>
              </w:rPr>
            </w:pPr>
          </w:p>
        </w:tc>
        <w:tc>
          <w:tcPr>
            <w:tcW w:w="1641" w:type="dxa"/>
            <w:gridSpan w:val="4"/>
            <w:vAlign w:val="center"/>
          </w:tcPr>
          <w:p w14:paraId="052BD0C2">
            <w:pPr>
              <w:jc w:val="center"/>
              <w:rPr>
                <w:color w:val="000000" w:themeColor="text1"/>
                <w:highlight w:val="none"/>
                <w14:textFill>
                  <w14:solidFill>
                    <w14:schemeClr w14:val="tx1"/>
                  </w14:solidFill>
                </w14:textFill>
              </w:rPr>
            </w:pPr>
          </w:p>
        </w:tc>
        <w:tc>
          <w:tcPr>
            <w:tcW w:w="1484" w:type="dxa"/>
            <w:gridSpan w:val="2"/>
            <w:vAlign w:val="center"/>
          </w:tcPr>
          <w:p w14:paraId="59B066D9">
            <w:pPr>
              <w:jc w:val="center"/>
              <w:rPr>
                <w:color w:val="000000" w:themeColor="text1"/>
                <w:highlight w:val="none"/>
                <w14:textFill>
                  <w14:solidFill>
                    <w14:schemeClr w14:val="tx1"/>
                  </w14:solidFill>
                </w14:textFill>
              </w:rPr>
            </w:pPr>
          </w:p>
        </w:tc>
      </w:tr>
    </w:tbl>
    <w:p w14:paraId="484FE7C8">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4337818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r>
        <w:rPr>
          <w:rFonts w:hint="eastAsia" w:ascii="宋体" w:hAnsi="宋体"/>
          <w:color w:val="000000" w:themeColor="text1"/>
          <w:szCs w:val="21"/>
          <w:highlight w:val="none"/>
          <w14:textFill>
            <w14:solidFill>
              <w14:schemeClr w14:val="tx1"/>
            </w14:solidFill>
          </w14:textFill>
        </w:rPr>
        <w:t>。</w:t>
      </w:r>
    </w:p>
    <w:p w14:paraId="3E905CF0">
      <w:pPr>
        <w:pStyle w:val="17"/>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本表后附项目经理的</w:t>
      </w:r>
      <w:r>
        <w:rPr>
          <w:color w:val="000000" w:themeColor="text1"/>
          <w:highlight w:val="none"/>
          <w14:textFill>
            <w14:solidFill>
              <w14:schemeClr w14:val="tx1"/>
            </w14:solidFill>
          </w14:textFill>
        </w:rPr>
        <w:t>执业资格证书复印件（或打印件）、职称证书复印件（或打印件）</w:t>
      </w:r>
      <w:r>
        <w:rPr>
          <w:rFonts w:hint="eastAsia" w:ascii="宋体" w:hAnsi="宋体"/>
          <w:color w:val="000000" w:themeColor="text1"/>
          <w:szCs w:val="21"/>
          <w:highlight w:val="none"/>
          <w14:textFill>
            <w14:solidFill>
              <w14:schemeClr w14:val="tx1"/>
            </w14:solidFill>
          </w14:textFill>
        </w:rPr>
        <w:t>、安全生产考核合格证（B类）</w:t>
      </w:r>
      <w:r>
        <w:rPr>
          <w:color w:val="000000" w:themeColor="text1"/>
          <w:highlight w:val="none"/>
          <w14:textFill>
            <w14:solidFill>
              <w14:schemeClr w14:val="tx1"/>
            </w14:solidFill>
          </w14:textFill>
        </w:rPr>
        <w:t>复印件（或打印件）</w:t>
      </w:r>
      <w:r>
        <w:rPr>
          <w:rFonts w:hint="eastAsia" w:ascii="宋体" w:hAnsi="宋体"/>
          <w:color w:val="000000" w:themeColor="text1"/>
          <w:szCs w:val="21"/>
          <w:highlight w:val="none"/>
          <w14:textFill>
            <w14:solidFill>
              <w14:schemeClr w14:val="tx1"/>
            </w14:solidFill>
          </w14:textFill>
        </w:rPr>
        <w:t>，本表所列证书材料并加盖供应商电子签章。</w:t>
      </w:r>
    </w:p>
    <w:p w14:paraId="518D6234">
      <w:pPr>
        <w:spacing w:beforeLines="50"/>
        <w:ind w:firstLine="643" w:firstLineChars="200"/>
        <w:jc w:val="center"/>
        <w:rPr>
          <w:color w:val="000000" w:themeColor="text1"/>
          <w:sz w:val="28"/>
          <w:szCs w:val="28"/>
          <w:highlight w:val="none"/>
          <w:u w:val="single"/>
          <w14:textFill>
            <w14:solidFill>
              <w14:schemeClr w14:val="tx1"/>
            </w14:solidFill>
          </w14:textFill>
        </w:rPr>
      </w:pPr>
      <w:r>
        <w:rPr>
          <w:rFonts w:cs="宋体"/>
          <w:b/>
          <w:color w:val="000000" w:themeColor="text1"/>
          <w:sz w:val="32"/>
          <w:szCs w:val="32"/>
          <w:highlight w:val="none"/>
          <w14:textFill>
            <w14:solidFill>
              <w14:schemeClr w14:val="tx1"/>
            </w14:solidFill>
          </w14:textFill>
        </w:rPr>
        <w:br w:type="page"/>
      </w:r>
      <w:r>
        <w:rPr>
          <w:rFonts w:hint="eastAsia" w:cs="宋体"/>
          <w:b/>
          <w:color w:val="000000" w:themeColor="text1"/>
          <w:sz w:val="28"/>
          <w:szCs w:val="28"/>
          <w:highlight w:val="none"/>
          <w14:textFill>
            <w14:solidFill>
              <w14:schemeClr w14:val="tx1"/>
            </w14:solidFill>
          </w14:textFill>
        </w:rPr>
        <w:t>项目技术负责人（项目总工）简历表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592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357EF3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40" w:type="dxa"/>
            <w:gridSpan w:val="5"/>
            <w:vAlign w:val="center"/>
          </w:tcPr>
          <w:p w14:paraId="6CED7C10">
            <w:pPr>
              <w:jc w:val="center"/>
              <w:rPr>
                <w:color w:val="000000" w:themeColor="text1"/>
                <w:highlight w:val="none"/>
                <w14:textFill>
                  <w14:solidFill>
                    <w14:schemeClr w14:val="tx1"/>
                  </w14:solidFill>
                </w14:textFill>
              </w:rPr>
            </w:pPr>
          </w:p>
        </w:tc>
        <w:tc>
          <w:tcPr>
            <w:tcW w:w="1893" w:type="dxa"/>
            <w:gridSpan w:val="5"/>
            <w:vAlign w:val="center"/>
          </w:tcPr>
          <w:p w14:paraId="0CDEE12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3712DC69">
            <w:pPr>
              <w:jc w:val="center"/>
              <w:rPr>
                <w:color w:val="000000" w:themeColor="text1"/>
                <w:highlight w:val="none"/>
                <w14:textFill>
                  <w14:solidFill>
                    <w14:schemeClr w14:val="tx1"/>
                  </w14:solidFill>
                </w14:textFill>
              </w:rPr>
            </w:pPr>
          </w:p>
        </w:tc>
        <w:tc>
          <w:tcPr>
            <w:tcW w:w="1108" w:type="dxa"/>
            <w:vAlign w:val="center"/>
          </w:tcPr>
          <w:p w14:paraId="4EADB96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3CACC9C5">
            <w:pPr>
              <w:jc w:val="center"/>
              <w:rPr>
                <w:color w:val="000000" w:themeColor="text1"/>
                <w:highlight w:val="none"/>
                <w14:textFill>
                  <w14:solidFill>
                    <w14:schemeClr w14:val="tx1"/>
                  </w14:solidFill>
                </w14:textFill>
              </w:rPr>
            </w:pPr>
          </w:p>
        </w:tc>
      </w:tr>
      <w:tr w14:paraId="104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76A142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40" w:type="dxa"/>
            <w:gridSpan w:val="5"/>
            <w:vAlign w:val="center"/>
          </w:tcPr>
          <w:p w14:paraId="7A01440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项目技术负责人（项目总工）</w:t>
            </w:r>
          </w:p>
        </w:tc>
        <w:tc>
          <w:tcPr>
            <w:tcW w:w="1893" w:type="dxa"/>
            <w:gridSpan w:val="5"/>
            <w:vAlign w:val="center"/>
          </w:tcPr>
          <w:p w14:paraId="027265B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008B6B4B">
            <w:pPr>
              <w:jc w:val="center"/>
              <w:rPr>
                <w:color w:val="000000" w:themeColor="text1"/>
                <w:highlight w:val="none"/>
                <w14:textFill>
                  <w14:solidFill>
                    <w14:schemeClr w14:val="tx1"/>
                  </w14:solidFill>
                </w14:textFill>
              </w:rPr>
            </w:pPr>
          </w:p>
        </w:tc>
        <w:tc>
          <w:tcPr>
            <w:tcW w:w="1108" w:type="dxa"/>
            <w:vAlign w:val="center"/>
          </w:tcPr>
          <w:p w14:paraId="647D693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5F1E918C">
            <w:pPr>
              <w:jc w:val="center"/>
              <w:rPr>
                <w:color w:val="000000" w:themeColor="text1"/>
                <w:highlight w:val="none"/>
                <w14:textFill>
                  <w14:solidFill>
                    <w14:schemeClr w14:val="tx1"/>
                  </w14:solidFill>
                </w14:textFill>
              </w:rPr>
            </w:pPr>
          </w:p>
        </w:tc>
      </w:tr>
      <w:tr w14:paraId="262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201CDB8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40" w:type="dxa"/>
            <w:gridSpan w:val="5"/>
            <w:vAlign w:val="center"/>
          </w:tcPr>
          <w:p w14:paraId="69488F3D">
            <w:pPr>
              <w:jc w:val="center"/>
              <w:rPr>
                <w:color w:val="000000" w:themeColor="text1"/>
                <w:highlight w:val="none"/>
                <w14:textFill>
                  <w14:solidFill>
                    <w14:schemeClr w14:val="tx1"/>
                  </w14:solidFill>
                </w14:textFill>
              </w:rPr>
            </w:pPr>
          </w:p>
        </w:tc>
        <w:tc>
          <w:tcPr>
            <w:tcW w:w="1893" w:type="dxa"/>
            <w:gridSpan w:val="5"/>
            <w:vAlign w:val="center"/>
          </w:tcPr>
          <w:p w14:paraId="0D73CE1E">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2FD4C321">
            <w:pPr>
              <w:jc w:val="center"/>
              <w:rPr>
                <w:color w:val="000000" w:themeColor="text1"/>
                <w:highlight w:val="none"/>
                <w14:textFill>
                  <w14:solidFill>
                    <w14:schemeClr w14:val="tx1"/>
                  </w14:solidFill>
                </w14:textFill>
              </w:rPr>
            </w:pPr>
          </w:p>
        </w:tc>
        <w:tc>
          <w:tcPr>
            <w:tcW w:w="1108" w:type="dxa"/>
            <w:vAlign w:val="center"/>
          </w:tcPr>
          <w:p w14:paraId="706C434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01B6A56E">
            <w:pPr>
              <w:jc w:val="center"/>
              <w:rPr>
                <w:color w:val="000000" w:themeColor="text1"/>
                <w:highlight w:val="none"/>
                <w14:textFill>
                  <w14:solidFill>
                    <w14:schemeClr w14:val="tx1"/>
                  </w14:solidFill>
                </w14:textFill>
              </w:rPr>
            </w:pPr>
          </w:p>
        </w:tc>
      </w:tr>
      <w:tr w14:paraId="6643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666AABC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w:t>
            </w:r>
            <w:r>
              <w:rPr>
                <w:rFonts w:hint="eastAsia"/>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年限</w:t>
            </w:r>
          </w:p>
        </w:tc>
        <w:tc>
          <w:tcPr>
            <w:tcW w:w="2476" w:type="dxa"/>
            <w:gridSpan w:val="6"/>
            <w:vAlign w:val="center"/>
          </w:tcPr>
          <w:p w14:paraId="35E1CABA">
            <w:pPr>
              <w:jc w:val="center"/>
              <w:rPr>
                <w:color w:val="000000" w:themeColor="text1"/>
                <w:highlight w:val="none"/>
                <w14:textFill>
                  <w14:solidFill>
                    <w14:schemeClr w14:val="tx1"/>
                  </w14:solidFill>
                </w14:textFill>
              </w:rPr>
            </w:pPr>
          </w:p>
        </w:tc>
        <w:tc>
          <w:tcPr>
            <w:tcW w:w="1209" w:type="dxa"/>
            <w:vAlign w:val="center"/>
          </w:tcPr>
          <w:p w14:paraId="7D7FC10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608" w:type="dxa"/>
            <w:gridSpan w:val="10"/>
            <w:vAlign w:val="center"/>
          </w:tcPr>
          <w:p w14:paraId="04A9EB93">
            <w:pPr>
              <w:jc w:val="center"/>
              <w:rPr>
                <w:color w:val="000000" w:themeColor="text1"/>
                <w:highlight w:val="none"/>
                <w14:textFill>
                  <w14:solidFill>
                    <w14:schemeClr w14:val="tx1"/>
                  </w14:solidFill>
                </w14:textFill>
              </w:rPr>
            </w:pPr>
          </w:p>
        </w:tc>
      </w:tr>
      <w:tr w14:paraId="22F9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A1EB4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188" w:type="dxa"/>
            <w:gridSpan w:val="2"/>
            <w:vAlign w:val="center"/>
          </w:tcPr>
          <w:p w14:paraId="70EF71D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001235B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gridSpan w:val="3"/>
            <w:vAlign w:val="center"/>
          </w:tcPr>
          <w:p w14:paraId="372687B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45146A3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1CD72E9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2804C77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34C1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D1D9854">
            <w:pPr>
              <w:jc w:val="center"/>
              <w:rPr>
                <w:color w:val="000000" w:themeColor="text1"/>
                <w:highlight w:val="none"/>
                <w14:textFill>
                  <w14:solidFill>
                    <w14:schemeClr w14:val="tx1"/>
                  </w14:solidFill>
                </w14:textFill>
              </w:rPr>
            </w:pPr>
          </w:p>
        </w:tc>
        <w:tc>
          <w:tcPr>
            <w:tcW w:w="1188" w:type="dxa"/>
            <w:gridSpan w:val="2"/>
            <w:vAlign w:val="center"/>
          </w:tcPr>
          <w:p w14:paraId="6D234363">
            <w:pPr>
              <w:jc w:val="center"/>
              <w:rPr>
                <w:color w:val="000000" w:themeColor="text1"/>
                <w:highlight w:val="none"/>
                <w14:textFill>
                  <w14:solidFill>
                    <w14:schemeClr w14:val="tx1"/>
                  </w14:solidFill>
                </w14:textFill>
              </w:rPr>
            </w:pPr>
          </w:p>
        </w:tc>
        <w:tc>
          <w:tcPr>
            <w:tcW w:w="1222" w:type="dxa"/>
            <w:gridSpan w:val="3"/>
            <w:vAlign w:val="center"/>
          </w:tcPr>
          <w:p w14:paraId="2BBA53D4">
            <w:pPr>
              <w:jc w:val="center"/>
              <w:rPr>
                <w:rFonts w:cs="宋体"/>
                <w:color w:val="000000" w:themeColor="text1"/>
                <w:highlight w:val="none"/>
                <w14:textFill>
                  <w14:solidFill>
                    <w14:schemeClr w14:val="tx1"/>
                  </w14:solidFill>
                </w14:textFill>
              </w:rPr>
            </w:pPr>
          </w:p>
        </w:tc>
        <w:tc>
          <w:tcPr>
            <w:tcW w:w="1417" w:type="dxa"/>
            <w:gridSpan w:val="3"/>
            <w:vAlign w:val="center"/>
          </w:tcPr>
          <w:p w14:paraId="1BC3BD0A">
            <w:pPr>
              <w:jc w:val="center"/>
              <w:rPr>
                <w:color w:val="000000" w:themeColor="text1"/>
                <w:highlight w:val="none"/>
                <w14:textFill>
                  <w14:solidFill>
                    <w14:schemeClr w14:val="tx1"/>
                  </w14:solidFill>
                </w14:textFill>
              </w:rPr>
            </w:pPr>
          </w:p>
        </w:tc>
        <w:tc>
          <w:tcPr>
            <w:tcW w:w="1418" w:type="dxa"/>
            <w:gridSpan w:val="3"/>
            <w:vAlign w:val="center"/>
          </w:tcPr>
          <w:p w14:paraId="334108A8">
            <w:pPr>
              <w:jc w:val="center"/>
              <w:rPr>
                <w:color w:val="000000" w:themeColor="text1"/>
                <w:highlight w:val="none"/>
                <w14:textFill>
                  <w14:solidFill>
                    <w14:schemeClr w14:val="tx1"/>
                  </w14:solidFill>
                </w14:textFill>
              </w:rPr>
            </w:pPr>
          </w:p>
        </w:tc>
        <w:tc>
          <w:tcPr>
            <w:tcW w:w="1632" w:type="dxa"/>
            <w:gridSpan w:val="4"/>
            <w:vAlign w:val="center"/>
          </w:tcPr>
          <w:p w14:paraId="217402DE">
            <w:pPr>
              <w:jc w:val="center"/>
              <w:rPr>
                <w:color w:val="000000" w:themeColor="text1"/>
                <w:highlight w:val="none"/>
                <w14:textFill>
                  <w14:solidFill>
                    <w14:schemeClr w14:val="tx1"/>
                  </w14:solidFill>
                </w14:textFill>
              </w:rPr>
            </w:pPr>
          </w:p>
        </w:tc>
        <w:tc>
          <w:tcPr>
            <w:tcW w:w="1416" w:type="dxa"/>
            <w:gridSpan w:val="2"/>
            <w:vAlign w:val="center"/>
          </w:tcPr>
          <w:p w14:paraId="6C05BC29">
            <w:pPr>
              <w:jc w:val="center"/>
              <w:rPr>
                <w:color w:val="000000" w:themeColor="text1"/>
                <w:highlight w:val="none"/>
                <w14:textFill>
                  <w14:solidFill>
                    <w14:schemeClr w14:val="tx1"/>
                  </w14:solidFill>
                </w14:textFill>
              </w:rPr>
            </w:pPr>
          </w:p>
        </w:tc>
      </w:tr>
      <w:tr w14:paraId="493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7D1508A">
            <w:pPr>
              <w:jc w:val="center"/>
              <w:rPr>
                <w:color w:val="000000" w:themeColor="text1"/>
                <w:highlight w:val="none"/>
                <w14:textFill>
                  <w14:solidFill>
                    <w14:schemeClr w14:val="tx1"/>
                  </w14:solidFill>
                </w14:textFill>
              </w:rPr>
            </w:pPr>
          </w:p>
        </w:tc>
        <w:tc>
          <w:tcPr>
            <w:tcW w:w="1188" w:type="dxa"/>
            <w:gridSpan w:val="2"/>
            <w:vAlign w:val="center"/>
          </w:tcPr>
          <w:p w14:paraId="29731864">
            <w:pPr>
              <w:jc w:val="center"/>
              <w:rPr>
                <w:color w:val="000000" w:themeColor="text1"/>
                <w:highlight w:val="none"/>
                <w14:textFill>
                  <w14:solidFill>
                    <w14:schemeClr w14:val="tx1"/>
                  </w14:solidFill>
                </w14:textFill>
              </w:rPr>
            </w:pPr>
          </w:p>
        </w:tc>
        <w:tc>
          <w:tcPr>
            <w:tcW w:w="1222" w:type="dxa"/>
            <w:gridSpan w:val="3"/>
            <w:vAlign w:val="center"/>
          </w:tcPr>
          <w:p w14:paraId="0370C97E">
            <w:pPr>
              <w:jc w:val="center"/>
              <w:rPr>
                <w:rFonts w:cs="宋体"/>
                <w:color w:val="000000" w:themeColor="text1"/>
                <w:highlight w:val="none"/>
                <w14:textFill>
                  <w14:solidFill>
                    <w14:schemeClr w14:val="tx1"/>
                  </w14:solidFill>
                </w14:textFill>
              </w:rPr>
            </w:pPr>
          </w:p>
        </w:tc>
        <w:tc>
          <w:tcPr>
            <w:tcW w:w="1417" w:type="dxa"/>
            <w:gridSpan w:val="3"/>
            <w:vAlign w:val="center"/>
          </w:tcPr>
          <w:p w14:paraId="32EC9DC2">
            <w:pPr>
              <w:jc w:val="center"/>
              <w:rPr>
                <w:color w:val="000000" w:themeColor="text1"/>
                <w:highlight w:val="none"/>
                <w14:textFill>
                  <w14:solidFill>
                    <w14:schemeClr w14:val="tx1"/>
                  </w14:solidFill>
                </w14:textFill>
              </w:rPr>
            </w:pPr>
          </w:p>
        </w:tc>
        <w:tc>
          <w:tcPr>
            <w:tcW w:w="1418" w:type="dxa"/>
            <w:gridSpan w:val="3"/>
            <w:vAlign w:val="center"/>
          </w:tcPr>
          <w:p w14:paraId="051B01CF">
            <w:pPr>
              <w:jc w:val="center"/>
              <w:rPr>
                <w:color w:val="000000" w:themeColor="text1"/>
                <w:highlight w:val="none"/>
                <w14:textFill>
                  <w14:solidFill>
                    <w14:schemeClr w14:val="tx1"/>
                  </w14:solidFill>
                </w14:textFill>
              </w:rPr>
            </w:pPr>
          </w:p>
        </w:tc>
        <w:tc>
          <w:tcPr>
            <w:tcW w:w="1632" w:type="dxa"/>
            <w:gridSpan w:val="4"/>
            <w:vAlign w:val="center"/>
          </w:tcPr>
          <w:p w14:paraId="546362E9">
            <w:pPr>
              <w:jc w:val="center"/>
              <w:rPr>
                <w:color w:val="000000" w:themeColor="text1"/>
                <w:highlight w:val="none"/>
                <w14:textFill>
                  <w14:solidFill>
                    <w14:schemeClr w14:val="tx1"/>
                  </w14:solidFill>
                </w14:textFill>
              </w:rPr>
            </w:pPr>
          </w:p>
        </w:tc>
        <w:tc>
          <w:tcPr>
            <w:tcW w:w="1416" w:type="dxa"/>
            <w:gridSpan w:val="2"/>
            <w:vAlign w:val="center"/>
          </w:tcPr>
          <w:p w14:paraId="41A53F4C">
            <w:pPr>
              <w:jc w:val="center"/>
              <w:rPr>
                <w:color w:val="000000" w:themeColor="text1"/>
                <w:highlight w:val="none"/>
                <w14:textFill>
                  <w14:solidFill>
                    <w14:schemeClr w14:val="tx1"/>
                  </w14:solidFill>
                </w14:textFill>
              </w:rPr>
            </w:pPr>
          </w:p>
        </w:tc>
      </w:tr>
      <w:tr w14:paraId="358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0FD1DB7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1308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3EFB2F2D">
            <w:pPr>
              <w:jc w:val="center"/>
              <w:rPr>
                <w:color w:val="000000" w:themeColor="text1"/>
                <w:highlight w:val="none"/>
                <w14:textFill>
                  <w14:solidFill>
                    <w14:schemeClr w14:val="tx1"/>
                  </w14:solidFill>
                </w14:textFill>
              </w:rPr>
            </w:pPr>
          </w:p>
        </w:tc>
        <w:tc>
          <w:tcPr>
            <w:tcW w:w="1548" w:type="dxa"/>
            <w:gridSpan w:val="2"/>
            <w:vAlign w:val="center"/>
          </w:tcPr>
          <w:p w14:paraId="5A51AC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837" w:type="dxa"/>
            <w:gridSpan w:val="4"/>
            <w:vAlign w:val="center"/>
          </w:tcPr>
          <w:p w14:paraId="154238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472" w:type="dxa"/>
            <w:gridSpan w:val="3"/>
            <w:vAlign w:val="center"/>
          </w:tcPr>
          <w:p w14:paraId="371CFB4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0AA4A88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5BAF390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3FA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15552A3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6A7D53FA">
            <w:pPr>
              <w:jc w:val="center"/>
              <w:rPr>
                <w:color w:val="000000" w:themeColor="text1"/>
                <w:highlight w:val="none"/>
                <w14:textFill>
                  <w14:solidFill>
                    <w14:schemeClr w14:val="tx1"/>
                  </w14:solidFill>
                </w14:textFill>
              </w:rPr>
            </w:pPr>
          </w:p>
        </w:tc>
        <w:tc>
          <w:tcPr>
            <w:tcW w:w="1837" w:type="dxa"/>
            <w:gridSpan w:val="4"/>
            <w:vAlign w:val="center"/>
          </w:tcPr>
          <w:p w14:paraId="6AD93EE2">
            <w:pPr>
              <w:jc w:val="center"/>
              <w:rPr>
                <w:color w:val="000000" w:themeColor="text1"/>
                <w:highlight w:val="none"/>
                <w14:textFill>
                  <w14:solidFill>
                    <w14:schemeClr w14:val="tx1"/>
                  </w14:solidFill>
                </w14:textFill>
              </w:rPr>
            </w:pPr>
          </w:p>
        </w:tc>
        <w:tc>
          <w:tcPr>
            <w:tcW w:w="1472" w:type="dxa"/>
            <w:gridSpan w:val="3"/>
            <w:vAlign w:val="center"/>
          </w:tcPr>
          <w:p w14:paraId="1B79CC94">
            <w:pPr>
              <w:jc w:val="center"/>
              <w:rPr>
                <w:color w:val="000000" w:themeColor="text1"/>
                <w:highlight w:val="none"/>
                <w14:textFill>
                  <w14:solidFill>
                    <w14:schemeClr w14:val="tx1"/>
                  </w14:solidFill>
                </w14:textFill>
              </w:rPr>
            </w:pPr>
          </w:p>
        </w:tc>
        <w:tc>
          <w:tcPr>
            <w:tcW w:w="1641" w:type="dxa"/>
            <w:gridSpan w:val="4"/>
            <w:vAlign w:val="center"/>
          </w:tcPr>
          <w:p w14:paraId="12D55F42">
            <w:pPr>
              <w:jc w:val="center"/>
              <w:rPr>
                <w:color w:val="000000" w:themeColor="text1"/>
                <w:highlight w:val="none"/>
                <w14:textFill>
                  <w14:solidFill>
                    <w14:schemeClr w14:val="tx1"/>
                  </w14:solidFill>
                </w14:textFill>
              </w:rPr>
            </w:pPr>
          </w:p>
        </w:tc>
        <w:tc>
          <w:tcPr>
            <w:tcW w:w="1484" w:type="dxa"/>
            <w:gridSpan w:val="2"/>
            <w:vAlign w:val="center"/>
          </w:tcPr>
          <w:p w14:paraId="6E1CF043">
            <w:pPr>
              <w:jc w:val="center"/>
              <w:rPr>
                <w:color w:val="000000" w:themeColor="text1"/>
                <w:highlight w:val="none"/>
                <w14:textFill>
                  <w14:solidFill>
                    <w14:schemeClr w14:val="tx1"/>
                  </w14:solidFill>
                </w14:textFill>
              </w:rPr>
            </w:pPr>
          </w:p>
        </w:tc>
      </w:tr>
      <w:tr w14:paraId="613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7E000F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242224FD">
            <w:pPr>
              <w:jc w:val="center"/>
              <w:rPr>
                <w:color w:val="000000" w:themeColor="text1"/>
                <w:highlight w:val="none"/>
                <w14:textFill>
                  <w14:solidFill>
                    <w14:schemeClr w14:val="tx1"/>
                  </w14:solidFill>
                </w14:textFill>
              </w:rPr>
            </w:pPr>
          </w:p>
        </w:tc>
        <w:tc>
          <w:tcPr>
            <w:tcW w:w="1837" w:type="dxa"/>
            <w:gridSpan w:val="4"/>
            <w:vAlign w:val="center"/>
          </w:tcPr>
          <w:p w14:paraId="5A15603E">
            <w:pPr>
              <w:jc w:val="center"/>
              <w:rPr>
                <w:color w:val="000000" w:themeColor="text1"/>
                <w:highlight w:val="none"/>
                <w14:textFill>
                  <w14:solidFill>
                    <w14:schemeClr w14:val="tx1"/>
                  </w14:solidFill>
                </w14:textFill>
              </w:rPr>
            </w:pPr>
          </w:p>
        </w:tc>
        <w:tc>
          <w:tcPr>
            <w:tcW w:w="1472" w:type="dxa"/>
            <w:gridSpan w:val="3"/>
            <w:vAlign w:val="center"/>
          </w:tcPr>
          <w:p w14:paraId="48E91C6E">
            <w:pPr>
              <w:jc w:val="center"/>
              <w:rPr>
                <w:color w:val="000000" w:themeColor="text1"/>
                <w:highlight w:val="none"/>
                <w14:textFill>
                  <w14:solidFill>
                    <w14:schemeClr w14:val="tx1"/>
                  </w14:solidFill>
                </w14:textFill>
              </w:rPr>
            </w:pPr>
          </w:p>
        </w:tc>
        <w:tc>
          <w:tcPr>
            <w:tcW w:w="1641" w:type="dxa"/>
            <w:gridSpan w:val="4"/>
            <w:vAlign w:val="center"/>
          </w:tcPr>
          <w:p w14:paraId="2A80851E">
            <w:pPr>
              <w:jc w:val="center"/>
              <w:rPr>
                <w:color w:val="000000" w:themeColor="text1"/>
                <w:highlight w:val="none"/>
                <w14:textFill>
                  <w14:solidFill>
                    <w14:schemeClr w14:val="tx1"/>
                  </w14:solidFill>
                </w14:textFill>
              </w:rPr>
            </w:pPr>
          </w:p>
        </w:tc>
        <w:tc>
          <w:tcPr>
            <w:tcW w:w="1484" w:type="dxa"/>
            <w:gridSpan w:val="2"/>
            <w:vAlign w:val="center"/>
          </w:tcPr>
          <w:p w14:paraId="2AEC3DC0">
            <w:pPr>
              <w:jc w:val="center"/>
              <w:rPr>
                <w:color w:val="000000" w:themeColor="text1"/>
                <w:highlight w:val="none"/>
                <w14:textFill>
                  <w14:solidFill>
                    <w14:schemeClr w14:val="tx1"/>
                  </w14:solidFill>
                </w14:textFill>
              </w:rPr>
            </w:pPr>
          </w:p>
        </w:tc>
      </w:tr>
      <w:tr w14:paraId="2F40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7372A3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67800DEE">
            <w:pPr>
              <w:jc w:val="center"/>
              <w:rPr>
                <w:color w:val="000000" w:themeColor="text1"/>
                <w:highlight w:val="none"/>
                <w14:textFill>
                  <w14:solidFill>
                    <w14:schemeClr w14:val="tx1"/>
                  </w14:solidFill>
                </w14:textFill>
              </w:rPr>
            </w:pPr>
          </w:p>
        </w:tc>
        <w:tc>
          <w:tcPr>
            <w:tcW w:w="1837" w:type="dxa"/>
            <w:gridSpan w:val="4"/>
            <w:vAlign w:val="center"/>
          </w:tcPr>
          <w:p w14:paraId="332DB25D">
            <w:pPr>
              <w:jc w:val="center"/>
              <w:rPr>
                <w:color w:val="000000" w:themeColor="text1"/>
                <w:highlight w:val="none"/>
                <w14:textFill>
                  <w14:solidFill>
                    <w14:schemeClr w14:val="tx1"/>
                  </w14:solidFill>
                </w14:textFill>
              </w:rPr>
            </w:pPr>
          </w:p>
        </w:tc>
        <w:tc>
          <w:tcPr>
            <w:tcW w:w="1472" w:type="dxa"/>
            <w:gridSpan w:val="3"/>
            <w:vAlign w:val="center"/>
          </w:tcPr>
          <w:p w14:paraId="0F06D9F4">
            <w:pPr>
              <w:jc w:val="center"/>
              <w:rPr>
                <w:color w:val="000000" w:themeColor="text1"/>
                <w:highlight w:val="none"/>
                <w14:textFill>
                  <w14:solidFill>
                    <w14:schemeClr w14:val="tx1"/>
                  </w14:solidFill>
                </w14:textFill>
              </w:rPr>
            </w:pPr>
          </w:p>
        </w:tc>
        <w:tc>
          <w:tcPr>
            <w:tcW w:w="1641" w:type="dxa"/>
            <w:gridSpan w:val="4"/>
            <w:vAlign w:val="center"/>
          </w:tcPr>
          <w:p w14:paraId="6E608CF6">
            <w:pPr>
              <w:jc w:val="center"/>
              <w:rPr>
                <w:color w:val="000000" w:themeColor="text1"/>
                <w:highlight w:val="none"/>
                <w14:textFill>
                  <w14:solidFill>
                    <w14:schemeClr w14:val="tx1"/>
                  </w14:solidFill>
                </w14:textFill>
              </w:rPr>
            </w:pPr>
          </w:p>
        </w:tc>
        <w:tc>
          <w:tcPr>
            <w:tcW w:w="1484" w:type="dxa"/>
            <w:gridSpan w:val="2"/>
            <w:vAlign w:val="center"/>
          </w:tcPr>
          <w:p w14:paraId="39B5696E">
            <w:pPr>
              <w:jc w:val="center"/>
              <w:rPr>
                <w:color w:val="000000" w:themeColor="text1"/>
                <w:highlight w:val="none"/>
                <w14:textFill>
                  <w14:solidFill>
                    <w14:schemeClr w14:val="tx1"/>
                  </w14:solidFill>
                </w14:textFill>
              </w:rPr>
            </w:pPr>
          </w:p>
        </w:tc>
      </w:tr>
      <w:tr w14:paraId="6513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08A6147">
            <w:pPr>
              <w:jc w:val="center"/>
              <w:rPr>
                <w:rFonts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2227FBF3">
            <w:pPr>
              <w:jc w:val="center"/>
              <w:rPr>
                <w:color w:val="000000" w:themeColor="text1"/>
                <w:highlight w:val="none"/>
                <w14:textFill>
                  <w14:solidFill>
                    <w14:schemeClr w14:val="tx1"/>
                  </w14:solidFill>
                </w14:textFill>
              </w:rPr>
            </w:pPr>
          </w:p>
        </w:tc>
        <w:tc>
          <w:tcPr>
            <w:tcW w:w="1837" w:type="dxa"/>
            <w:gridSpan w:val="4"/>
            <w:vAlign w:val="center"/>
          </w:tcPr>
          <w:p w14:paraId="2A4068E4">
            <w:pPr>
              <w:jc w:val="center"/>
              <w:rPr>
                <w:color w:val="000000" w:themeColor="text1"/>
                <w:highlight w:val="none"/>
                <w14:textFill>
                  <w14:solidFill>
                    <w14:schemeClr w14:val="tx1"/>
                  </w14:solidFill>
                </w14:textFill>
              </w:rPr>
            </w:pPr>
          </w:p>
        </w:tc>
        <w:tc>
          <w:tcPr>
            <w:tcW w:w="1472" w:type="dxa"/>
            <w:gridSpan w:val="3"/>
            <w:vAlign w:val="center"/>
          </w:tcPr>
          <w:p w14:paraId="773D4C7F">
            <w:pPr>
              <w:jc w:val="center"/>
              <w:rPr>
                <w:color w:val="000000" w:themeColor="text1"/>
                <w:highlight w:val="none"/>
                <w14:textFill>
                  <w14:solidFill>
                    <w14:schemeClr w14:val="tx1"/>
                  </w14:solidFill>
                </w14:textFill>
              </w:rPr>
            </w:pPr>
          </w:p>
        </w:tc>
        <w:tc>
          <w:tcPr>
            <w:tcW w:w="1641" w:type="dxa"/>
            <w:gridSpan w:val="4"/>
            <w:vAlign w:val="center"/>
          </w:tcPr>
          <w:p w14:paraId="1392032D">
            <w:pPr>
              <w:jc w:val="center"/>
              <w:rPr>
                <w:color w:val="000000" w:themeColor="text1"/>
                <w:highlight w:val="none"/>
                <w14:textFill>
                  <w14:solidFill>
                    <w14:schemeClr w14:val="tx1"/>
                  </w14:solidFill>
                </w14:textFill>
              </w:rPr>
            </w:pPr>
          </w:p>
        </w:tc>
        <w:tc>
          <w:tcPr>
            <w:tcW w:w="1484" w:type="dxa"/>
            <w:gridSpan w:val="2"/>
            <w:vAlign w:val="center"/>
          </w:tcPr>
          <w:p w14:paraId="408B18C2">
            <w:pPr>
              <w:jc w:val="center"/>
              <w:rPr>
                <w:color w:val="000000" w:themeColor="text1"/>
                <w:highlight w:val="none"/>
                <w14:textFill>
                  <w14:solidFill>
                    <w14:schemeClr w14:val="tx1"/>
                  </w14:solidFill>
                </w14:textFill>
              </w:rPr>
            </w:pPr>
          </w:p>
        </w:tc>
      </w:tr>
      <w:tr w14:paraId="4693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26143B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54DE5651">
            <w:pPr>
              <w:jc w:val="center"/>
              <w:rPr>
                <w:color w:val="000000" w:themeColor="text1"/>
                <w:highlight w:val="none"/>
                <w14:textFill>
                  <w14:solidFill>
                    <w14:schemeClr w14:val="tx1"/>
                  </w14:solidFill>
                </w14:textFill>
              </w:rPr>
            </w:pPr>
          </w:p>
        </w:tc>
        <w:tc>
          <w:tcPr>
            <w:tcW w:w="1837" w:type="dxa"/>
            <w:gridSpan w:val="4"/>
            <w:vAlign w:val="center"/>
          </w:tcPr>
          <w:p w14:paraId="28FE09CE">
            <w:pPr>
              <w:jc w:val="center"/>
              <w:rPr>
                <w:color w:val="000000" w:themeColor="text1"/>
                <w:highlight w:val="none"/>
                <w14:textFill>
                  <w14:solidFill>
                    <w14:schemeClr w14:val="tx1"/>
                  </w14:solidFill>
                </w14:textFill>
              </w:rPr>
            </w:pPr>
          </w:p>
        </w:tc>
        <w:tc>
          <w:tcPr>
            <w:tcW w:w="1472" w:type="dxa"/>
            <w:gridSpan w:val="3"/>
            <w:vAlign w:val="center"/>
          </w:tcPr>
          <w:p w14:paraId="17C080A2">
            <w:pPr>
              <w:jc w:val="center"/>
              <w:rPr>
                <w:color w:val="000000" w:themeColor="text1"/>
                <w:highlight w:val="none"/>
                <w14:textFill>
                  <w14:solidFill>
                    <w14:schemeClr w14:val="tx1"/>
                  </w14:solidFill>
                </w14:textFill>
              </w:rPr>
            </w:pPr>
          </w:p>
        </w:tc>
        <w:tc>
          <w:tcPr>
            <w:tcW w:w="1641" w:type="dxa"/>
            <w:gridSpan w:val="4"/>
            <w:vAlign w:val="center"/>
          </w:tcPr>
          <w:p w14:paraId="3BD87CA5">
            <w:pPr>
              <w:jc w:val="center"/>
              <w:rPr>
                <w:color w:val="000000" w:themeColor="text1"/>
                <w:highlight w:val="none"/>
                <w14:textFill>
                  <w14:solidFill>
                    <w14:schemeClr w14:val="tx1"/>
                  </w14:solidFill>
                </w14:textFill>
              </w:rPr>
            </w:pPr>
          </w:p>
        </w:tc>
        <w:tc>
          <w:tcPr>
            <w:tcW w:w="1484" w:type="dxa"/>
            <w:gridSpan w:val="2"/>
            <w:vAlign w:val="center"/>
          </w:tcPr>
          <w:p w14:paraId="3952C3AE">
            <w:pPr>
              <w:jc w:val="center"/>
              <w:rPr>
                <w:color w:val="000000" w:themeColor="text1"/>
                <w:highlight w:val="none"/>
                <w14:textFill>
                  <w14:solidFill>
                    <w14:schemeClr w14:val="tx1"/>
                  </w14:solidFill>
                </w14:textFill>
              </w:rPr>
            </w:pPr>
          </w:p>
        </w:tc>
      </w:tr>
      <w:tr w14:paraId="3A0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9049D9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55074E5C">
            <w:pPr>
              <w:jc w:val="center"/>
              <w:rPr>
                <w:color w:val="000000" w:themeColor="text1"/>
                <w:highlight w:val="none"/>
                <w14:textFill>
                  <w14:solidFill>
                    <w14:schemeClr w14:val="tx1"/>
                  </w14:solidFill>
                </w14:textFill>
              </w:rPr>
            </w:pPr>
          </w:p>
        </w:tc>
        <w:tc>
          <w:tcPr>
            <w:tcW w:w="1837" w:type="dxa"/>
            <w:gridSpan w:val="4"/>
            <w:vAlign w:val="center"/>
          </w:tcPr>
          <w:p w14:paraId="7C868CED">
            <w:pPr>
              <w:jc w:val="center"/>
              <w:rPr>
                <w:color w:val="000000" w:themeColor="text1"/>
                <w:highlight w:val="none"/>
                <w14:textFill>
                  <w14:solidFill>
                    <w14:schemeClr w14:val="tx1"/>
                  </w14:solidFill>
                </w14:textFill>
              </w:rPr>
            </w:pPr>
          </w:p>
        </w:tc>
        <w:tc>
          <w:tcPr>
            <w:tcW w:w="1472" w:type="dxa"/>
            <w:gridSpan w:val="3"/>
            <w:vAlign w:val="center"/>
          </w:tcPr>
          <w:p w14:paraId="40E15406">
            <w:pPr>
              <w:jc w:val="center"/>
              <w:rPr>
                <w:color w:val="000000" w:themeColor="text1"/>
                <w:highlight w:val="none"/>
                <w14:textFill>
                  <w14:solidFill>
                    <w14:schemeClr w14:val="tx1"/>
                  </w14:solidFill>
                </w14:textFill>
              </w:rPr>
            </w:pPr>
          </w:p>
        </w:tc>
        <w:tc>
          <w:tcPr>
            <w:tcW w:w="1641" w:type="dxa"/>
            <w:gridSpan w:val="4"/>
            <w:vAlign w:val="center"/>
          </w:tcPr>
          <w:p w14:paraId="543CB3C4">
            <w:pPr>
              <w:jc w:val="center"/>
              <w:rPr>
                <w:color w:val="000000" w:themeColor="text1"/>
                <w:highlight w:val="none"/>
                <w14:textFill>
                  <w14:solidFill>
                    <w14:schemeClr w14:val="tx1"/>
                  </w14:solidFill>
                </w14:textFill>
              </w:rPr>
            </w:pPr>
          </w:p>
        </w:tc>
        <w:tc>
          <w:tcPr>
            <w:tcW w:w="1484" w:type="dxa"/>
            <w:gridSpan w:val="2"/>
            <w:vAlign w:val="center"/>
          </w:tcPr>
          <w:p w14:paraId="2ACE6FBD">
            <w:pPr>
              <w:jc w:val="center"/>
              <w:rPr>
                <w:color w:val="000000" w:themeColor="text1"/>
                <w:highlight w:val="none"/>
                <w14:textFill>
                  <w14:solidFill>
                    <w14:schemeClr w14:val="tx1"/>
                  </w14:solidFill>
                </w14:textFill>
              </w:rPr>
            </w:pPr>
          </w:p>
        </w:tc>
      </w:tr>
      <w:tr w14:paraId="06DA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E406CA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43207D02">
            <w:pPr>
              <w:jc w:val="center"/>
              <w:rPr>
                <w:color w:val="000000" w:themeColor="text1"/>
                <w:highlight w:val="none"/>
                <w14:textFill>
                  <w14:solidFill>
                    <w14:schemeClr w14:val="tx1"/>
                  </w14:solidFill>
                </w14:textFill>
              </w:rPr>
            </w:pPr>
          </w:p>
        </w:tc>
        <w:tc>
          <w:tcPr>
            <w:tcW w:w="1837" w:type="dxa"/>
            <w:gridSpan w:val="4"/>
            <w:vAlign w:val="center"/>
          </w:tcPr>
          <w:p w14:paraId="5F9DEF91">
            <w:pPr>
              <w:jc w:val="center"/>
              <w:rPr>
                <w:color w:val="000000" w:themeColor="text1"/>
                <w:highlight w:val="none"/>
                <w14:textFill>
                  <w14:solidFill>
                    <w14:schemeClr w14:val="tx1"/>
                  </w14:solidFill>
                </w14:textFill>
              </w:rPr>
            </w:pPr>
          </w:p>
        </w:tc>
        <w:tc>
          <w:tcPr>
            <w:tcW w:w="1472" w:type="dxa"/>
            <w:gridSpan w:val="3"/>
            <w:vAlign w:val="center"/>
          </w:tcPr>
          <w:p w14:paraId="7868D41A">
            <w:pPr>
              <w:jc w:val="center"/>
              <w:rPr>
                <w:color w:val="000000" w:themeColor="text1"/>
                <w:highlight w:val="none"/>
                <w14:textFill>
                  <w14:solidFill>
                    <w14:schemeClr w14:val="tx1"/>
                  </w14:solidFill>
                </w14:textFill>
              </w:rPr>
            </w:pPr>
          </w:p>
        </w:tc>
        <w:tc>
          <w:tcPr>
            <w:tcW w:w="1641" w:type="dxa"/>
            <w:gridSpan w:val="4"/>
            <w:vAlign w:val="center"/>
          </w:tcPr>
          <w:p w14:paraId="4745BED6">
            <w:pPr>
              <w:jc w:val="center"/>
              <w:rPr>
                <w:color w:val="000000" w:themeColor="text1"/>
                <w:highlight w:val="none"/>
                <w14:textFill>
                  <w14:solidFill>
                    <w14:schemeClr w14:val="tx1"/>
                  </w14:solidFill>
                </w14:textFill>
              </w:rPr>
            </w:pPr>
          </w:p>
        </w:tc>
        <w:tc>
          <w:tcPr>
            <w:tcW w:w="1484" w:type="dxa"/>
            <w:gridSpan w:val="2"/>
            <w:vAlign w:val="center"/>
          </w:tcPr>
          <w:p w14:paraId="623A2C56">
            <w:pPr>
              <w:jc w:val="center"/>
              <w:rPr>
                <w:color w:val="000000" w:themeColor="text1"/>
                <w:highlight w:val="none"/>
                <w14:textFill>
                  <w14:solidFill>
                    <w14:schemeClr w14:val="tx1"/>
                  </w14:solidFill>
                </w14:textFill>
              </w:rPr>
            </w:pPr>
          </w:p>
        </w:tc>
      </w:tr>
      <w:tr w14:paraId="24E2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ED1071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31A94B72">
            <w:pPr>
              <w:jc w:val="center"/>
              <w:rPr>
                <w:color w:val="000000" w:themeColor="text1"/>
                <w:highlight w:val="none"/>
                <w14:textFill>
                  <w14:solidFill>
                    <w14:schemeClr w14:val="tx1"/>
                  </w14:solidFill>
                </w14:textFill>
              </w:rPr>
            </w:pPr>
          </w:p>
        </w:tc>
        <w:tc>
          <w:tcPr>
            <w:tcW w:w="1837" w:type="dxa"/>
            <w:gridSpan w:val="4"/>
            <w:vAlign w:val="center"/>
          </w:tcPr>
          <w:p w14:paraId="789C6556">
            <w:pPr>
              <w:jc w:val="center"/>
              <w:rPr>
                <w:color w:val="000000" w:themeColor="text1"/>
                <w:highlight w:val="none"/>
                <w14:textFill>
                  <w14:solidFill>
                    <w14:schemeClr w14:val="tx1"/>
                  </w14:solidFill>
                </w14:textFill>
              </w:rPr>
            </w:pPr>
          </w:p>
        </w:tc>
        <w:tc>
          <w:tcPr>
            <w:tcW w:w="1472" w:type="dxa"/>
            <w:gridSpan w:val="3"/>
            <w:vAlign w:val="center"/>
          </w:tcPr>
          <w:p w14:paraId="359D4468">
            <w:pPr>
              <w:jc w:val="center"/>
              <w:rPr>
                <w:color w:val="000000" w:themeColor="text1"/>
                <w:highlight w:val="none"/>
                <w14:textFill>
                  <w14:solidFill>
                    <w14:schemeClr w14:val="tx1"/>
                  </w14:solidFill>
                </w14:textFill>
              </w:rPr>
            </w:pPr>
          </w:p>
        </w:tc>
        <w:tc>
          <w:tcPr>
            <w:tcW w:w="1641" w:type="dxa"/>
            <w:gridSpan w:val="4"/>
            <w:vAlign w:val="center"/>
          </w:tcPr>
          <w:p w14:paraId="4FCE8C0B">
            <w:pPr>
              <w:jc w:val="center"/>
              <w:rPr>
                <w:color w:val="000000" w:themeColor="text1"/>
                <w:highlight w:val="none"/>
                <w14:textFill>
                  <w14:solidFill>
                    <w14:schemeClr w14:val="tx1"/>
                  </w14:solidFill>
                </w14:textFill>
              </w:rPr>
            </w:pPr>
          </w:p>
        </w:tc>
        <w:tc>
          <w:tcPr>
            <w:tcW w:w="1484" w:type="dxa"/>
            <w:gridSpan w:val="2"/>
            <w:vAlign w:val="center"/>
          </w:tcPr>
          <w:p w14:paraId="15817D4F">
            <w:pPr>
              <w:jc w:val="center"/>
              <w:rPr>
                <w:color w:val="000000" w:themeColor="text1"/>
                <w:highlight w:val="none"/>
                <w14:textFill>
                  <w14:solidFill>
                    <w14:schemeClr w14:val="tx1"/>
                  </w14:solidFill>
                </w14:textFill>
              </w:rPr>
            </w:pPr>
          </w:p>
        </w:tc>
      </w:tr>
      <w:tr w14:paraId="4E73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DEF4E0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5A308D41">
            <w:pPr>
              <w:jc w:val="center"/>
              <w:rPr>
                <w:color w:val="000000" w:themeColor="text1"/>
                <w:highlight w:val="none"/>
                <w14:textFill>
                  <w14:solidFill>
                    <w14:schemeClr w14:val="tx1"/>
                  </w14:solidFill>
                </w14:textFill>
              </w:rPr>
            </w:pPr>
          </w:p>
        </w:tc>
        <w:tc>
          <w:tcPr>
            <w:tcW w:w="1837" w:type="dxa"/>
            <w:gridSpan w:val="4"/>
            <w:vAlign w:val="center"/>
          </w:tcPr>
          <w:p w14:paraId="5CB38452">
            <w:pPr>
              <w:jc w:val="center"/>
              <w:rPr>
                <w:color w:val="000000" w:themeColor="text1"/>
                <w:highlight w:val="none"/>
                <w14:textFill>
                  <w14:solidFill>
                    <w14:schemeClr w14:val="tx1"/>
                  </w14:solidFill>
                </w14:textFill>
              </w:rPr>
            </w:pPr>
          </w:p>
        </w:tc>
        <w:tc>
          <w:tcPr>
            <w:tcW w:w="1472" w:type="dxa"/>
            <w:gridSpan w:val="3"/>
            <w:vAlign w:val="center"/>
          </w:tcPr>
          <w:p w14:paraId="3C377A3A">
            <w:pPr>
              <w:jc w:val="center"/>
              <w:rPr>
                <w:color w:val="000000" w:themeColor="text1"/>
                <w:highlight w:val="none"/>
                <w14:textFill>
                  <w14:solidFill>
                    <w14:schemeClr w14:val="tx1"/>
                  </w14:solidFill>
                </w14:textFill>
              </w:rPr>
            </w:pPr>
          </w:p>
        </w:tc>
        <w:tc>
          <w:tcPr>
            <w:tcW w:w="1641" w:type="dxa"/>
            <w:gridSpan w:val="4"/>
            <w:vAlign w:val="center"/>
          </w:tcPr>
          <w:p w14:paraId="7B7F6B16">
            <w:pPr>
              <w:jc w:val="center"/>
              <w:rPr>
                <w:color w:val="000000" w:themeColor="text1"/>
                <w:highlight w:val="none"/>
                <w14:textFill>
                  <w14:solidFill>
                    <w14:schemeClr w14:val="tx1"/>
                  </w14:solidFill>
                </w14:textFill>
              </w:rPr>
            </w:pPr>
          </w:p>
        </w:tc>
        <w:tc>
          <w:tcPr>
            <w:tcW w:w="1484" w:type="dxa"/>
            <w:gridSpan w:val="2"/>
            <w:vAlign w:val="center"/>
          </w:tcPr>
          <w:p w14:paraId="7BF3F391">
            <w:pPr>
              <w:jc w:val="center"/>
              <w:rPr>
                <w:color w:val="000000" w:themeColor="text1"/>
                <w:highlight w:val="none"/>
                <w14:textFill>
                  <w14:solidFill>
                    <w14:schemeClr w14:val="tx1"/>
                  </w14:solidFill>
                </w14:textFill>
              </w:rPr>
            </w:pPr>
          </w:p>
        </w:tc>
      </w:tr>
    </w:tbl>
    <w:p w14:paraId="4C5AFCA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1C9DF48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p>
    <w:p w14:paraId="2612302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2.本表后附项目技术负责人（项目总工）的</w:t>
      </w:r>
      <w:r>
        <w:rPr>
          <w:color w:val="000000" w:themeColor="text1"/>
          <w:highlight w:val="none"/>
          <w14:textFill>
            <w14:solidFill>
              <w14:schemeClr w14:val="tx1"/>
            </w14:solidFill>
          </w14:textFill>
        </w:rPr>
        <w:t>职称证书复印件（或打印件）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本表所列证书复印件并加盖供应商电子签章。</w:t>
      </w:r>
    </w:p>
    <w:p w14:paraId="3711C5FE">
      <w:pPr>
        <w:spacing w:line="360" w:lineRule="auto"/>
        <w:rPr>
          <w:rFonts w:eastAsia="楷体_GB2312"/>
          <w:color w:val="000000" w:themeColor="text1"/>
          <w:highlight w:val="none"/>
          <w14:textFill>
            <w14:solidFill>
              <w14:schemeClr w14:val="tx1"/>
            </w14:solidFill>
          </w14:textFill>
        </w:rPr>
      </w:pPr>
    </w:p>
    <w:p w14:paraId="51FDE450">
      <w:pPr>
        <w:pStyle w:val="157"/>
        <w:spacing w:line="360" w:lineRule="auto"/>
        <w:jc w:val="center"/>
        <w:outlineLvl w:val="0"/>
        <w:rPr>
          <w:color w:val="000000" w:themeColor="text1"/>
          <w:sz w:val="28"/>
          <w:szCs w:val="28"/>
          <w:highlight w:val="none"/>
          <w:u w:val="single"/>
          <w14:textFill>
            <w14:solidFill>
              <w14:schemeClr w14:val="tx1"/>
            </w14:solidFill>
          </w14:textFill>
        </w:rPr>
      </w:pPr>
      <w:r>
        <w:rPr>
          <w:rFonts w:cs="宋体"/>
          <w:b/>
          <w:bCs/>
          <w:color w:val="000000" w:themeColor="text1"/>
          <w:sz w:val="28"/>
          <w:szCs w:val="28"/>
          <w:highlight w:val="none"/>
          <w14:textFill>
            <w14:solidFill>
              <w14:schemeClr w14:val="tx1"/>
            </w14:solidFill>
          </w14:textFill>
        </w:rPr>
        <w:br w:type="page"/>
      </w:r>
      <w:bookmarkStart w:id="208" w:name="_Toc122424266"/>
      <w:bookmarkStart w:id="209" w:name="_Toc122424017"/>
      <w:r>
        <w:rPr>
          <w:rFonts w:hint="eastAsia" w:cs="宋体"/>
          <w:b/>
          <w:color w:val="000000" w:themeColor="text1"/>
          <w:sz w:val="28"/>
          <w:szCs w:val="28"/>
          <w:highlight w:val="none"/>
          <w14:textFill>
            <w14:solidFill>
              <w14:schemeClr w14:val="tx1"/>
            </w14:solidFill>
          </w14:textFill>
        </w:rPr>
        <w:t>专职安全生产管理人员</w:t>
      </w:r>
      <w:bookmarkEnd w:id="208"/>
      <w:bookmarkEnd w:id="209"/>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32F1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347037B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40" w:type="dxa"/>
            <w:gridSpan w:val="5"/>
            <w:vAlign w:val="center"/>
          </w:tcPr>
          <w:p w14:paraId="41DEB975">
            <w:pPr>
              <w:jc w:val="center"/>
              <w:rPr>
                <w:color w:val="000000" w:themeColor="text1"/>
                <w:highlight w:val="none"/>
                <w14:textFill>
                  <w14:solidFill>
                    <w14:schemeClr w14:val="tx1"/>
                  </w14:solidFill>
                </w14:textFill>
              </w:rPr>
            </w:pPr>
          </w:p>
        </w:tc>
        <w:tc>
          <w:tcPr>
            <w:tcW w:w="1893" w:type="dxa"/>
            <w:gridSpan w:val="5"/>
            <w:vAlign w:val="center"/>
          </w:tcPr>
          <w:p w14:paraId="2CB9692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5C15282E">
            <w:pPr>
              <w:jc w:val="center"/>
              <w:rPr>
                <w:color w:val="000000" w:themeColor="text1"/>
                <w:highlight w:val="none"/>
                <w14:textFill>
                  <w14:solidFill>
                    <w14:schemeClr w14:val="tx1"/>
                  </w14:solidFill>
                </w14:textFill>
              </w:rPr>
            </w:pPr>
          </w:p>
        </w:tc>
        <w:tc>
          <w:tcPr>
            <w:tcW w:w="1108" w:type="dxa"/>
            <w:vAlign w:val="center"/>
          </w:tcPr>
          <w:p w14:paraId="552C2C6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35B21A2B">
            <w:pPr>
              <w:jc w:val="center"/>
              <w:rPr>
                <w:color w:val="000000" w:themeColor="text1"/>
                <w:highlight w:val="none"/>
                <w14:textFill>
                  <w14:solidFill>
                    <w14:schemeClr w14:val="tx1"/>
                  </w14:solidFill>
                </w14:textFill>
              </w:rPr>
            </w:pPr>
          </w:p>
        </w:tc>
      </w:tr>
      <w:tr w14:paraId="2B35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7559F1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40" w:type="dxa"/>
            <w:gridSpan w:val="5"/>
            <w:vAlign w:val="center"/>
          </w:tcPr>
          <w:p w14:paraId="66ADE68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专职安全生产管理人员</w:t>
            </w:r>
          </w:p>
        </w:tc>
        <w:tc>
          <w:tcPr>
            <w:tcW w:w="1893" w:type="dxa"/>
            <w:gridSpan w:val="5"/>
            <w:vAlign w:val="center"/>
          </w:tcPr>
          <w:p w14:paraId="2458C1F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4D05BBE9">
            <w:pPr>
              <w:jc w:val="center"/>
              <w:rPr>
                <w:color w:val="000000" w:themeColor="text1"/>
                <w:highlight w:val="none"/>
                <w14:textFill>
                  <w14:solidFill>
                    <w14:schemeClr w14:val="tx1"/>
                  </w14:solidFill>
                </w14:textFill>
              </w:rPr>
            </w:pPr>
          </w:p>
        </w:tc>
        <w:tc>
          <w:tcPr>
            <w:tcW w:w="1108" w:type="dxa"/>
            <w:vAlign w:val="center"/>
          </w:tcPr>
          <w:p w14:paraId="1768000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03F5BC32">
            <w:pPr>
              <w:jc w:val="center"/>
              <w:rPr>
                <w:color w:val="000000" w:themeColor="text1"/>
                <w:highlight w:val="none"/>
                <w14:textFill>
                  <w14:solidFill>
                    <w14:schemeClr w14:val="tx1"/>
                  </w14:solidFill>
                </w14:textFill>
              </w:rPr>
            </w:pPr>
          </w:p>
        </w:tc>
      </w:tr>
      <w:tr w14:paraId="2D31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2322E7E">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40" w:type="dxa"/>
            <w:gridSpan w:val="5"/>
            <w:vAlign w:val="center"/>
          </w:tcPr>
          <w:p w14:paraId="47350F65">
            <w:pPr>
              <w:jc w:val="center"/>
              <w:rPr>
                <w:color w:val="000000" w:themeColor="text1"/>
                <w:highlight w:val="none"/>
                <w14:textFill>
                  <w14:solidFill>
                    <w14:schemeClr w14:val="tx1"/>
                  </w14:solidFill>
                </w14:textFill>
              </w:rPr>
            </w:pPr>
          </w:p>
        </w:tc>
        <w:tc>
          <w:tcPr>
            <w:tcW w:w="1893" w:type="dxa"/>
            <w:gridSpan w:val="5"/>
            <w:vAlign w:val="center"/>
          </w:tcPr>
          <w:p w14:paraId="50016A4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5D340828">
            <w:pPr>
              <w:jc w:val="center"/>
              <w:rPr>
                <w:color w:val="000000" w:themeColor="text1"/>
                <w:highlight w:val="none"/>
                <w14:textFill>
                  <w14:solidFill>
                    <w14:schemeClr w14:val="tx1"/>
                  </w14:solidFill>
                </w14:textFill>
              </w:rPr>
            </w:pPr>
          </w:p>
        </w:tc>
        <w:tc>
          <w:tcPr>
            <w:tcW w:w="1108" w:type="dxa"/>
            <w:vAlign w:val="center"/>
          </w:tcPr>
          <w:p w14:paraId="68065A6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50E58CC9">
            <w:pPr>
              <w:jc w:val="center"/>
              <w:rPr>
                <w:color w:val="000000" w:themeColor="text1"/>
                <w:highlight w:val="none"/>
                <w14:textFill>
                  <w14:solidFill>
                    <w14:schemeClr w14:val="tx1"/>
                  </w14:solidFill>
                </w14:textFill>
              </w:rPr>
            </w:pPr>
          </w:p>
        </w:tc>
      </w:tr>
      <w:tr w14:paraId="55B7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26DF488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担任……年限</w:t>
            </w:r>
          </w:p>
        </w:tc>
        <w:tc>
          <w:tcPr>
            <w:tcW w:w="2563" w:type="dxa"/>
            <w:gridSpan w:val="6"/>
            <w:vAlign w:val="center"/>
          </w:tcPr>
          <w:p w14:paraId="43007A73">
            <w:pPr>
              <w:jc w:val="center"/>
              <w:rPr>
                <w:color w:val="000000" w:themeColor="text1"/>
                <w:highlight w:val="none"/>
                <w14:textFill>
                  <w14:solidFill>
                    <w14:schemeClr w14:val="tx1"/>
                  </w14:solidFill>
                </w14:textFill>
              </w:rPr>
            </w:pPr>
          </w:p>
        </w:tc>
        <w:tc>
          <w:tcPr>
            <w:tcW w:w="1209" w:type="dxa"/>
            <w:vAlign w:val="center"/>
          </w:tcPr>
          <w:p w14:paraId="16D9889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608" w:type="dxa"/>
            <w:gridSpan w:val="10"/>
            <w:vAlign w:val="center"/>
          </w:tcPr>
          <w:p w14:paraId="567CB921">
            <w:pPr>
              <w:jc w:val="center"/>
              <w:rPr>
                <w:color w:val="000000" w:themeColor="text1"/>
                <w:highlight w:val="none"/>
                <w14:textFill>
                  <w14:solidFill>
                    <w14:schemeClr w14:val="tx1"/>
                  </w14:solidFill>
                </w14:textFill>
              </w:rPr>
            </w:pPr>
          </w:p>
        </w:tc>
      </w:tr>
      <w:tr w14:paraId="456B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7763D3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275" w:type="dxa"/>
            <w:gridSpan w:val="2"/>
            <w:vAlign w:val="center"/>
          </w:tcPr>
          <w:p w14:paraId="4C0EE6E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6A6C36B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gridSpan w:val="3"/>
            <w:vAlign w:val="center"/>
          </w:tcPr>
          <w:p w14:paraId="3C3BE2B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104C490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3C23E26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7033042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0AA7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2D26A5D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275" w:type="dxa"/>
            <w:gridSpan w:val="2"/>
            <w:vAlign w:val="center"/>
          </w:tcPr>
          <w:p w14:paraId="45B92548">
            <w:pPr>
              <w:jc w:val="center"/>
              <w:rPr>
                <w:color w:val="000000" w:themeColor="text1"/>
                <w:highlight w:val="none"/>
                <w14:textFill>
                  <w14:solidFill>
                    <w14:schemeClr w14:val="tx1"/>
                  </w14:solidFill>
                </w14:textFill>
              </w:rPr>
            </w:pPr>
          </w:p>
        </w:tc>
        <w:tc>
          <w:tcPr>
            <w:tcW w:w="1222" w:type="dxa"/>
            <w:gridSpan w:val="3"/>
            <w:vAlign w:val="center"/>
          </w:tcPr>
          <w:p w14:paraId="1E4D534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C类</w:t>
            </w:r>
          </w:p>
        </w:tc>
        <w:tc>
          <w:tcPr>
            <w:tcW w:w="1417" w:type="dxa"/>
            <w:gridSpan w:val="3"/>
            <w:vAlign w:val="center"/>
          </w:tcPr>
          <w:p w14:paraId="1C01D7FA">
            <w:pPr>
              <w:jc w:val="center"/>
              <w:rPr>
                <w:color w:val="000000" w:themeColor="text1"/>
                <w:highlight w:val="none"/>
                <w14:textFill>
                  <w14:solidFill>
                    <w14:schemeClr w14:val="tx1"/>
                  </w14:solidFill>
                </w14:textFill>
              </w:rPr>
            </w:pPr>
          </w:p>
        </w:tc>
        <w:tc>
          <w:tcPr>
            <w:tcW w:w="1418" w:type="dxa"/>
            <w:gridSpan w:val="3"/>
            <w:vAlign w:val="center"/>
          </w:tcPr>
          <w:p w14:paraId="247E772F">
            <w:pPr>
              <w:jc w:val="center"/>
              <w:rPr>
                <w:color w:val="000000" w:themeColor="text1"/>
                <w:highlight w:val="none"/>
                <w14:textFill>
                  <w14:solidFill>
                    <w14:schemeClr w14:val="tx1"/>
                  </w14:solidFill>
                </w14:textFill>
              </w:rPr>
            </w:pPr>
          </w:p>
        </w:tc>
        <w:tc>
          <w:tcPr>
            <w:tcW w:w="1632" w:type="dxa"/>
            <w:gridSpan w:val="4"/>
            <w:vAlign w:val="center"/>
          </w:tcPr>
          <w:p w14:paraId="1F724664">
            <w:pPr>
              <w:jc w:val="center"/>
              <w:rPr>
                <w:color w:val="000000" w:themeColor="text1"/>
                <w:highlight w:val="none"/>
                <w14:textFill>
                  <w14:solidFill>
                    <w14:schemeClr w14:val="tx1"/>
                  </w14:solidFill>
                </w14:textFill>
              </w:rPr>
            </w:pPr>
          </w:p>
        </w:tc>
        <w:tc>
          <w:tcPr>
            <w:tcW w:w="1416" w:type="dxa"/>
            <w:gridSpan w:val="2"/>
            <w:vAlign w:val="center"/>
          </w:tcPr>
          <w:p w14:paraId="6110CBEB">
            <w:pPr>
              <w:jc w:val="center"/>
              <w:rPr>
                <w:color w:val="000000" w:themeColor="text1"/>
                <w:highlight w:val="none"/>
                <w14:textFill>
                  <w14:solidFill>
                    <w14:schemeClr w14:val="tx1"/>
                  </w14:solidFill>
                </w14:textFill>
              </w:rPr>
            </w:pPr>
          </w:p>
        </w:tc>
      </w:tr>
      <w:tr w14:paraId="693A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69AE8FE5">
            <w:pPr>
              <w:jc w:val="center"/>
              <w:rPr>
                <w:color w:val="000000" w:themeColor="text1"/>
                <w:highlight w:val="none"/>
                <w14:textFill>
                  <w14:solidFill>
                    <w14:schemeClr w14:val="tx1"/>
                  </w14:solidFill>
                </w14:textFill>
              </w:rPr>
            </w:pPr>
          </w:p>
        </w:tc>
        <w:tc>
          <w:tcPr>
            <w:tcW w:w="1275" w:type="dxa"/>
            <w:gridSpan w:val="2"/>
            <w:vAlign w:val="center"/>
          </w:tcPr>
          <w:p w14:paraId="04A64402">
            <w:pPr>
              <w:jc w:val="center"/>
              <w:rPr>
                <w:color w:val="000000" w:themeColor="text1"/>
                <w:highlight w:val="none"/>
                <w14:textFill>
                  <w14:solidFill>
                    <w14:schemeClr w14:val="tx1"/>
                  </w14:solidFill>
                </w14:textFill>
              </w:rPr>
            </w:pPr>
          </w:p>
        </w:tc>
        <w:tc>
          <w:tcPr>
            <w:tcW w:w="1222" w:type="dxa"/>
            <w:gridSpan w:val="3"/>
            <w:vAlign w:val="center"/>
          </w:tcPr>
          <w:p w14:paraId="765950B0">
            <w:pPr>
              <w:jc w:val="center"/>
              <w:rPr>
                <w:rFonts w:cs="宋体"/>
                <w:color w:val="000000" w:themeColor="text1"/>
                <w:highlight w:val="none"/>
                <w14:textFill>
                  <w14:solidFill>
                    <w14:schemeClr w14:val="tx1"/>
                  </w14:solidFill>
                </w14:textFill>
              </w:rPr>
            </w:pPr>
          </w:p>
        </w:tc>
        <w:tc>
          <w:tcPr>
            <w:tcW w:w="1417" w:type="dxa"/>
            <w:gridSpan w:val="3"/>
            <w:vAlign w:val="center"/>
          </w:tcPr>
          <w:p w14:paraId="23BF6D0D">
            <w:pPr>
              <w:jc w:val="center"/>
              <w:rPr>
                <w:color w:val="000000" w:themeColor="text1"/>
                <w:highlight w:val="none"/>
                <w14:textFill>
                  <w14:solidFill>
                    <w14:schemeClr w14:val="tx1"/>
                  </w14:solidFill>
                </w14:textFill>
              </w:rPr>
            </w:pPr>
          </w:p>
        </w:tc>
        <w:tc>
          <w:tcPr>
            <w:tcW w:w="1418" w:type="dxa"/>
            <w:gridSpan w:val="3"/>
            <w:vAlign w:val="center"/>
          </w:tcPr>
          <w:p w14:paraId="31C5A459">
            <w:pPr>
              <w:jc w:val="center"/>
              <w:rPr>
                <w:color w:val="000000" w:themeColor="text1"/>
                <w:highlight w:val="none"/>
                <w14:textFill>
                  <w14:solidFill>
                    <w14:schemeClr w14:val="tx1"/>
                  </w14:solidFill>
                </w14:textFill>
              </w:rPr>
            </w:pPr>
          </w:p>
        </w:tc>
        <w:tc>
          <w:tcPr>
            <w:tcW w:w="1632" w:type="dxa"/>
            <w:gridSpan w:val="4"/>
            <w:vAlign w:val="center"/>
          </w:tcPr>
          <w:p w14:paraId="2CC4C594">
            <w:pPr>
              <w:jc w:val="center"/>
              <w:rPr>
                <w:color w:val="000000" w:themeColor="text1"/>
                <w:highlight w:val="none"/>
                <w14:textFill>
                  <w14:solidFill>
                    <w14:schemeClr w14:val="tx1"/>
                  </w14:solidFill>
                </w14:textFill>
              </w:rPr>
            </w:pPr>
          </w:p>
        </w:tc>
        <w:tc>
          <w:tcPr>
            <w:tcW w:w="1416" w:type="dxa"/>
            <w:gridSpan w:val="2"/>
            <w:vAlign w:val="center"/>
          </w:tcPr>
          <w:p w14:paraId="243B56BC">
            <w:pPr>
              <w:jc w:val="center"/>
              <w:rPr>
                <w:color w:val="000000" w:themeColor="text1"/>
                <w:highlight w:val="none"/>
                <w14:textFill>
                  <w14:solidFill>
                    <w14:schemeClr w14:val="tx1"/>
                  </w14:solidFill>
                </w14:textFill>
              </w:rPr>
            </w:pPr>
          </w:p>
        </w:tc>
      </w:tr>
      <w:tr w14:paraId="7ADA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5C65899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1B2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1D7A329">
            <w:pPr>
              <w:jc w:val="center"/>
              <w:rPr>
                <w:color w:val="000000" w:themeColor="text1"/>
                <w:highlight w:val="none"/>
                <w14:textFill>
                  <w14:solidFill>
                    <w14:schemeClr w14:val="tx1"/>
                  </w14:solidFill>
                </w14:textFill>
              </w:rPr>
            </w:pPr>
          </w:p>
        </w:tc>
        <w:tc>
          <w:tcPr>
            <w:tcW w:w="1548" w:type="dxa"/>
            <w:gridSpan w:val="2"/>
            <w:vAlign w:val="center"/>
          </w:tcPr>
          <w:p w14:paraId="36D3ED3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837" w:type="dxa"/>
            <w:gridSpan w:val="4"/>
            <w:vAlign w:val="center"/>
          </w:tcPr>
          <w:p w14:paraId="7EBFA2B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472" w:type="dxa"/>
            <w:gridSpan w:val="3"/>
            <w:vAlign w:val="center"/>
          </w:tcPr>
          <w:p w14:paraId="330777C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094CAEF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1F5DE8F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11B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3B8C82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2E83E98E">
            <w:pPr>
              <w:jc w:val="center"/>
              <w:rPr>
                <w:color w:val="000000" w:themeColor="text1"/>
                <w:highlight w:val="none"/>
                <w14:textFill>
                  <w14:solidFill>
                    <w14:schemeClr w14:val="tx1"/>
                  </w14:solidFill>
                </w14:textFill>
              </w:rPr>
            </w:pPr>
          </w:p>
        </w:tc>
        <w:tc>
          <w:tcPr>
            <w:tcW w:w="1837" w:type="dxa"/>
            <w:gridSpan w:val="4"/>
            <w:vAlign w:val="center"/>
          </w:tcPr>
          <w:p w14:paraId="63C6A50F">
            <w:pPr>
              <w:jc w:val="center"/>
              <w:rPr>
                <w:color w:val="000000" w:themeColor="text1"/>
                <w:highlight w:val="none"/>
                <w14:textFill>
                  <w14:solidFill>
                    <w14:schemeClr w14:val="tx1"/>
                  </w14:solidFill>
                </w14:textFill>
              </w:rPr>
            </w:pPr>
          </w:p>
        </w:tc>
        <w:tc>
          <w:tcPr>
            <w:tcW w:w="1472" w:type="dxa"/>
            <w:gridSpan w:val="3"/>
            <w:vAlign w:val="center"/>
          </w:tcPr>
          <w:p w14:paraId="48E6305E">
            <w:pPr>
              <w:jc w:val="center"/>
              <w:rPr>
                <w:color w:val="000000" w:themeColor="text1"/>
                <w:highlight w:val="none"/>
                <w14:textFill>
                  <w14:solidFill>
                    <w14:schemeClr w14:val="tx1"/>
                  </w14:solidFill>
                </w14:textFill>
              </w:rPr>
            </w:pPr>
          </w:p>
        </w:tc>
        <w:tc>
          <w:tcPr>
            <w:tcW w:w="1641" w:type="dxa"/>
            <w:gridSpan w:val="4"/>
            <w:vAlign w:val="center"/>
          </w:tcPr>
          <w:p w14:paraId="7ED01204">
            <w:pPr>
              <w:jc w:val="center"/>
              <w:rPr>
                <w:color w:val="000000" w:themeColor="text1"/>
                <w:highlight w:val="none"/>
                <w14:textFill>
                  <w14:solidFill>
                    <w14:schemeClr w14:val="tx1"/>
                  </w14:solidFill>
                </w14:textFill>
              </w:rPr>
            </w:pPr>
          </w:p>
        </w:tc>
        <w:tc>
          <w:tcPr>
            <w:tcW w:w="1484" w:type="dxa"/>
            <w:gridSpan w:val="2"/>
            <w:vAlign w:val="center"/>
          </w:tcPr>
          <w:p w14:paraId="3DFE0421">
            <w:pPr>
              <w:jc w:val="center"/>
              <w:rPr>
                <w:color w:val="000000" w:themeColor="text1"/>
                <w:highlight w:val="none"/>
                <w14:textFill>
                  <w14:solidFill>
                    <w14:schemeClr w14:val="tx1"/>
                  </w14:solidFill>
                </w14:textFill>
              </w:rPr>
            </w:pPr>
          </w:p>
        </w:tc>
      </w:tr>
      <w:tr w14:paraId="175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8BB9D6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172B88FD">
            <w:pPr>
              <w:jc w:val="center"/>
              <w:rPr>
                <w:color w:val="000000" w:themeColor="text1"/>
                <w:highlight w:val="none"/>
                <w14:textFill>
                  <w14:solidFill>
                    <w14:schemeClr w14:val="tx1"/>
                  </w14:solidFill>
                </w14:textFill>
              </w:rPr>
            </w:pPr>
          </w:p>
        </w:tc>
        <w:tc>
          <w:tcPr>
            <w:tcW w:w="1837" w:type="dxa"/>
            <w:gridSpan w:val="4"/>
            <w:vAlign w:val="center"/>
          </w:tcPr>
          <w:p w14:paraId="30898BD2">
            <w:pPr>
              <w:jc w:val="center"/>
              <w:rPr>
                <w:color w:val="000000" w:themeColor="text1"/>
                <w:highlight w:val="none"/>
                <w14:textFill>
                  <w14:solidFill>
                    <w14:schemeClr w14:val="tx1"/>
                  </w14:solidFill>
                </w14:textFill>
              </w:rPr>
            </w:pPr>
          </w:p>
        </w:tc>
        <w:tc>
          <w:tcPr>
            <w:tcW w:w="1472" w:type="dxa"/>
            <w:gridSpan w:val="3"/>
            <w:vAlign w:val="center"/>
          </w:tcPr>
          <w:p w14:paraId="5CDF7897">
            <w:pPr>
              <w:jc w:val="center"/>
              <w:rPr>
                <w:color w:val="000000" w:themeColor="text1"/>
                <w:highlight w:val="none"/>
                <w14:textFill>
                  <w14:solidFill>
                    <w14:schemeClr w14:val="tx1"/>
                  </w14:solidFill>
                </w14:textFill>
              </w:rPr>
            </w:pPr>
          </w:p>
        </w:tc>
        <w:tc>
          <w:tcPr>
            <w:tcW w:w="1641" w:type="dxa"/>
            <w:gridSpan w:val="4"/>
            <w:vAlign w:val="center"/>
          </w:tcPr>
          <w:p w14:paraId="738C7E48">
            <w:pPr>
              <w:jc w:val="center"/>
              <w:rPr>
                <w:color w:val="000000" w:themeColor="text1"/>
                <w:highlight w:val="none"/>
                <w14:textFill>
                  <w14:solidFill>
                    <w14:schemeClr w14:val="tx1"/>
                  </w14:solidFill>
                </w14:textFill>
              </w:rPr>
            </w:pPr>
          </w:p>
        </w:tc>
        <w:tc>
          <w:tcPr>
            <w:tcW w:w="1484" w:type="dxa"/>
            <w:gridSpan w:val="2"/>
            <w:vAlign w:val="center"/>
          </w:tcPr>
          <w:p w14:paraId="6887B7AE">
            <w:pPr>
              <w:jc w:val="center"/>
              <w:rPr>
                <w:color w:val="000000" w:themeColor="text1"/>
                <w:highlight w:val="none"/>
                <w14:textFill>
                  <w14:solidFill>
                    <w14:schemeClr w14:val="tx1"/>
                  </w14:solidFill>
                </w14:textFill>
              </w:rPr>
            </w:pPr>
          </w:p>
        </w:tc>
      </w:tr>
      <w:tr w14:paraId="455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118615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4FCF48B4">
            <w:pPr>
              <w:jc w:val="center"/>
              <w:rPr>
                <w:color w:val="000000" w:themeColor="text1"/>
                <w:highlight w:val="none"/>
                <w14:textFill>
                  <w14:solidFill>
                    <w14:schemeClr w14:val="tx1"/>
                  </w14:solidFill>
                </w14:textFill>
              </w:rPr>
            </w:pPr>
          </w:p>
        </w:tc>
        <w:tc>
          <w:tcPr>
            <w:tcW w:w="1837" w:type="dxa"/>
            <w:gridSpan w:val="4"/>
            <w:vAlign w:val="center"/>
          </w:tcPr>
          <w:p w14:paraId="1AD00E88">
            <w:pPr>
              <w:jc w:val="center"/>
              <w:rPr>
                <w:color w:val="000000" w:themeColor="text1"/>
                <w:highlight w:val="none"/>
                <w14:textFill>
                  <w14:solidFill>
                    <w14:schemeClr w14:val="tx1"/>
                  </w14:solidFill>
                </w14:textFill>
              </w:rPr>
            </w:pPr>
          </w:p>
        </w:tc>
        <w:tc>
          <w:tcPr>
            <w:tcW w:w="1472" w:type="dxa"/>
            <w:gridSpan w:val="3"/>
            <w:vAlign w:val="center"/>
          </w:tcPr>
          <w:p w14:paraId="6083A957">
            <w:pPr>
              <w:jc w:val="center"/>
              <w:rPr>
                <w:color w:val="000000" w:themeColor="text1"/>
                <w:highlight w:val="none"/>
                <w14:textFill>
                  <w14:solidFill>
                    <w14:schemeClr w14:val="tx1"/>
                  </w14:solidFill>
                </w14:textFill>
              </w:rPr>
            </w:pPr>
          </w:p>
        </w:tc>
        <w:tc>
          <w:tcPr>
            <w:tcW w:w="1641" w:type="dxa"/>
            <w:gridSpan w:val="4"/>
            <w:vAlign w:val="center"/>
          </w:tcPr>
          <w:p w14:paraId="620B8C3A">
            <w:pPr>
              <w:jc w:val="center"/>
              <w:rPr>
                <w:color w:val="000000" w:themeColor="text1"/>
                <w:highlight w:val="none"/>
                <w14:textFill>
                  <w14:solidFill>
                    <w14:schemeClr w14:val="tx1"/>
                  </w14:solidFill>
                </w14:textFill>
              </w:rPr>
            </w:pPr>
          </w:p>
        </w:tc>
        <w:tc>
          <w:tcPr>
            <w:tcW w:w="1484" w:type="dxa"/>
            <w:gridSpan w:val="2"/>
            <w:vAlign w:val="center"/>
          </w:tcPr>
          <w:p w14:paraId="1E8F64DD">
            <w:pPr>
              <w:jc w:val="center"/>
              <w:rPr>
                <w:color w:val="000000" w:themeColor="text1"/>
                <w:highlight w:val="none"/>
                <w14:textFill>
                  <w14:solidFill>
                    <w14:schemeClr w14:val="tx1"/>
                  </w14:solidFill>
                </w14:textFill>
              </w:rPr>
            </w:pPr>
          </w:p>
        </w:tc>
      </w:tr>
      <w:tr w14:paraId="424E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2F72B38">
            <w:pPr>
              <w:jc w:val="center"/>
              <w:rPr>
                <w:rFonts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17395958">
            <w:pPr>
              <w:jc w:val="center"/>
              <w:rPr>
                <w:color w:val="000000" w:themeColor="text1"/>
                <w:highlight w:val="none"/>
                <w14:textFill>
                  <w14:solidFill>
                    <w14:schemeClr w14:val="tx1"/>
                  </w14:solidFill>
                </w14:textFill>
              </w:rPr>
            </w:pPr>
          </w:p>
        </w:tc>
        <w:tc>
          <w:tcPr>
            <w:tcW w:w="1837" w:type="dxa"/>
            <w:gridSpan w:val="4"/>
            <w:vAlign w:val="center"/>
          </w:tcPr>
          <w:p w14:paraId="2052C90E">
            <w:pPr>
              <w:jc w:val="center"/>
              <w:rPr>
                <w:color w:val="000000" w:themeColor="text1"/>
                <w:highlight w:val="none"/>
                <w14:textFill>
                  <w14:solidFill>
                    <w14:schemeClr w14:val="tx1"/>
                  </w14:solidFill>
                </w14:textFill>
              </w:rPr>
            </w:pPr>
          </w:p>
        </w:tc>
        <w:tc>
          <w:tcPr>
            <w:tcW w:w="1472" w:type="dxa"/>
            <w:gridSpan w:val="3"/>
            <w:vAlign w:val="center"/>
          </w:tcPr>
          <w:p w14:paraId="1778C4BA">
            <w:pPr>
              <w:jc w:val="center"/>
              <w:rPr>
                <w:color w:val="000000" w:themeColor="text1"/>
                <w:highlight w:val="none"/>
                <w14:textFill>
                  <w14:solidFill>
                    <w14:schemeClr w14:val="tx1"/>
                  </w14:solidFill>
                </w14:textFill>
              </w:rPr>
            </w:pPr>
          </w:p>
        </w:tc>
        <w:tc>
          <w:tcPr>
            <w:tcW w:w="1641" w:type="dxa"/>
            <w:gridSpan w:val="4"/>
            <w:vAlign w:val="center"/>
          </w:tcPr>
          <w:p w14:paraId="465F9BDB">
            <w:pPr>
              <w:jc w:val="center"/>
              <w:rPr>
                <w:color w:val="000000" w:themeColor="text1"/>
                <w:highlight w:val="none"/>
                <w14:textFill>
                  <w14:solidFill>
                    <w14:schemeClr w14:val="tx1"/>
                  </w14:solidFill>
                </w14:textFill>
              </w:rPr>
            </w:pPr>
          </w:p>
        </w:tc>
        <w:tc>
          <w:tcPr>
            <w:tcW w:w="1484" w:type="dxa"/>
            <w:gridSpan w:val="2"/>
            <w:vAlign w:val="center"/>
          </w:tcPr>
          <w:p w14:paraId="0B794344">
            <w:pPr>
              <w:jc w:val="center"/>
              <w:rPr>
                <w:color w:val="000000" w:themeColor="text1"/>
                <w:highlight w:val="none"/>
                <w14:textFill>
                  <w14:solidFill>
                    <w14:schemeClr w14:val="tx1"/>
                  </w14:solidFill>
                </w14:textFill>
              </w:rPr>
            </w:pPr>
          </w:p>
        </w:tc>
      </w:tr>
      <w:tr w14:paraId="55A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3617ED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7B98CB2B">
            <w:pPr>
              <w:jc w:val="center"/>
              <w:rPr>
                <w:color w:val="000000" w:themeColor="text1"/>
                <w:highlight w:val="none"/>
                <w14:textFill>
                  <w14:solidFill>
                    <w14:schemeClr w14:val="tx1"/>
                  </w14:solidFill>
                </w14:textFill>
              </w:rPr>
            </w:pPr>
          </w:p>
        </w:tc>
        <w:tc>
          <w:tcPr>
            <w:tcW w:w="1837" w:type="dxa"/>
            <w:gridSpan w:val="4"/>
            <w:vAlign w:val="center"/>
          </w:tcPr>
          <w:p w14:paraId="5DF467DA">
            <w:pPr>
              <w:jc w:val="center"/>
              <w:rPr>
                <w:color w:val="000000" w:themeColor="text1"/>
                <w:highlight w:val="none"/>
                <w14:textFill>
                  <w14:solidFill>
                    <w14:schemeClr w14:val="tx1"/>
                  </w14:solidFill>
                </w14:textFill>
              </w:rPr>
            </w:pPr>
          </w:p>
        </w:tc>
        <w:tc>
          <w:tcPr>
            <w:tcW w:w="1472" w:type="dxa"/>
            <w:gridSpan w:val="3"/>
            <w:vAlign w:val="center"/>
          </w:tcPr>
          <w:p w14:paraId="1F27EC1C">
            <w:pPr>
              <w:jc w:val="center"/>
              <w:rPr>
                <w:color w:val="000000" w:themeColor="text1"/>
                <w:highlight w:val="none"/>
                <w14:textFill>
                  <w14:solidFill>
                    <w14:schemeClr w14:val="tx1"/>
                  </w14:solidFill>
                </w14:textFill>
              </w:rPr>
            </w:pPr>
          </w:p>
        </w:tc>
        <w:tc>
          <w:tcPr>
            <w:tcW w:w="1641" w:type="dxa"/>
            <w:gridSpan w:val="4"/>
            <w:vAlign w:val="center"/>
          </w:tcPr>
          <w:p w14:paraId="67BB24A1">
            <w:pPr>
              <w:jc w:val="center"/>
              <w:rPr>
                <w:color w:val="000000" w:themeColor="text1"/>
                <w:highlight w:val="none"/>
                <w14:textFill>
                  <w14:solidFill>
                    <w14:schemeClr w14:val="tx1"/>
                  </w14:solidFill>
                </w14:textFill>
              </w:rPr>
            </w:pPr>
          </w:p>
        </w:tc>
        <w:tc>
          <w:tcPr>
            <w:tcW w:w="1484" w:type="dxa"/>
            <w:gridSpan w:val="2"/>
            <w:vAlign w:val="center"/>
          </w:tcPr>
          <w:p w14:paraId="3FC7DF3D">
            <w:pPr>
              <w:jc w:val="center"/>
              <w:rPr>
                <w:color w:val="000000" w:themeColor="text1"/>
                <w:highlight w:val="none"/>
                <w14:textFill>
                  <w14:solidFill>
                    <w14:schemeClr w14:val="tx1"/>
                  </w14:solidFill>
                </w14:textFill>
              </w:rPr>
            </w:pPr>
          </w:p>
        </w:tc>
      </w:tr>
      <w:tr w14:paraId="55E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B31302A">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0B0A08C9">
            <w:pPr>
              <w:jc w:val="center"/>
              <w:rPr>
                <w:color w:val="000000" w:themeColor="text1"/>
                <w:highlight w:val="none"/>
                <w14:textFill>
                  <w14:solidFill>
                    <w14:schemeClr w14:val="tx1"/>
                  </w14:solidFill>
                </w14:textFill>
              </w:rPr>
            </w:pPr>
          </w:p>
        </w:tc>
        <w:tc>
          <w:tcPr>
            <w:tcW w:w="1837" w:type="dxa"/>
            <w:gridSpan w:val="4"/>
            <w:vAlign w:val="center"/>
          </w:tcPr>
          <w:p w14:paraId="5A8B7E24">
            <w:pPr>
              <w:jc w:val="center"/>
              <w:rPr>
                <w:color w:val="000000" w:themeColor="text1"/>
                <w:highlight w:val="none"/>
                <w14:textFill>
                  <w14:solidFill>
                    <w14:schemeClr w14:val="tx1"/>
                  </w14:solidFill>
                </w14:textFill>
              </w:rPr>
            </w:pPr>
          </w:p>
        </w:tc>
        <w:tc>
          <w:tcPr>
            <w:tcW w:w="1472" w:type="dxa"/>
            <w:gridSpan w:val="3"/>
            <w:vAlign w:val="center"/>
          </w:tcPr>
          <w:p w14:paraId="7E5C9519">
            <w:pPr>
              <w:jc w:val="center"/>
              <w:rPr>
                <w:color w:val="000000" w:themeColor="text1"/>
                <w:highlight w:val="none"/>
                <w14:textFill>
                  <w14:solidFill>
                    <w14:schemeClr w14:val="tx1"/>
                  </w14:solidFill>
                </w14:textFill>
              </w:rPr>
            </w:pPr>
          </w:p>
        </w:tc>
        <w:tc>
          <w:tcPr>
            <w:tcW w:w="1641" w:type="dxa"/>
            <w:gridSpan w:val="4"/>
            <w:vAlign w:val="center"/>
          </w:tcPr>
          <w:p w14:paraId="1E605EFF">
            <w:pPr>
              <w:jc w:val="center"/>
              <w:rPr>
                <w:color w:val="000000" w:themeColor="text1"/>
                <w:highlight w:val="none"/>
                <w14:textFill>
                  <w14:solidFill>
                    <w14:schemeClr w14:val="tx1"/>
                  </w14:solidFill>
                </w14:textFill>
              </w:rPr>
            </w:pPr>
          </w:p>
        </w:tc>
        <w:tc>
          <w:tcPr>
            <w:tcW w:w="1484" w:type="dxa"/>
            <w:gridSpan w:val="2"/>
            <w:vAlign w:val="center"/>
          </w:tcPr>
          <w:p w14:paraId="554754F7">
            <w:pPr>
              <w:jc w:val="center"/>
              <w:rPr>
                <w:color w:val="000000" w:themeColor="text1"/>
                <w:highlight w:val="none"/>
                <w14:textFill>
                  <w14:solidFill>
                    <w14:schemeClr w14:val="tx1"/>
                  </w14:solidFill>
                </w14:textFill>
              </w:rPr>
            </w:pPr>
          </w:p>
        </w:tc>
      </w:tr>
      <w:tr w14:paraId="33A4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388D78F">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65571A5A">
            <w:pPr>
              <w:jc w:val="center"/>
              <w:rPr>
                <w:color w:val="000000" w:themeColor="text1"/>
                <w:highlight w:val="none"/>
                <w14:textFill>
                  <w14:solidFill>
                    <w14:schemeClr w14:val="tx1"/>
                  </w14:solidFill>
                </w14:textFill>
              </w:rPr>
            </w:pPr>
          </w:p>
        </w:tc>
        <w:tc>
          <w:tcPr>
            <w:tcW w:w="1837" w:type="dxa"/>
            <w:gridSpan w:val="4"/>
            <w:vAlign w:val="center"/>
          </w:tcPr>
          <w:p w14:paraId="559323B2">
            <w:pPr>
              <w:jc w:val="center"/>
              <w:rPr>
                <w:color w:val="000000" w:themeColor="text1"/>
                <w:highlight w:val="none"/>
                <w14:textFill>
                  <w14:solidFill>
                    <w14:schemeClr w14:val="tx1"/>
                  </w14:solidFill>
                </w14:textFill>
              </w:rPr>
            </w:pPr>
          </w:p>
        </w:tc>
        <w:tc>
          <w:tcPr>
            <w:tcW w:w="1472" w:type="dxa"/>
            <w:gridSpan w:val="3"/>
            <w:vAlign w:val="center"/>
          </w:tcPr>
          <w:p w14:paraId="3DB6EF2E">
            <w:pPr>
              <w:jc w:val="center"/>
              <w:rPr>
                <w:color w:val="000000" w:themeColor="text1"/>
                <w:highlight w:val="none"/>
                <w14:textFill>
                  <w14:solidFill>
                    <w14:schemeClr w14:val="tx1"/>
                  </w14:solidFill>
                </w14:textFill>
              </w:rPr>
            </w:pPr>
          </w:p>
        </w:tc>
        <w:tc>
          <w:tcPr>
            <w:tcW w:w="1641" w:type="dxa"/>
            <w:gridSpan w:val="4"/>
            <w:vAlign w:val="center"/>
          </w:tcPr>
          <w:p w14:paraId="1EE86C82">
            <w:pPr>
              <w:jc w:val="center"/>
              <w:rPr>
                <w:color w:val="000000" w:themeColor="text1"/>
                <w:highlight w:val="none"/>
                <w14:textFill>
                  <w14:solidFill>
                    <w14:schemeClr w14:val="tx1"/>
                  </w14:solidFill>
                </w14:textFill>
              </w:rPr>
            </w:pPr>
          </w:p>
        </w:tc>
        <w:tc>
          <w:tcPr>
            <w:tcW w:w="1484" w:type="dxa"/>
            <w:gridSpan w:val="2"/>
            <w:vAlign w:val="center"/>
          </w:tcPr>
          <w:p w14:paraId="6937FE8B">
            <w:pPr>
              <w:jc w:val="center"/>
              <w:rPr>
                <w:color w:val="000000" w:themeColor="text1"/>
                <w:highlight w:val="none"/>
                <w14:textFill>
                  <w14:solidFill>
                    <w14:schemeClr w14:val="tx1"/>
                  </w14:solidFill>
                </w14:textFill>
              </w:rPr>
            </w:pPr>
          </w:p>
        </w:tc>
      </w:tr>
      <w:tr w14:paraId="1725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F843734">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400B8A21">
            <w:pPr>
              <w:jc w:val="center"/>
              <w:rPr>
                <w:color w:val="000000" w:themeColor="text1"/>
                <w:highlight w:val="none"/>
                <w14:textFill>
                  <w14:solidFill>
                    <w14:schemeClr w14:val="tx1"/>
                  </w14:solidFill>
                </w14:textFill>
              </w:rPr>
            </w:pPr>
          </w:p>
        </w:tc>
        <w:tc>
          <w:tcPr>
            <w:tcW w:w="1837" w:type="dxa"/>
            <w:gridSpan w:val="4"/>
            <w:vAlign w:val="center"/>
          </w:tcPr>
          <w:p w14:paraId="633D2C89">
            <w:pPr>
              <w:jc w:val="center"/>
              <w:rPr>
                <w:color w:val="000000" w:themeColor="text1"/>
                <w:highlight w:val="none"/>
                <w14:textFill>
                  <w14:solidFill>
                    <w14:schemeClr w14:val="tx1"/>
                  </w14:solidFill>
                </w14:textFill>
              </w:rPr>
            </w:pPr>
          </w:p>
        </w:tc>
        <w:tc>
          <w:tcPr>
            <w:tcW w:w="1472" w:type="dxa"/>
            <w:gridSpan w:val="3"/>
            <w:vAlign w:val="center"/>
          </w:tcPr>
          <w:p w14:paraId="1056D80C">
            <w:pPr>
              <w:jc w:val="center"/>
              <w:rPr>
                <w:color w:val="000000" w:themeColor="text1"/>
                <w:highlight w:val="none"/>
                <w14:textFill>
                  <w14:solidFill>
                    <w14:schemeClr w14:val="tx1"/>
                  </w14:solidFill>
                </w14:textFill>
              </w:rPr>
            </w:pPr>
          </w:p>
        </w:tc>
        <w:tc>
          <w:tcPr>
            <w:tcW w:w="1641" w:type="dxa"/>
            <w:gridSpan w:val="4"/>
            <w:vAlign w:val="center"/>
          </w:tcPr>
          <w:p w14:paraId="3659F73F">
            <w:pPr>
              <w:jc w:val="center"/>
              <w:rPr>
                <w:color w:val="000000" w:themeColor="text1"/>
                <w:highlight w:val="none"/>
                <w14:textFill>
                  <w14:solidFill>
                    <w14:schemeClr w14:val="tx1"/>
                  </w14:solidFill>
                </w14:textFill>
              </w:rPr>
            </w:pPr>
          </w:p>
        </w:tc>
        <w:tc>
          <w:tcPr>
            <w:tcW w:w="1484" w:type="dxa"/>
            <w:gridSpan w:val="2"/>
            <w:vAlign w:val="center"/>
          </w:tcPr>
          <w:p w14:paraId="6E92B78D">
            <w:pPr>
              <w:jc w:val="center"/>
              <w:rPr>
                <w:color w:val="000000" w:themeColor="text1"/>
                <w:highlight w:val="none"/>
                <w14:textFill>
                  <w14:solidFill>
                    <w14:schemeClr w14:val="tx1"/>
                  </w14:solidFill>
                </w14:textFill>
              </w:rPr>
            </w:pPr>
          </w:p>
        </w:tc>
      </w:tr>
      <w:tr w14:paraId="1721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EC626B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466B0C12">
            <w:pPr>
              <w:jc w:val="center"/>
              <w:rPr>
                <w:color w:val="000000" w:themeColor="text1"/>
                <w:highlight w:val="none"/>
                <w14:textFill>
                  <w14:solidFill>
                    <w14:schemeClr w14:val="tx1"/>
                  </w14:solidFill>
                </w14:textFill>
              </w:rPr>
            </w:pPr>
          </w:p>
        </w:tc>
        <w:tc>
          <w:tcPr>
            <w:tcW w:w="1837" w:type="dxa"/>
            <w:gridSpan w:val="4"/>
            <w:vAlign w:val="center"/>
          </w:tcPr>
          <w:p w14:paraId="5EF1E3C9">
            <w:pPr>
              <w:jc w:val="center"/>
              <w:rPr>
                <w:color w:val="000000" w:themeColor="text1"/>
                <w:highlight w:val="none"/>
                <w14:textFill>
                  <w14:solidFill>
                    <w14:schemeClr w14:val="tx1"/>
                  </w14:solidFill>
                </w14:textFill>
              </w:rPr>
            </w:pPr>
          </w:p>
        </w:tc>
        <w:tc>
          <w:tcPr>
            <w:tcW w:w="1472" w:type="dxa"/>
            <w:gridSpan w:val="3"/>
            <w:vAlign w:val="center"/>
          </w:tcPr>
          <w:p w14:paraId="6100FCB2">
            <w:pPr>
              <w:jc w:val="center"/>
              <w:rPr>
                <w:color w:val="000000" w:themeColor="text1"/>
                <w:highlight w:val="none"/>
                <w14:textFill>
                  <w14:solidFill>
                    <w14:schemeClr w14:val="tx1"/>
                  </w14:solidFill>
                </w14:textFill>
              </w:rPr>
            </w:pPr>
          </w:p>
        </w:tc>
        <w:tc>
          <w:tcPr>
            <w:tcW w:w="1641" w:type="dxa"/>
            <w:gridSpan w:val="4"/>
            <w:vAlign w:val="center"/>
          </w:tcPr>
          <w:p w14:paraId="0D456E10">
            <w:pPr>
              <w:jc w:val="center"/>
              <w:rPr>
                <w:color w:val="000000" w:themeColor="text1"/>
                <w:highlight w:val="none"/>
                <w14:textFill>
                  <w14:solidFill>
                    <w14:schemeClr w14:val="tx1"/>
                  </w14:solidFill>
                </w14:textFill>
              </w:rPr>
            </w:pPr>
          </w:p>
        </w:tc>
        <w:tc>
          <w:tcPr>
            <w:tcW w:w="1484" w:type="dxa"/>
            <w:gridSpan w:val="2"/>
            <w:vAlign w:val="center"/>
          </w:tcPr>
          <w:p w14:paraId="55524BA1">
            <w:pPr>
              <w:jc w:val="center"/>
              <w:rPr>
                <w:color w:val="000000" w:themeColor="text1"/>
                <w:highlight w:val="none"/>
                <w14:textFill>
                  <w14:solidFill>
                    <w14:schemeClr w14:val="tx1"/>
                  </w14:solidFill>
                </w14:textFill>
              </w:rPr>
            </w:pPr>
          </w:p>
        </w:tc>
      </w:tr>
    </w:tbl>
    <w:p w14:paraId="1078FFDB">
      <w:pPr>
        <w:spacing w:line="360" w:lineRule="auto"/>
        <w:rPr>
          <w:rFonts w:ascii="宋体" w:hAnsi="宋体"/>
          <w:color w:val="000000" w:themeColor="text1"/>
          <w:highlight w:val="none"/>
          <w14:textFill>
            <w14:solidFill>
              <w14:schemeClr w14:val="tx1"/>
            </w14:solidFill>
          </w14:textFill>
        </w:rPr>
      </w:pPr>
      <w:r>
        <w:rPr>
          <w:rFonts w:hint="eastAsia" w:ascii="宋体" w:hAnsi="宋体" w:cs="楷体_GB2312"/>
          <w:color w:val="000000" w:themeColor="text1"/>
          <w:highlight w:val="none"/>
          <w14:textFill>
            <w14:solidFill>
              <w14:schemeClr w14:val="tx1"/>
            </w14:solidFill>
          </w14:textFill>
        </w:rPr>
        <w:t>备注：</w:t>
      </w:r>
    </w:p>
    <w:p w14:paraId="39B91FE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1.供应商可以根据项目情况增减表格内容，项目数可以根据需要增加。</w:t>
      </w:r>
    </w:p>
    <w:p w14:paraId="172A325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本表后附专职安全生产管理人员的安全生产考核合格证（C类）、本表所列证书复印件并加盖供应商电子签章。</w:t>
      </w:r>
    </w:p>
    <w:p w14:paraId="06B6069A">
      <w:pPr>
        <w:spacing w:line="360" w:lineRule="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14:paraId="069CB89E">
      <w:pPr>
        <w:spacing w:line="360" w:lineRule="auto"/>
        <w:rPr>
          <w:rFonts w:ascii="宋体" w:hAnsi="宋体"/>
          <w:color w:val="000000" w:themeColor="text1"/>
          <w:szCs w:val="21"/>
          <w:highlight w:val="none"/>
          <w14:textFill>
            <w14:solidFill>
              <w14:schemeClr w14:val="tx1"/>
            </w14:solidFill>
          </w14:textFill>
        </w:rPr>
      </w:pPr>
    </w:p>
    <w:p w14:paraId="71FE1630">
      <w:pPr>
        <w:jc w:val="center"/>
        <w:rPr>
          <w:rFonts w:ascii="宋体" w:hAnsi="宋体" w:cs="方正小标宋简体"/>
          <w:b/>
          <w:color w:val="000000" w:themeColor="text1"/>
          <w:sz w:val="32"/>
          <w:szCs w:val="32"/>
          <w:highlight w:val="none"/>
          <w14:textFill>
            <w14:solidFill>
              <w14:schemeClr w14:val="tx1"/>
            </w14:solidFill>
          </w14:textFill>
        </w:rPr>
      </w:pPr>
      <w:bookmarkStart w:id="210" w:name="_Toc71365926"/>
      <w:r>
        <w:rPr>
          <w:rFonts w:hint="eastAsia" w:ascii="宋体" w:hAnsi="宋体" w:cs="方正小标宋简体"/>
          <w:b/>
          <w:color w:val="000000" w:themeColor="text1"/>
          <w:sz w:val="32"/>
          <w:szCs w:val="32"/>
          <w:highlight w:val="none"/>
          <w14:textFill>
            <w14:solidFill>
              <w14:schemeClr w14:val="tx1"/>
            </w14:solidFill>
          </w14:textFill>
        </w:rPr>
        <w:t>中小企业声明函（工程）</w:t>
      </w:r>
      <w:bookmarkEnd w:id="210"/>
    </w:p>
    <w:p w14:paraId="71786B3C">
      <w:pPr>
        <w:pStyle w:val="19"/>
        <w:spacing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w:t>
      </w:r>
      <w:r>
        <w:rPr>
          <w:rFonts w:hint="eastAsia" w:ascii="宋体" w:hAnsi="宋体"/>
          <w:color w:val="000000" w:themeColor="text1"/>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14:paraId="5B35C3EA">
      <w:pPr>
        <w:tabs>
          <w:tab w:val="left" w:pos="1384"/>
          <w:tab w:val="left" w:pos="4562"/>
          <w:tab w:val="left" w:pos="6803"/>
        </w:tabs>
        <w:spacing w:before="13" w:line="500" w:lineRule="exact"/>
        <w:ind w:right="142" w:firstLine="772" w:firstLineChars="322"/>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lang w:eastAsia="zh-CN"/>
          <w14:textFill>
            <w14:solidFill>
              <w14:schemeClr w14:val="tx1"/>
            </w14:solidFill>
          </w14:textFill>
        </w:rPr>
        <w:t>；</w:t>
      </w:r>
    </w:p>
    <w:p w14:paraId="402AB3B8">
      <w:pPr>
        <w:tabs>
          <w:tab w:val="left" w:pos="1065"/>
          <w:tab w:val="left" w:pos="4262"/>
          <w:tab w:val="left" w:pos="6477"/>
        </w:tabs>
        <w:spacing w:before="20" w:line="500" w:lineRule="exact"/>
        <w:ind w:right="84" w:firstLine="772" w:firstLineChars="322"/>
        <w:rPr>
          <w:rFonts w:hint="eastAsia" w:ascii="宋体" w:hAnsi="宋体" w:eastAsia="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lang w:eastAsia="zh-CN"/>
          <w14:textFill>
            <w14:solidFill>
              <w14:schemeClr w14:val="tx1"/>
            </w14:solidFill>
          </w14:textFill>
        </w:rPr>
        <w:t>；</w:t>
      </w:r>
    </w:p>
    <w:p w14:paraId="04AC098A">
      <w:pPr>
        <w:pStyle w:val="19"/>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2AF49CF6">
      <w:pPr>
        <w:pStyle w:val="19"/>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0272E69">
      <w:pPr>
        <w:pStyle w:val="19"/>
        <w:spacing w:before="25"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4317E9C3">
      <w:pPr>
        <w:pStyle w:val="19"/>
        <w:spacing w:before="56" w:line="500" w:lineRule="exact"/>
        <w:ind w:right="650"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4B3E75A1">
      <w:pPr>
        <w:pStyle w:val="19"/>
        <w:spacing w:before="56" w:line="500" w:lineRule="exact"/>
        <w:ind w:right="1808"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 期：</w:t>
      </w:r>
    </w:p>
    <w:p w14:paraId="3EBD86A9">
      <w:pPr>
        <w:spacing w:line="520" w:lineRule="exact"/>
        <w:ind w:firstLine="420" w:firstLineChars="200"/>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注：1.对于联合体中由中小企业承担的部分，或者分包给中小企业的部分，供应商应当在声明函“项目名称”部分标明联合体中中小企业承担的具体内容或者中小企业的具体分包内容。</w:t>
      </w:r>
    </w:p>
    <w:p w14:paraId="5AECC603">
      <w:pPr>
        <w:spacing w:line="520" w:lineRule="exact"/>
        <w:ind w:firstLine="420" w:firstLineChars="200"/>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AD4D46E">
      <w:pPr>
        <w:spacing w:line="520" w:lineRule="exact"/>
        <w:jc w:val="center"/>
        <w:rPr>
          <w:rFonts w:ascii="宋体" w:hAnsi="宋体" w:cs="仿宋_GB2312"/>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残疾人福利性单位声明函</w:t>
      </w:r>
    </w:p>
    <w:p w14:paraId="1410A5EE">
      <w:pPr>
        <w:spacing w:line="360" w:lineRule="auto"/>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15B4AC35">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BE88C1C">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1FCC740F">
      <w:pPr>
        <w:spacing w:line="360" w:lineRule="auto"/>
        <w:contextualSpacing/>
        <w:rPr>
          <w:rFonts w:ascii="宋体" w:hAnsi="宋体" w:cs="仿宋_GB2312"/>
          <w:color w:val="000000" w:themeColor="text1"/>
          <w:sz w:val="24"/>
          <w:highlight w:val="none"/>
          <w14:textFill>
            <w14:solidFill>
              <w14:schemeClr w14:val="tx1"/>
            </w14:solidFill>
          </w14:textFill>
        </w:rPr>
      </w:pPr>
    </w:p>
    <w:p w14:paraId="1AA45633">
      <w:pPr>
        <w:spacing w:line="360" w:lineRule="auto"/>
        <w:contextualSpacing/>
        <w:rPr>
          <w:rFonts w:ascii="宋体" w:hAnsi="宋体" w:cs="仿宋_GB2312"/>
          <w:color w:val="000000" w:themeColor="text1"/>
          <w:sz w:val="24"/>
          <w:highlight w:val="none"/>
          <w14:textFill>
            <w14:solidFill>
              <w14:schemeClr w14:val="tx1"/>
            </w14:solidFill>
          </w14:textFill>
        </w:rPr>
      </w:pPr>
    </w:p>
    <w:p w14:paraId="7EA6FB7E">
      <w:pPr>
        <w:spacing w:line="360" w:lineRule="auto"/>
        <w:contextualSpacing/>
        <w:rPr>
          <w:rFonts w:ascii="宋体" w:hAnsi="宋体" w:cs="仿宋_GB2312"/>
          <w:color w:val="000000" w:themeColor="text1"/>
          <w:sz w:val="24"/>
          <w:highlight w:val="none"/>
          <w14:textFill>
            <w14:solidFill>
              <w14:schemeClr w14:val="tx1"/>
            </w14:solidFill>
          </w14:textFill>
        </w:rPr>
      </w:pPr>
    </w:p>
    <w:p w14:paraId="4149DEEF">
      <w:pPr>
        <w:spacing w:line="360" w:lineRule="auto"/>
        <w:ind w:firstLine="2400" w:firstLineChars="10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0A790FC0">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3F9DB753">
      <w:pPr>
        <w:spacing w:line="360" w:lineRule="auto"/>
        <w:contextualSpacing/>
        <w:rPr>
          <w:rFonts w:ascii="宋体" w:hAnsi="宋体" w:cs="仿宋_GB2312"/>
          <w:color w:val="000000" w:themeColor="text1"/>
          <w:sz w:val="24"/>
          <w:highlight w:val="none"/>
          <w14:textFill>
            <w14:solidFill>
              <w14:schemeClr w14:val="tx1"/>
            </w14:solidFill>
          </w14:textFill>
        </w:rPr>
      </w:pPr>
    </w:p>
    <w:p w14:paraId="6B357585">
      <w:pPr>
        <w:spacing w:line="360" w:lineRule="auto"/>
        <w:contextualSpacing/>
        <w:rPr>
          <w:rFonts w:ascii="宋体" w:hAnsi="宋体" w:cs="仿宋_GB2312"/>
          <w:color w:val="000000" w:themeColor="text1"/>
          <w:sz w:val="24"/>
          <w:highlight w:val="none"/>
          <w14:textFill>
            <w14:solidFill>
              <w14:schemeClr w14:val="tx1"/>
            </w14:solidFill>
          </w14:textFill>
        </w:rPr>
      </w:pPr>
    </w:p>
    <w:p w14:paraId="663E4F2F">
      <w:pPr>
        <w:spacing w:line="360" w:lineRule="auto"/>
        <w:contextualSpacing/>
        <w:rPr>
          <w:rFonts w:ascii="宋体" w:hAnsi="宋体" w:cs="仿宋_GB2312"/>
          <w:color w:val="000000" w:themeColor="text1"/>
          <w:sz w:val="24"/>
          <w:highlight w:val="none"/>
          <w14:textFill>
            <w14:solidFill>
              <w14:schemeClr w14:val="tx1"/>
            </w14:solidFill>
          </w14:textFill>
        </w:rPr>
      </w:pPr>
    </w:p>
    <w:p w14:paraId="00FC3F58">
      <w:pPr>
        <w:spacing w:line="360" w:lineRule="auto"/>
        <w:ind w:firstLine="420" w:firstLineChars="200"/>
        <w:contextualSpacing/>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5646ACCB">
      <w:pPr>
        <w:spacing w:line="36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7C44C93A">
      <w:pPr>
        <w:pStyle w:val="25"/>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575D21E7">
      <w:pPr>
        <w:pStyle w:val="25"/>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7909694C">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34A6707">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0F68B999">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p>
    <w:p w14:paraId="114449C4">
      <w:pPr>
        <w:pStyle w:val="25"/>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30955590">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686A71DA">
      <w:pPr>
        <w:pStyle w:val="25"/>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5697852F">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54763F2C">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4EC88388">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6E5B80AA">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43B2B3E2">
      <w:pPr>
        <w:pStyle w:val="25"/>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r>
        <w:rPr>
          <w:rFonts w:hint="eastAsia" w:hAnsi="宋体"/>
          <w:bCs/>
          <w:color w:val="000000" w:themeColor="text1"/>
          <w:sz w:val="24"/>
          <w:szCs w:val="24"/>
          <w:highlight w:val="none"/>
          <w:u w:val="single"/>
          <w14:textFill>
            <w14:solidFill>
              <w14:schemeClr w14:val="tx1"/>
            </w14:solidFill>
          </w14:textFill>
        </w:rPr>
        <w:t xml:space="preserve">                                   </w:t>
      </w:r>
    </w:p>
    <w:p w14:paraId="4BA8BA02">
      <w:pPr>
        <w:pStyle w:val="25"/>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608501B2">
      <w:pPr>
        <w:pStyle w:val="25"/>
        <w:spacing w:line="360" w:lineRule="auto"/>
        <w:ind w:left="25" w:leftChars="12" w:firstLine="352" w:firstLineChars="147"/>
        <w:contextualSpacing/>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14:paraId="0CC0B910">
      <w:pPr>
        <w:pStyle w:val="25"/>
        <w:spacing w:line="360" w:lineRule="auto"/>
        <w:ind w:left="25" w:leftChars="12" w:firstLine="472" w:firstLineChars="196"/>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0077DA8C">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r>
        <w:rPr>
          <w:rFonts w:hint="eastAsia" w:hAnsi="宋体"/>
          <w:bCs/>
          <w:color w:val="000000" w:themeColor="text1"/>
          <w:sz w:val="24"/>
          <w:szCs w:val="24"/>
          <w:highlight w:val="none"/>
          <w:u w:val="single"/>
          <w14:textFill>
            <w14:solidFill>
              <w14:schemeClr w14:val="tx1"/>
            </w14:solidFill>
          </w14:textFill>
        </w:rPr>
        <w:t xml:space="preserve">                                                                    </w:t>
      </w:r>
    </w:p>
    <w:p w14:paraId="1C89EE95">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r>
        <w:rPr>
          <w:rFonts w:hint="eastAsia" w:hAnsi="宋体"/>
          <w:bCs/>
          <w:color w:val="000000" w:themeColor="text1"/>
          <w:sz w:val="24"/>
          <w:szCs w:val="24"/>
          <w:highlight w:val="none"/>
          <w:u w:val="single"/>
          <w14:textFill>
            <w14:solidFill>
              <w14:schemeClr w14:val="tx1"/>
            </w14:solidFill>
          </w14:textFill>
        </w:rPr>
        <w:t xml:space="preserve">                                                                      </w:t>
      </w:r>
    </w:p>
    <w:p w14:paraId="4C76CFAD">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5A28154D">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1A91288A">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5725F137">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222A2D2D">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3DC92991">
      <w:pPr>
        <w:pStyle w:val="25"/>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14:paraId="5DFFC06B">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6A0FC876">
      <w:pPr>
        <w:pStyle w:val="25"/>
        <w:spacing w:line="360" w:lineRule="auto"/>
        <w:ind w:firstLine="480" w:firstLineChars="200"/>
        <w:contextualSpacing/>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0F52C3C2">
      <w:pPr>
        <w:pStyle w:val="25"/>
        <w:spacing w:line="360" w:lineRule="auto"/>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34A30566">
      <w:pPr>
        <w:pStyle w:val="25"/>
        <w:spacing w:line="360" w:lineRule="auto"/>
        <w:ind w:left="25" w:leftChars="12" w:firstLine="354" w:firstLineChars="147"/>
        <w:contextualSpacing/>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03E41E3D">
      <w:pPr>
        <w:pStyle w:val="25"/>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0C373A">
      <w:pPr>
        <w:pStyle w:val="25"/>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19A129D4">
      <w:pPr>
        <w:pStyle w:val="25"/>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7B478261">
      <w:pPr>
        <w:pStyle w:val="25"/>
        <w:spacing w:line="360" w:lineRule="auto"/>
        <w:ind w:left="25" w:leftChars="12" w:firstLine="354" w:firstLineChars="147"/>
        <w:contextualSpacing/>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77EFD6AE">
      <w:pPr>
        <w:pStyle w:val="25"/>
        <w:snapToGrid w:val="0"/>
        <w:rPr>
          <w:b/>
          <w:color w:val="000000" w:themeColor="text1"/>
          <w:sz w:val="24"/>
          <w:szCs w:val="24"/>
          <w:highlight w:val="none"/>
          <w14:textFill>
            <w14:solidFill>
              <w14:schemeClr w14:val="tx1"/>
            </w14:solidFill>
          </w14:textFill>
        </w:rPr>
      </w:pPr>
    </w:p>
    <w:p w14:paraId="3C92FF0C">
      <w:pPr>
        <w:rPr>
          <w:color w:val="000000" w:themeColor="text1"/>
          <w:sz w:val="32"/>
          <w:szCs w:val="40"/>
          <w:highlight w:val="none"/>
          <w14:textFill>
            <w14:solidFill>
              <w14:schemeClr w14:val="tx1"/>
            </w14:solidFill>
          </w14:textFill>
        </w:rPr>
      </w:pPr>
    </w:p>
    <w:p w14:paraId="11D3D02E">
      <w:pPr>
        <w:rPr>
          <w:color w:val="000000" w:themeColor="text1"/>
          <w:sz w:val="32"/>
          <w:szCs w:val="40"/>
          <w:highlight w:val="none"/>
          <w14:textFill>
            <w14:solidFill>
              <w14:schemeClr w14:val="tx1"/>
            </w14:solidFill>
          </w14:textFill>
        </w:rPr>
      </w:pPr>
    </w:p>
    <w:p w14:paraId="4AE9AD0D">
      <w:pPr>
        <w:rPr>
          <w:color w:val="000000" w:themeColor="text1"/>
          <w:sz w:val="32"/>
          <w:szCs w:val="40"/>
          <w:highlight w:val="none"/>
          <w14:textFill>
            <w14:solidFill>
              <w14:schemeClr w14:val="tx1"/>
            </w14:solidFill>
          </w14:textFill>
        </w:rPr>
      </w:pPr>
    </w:p>
    <w:p w14:paraId="7C2BE011">
      <w:pPr>
        <w:rPr>
          <w:color w:val="000000" w:themeColor="text1"/>
          <w:sz w:val="32"/>
          <w:szCs w:val="40"/>
          <w:highlight w:val="none"/>
          <w14:textFill>
            <w14:solidFill>
              <w14:schemeClr w14:val="tx1"/>
            </w14:solidFill>
          </w14:textFill>
        </w:rPr>
      </w:pPr>
    </w:p>
    <w:p w14:paraId="42ABF246">
      <w:pPr>
        <w:rPr>
          <w:color w:val="000000" w:themeColor="text1"/>
          <w:sz w:val="32"/>
          <w:szCs w:val="40"/>
          <w:highlight w:val="none"/>
          <w14:textFill>
            <w14:solidFill>
              <w14:schemeClr w14:val="tx1"/>
            </w14:solidFill>
          </w14:textFill>
        </w:rPr>
      </w:pPr>
    </w:p>
    <w:p w14:paraId="732B352D">
      <w:pPr>
        <w:rPr>
          <w:color w:val="000000" w:themeColor="text1"/>
          <w:sz w:val="32"/>
          <w:szCs w:val="40"/>
          <w:highlight w:val="none"/>
          <w14:textFill>
            <w14:solidFill>
              <w14:schemeClr w14:val="tx1"/>
            </w14:solidFill>
          </w14:textFill>
        </w:rPr>
      </w:pPr>
    </w:p>
    <w:p w14:paraId="77CA4BB7">
      <w:pPr>
        <w:rPr>
          <w:color w:val="000000" w:themeColor="text1"/>
          <w:sz w:val="32"/>
          <w:szCs w:val="40"/>
          <w:highlight w:val="none"/>
          <w14:textFill>
            <w14:solidFill>
              <w14:schemeClr w14:val="tx1"/>
            </w14:solidFill>
          </w14:textFill>
        </w:rPr>
      </w:pPr>
    </w:p>
    <w:p w14:paraId="691B3A11">
      <w:pPr>
        <w:rPr>
          <w:color w:val="000000" w:themeColor="text1"/>
          <w:sz w:val="32"/>
          <w:szCs w:val="40"/>
          <w:highlight w:val="none"/>
          <w14:textFill>
            <w14:solidFill>
              <w14:schemeClr w14:val="tx1"/>
            </w14:solidFill>
          </w14:textFill>
        </w:rPr>
      </w:pPr>
    </w:p>
    <w:p w14:paraId="3D8A5937">
      <w:pPr>
        <w:rPr>
          <w:color w:val="000000" w:themeColor="text1"/>
          <w:sz w:val="32"/>
          <w:szCs w:val="40"/>
          <w:highlight w:val="none"/>
          <w14:textFill>
            <w14:solidFill>
              <w14:schemeClr w14:val="tx1"/>
            </w14:solidFill>
          </w14:textFill>
        </w:rPr>
      </w:pPr>
    </w:p>
    <w:p w14:paraId="489C81D1">
      <w:pPr>
        <w:rPr>
          <w:color w:val="000000" w:themeColor="text1"/>
          <w:sz w:val="32"/>
          <w:szCs w:val="40"/>
          <w:highlight w:val="none"/>
          <w14:textFill>
            <w14:solidFill>
              <w14:schemeClr w14:val="tx1"/>
            </w14:solidFill>
          </w14:textFill>
        </w:rPr>
      </w:pPr>
    </w:p>
    <w:p w14:paraId="2D95BB95">
      <w:pPr>
        <w:rPr>
          <w:color w:val="000000" w:themeColor="text1"/>
          <w:sz w:val="32"/>
          <w:szCs w:val="40"/>
          <w:highlight w:val="none"/>
          <w14:textFill>
            <w14:solidFill>
              <w14:schemeClr w14:val="tx1"/>
            </w14:solidFill>
          </w14:textFill>
        </w:rPr>
      </w:pPr>
    </w:p>
    <w:p w14:paraId="64DC9B62">
      <w:pPr>
        <w:rPr>
          <w:color w:val="000000" w:themeColor="text1"/>
          <w:sz w:val="32"/>
          <w:szCs w:val="40"/>
          <w:highlight w:val="none"/>
          <w14:textFill>
            <w14:solidFill>
              <w14:schemeClr w14:val="tx1"/>
            </w14:solidFill>
          </w14:textFill>
        </w:rPr>
      </w:pPr>
    </w:p>
    <w:p w14:paraId="12326663">
      <w:pPr>
        <w:rPr>
          <w:color w:val="000000" w:themeColor="text1"/>
          <w:sz w:val="32"/>
          <w:szCs w:val="40"/>
          <w:highlight w:val="none"/>
          <w14:textFill>
            <w14:solidFill>
              <w14:schemeClr w14:val="tx1"/>
            </w14:solidFill>
          </w14:textFill>
        </w:rPr>
      </w:pPr>
    </w:p>
    <w:p w14:paraId="61018D20">
      <w:pPr>
        <w:rPr>
          <w:color w:val="000000" w:themeColor="text1"/>
          <w:sz w:val="32"/>
          <w:szCs w:val="40"/>
          <w:highlight w:val="none"/>
          <w14:textFill>
            <w14:solidFill>
              <w14:schemeClr w14:val="tx1"/>
            </w14:solidFill>
          </w14:textFill>
        </w:rPr>
      </w:pPr>
    </w:p>
    <w:p w14:paraId="5CD6BFB8">
      <w:pPr>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1F259BFE">
      <w:pPr>
        <w:pStyle w:val="25"/>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3BE8521B">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2F83B959">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4A334401">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r>
        <w:rPr>
          <w:rFonts w:hint="eastAsia" w:hAnsi="宋体"/>
          <w:bCs/>
          <w:color w:val="000000" w:themeColor="text1"/>
          <w:sz w:val="24"/>
          <w:szCs w:val="24"/>
          <w:highlight w:val="none"/>
          <w:u w:val="single"/>
          <w14:textFill>
            <w14:solidFill>
              <w14:schemeClr w14:val="tx1"/>
            </w14:solidFill>
          </w14:textFill>
        </w:rPr>
        <w:t xml:space="preserve">                                                         </w:t>
      </w:r>
    </w:p>
    <w:p w14:paraId="66E14119">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751DCFB4">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29594C29">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227F1BDD">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4389800">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6499D87A">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u w:val="single"/>
          <w14:textFill>
            <w14:solidFill>
              <w14:schemeClr w14:val="tx1"/>
            </w14:solidFill>
          </w14:textFill>
        </w:rPr>
        <w:t xml:space="preserve">                                                            </w:t>
      </w:r>
    </w:p>
    <w:p w14:paraId="3A7E16D3">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2C77D201">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2B63D66B">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62ED458C">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205AD38F">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r>
        <w:rPr>
          <w:rFonts w:hint="eastAsia" w:hAnsi="宋体"/>
          <w:bCs/>
          <w:color w:val="000000" w:themeColor="text1"/>
          <w:sz w:val="24"/>
          <w:szCs w:val="24"/>
          <w:highlight w:val="none"/>
          <w:u w:val="single"/>
          <w14:textFill>
            <w14:solidFill>
              <w14:schemeClr w14:val="tx1"/>
            </w14:solidFill>
          </w14:textFill>
        </w:rPr>
        <w:t xml:space="preserve">                                                                       </w:t>
      </w:r>
    </w:p>
    <w:p w14:paraId="6D596F63">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79A8367F">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3CAA9810">
      <w:pPr>
        <w:pStyle w:val="25"/>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5068E423">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2BD31D97">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18E3D71A">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70F7EDAF">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r>
        <w:rPr>
          <w:rFonts w:hint="eastAsia" w:hAnsi="宋体"/>
          <w:bCs/>
          <w:color w:val="000000" w:themeColor="text1"/>
          <w:sz w:val="24"/>
          <w:szCs w:val="24"/>
          <w:highlight w:val="none"/>
          <w:u w:val="single"/>
          <w14:textFill>
            <w14:solidFill>
              <w14:schemeClr w14:val="tx1"/>
            </w14:solidFill>
          </w14:textFill>
        </w:rPr>
        <w:t xml:space="preserve">                                                                      </w:t>
      </w:r>
    </w:p>
    <w:p w14:paraId="299982F2">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562F07CB">
      <w:pPr>
        <w:pStyle w:val="25"/>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249ACB24">
      <w:pPr>
        <w:pStyle w:val="25"/>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30696F7F">
      <w:pPr>
        <w:pStyle w:val="25"/>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日，向</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提出质疑，质疑事项为：</w:t>
      </w:r>
    </w:p>
    <w:p w14:paraId="675CF22E">
      <w:pPr>
        <w:pStyle w:val="25"/>
        <w:spacing w:line="360" w:lineRule="auto"/>
        <w:ind w:firstLine="241"/>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79737399">
      <w:pPr>
        <w:pStyle w:val="25"/>
        <w:spacing w:line="360" w:lineRule="auto"/>
        <w:ind w:firstLine="241"/>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30B1BD42">
      <w:pPr>
        <w:pStyle w:val="25"/>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3B55E339">
      <w:pPr>
        <w:pStyle w:val="25"/>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7502017C">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r>
        <w:rPr>
          <w:rFonts w:hint="eastAsia" w:hAnsi="宋体"/>
          <w:bCs/>
          <w:color w:val="000000" w:themeColor="text1"/>
          <w:sz w:val="24"/>
          <w:szCs w:val="24"/>
          <w:highlight w:val="none"/>
          <w:u w:val="single"/>
          <w14:textFill>
            <w14:solidFill>
              <w14:schemeClr w14:val="tx1"/>
            </w14:solidFill>
          </w14:textFill>
        </w:rPr>
        <w:t xml:space="preserve">                                                                           </w:t>
      </w:r>
    </w:p>
    <w:p w14:paraId="5B36211F">
      <w:pPr>
        <w:pStyle w:val="25"/>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4BD98C66">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 xml:space="preserve">                                                                                        </w:t>
      </w:r>
    </w:p>
    <w:p w14:paraId="0BD8C5B0">
      <w:pPr>
        <w:pStyle w:val="25"/>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2426DB72">
      <w:pPr>
        <w:pStyle w:val="25"/>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4E9E19F7">
      <w:pPr>
        <w:pStyle w:val="25"/>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r>
        <w:rPr>
          <w:rFonts w:hint="eastAsia" w:hAnsi="宋体"/>
          <w:bCs/>
          <w:color w:val="000000" w:themeColor="text1"/>
          <w:sz w:val="24"/>
          <w:szCs w:val="24"/>
          <w:highlight w:val="none"/>
          <w14:textFill>
            <w14:solidFill>
              <w14:schemeClr w14:val="tx1"/>
            </w14:solidFill>
          </w14:textFill>
        </w:rPr>
        <w:t xml:space="preserve">   </w:t>
      </w:r>
    </w:p>
    <w:p w14:paraId="181FA36D">
      <w:pPr>
        <w:pStyle w:val="25"/>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1E0F385C">
      <w:pPr>
        <w:pStyle w:val="25"/>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17C1AAC0">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60F6B98A">
      <w:pPr>
        <w:pStyle w:val="25"/>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6211FB97">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62A33DFD">
      <w:pPr>
        <w:pStyle w:val="25"/>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18D4739B">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2CE66A2E">
      <w:pPr>
        <w:pStyle w:val="25"/>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14:paraId="75EBFB39">
      <w:pPr>
        <w:pStyle w:val="25"/>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2AEE083">
      <w:pPr>
        <w:pStyle w:val="25"/>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5B78658F">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F39449F">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1D8678C1">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4D74508C">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438EAEB5">
      <w:pPr>
        <w:pStyle w:val="25"/>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01A99FA9">
      <w:pPr>
        <w:pStyle w:val="2"/>
        <w:jc w:val="center"/>
        <w:rPr>
          <w:color w:val="000000" w:themeColor="text1"/>
          <w:highlight w:val="none"/>
          <w14:textFill>
            <w14:solidFill>
              <w14:schemeClr w14:val="tx1"/>
            </w14:solidFill>
          </w14:textFill>
        </w:rPr>
      </w:pPr>
    </w:p>
    <w:p w14:paraId="1F017E11">
      <w:pPr>
        <w:pStyle w:val="2"/>
        <w:jc w:val="center"/>
        <w:rPr>
          <w:color w:val="000000" w:themeColor="text1"/>
          <w:highlight w:val="none"/>
          <w14:textFill>
            <w14:solidFill>
              <w14:schemeClr w14:val="tx1"/>
            </w14:solidFill>
          </w14:textFill>
        </w:rPr>
      </w:pPr>
    </w:p>
    <w:p w14:paraId="7FA820F1">
      <w:pPr>
        <w:pStyle w:val="2"/>
        <w:jc w:val="center"/>
        <w:rPr>
          <w:color w:val="000000" w:themeColor="text1"/>
          <w:highlight w:val="none"/>
          <w14:textFill>
            <w14:solidFill>
              <w14:schemeClr w14:val="tx1"/>
            </w14:solidFill>
          </w14:textFill>
        </w:rPr>
      </w:pPr>
    </w:p>
    <w:p w14:paraId="7B9A7264">
      <w:pPr>
        <w:pStyle w:val="2"/>
        <w:jc w:val="center"/>
        <w:rPr>
          <w:color w:val="000000" w:themeColor="text1"/>
          <w:highlight w:val="none"/>
          <w14:textFill>
            <w14:solidFill>
              <w14:schemeClr w14:val="tx1"/>
            </w14:solidFill>
          </w14:textFill>
        </w:rPr>
      </w:pPr>
    </w:p>
    <w:p w14:paraId="60DA91D0">
      <w:pPr>
        <w:pStyle w:val="2"/>
        <w:jc w:val="center"/>
        <w:rPr>
          <w:color w:val="000000" w:themeColor="text1"/>
          <w:highlight w:val="none"/>
          <w14:textFill>
            <w14:solidFill>
              <w14:schemeClr w14:val="tx1"/>
            </w14:solidFill>
          </w14:textFill>
        </w:rPr>
      </w:pPr>
    </w:p>
    <w:p w14:paraId="69E1D3DD">
      <w:pPr>
        <w:pStyle w:val="2"/>
        <w:jc w:val="center"/>
        <w:rPr>
          <w:color w:val="000000" w:themeColor="text1"/>
          <w:highlight w:val="none"/>
          <w14:textFill>
            <w14:solidFill>
              <w14:schemeClr w14:val="tx1"/>
            </w14:solidFill>
          </w14:textFill>
        </w:rPr>
      </w:pPr>
      <w:bookmarkStart w:id="211" w:name="_Toc122424267"/>
      <w:r>
        <w:rPr>
          <w:rFonts w:hint="eastAsia"/>
          <w:color w:val="000000" w:themeColor="text1"/>
          <w:highlight w:val="none"/>
          <w14:textFill>
            <w14:solidFill>
              <w14:schemeClr w14:val="tx1"/>
            </w14:solidFill>
          </w14:textFill>
        </w:rPr>
        <w:t>第七章 合同文本</w:t>
      </w:r>
      <w:bookmarkEnd w:id="211"/>
    </w:p>
    <w:p w14:paraId="21D90218">
      <w:pPr>
        <w:spacing w:line="520" w:lineRule="exact"/>
        <w:rPr>
          <w:rFonts w:ascii="宋体" w:hAnsi="宋体" w:cs="Courier New"/>
          <w:b/>
          <w:color w:val="000000" w:themeColor="text1"/>
          <w:sz w:val="32"/>
          <w:szCs w:val="32"/>
          <w:highlight w:val="none"/>
          <w14:textFill>
            <w14:solidFill>
              <w14:schemeClr w14:val="tx1"/>
            </w14:solidFill>
          </w14:textFill>
        </w:rPr>
      </w:pPr>
    </w:p>
    <w:p w14:paraId="618D1A07">
      <w:pPr>
        <w:widowControl/>
        <w:rPr>
          <w:rFonts w:ascii="宋体" w:hAnsi="宋体" w:cs="宋体"/>
          <w:b/>
          <w:color w:val="000000" w:themeColor="text1"/>
          <w:sz w:val="44"/>
          <w:szCs w:val="44"/>
          <w:highlight w:val="none"/>
          <w14:textFill>
            <w14:solidFill>
              <w14:schemeClr w14:val="tx1"/>
            </w14:solidFill>
          </w14:textFill>
        </w:rPr>
      </w:pPr>
    </w:p>
    <w:p w14:paraId="2B7434EC">
      <w:pPr>
        <w:pStyle w:val="2"/>
        <w:jc w:val="center"/>
        <w:rPr>
          <w:color w:val="000000" w:themeColor="text1"/>
          <w:highlight w:val="none"/>
          <w14:textFill>
            <w14:solidFill>
              <w14:schemeClr w14:val="tx1"/>
            </w14:solidFill>
          </w14:textFill>
        </w:rPr>
      </w:pPr>
      <w:bookmarkStart w:id="212" w:name="_Toc1756478213"/>
      <w:bookmarkStart w:id="213" w:name="_Toc78449777"/>
      <w:bookmarkStart w:id="214" w:name="_Toc373478199"/>
      <w:bookmarkStart w:id="215" w:name="_Toc351203480"/>
      <w:bookmarkStart w:id="216" w:name="_Toc296890982"/>
      <w:bookmarkStart w:id="217" w:name="_Toc373227552"/>
      <w:bookmarkStart w:id="218" w:name="_Toc407135191"/>
      <w:bookmarkStart w:id="219" w:name="_Toc724920571"/>
      <w:bookmarkStart w:id="220" w:name="_Toc296503025"/>
      <w:bookmarkStart w:id="221" w:name="_Toc389065255"/>
      <w:r>
        <w:rPr>
          <w:rFonts w:cs="黑体"/>
          <w:color w:val="000000" w:themeColor="text1"/>
          <w:highlight w:val="none"/>
          <w14:textFill>
            <w14:solidFill>
              <w14:schemeClr w14:val="tx1"/>
            </w14:solidFill>
          </w14:textFill>
        </w:rPr>
        <w:br w:type="page"/>
      </w:r>
      <w:bookmarkStart w:id="222" w:name="_Toc122424268"/>
      <w:bookmarkStart w:id="223" w:name="_Toc122424019"/>
      <w:r>
        <w:rPr>
          <w:rFonts w:hint="eastAsia" w:cs="黑体"/>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s="黑体"/>
          <w:color w:val="000000" w:themeColor="text1"/>
          <w:highlight w:val="none"/>
          <w14:textFill>
            <w14:solidFill>
              <w14:schemeClr w14:val="tx1"/>
            </w14:solidFill>
          </w14:textFill>
        </w:rPr>
        <w:t>合同协议书</w:t>
      </w:r>
      <w:bookmarkEnd w:id="212"/>
      <w:bookmarkEnd w:id="213"/>
      <w:bookmarkEnd w:id="214"/>
      <w:bookmarkEnd w:id="215"/>
      <w:bookmarkEnd w:id="216"/>
      <w:bookmarkEnd w:id="217"/>
      <w:bookmarkEnd w:id="218"/>
      <w:bookmarkEnd w:id="219"/>
      <w:bookmarkEnd w:id="220"/>
      <w:bookmarkEnd w:id="221"/>
      <w:bookmarkEnd w:id="222"/>
      <w:bookmarkEnd w:id="223"/>
    </w:p>
    <w:p w14:paraId="1E59482F">
      <w:pPr>
        <w:spacing w:line="360" w:lineRule="auto"/>
        <w:rPr>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发包人（全称）：</w:t>
      </w:r>
      <w:r>
        <w:rPr>
          <w:rFonts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钦州幼儿师范高等专科学校</w:t>
      </w:r>
      <w:r>
        <w:rPr>
          <w:rFonts w:hAnsi="宋体"/>
          <w:color w:val="000000" w:themeColor="text1"/>
          <w:highlight w:val="none"/>
          <w:u w:val="single"/>
          <w14:textFill>
            <w14:solidFill>
              <w14:schemeClr w14:val="tx1"/>
            </w14:solidFill>
          </w14:textFill>
        </w:rPr>
        <w:t xml:space="preserve">    </w:t>
      </w:r>
    </w:p>
    <w:p w14:paraId="2DA3D422">
      <w:pPr>
        <w:spacing w:line="360" w:lineRule="auto"/>
        <w:rPr>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承包人（全称）：</w:t>
      </w:r>
      <w:r>
        <w:rPr>
          <w:rFonts w:hAnsi="宋体"/>
          <w:color w:val="000000" w:themeColor="text1"/>
          <w:highlight w:val="none"/>
          <w:u w:val="single"/>
          <w14:textFill>
            <w14:solidFill>
              <w14:schemeClr w14:val="tx1"/>
            </w14:solidFill>
          </w14:textFill>
        </w:rPr>
        <w:t xml:space="preserve">                              </w:t>
      </w:r>
    </w:p>
    <w:p w14:paraId="58C990B8">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根据《中华人民共和国民法典》、《中华人民共和国建筑法》及有关法律规定，遵循平等、自愿、公平和诚实信用的原则，双方就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钦州幼儿师范高等专科学校室内体育训练棚建设项目</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工程施工及有关事项协商一致，共同达成如下协议：</w:t>
      </w:r>
      <w:bookmarkStart w:id="224" w:name="_Toc351203481"/>
    </w:p>
    <w:p w14:paraId="55F58FF6">
      <w:pPr>
        <w:spacing w:line="360" w:lineRule="auto"/>
        <w:ind w:firstLine="422" w:firstLineChars="200"/>
        <w:outlineLvl w:val="0"/>
        <w:rPr>
          <w:b/>
          <w:bCs/>
          <w:color w:val="000000" w:themeColor="text1"/>
          <w:highlight w:val="none"/>
          <w14:textFill>
            <w14:solidFill>
              <w14:schemeClr w14:val="tx1"/>
            </w14:solidFill>
          </w14:textFill>
        </w:rPr>
      </w:pPr>
      <w:bookmarkStart w:id="225" w:name="_Toc122424269"/>
      <w:bookmarkStart w:id="226" w:name="_Toc122424020"/>
      <w:r>
        <w:rPr>
          <w:rFonts w:hint="eastAsia" w:hAnsi="宋体" w:cs="宋体"/>
          <w:b/>
          <w:bCs/>
          <w:color w:val="000000" w:themeColor="text1"/>
          <w:highlight w:val="none"/>
          <w14:textFill>
            <w14:solidFill>
              <w14:schemeClr w14:val="tx1"/>
            </w14:solidFill>
          </w14:textFill>
        </w:rPr>
        <w:t>一、工程概况</w:t>
      </w:r>
      <w:bookmarkEnd w:id="224"/>
      <w:bookmarkEnd w:id="225"/>
      <w:bookmarkEnd w:id="226"/>
    </w:p>
    <w:p w14:paraId="17A80F37">
      <w:pPr>
        <w:spacing w:line="360" w:lineRule="auto"/>
        <w:ind w:firstLine="411" w:firstLineChars="196"/>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工程名称：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钦州幼儿师范高等专科学校室内体育训练棚建设项目</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3826A121">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hAnsi="宋体" w:cs="宋体"/>
          <w:color w:val="000000" w:themeColor="text1"/>
          <w:highlight w:val="none"/>
          <w14:textFill>
            <w14:solidFill>
              <w14:schemeClr w14:val="tx1"/>
            </w14:solidFill>
          </w14:textFill>
        </w:rPr>
        <w:t>工程地点：</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5F8FA0E0">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hAnsi="宋体" w:cs="宋体"/>
          <w:color w:val="000000" w:themeColor="text1"/>
          <w:highlight w:val="none"/>
          <w14:textFill>
            <w14:solidFill>
              <w14:schemeClr w14:val="tx1"/>
            </w14:solidFill>
          </w14:textFill>
        </w:rPr>
        <w:t>工程立项批准文号：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3D087E15">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r>
        <w:rPr>
          <w:rFonts w:hint="eastAsia" w:hAnsi="宋体" w:cs="宋体"/>
          <w:color w:val="000000" w:themeColor="text1"/>
          <w:highlight w:val="none"/>
          <w14:textFill>
            <w14:solidFill>
              <w14:schemeClr w14:val="tx1"/>
            </w14:solidFill>
          </w14:textFill>
        </w:rPr>
        <w:t>资金来源：</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财政资金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03459594">
      <w:pPr>
        <w:spacing w:line="360" w:lineRule="auto"/>
        <w:ind w:firstLine="411" w:firstLineChars="196"/>
        <w:rPr>
          <w:color w:val="000000" w:themeColor="text1"/>
          <w:highlight w:val="none"/>
          <w14:textFill>
            <w14:solidFill>
              <w14:schemeClr w14:val="tx1"/>
            </w14:solidFill>
          </w14:textFill>
        </w:rPr>
      </w:pPr>
      <w:bookmarkStart w:id="227" w:name="_Toc122424021"/>
      <w:bookmarkStart w:id="228" w:name="_Toc122424270"/>
      <w:bookmarkStart w:id="229" w:name="_Toc351203482"/>
      <w:r>
        <w:rPr>
          <w:color w:val="000000" w:themeColor="text1"/>
          <w:highlight w:val="none"/>
          <w14:textFill>
            <w14:solidFill>
              <w14:schemeClr w14:val="tx1"/>
            </w14:solidFill>
          </w14:textFill>
        </w:rPr>
        <w:t xml:space="preserve">5. </w:t>
      </w:r>
      <w:r>
        <w:rPr>
          <w:rFonts w:hint="eastAsia" w:hAnsi="宋体" w:cs="宋体"/>
          <w:color w:val="000000" w:themeColor="text1"/>
          <w:highlight w:val="none"/>
          <w14:textFill>
            <w14:solidFill>
              <w14:schemeClr w14:val="tx1"/>
            </w14:solidFill>
          </w14:textFill>
        </w:rPr>
        <w:t>工程内容：</w:t>
      </w:r>
      <w:r>
        <w:rPr>
          <w:rFonts w:hint="eastAsia" w:hAnsi="宋体" w:cs="宋体"/>
          <w:color w:val="000000" w:themeColor="text1"/>
          <w:highlight w:val="none"/>
          <w:u w:val="single"/>
          <w14:textFill>
            <w14:solidFill>
              <w14:schemeClr w14:val="tx1"/>
            </w14:solidFill>
          </w14:textFill>
        </w:rPr>
        <w:t>详见工程量清单</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2F03F835">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 </w:t>
      </w:r>
      <w:r>
        <w:rPr>
          <w:rFonts w:hint="eastAsia" w:hAnsi="宋体" w:cs="宋体"/>
          <w:color w:val="000000" w:themeColor="text1"/>
          <w:highlight w:val="none"/>
          <w14:textFill>
            <w14:solidFill>
              <w14:schemeClr w14:val="tx1"/>
            </w14:solidFill>
          </w14:textFill>
        </w:rPr>
        <w:t>工程承包范围：</w:t>
      </w:r>
      <w:r>
        <w:rPr>
          <w:rFonts w:hint="eastAsia" w:hAnsi="宋体" w:cs="宋体"/>
          <w:color w:val="000000" w:themeColor="text1"/>
          <w:highlight w:val="none"/>
          <w:u w:val="single"/>
          <w14:textFill>
            <w14:solidFill>
              <w14:schemeClr w14:val="tx1"/>
            </w14:solidFill>
          </w14:textFill>
        </w:rPr>
        <w:t>详见施工图纸、工程量清单，以及经发包人基建管理部门同意变更的事项。</w:t>
      </w:r>
    </w:p>
    <w:p w14:paraId="01045EDE">
      <w:pPr>
        <w:spacing w:line="360" w:lineRule="auto"/>
        <w:ind w:firstLine="407" w:firstLineChars="193"/>
        <w:outlineLvl w:val="0"/>
        <w:rPr>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二、合同工期</w:t>
      </w:r>
      <w:bookmarkEnd w:id="227"/>
      <w:bookmarkEnd w:id="228"/>
      <w:bookmarkEnd w:id="229"/>
    </w:p>
    <w:p w14:paraId="3CDEFE50">
      <w:pPr>
        <w:spacing w:line="360" w:lineRule="auto"/>
        <w:ind w:firstLine="459"/>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计划开工日期：</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日。</w:t>
      </w:r>
      <w:r>
        <w:rPr>
          <w:rFonts w:hint="eastAsia" w:hAnsi="宋体" w:cs="宋体"/>
          <w:color w:val="000000" w:themeColor="text1"/>
          <w:highlight w:val="none"/>
          <w14:textFill>
            <w14:solidFill>
              <w14:schemeClr w14:val="tx1"/>
            </w14:solidFill>
          </w14:textFill>
        </w:rPr>
        <w:t>（具体以发包人书面通知为准）</w:t>
      </w:r>
    </w:p>
    <w:p w14:paraId="7C351464">
      <w:pPr>
        <w:spacing w:line="360" w:lineRule="auto"/>
        <w:ind w:firstLine="459"/>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计划竣工日期：</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日</w:t>
      </w:r>
      <w:r>
        <w:rPr>
          <w:rFonts w:hint="eastAsia" w:hAnsi="宋体" w:cs="宋体"/>
          <w:color w:val="000000" w:themeColor="text1"/>
          <w:highlight w:val="none"/>
          <w14:textFill>
            <w14:solidFill>
              <w14:schemeClr w14:val="tx1"/>
            </w14:solidFill>
          </w14:textFill>
        </w:rPr>
        <w:t>。</w:t>
      </w:r>
    </w:p>
    <w:p w14:paraId="218E46D9">
      <w:pPr>
        <w:spacing w:line="360" w:lineRule="auto"/>
        <w:ind w:firstLine="459"/>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工期总日历天数：</w:t>
      </w:r>
      <w:r>
        <w:rPr>
          <w:rFonts w:hint="eastAsia" w:hAnsi="宋体" w:cs="宋体"/>
          <w:color w:val="000000" w:themeColor="text1"/>
          <w:highlight w:val="none"/>
          <w:u w:val="single"/>
          <w14:textFill>
            <w14:solidFill>
              <w14:schemeClr w14:val="tx1"/>
            </w14:solidFill>
          </w14:textFill>
        </w:rPr>
        <w:t xml:space="preserve">   天</w:t>
      </w:r>
      <w:r>
        <w:rPr>
          <w:rFonts w:hint="eastAsia" w:hAnsi="宋体" w:cs="宋体"/>
          <w:color w:val="000000" w:themeColor="text1"/>
          <w:highlight w:val="none"/>
          <w14:textFill>
            <w14:solidFill>
              <w14:schemeClr w14:val="tx1"/>
            </w14:solidFill>
          </w14:textFill>
        </w:rPr>
        <w:t>工期总日历天数与根据前述计划开竣工日期计算的工期天数不一致的，以工期总日历天数为准。</w:t>
      </w:r>
    </w:p>
    <w:p w14:paraId="2F2AEC2B">
      <w:pPr>
        <w:spacing w:line="360" w:lineRule="auto"/>
        <w:ind w:firstLine="459"/>
        <w:outlineLvl w:val="0"/>
        <w:rPr>
          <w:b/>
          <w:bCs/>
          <w:color w:val="000000" w:themeColor="text1"/>
          <w:highlight w:val="none"/>
          <w14:textFill>
            <w14:solidFill>
              <w14:schemeClr w14:val="tx1"/>
            </w14:solidFill>
          </w14:textFill>
        </w:rPr>
      </w:pPr>
      <w:bookmarkStart w:id="230" w:name="_Toc351203483"/>
      <w:bookmarkStart w:id="231" w:name="_Toc122424022"/>
      <w:bookmarkStart w:id="232" w:name="_Toc122424271"/>
      <w:r>
        <w:rPr>
          <w:rFonts w:hint="eastAsia" w:hAnsi="宋体" w:cs="宋体"/>
          <w:b/>
          <w:bCs/>
          <w:color w:val="000000" w:themeColor="text1"/>
          <w:highlight w:val="none"/>
          <w14:textFill>
            <w14:solidFill>
              <w14:schemeClr w14:val="tx1"/>
            </w14:solidFill>
          </w14:textFill>
        </w:rPr>
        <w:t>三、质量标准</w:t>
      </w:r>
      <w:bookmarkEnd w:id="230"/>
      <w:bookmarkEnd w:id="231"/>
      <w:bookmarkEnd w:id="232"/>
    </w:p>
    <w:p w14:paraId="54F2812C">
      <w:pPr>
        <w:spacing w:line="360" w:lineRule="auto"/>
        <w:ind w:firstLine="459"/>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工程质量符合</w:t>
      </w:r>
      <w:r>
        <w:rPr>
          <w:rFonts w:eastAsia="仿宋_GB2312"/>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达到国家施工验收规范合格</w:t>
      </w:r>
      <w:r>
        <w:rPr>
          <w:rFonts w:eastAsia="仿宋_GB2312"/>
          <w:color w:val="000000" w:themeColor="text1"/>
          <w:highlight w:val="none"/>
          <w:u w:val="single"/>
          <w14:textFill>
            <w14:solidFill>
              <w14:schemeClr w14:val="tx1"/>
            </w14:solidFill>
          </w14:textFill>
        </w:rPr>
        <w:t></w:t>
      </w:r>
      <w:r>
        <w:rPr>
          <w:rFonts w:hint="eastAsia" w:hAnsi="宋体" w:cs="宋体"/>
          <w:color w:val="000000" w:themeColor="text1"/>
          <w:highlight w:val="none"/>
          <w14:textFill>
            <w14:solidFill>
              <w14:schemeClr w14:val="tx1"/>
            </w14:solidFill>
          </w14:textFill>
        </w:rPr>
        <w:t>标准。</w:t>
      </w:r>
    </w:p>
    <w:p w14:paraId="69388A55">
      <w:pPr>
        <w:spacing w:line="360" w:lineRule="auto"/>
        <w:ind w:firstLine="459"/>
        <w:outlineLvl w:val="0"/>
        <w:rPr>
          <w:rFonts w:hAnsi="宋体"/>
          <w:b/>
          <w:bCs/>
          <w:color w:val="000000" w:themeColor="text1"/>
          <w:highlight w:val="none"/>
          <w14:textFill>
            <w14:solidFill>
              <w14:schemeClr w14:val="tx1"/>
            </w14:solidFill>
          </w14:textFill>
        </w:rPr>
      </w:pPr>
      <w:bookmarkStart w:id="233" w:name="_Toc122424272"/>
      <w:bookmarkStart w:id="234" w:name="_Toc122424023"/>
      <w:bookmarkStart w:id="235" w:name="_Toc351203484"/>
      <w:r>
        <w:rPr>
          <w:rFonts w:hint="eastAsia" w:hAnsi="宋体" w:cs="宋体"/>
          <w:b/>
          <w:bCs/>
          <w:color w:val="000000" w:themeColor="text1"/>
          <w:highlight w:val="none"/>
          <w14:textFill>
            <w14:solidFill>
              <w14:schemeClr w14:val="tx1"/>
            </w14:solidFill>
          </w14:textFill>
        </w:rPr>
        <w:t>四、签约合同价与合同价格形式</w:t>
      </w:r>
      <w:bookmarkEnd w:id="233"/>
      <w:bookmarkEnd w:id="234"/>
      <w:bookmarkEnd w:id="235"/>
    </w:p>
    <w:p w14:paraId="0821F2FB">
      <w:pPr>
        <w:spacing w:line="360" w:lineRule="auto"/>
        <w:ind w:firstLine="4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签约合同价为：</w:t>
      </w:r>
    </w:p>
    <w:p w14:paraId="61FB5FFA">
      <w:pPr>
        <w:spacing w:line="360" w:lineRule="auto"/>
        <w:ind w:firstLine="525" w:firstLineChars="250"/>
        <w:rPr>
          <w:rFonts w:hint="eastAsia" w:hAnsi="宋体"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3D81C7E2">
      <w:pPr>
        <w:spacing w:line="360" w:lineRule="auto"/>
        <w:ind w:firstLine="525" w:firstLineChars="25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其中：</w:t>
      </w:r>
    </w:p>
    <w:p w14:paraId="7F8353A5">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）安全文明施工费：</w:t>
      </w:r>
    </w:p>
    <w:p w14:paraId="223322B5">
      <w:pPr>
        <w:spacing w:line="360" w:lineRule="auto"/>
        <w:ind w:left="420" w:leftChars="200" w:firstLine="525" w:firstLineChars="250"/>
        <w:rPr>
          <w:rFonts w:hint="eastAsia" w:hAnsi="宋体"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221C5690">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）材料和工程设备暂估价金额：</w:t>
      </w:r>
    </w:p>
    <w:p w14:paraId="5824A348">
      <w:pPr>
        <w:spacing w:line="360" w:lineRule="auto"/>
        <w:ind w:firstLine="945" w:firstLineChars="450"/>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00F51EA3">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）专业工程暂估价金额：</w:t>
      </w:r>
    </w:p>
    <w:p w14:paraId="1CB7D14E">
      <w:pPr>
        <w:spacing w:line="360" w:lineRule="auto"/>
        <w:ind w:firstLine="945" w:firstLineChars="450"/>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3C35863E">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hAnsi="宋体" w:cs="宋体"/>
          <w:color w:val="000000" w:themeColor="text1"/>
          <w:highlight w:val="none"/>
          <w14:textFill>
            <w14:solidFill>
              <w14:schemeClr w14:val="tx1"/>
            </w14:solidFill>
          </w14:textFill>
        </w:rPr>
        <w:t>）暂列金额：</w:t>
      </w:r>
    </w:p>
    <w:p w14:paraId="02261D48">
      <w:pPr>
        <w:spacing w:line="360" w:lineRule="auto"/>
        <w:ind w:firstLine="945" w:firstLineChars="45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p>
    <w:p w14:paraId="015CB619">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hAnsi="宋体" w:cs="宋体"/>
          <w:color w:val="000000" w:themeColor="text1"/>
          <w:highlight w:val="none"/>
          <w14:textFill>
            <w14:solidFill>
              <w14:schemeClr w14:val="tx1"/>
            </w14:solidFill>
          </w14:textFill>
        </w:rPr>
        <w:t>合同价格形式：</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4F6F8B56">
      <w:pPr>
        <w:spacing w:line="360" w:lineRule="auto"/>
        <w:ind w:firstLine="422" w:firstLineChars="200"/>
        <w:outlineLvl w:val="0"/>
        <w:rPr>
          <w:b/>
          <w:bCs/>
          <w:color w:val="000000" w:themeColor="text1"/>
          <w:highlight w:val="none"/>
          <w14:textFill>
            <w14:solidFill>
              <w14:schemeClr w14:val="tx1"/>
            </w14:solidFill>
          </w14:textFill>
        </w:rPr>
      </w:pPr>
      <w:bookmarkStart w:id="236" w:name="_Toc351203485"/>
      <w:bookmarkStart w:id="237" w:name="_Toc122424273"/>
      <w:bookmarkStart w:id="238" w:name="_Toc122424024"/>
      <w:r>
        <w:rPr>
          <w:rFonts w:hint="eastAsia" w:hAnsi="宋体" w:cs="宋体"/>
          <w:b/>
          <w:bCs/>
          <w:color w:val="000000" w:themeColor="text1"/>
          <w:highlight w:val="none"/>
          <w14:textFill>
            <w14:solidFill>
              <w14:schemeClr w14:val="tx1"/>
            </w14:solidFill>
          </w14:textFill>
        </w:rPr>
        <w:t>五、</w:t>
      </w:r>
      <w:bookmarkEnd w:id="236"/>
      <w:r>
        <w:rPr>
          <w:rFonts w:hint="eastAsia" w:hAnsi="宋体" w:cs="宋体"/>
          <w:b/>
          <w:bCs/>
          <w:color w:val="000000" w:themeColor="text1"/>
          <w:highlight w:val="none"/>
          <w14:textFill>
            <w14:solidFill>
              <w14:schemeClr w14:val="tx1"/>
            </w14:solidFill>
          </w14:textFill>
        </w:rPr>
        <w:t>项目经理</w:t>
      </w:r>
      <w:bookmarkEnd w:id="237"/>
      <w:bookmarkEnd w:id="238"/>
    </w:p>
    <w:p w14:paraId="1FF66E7E">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承包人项目经理：</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5EA7469E">
      <w:pPr>
        <w:spacing w:line="360" w:lineRule="auto"/>
        <w:ind w:firstLine="422" w:firstLineChars="200"/>
        <w:outlineLvl w:val="0"/>
        <w:rPr>
          <w:b/>
          <w:bCs/>
          <w:color w:val="000000" w:themeColor="text1"/>
          <w:highlight w:val="none"/>
          <w14:textFill>
            <w14:solidFill>
              <w14:schemeClr w14:val="tx1"/>
            </w14:solidFill>
          </w14:textFill>
        </w:rPr>
      </w:pPr>
      <w:bookmarkStart w:id="239" w:name="_Toc351203486"/>
      <w:bookmarkStart w:id="240" w:name="_Toc122424025"/>
      <w:bookmarkStart w:id="241" w:name="_Toc122424274"/>
      <w:r>
        <w:rPr>
          <w:rFonts w:hint="eastAsia" w:hAnsi="宋体" w:cs="宋体"/>
          <w:b/>
          <w:bCs/>
          <w:color w:val="000000" w:themeColor="text1"/>
          <w:highlight w:val="none"/>
          <w14:textFill>
            <w14:solidFill>
              <w14:schemeClr w14:val="tx1"/>
            </w14:solidFill>
          </w14:textFill>
        </w:rPr>
        <w:t>六、合同文件构成</w:t>
      </w:r>
      <w:bookmarkEnd w:id="239"/>
      <w:bookmarkEnd w:id="240"/>
      <w:bookmarkEnd w:id="241"/>
    </w:p>
    <w:p w14:paraId="21ED133C">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本协议书与下列文件一起构成合同文件：</w:t>
      </w:r>
    </w:p>
    <w:p w14:paraId="35DAB258">
      <w:pPr>
        <w:autoSpaceDE w:val="0"/>
        <w:autoSpaceDN w:val="0"/>
        <w:adjustRightInd w:val="0"/>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）成交通知书（如有）</w:t>
      </w:r>
      <w:r>
        <w:rPr>
          <w:rFonts w:hint="eastAsia" w:hAnsi="宋体" w:cs="宋体"/>
          <w:color w:val="000000" w:themeColor="text1"/>
          <w:highlight w:val="none"/>
          <w:lang w:eastAsia="zh-CN"/>
          <w14:textFill>
            <w14:solidFill>
              <w14:schemeClr w14:val="tx1"/>
            </w14:solidFill>
          </w14:textFill>
        </w:rPr>
        <w:t>；</w:t>
      </w:r>
    </w:p>
    <w:p w14:paraId="0A297E4C">
      <w:pPr>
        <w:autoSpaceDE w:val="0"/>
        <w:autoSpaceDN w:val="0"/>
        <w:adjustRightInd w:val="0"/>
        <w:spacing w:line="360" w:lineRule="auto"/>
        <w:ind w:firstLine="420" w:firstLineChars="200"/>
        <w:jc w:val="left"/>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）竞标函及其附录（如有）</w:t>
      </w:r>
      <w:r>
        <w:rPr>
          <w:rFonts w:hint="eastAsia" w:hAnsi="宋体" w:cs="宋体"/>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 </w:t>
      </w:r>
    </w:p>
    <w:p w14:paraId="5F97E2D5">
      <w:pPr>
        <w:autoSpaceDE w:val="0"/>
        <w:autoSpaceDN w:val="0"/>
        <w:adjustRightInd w:val="0"/>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）专用合同条款及其附件</w:t>
      </w:r>
      <w:r>
        <w:rPr>
          <w:rFonts w:hint="eastAsia" w:hAnsi="宋体" w:cs="宋体"/>
          <w:color w:val="000000" w:themeColor="text1"/>
          <w:highlight w:val="none"/>
          <w:lang w:eastAsia="zh-CN"/>
          <w14:textFill>
            <w14:solidFill>
              <w14:schemeClr w14:val="tx1"/>
            </w14:solidFill>
          </w14:textFill>
        </w:rPr>
        <w:t>；</w:t>
      </w:r>
    </w:p>
    <w:p w14:paraId="2290076F">
      <w:pPr>
        <w:autoSpaceDE w:val="0"/>
        <w:autoSpaceDN w:val="0"/>
        <w:adjustRightInd w:val="0"/>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hAnsi="宋体" w:cs="宋体"/>
          <w:color w:val="000000" w:themeColor="text1"/>
          <w:highlight w:val="none"/>
          <w14:textFill>
            <w14:solidFill>
              <w14:schemeClr w14:val="tx1"/>
            </w14:solidFill>
          </w14:textFill>
        </w:rPr>
        <w:t>）通用合同条款</w:t>
      </w:r>
      <w:r>
        <w:rPr>
          <w:rFonts w:hint="eastAsia" w:hAnsi="宋体" w:cs="宋体"/>
          <w:color w:val="000000" w:themeColor="text1"/>
          <w:highlight w:val="none"/>
          <w:lang w:eastAsia="zh-CN"/>
          <w14:textFill>
            <w14:solidFill>
              <w14:schemeClr w14:val="tx1"/>
            </w14:solidFill>
          </w14:textFill>
        </w:rPr>
        <w:t>；</w:t>
      </w:r>
    </w:p>
    <w:p w14:paraId="213B8582">
      <w:pPr>
        <w:autoSpaceDE w:val="0"/>
        <w:autoSpaceDN w:val="0"/>
        <w:adjustRightInd w:val="0"/>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）技术标准和要求</w:t>
      </w:r>
      <w:r>
        <w:rPr>
          <w:rFonts w:hint="eastAsia" w:hAnsi="宋体" w:cs="宋体"/>
          <w:color w:val="000000" w:themeColor="text1"/>
          <w:szCs w:val="21"/>
          <w:highlight w:val="none"/>
          <w:lang w:eastAsia="zh-CN"/>
          <w14:textFill>
            <w14:solidFill>
              <w14:schemeClr w14:val="tx1"/>
            </w14:solidFill>
          </w14:textFill>
        </w:rPr>
        <w:t>；</w:t>
      </w:r>
    </w:p>
    <w:p w14:paraId="15312F25">
      <w:pPr>
        <w:autoSpaceDE w:val="0"/>
        <w:autoSpaceDN w:val="0"/>
        <w:adjustRightInd w:val="0"/>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6</w:t>
      </w:r>
      <w:r>
        <w:rPr>
          <w:rFonts w:hint="eastAsia" w:hAnsi="宋体" w:cs="宋体"/>
          <w:color w:val="000000" w:themeColor="text1"/>
          <w:szCs w:val="21"/>
          <w:highlight w:val="none"/>
          <w14:textFill>
            <w14:solidFill>
              <w14:schemeClr w14:val="tx1"/>
            </w14:solidFill>
          </w14:textFill>
        </w:rPr>
        <w:t>）已标价工程量清单</w:t>
      </w:r>
      <w:r>
        <w:rPr>
          <w:rFonts w:hint="eastAsia" w:hAnsi="宋体" w:cs="宋体"/>
          <w:color w:val="000000" w:themeColor="text1"/>
          <w:szCs w:val="21"/>
          <w:highlight w:val="none"/>
          <w:lang w:eastAsia="zh-CN"/>
          <w14:textFill>
            <w14:solidFill>
              <w14:schemeClr w14:val="tx1"/>
            </w14:solidFill>
          </w14:textFill>
        </w:rPr>
        <w:t>；</w:t>
      </w:r>
    </w:p>
    <w:p w14:paraId="5E9058AE">
      <w:pPr>
        <w:autoSpaceDE w:val="0"/>
        <w:autoSpaceDN w:val="0"/>
        <w:adjustRightInd w:val="0"/>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7</w:t>
      </w:r>
      <w:r>
        <w:rPr>
          <w:rFonts w:hint="eastAsia" w:hAnsi="宋体" w:cs="宋体"/>
          <w:color w:val="000000" w:themeColor="text1"/>
          <w:szCs w:val="21"/>
          <w:highlight w:val="none"/>
          <w14:textFill>
            <w14:solidFill>
              <w14:schemeClr w14:val="tx1"/>
            </w14:solidFill>
          </w14:textFill>
        </w:rPr>
        <w:t>）图纸</w:t>
      </w:r>
      <w:r>
        <w:rPr>
          <w:rFonts w:hint="eastAsia" w:hAnsi="宋体" w:cs="宋体"/>
          <w:color w:val="000000" w:themeColor="text1"/>
          <w:szCs w:val="21"/>
          <w:highlight w:val="none"/>
          <w:lang w:eastAsia="zh-CN"/>
          <w14:textFill>
            <w14:solidFill>
              <w14:schemeClr w14:val="tx1"/>
            </w14:solidFill>
          </w14:textFill>
        </w:rPr>
        <w:t>；</w:t>
      </w:r>
    </w:p>
    <w:p w14:paraId="2B21B1C3">
      <w:pPr>
        <w:autoSpaceDE w:val="0"/>
        <w:autoSpaceDN w:val="0"/>
        <w:adjustRightInd w:val="0"/>
        <w:spacing w:line="360" w:lineRule="auto"/>
        <w:ind w:firstLine="420" w:firstLineChars="200"/>
        <w:jc w:val="lef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8</w:t>
      </w:r>
      <w:r>
        <w:rPr>
          <w:rFonts w:hint="eastAsia" w:hAnsi="宋体" w:cs="宋体"/>
          <w:color w:val="000000" w:themeColor="text1"/>
          <w:szCs w:val="21"/>
          <w:highlight w:val="none"/>
          <w14:textFill>
            <w14:solidFill>
              <w14:schemeClr w14:val="tx1"/>
            </w14:solidFill>
          </w14:textFill>
        </w:rPr>
        <w:t>）其他合同文件：</w:t>
      </w:r>
    </w:p>
    <w:p w14:paraId="14D0D5A6">
      <w:pPr>
        <w:autoSpaceDE w:val="0"/>
        <w:autoSpaceDN w:val="0"/>
        <w:adjustRightInd w:val="0"/>
        <w:spacing w:line="360" w:lineRule="auto"/>
        <w:ind w:firstLine="420" w:firstLineChars="200"/>
        <w:jc w:val="left"/>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9</w:t>
      </w:r>
      <w:r>
        <w:rPr>
          <w:rFonts w:hint="eastAsia" w:hAnsi="宋体" w:cs="宋体"/>
          <w:color w:val="000000" w:themeColor="text1"/>
          <w:szCs w:val="21"/>
          <w:highlight w:val="none"/>
          <w:lang w:eastAsia="zh-CN"/>
          <w14:textFill>
            <w14:solidFill>
              <w14:schemeClr w14:val="tx1"/>
            </w14:solidFill>
          </w14:textFill>
        </w:rPr>
        <w:t>）</w:t>
      </w:r>
      <w:r>
        <w:rPr>
          <w:color w:val="000000" w:themeColor="text1"/>
          <w:highlight w:val="none"/>
          <w14:textFill>
            <w14:solidFill>
              <w14:schemeClr w14:val="tx1"/>
            </w14:solidFill>
          </w14:textFill>
        </w:rPr>
        <w:t>竞争性磋商文件及响应文件</w:t>
      </w:r>
      <w:r>
        <w:rPr>
          <w:rFonts w:hint="eastAsia" w:hAnsi="宋体" w:cs="宋体"/>
          <w:color w:val="000000" w:themeColor="text1"/>
          <w:szCs w:val="21"/>
          <w:highlight w:val="none"/>
          <w:lang w:eastAsia="zh-CN"/>
          <w14:textFill>
            <w14:solidFill>
              <w14:schemeClr w14:val="tx1"/>
            </w14:solidFill>
          </w14:textFill>
        </w:rPr>
        <w:t>；</w:t>
      </w:r>
    </w:p>
    <w:p w14:paraId="151B4CA9">
      <w:pPr>
        <w:autoSpaceDE w:val="0"/>
        <w:autoSpaceDN w:val="0"/>
        <w:adjustRightInd w:val="0"/>
        <w:spacing w:line="360" w:lineRule="auto"/>
        <w:ind w:firstLine="420" w:firstLineChars="200"/>
        <w:jc w:val="left"/>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上述各项合同文件包括合同当事人就该项合同文件所作出的补充和修改，属于同一类内容的文件，应以最新签署的为准（违反磋商文件</w:t>
      </w:r>
      <w:r>
        <w:rPr>
          <w:rFonts w:hAnsi="宋体" w:cs="宋体"/>
          <w:color w:val="000000" w:themeColor="text1"/>
          <w:highlight w:val="none"/>
          <w14:textFill>
            <w14:solidFill>
              <w14:schemeClr w14:val="tx1"/>
            </w14:solidFill>
          </w14:textFill>
        </w:rPr>
        <w:t>实质性内容的约定除外</w:t>
      </w:r>
      <w:r>
        <w:rPr>
          <w:rFonts w:hint="eastAsia" w:hAnsi="宋体" w:cs="宋体"/>
          <w:color w:val="000000" w:themeColor="text1"/>
          <w:highlight w:val="none"/>
          <w14:textFill>
            <w14:solidFill>
              <w14:schemeClr w14:val="tx1"/>
            </w14:solidFill>
          </w14:textFill>
        </w:rPr>
        <w:t>）。专用合同条款及其附件须经合同当事人签字或盖章。</w:t>
      </w:r>
    </w:p>
    <w:p w14:paraId="49AE9D09">
      <w:pPr>
        <w:autoSpaceDE w:val="0"/>
        <w:autoSpaceDN w:val="0"/>
        <w:adjustRightInd w:val="0"/>
        <w:spacing w:line="360" w:lineRule="auto"/>
        <w:ind w:firstLine="422" w:firstLineChars="200"/>
        <w:jc w:val="left"/>
        <w:outlineLvl w:val="0"/>
        <w:rPr>
          <w:b/>
          <w:bCs/>
          <w:color w:val="000000" w:themeColor="text1"/>
          <w:highlight w:val="none"/>
          <w14:textFill>
            <w14:solidFill>
              <w14:schemeClr w14:val="tx1"/>
            </w14:solidFill>
          </w14:textFill>
        </w:rPr>
      </w:pPr>
      <w:bookmarkStart w:id="242" w:name="_Toc122424275"/>
      <w:bookmarkStart w:id="243" w:name="_Toc122424026"/>
      <w:bookmarkStart w:id="244" w:name="_Toc351203487"/>
      <w:r>
        <w:rPr>
          <w:rFonts w:hint="eastAsia" w:hAnsi="宋体" w:cs="宋体"/>
          <w:b/>
          <w:bCs/>
          <w:color w:val="000000" w:themeColor="text1"/>
          <w:highlight w:val="none"/>
          <w14:textFill>
            <w14:solidFill>
              <w14:schemeClr w14:val="tx1"/>
            </w14:solidFill>
          </w14:textFill>
        </w:rPr>
        <w:t>七、承诺</w:t>
      </w:r>
      <w:bookmarkEnd w:id="242"/>
      <w:bookmarkEnd w:id="243"/>
      <w:bookmarkEnd w:id="244"/>
    </w:p>
    <w:p w14:paraId="04A3EC9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发包人承诺按照法律规定履行项目审批手续、筹集工程建设资金并按照合同约定的期限和方式支付合同价款。</w:t>
      </w:r>
    </w:p>
    <w:p w14:paraId="361A8D84">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hAnsi="宋体" w:cs="宋体"/>
          <w:color w:val="000000" w:themeColor="text1"/>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p>
    <w:p w14:paraId="7F2AEB73">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hAnsi="宋体" w:cs="宋体"/>
          <w:color w:val="000000" w:themeColor="text1"/>
          <w:highlight w:val="none"/>
          <w14:textFill>
            <w14:solidFill>
              <w14:schemeClr w14:val="tx1"/>
            </w14:solidFill>
          </w14:textFill>
        </w:rPr>
        <w:t>发包人和承包人通过政府采购形式签订合同的，双方理解并承诺不再就同一工程另行签订与合同实质性内容相背离的协议。</w:t>
      </w:r>
      <w:bookmarkStart w:id="245" w:name="_Toc351203488"/>
    </w:p>
    <w:p w14:paraId="364BAF5C">
      <w:pPr>
        <w:spacing w:line="360" w:lineRule="auto"/>
        <w:ind w:firstLine="422" w:firstLineChars="200"/>
        <w:outlineLvl w:val="0"/>
        <w:rPr>
          <w:b/>
          <w:bCs/>
          <w:color w:val="000000" w:themeColor="text1"/>
          <w:highlight w:val="none"/>
          <w14:textFill>
            <w14:solidFill>
              <w14:schemeClr w14:val="tx1"/>
            </w14:solidFill>
          </w14:textFill>
        </w:rPr>
      </w:pPr>
      <w:bookmarkStart w:id="246" w:name="_Toc122424027"/>
      <w:bookmarkStart w:id="247" w:name="_Toc122424276"/>
      <w:r>
        <w:rPr>
          <w:rFonts w:hint="eastAsia" w:hAnsi="宋体" w:cs="宋体"/>
          <w:b/>
          <w:bCs/>
          <w:color w:val="000000" w:themeColor="text1"/>
          <w:highlight w:val="none"/>
          <w14:textFill>
            <w14:solidFill>
              <w14:schemeClr w14:val="tx1"/>
            </w14:solidFill>
          </w14:textFill>
        </w:rPr>
        <w:t>八、词语含义</w:t>
      </w:r>
      <w:bookmarkEnd w:id="245"/>
      <w:bookmarkEnd w:id="246"/>
      <w:bookmarkEnd w:id="247"/>
    </w:p>
    <w:p w14:paraId="34FB7D2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本协议书中词语含义与第二部分通用合同条款中赋予的含义相同。</w:t>
      </w:r>
    </w:p>
    <w:p w14:paraId="172B87CF">
      <w:pPr>
        <w:spacing w:line="360" w:lineRule="auto"/>
        <w:ind w:firstLine="422" w:firstLineChars="200"/>
        <w:outlineLvl w:val="0"/>
        <w:rPr>
          <w:b/>
          <w:bCs/>
          <w:color w:val="000000" w:themeColor="text1"/>
          <w:highlight w:val="none"/>
          <w14:textFill>
            <w14:solidFill>
              <w14:schemeClr w14:val="tx1"/>
            </w14:solidFill>
          </w14:textFill>
        </w:rPr>
      </w:pPr>
      <w:bookmarkStart w:id="248" w:name="_Toc122424028"/>
      <w:bookmarkStart w:id="249" w:name="_Toc351203489"/>
      <w:bookmarkStart w:id="250" w:name="_Toc122424277"/>
      <w:r>
        <w:rPr>
          <w:rFonts w:hint="eastAsia" w:hAnsi="宋体" w:cs="宋体"/>
          <w:b/>
          <w:bCs/>
          <w:color w:val="000000" w:themeColor="text1"/>
          <w:highlight w:val="none"/>
          <w14:textFill>
            <w14:solidFill>
              <w14:schemeClr w14:val="tx1"/>
            </w14:solidFill>
          </w14:textFill>
        </w:rPr>
        <w:t>九、签订时间</w:t>
      </w:r>
      <w:bookmarkEnd w:id="248"/>
      <w:bookmarkEnd w:id="249"/>
      <w:bookmarkEnd w:id="250"/>
    </w:p>
    <w:p w14:paraId="1324C6D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本合同于</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日签订。</w:t>
      </w:r>
    </w:p>
    <w:p w14:paraId="37D2BAA6">
      <w:pPr>
        <w:spacing w:line="360" w:lineRule="auto"/>
        <w:ind w:firstLine="422" w:firstLineChars="200"/>
        <w:outlineLvl w:val="0"/>
        <w:rPr>
          <w:b/>
          <w:bCs/>
          <w:color w:val="000000" w:themeColor="text1"/>
          <w:highlight w:val="none"/>
          <w14:textFill>
            <w14:solidFill>
              <w14:schemeClr w14:val="tx1"/>
            </w14:solidFill>
          </w14:textFill>
        </w:rPr>
      </w:pPr>
      <w:bookmarkStart w:id="251" w:name="_Toc351203490"/>
      <w:bookmarkStart w:id="252" w:name="_Toc122424278"/>
      <w:bookmarkStart w:id="253" w:name="_Toc122424029"/>
      <w:r>
        <w:rPr>
          <w:rFonts w:hint="eastAsia" w:hAnsi="宋体" w:cs="宋体"/>
          <w:b/>
          <w:bCs/>
          <w:color w:val="000000" w:themeColor="text1"/>
          <w:highlight w:val="none"/>
          <w14:textFill>
            <w14:solidFill>
              <w14:schemeClr w14:val="tx1"/>
            </w14:solidFill>
          </w14:textFill>
        </w:rPr>
        <w:t>十、签订地点</w:t>
      </w:r>
      <w:bookmarkEnd w:id="251"/>
      <w:bookmarkEnd w:id="252"/>
      <w:bookmarkEnd w:id="253"/>
    </w:p>
    <w:p w14:paraId="6800D98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本合同在</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签订。</w:t>
      </w:r>
    </w:p>
    <w:p w14:paraId="0E759340">
      <w:pPr>
        <w:spacing w:line="360" w:lineRule="auto"/>
        <w:ind w:firstLine="422" w:firstLineChars="200"/>
        <w:outlineLvl w:val="0"/>
        <w:rPr>
          <w:b/>
          <w:bCs/>
          <w:color w:val="000000" w:themeColor="text1"/>
          <w:highlight w:val="none"/>
          <w14:textFill>
            <w14:solidFill>
              <w14:schemeClr w14:val="tx1"/>
            </w14:solidFill>
          </w14:textFill>
        </w:rPr>
      </w:pPr>
      <w:bookmarkStart w:id="254" w:name="_Toc122424030"/>
      <w:bookmarkStart w:id="255" w:name="_Toc122424279"/>
      <w:bookmarkStart w:id="256" w:name="_Toc351203491"/>
      <w:r>
        <w:rPr>
          <w:rFonts w:hint="eastAsia" w:hAnsi="宋体" w:cs="宋体"/>
          <w:b/>
          <w:bCs/>
          <w:color w:val="000000" w:themeColor="text1"/>
          <w:highlight w:val="none"/>
          <w14:textFill>
            <w14:solidFill>
              <w14:schemeClr w14:val="tx1"/>
            </w14:solidFill>
          </w14:textFill>
        </w:rPr>
        <w:t>十一、补充协议</w:t>
      </w:r>
      <w:bookmarkEnd w:id="254"/>
      <w:bookmarkEnd w:id="255"/>
      <w:bookmarkEnd w:id="256"/>
    </w:p>
    <w:p w14:paraId="5E8CEC1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合同未尽事宜，合同当事人另行签订补充协议，补充协议是合同的组成部分。</w:t>
      </w:r>
    </w:p>
    <w:p w14:paraId="7B220262">
      <w:pPr>
        <w:spacing w:line="360" w:lineRule="auto"/>
        <w:ind w:firstLine="422" w:firstLineChars="200"/>
        <w:outlineLvl w:val="0"/>
        <w:rPr>
          <w:b/>
          <w:bCs/>
          <w:color w:val="000000" w:themeColor="text1"/>
          <w:highlight w:val="none"/>
          <w14:textFill>
            <w14:solidFill>
              <w14:schemeClr w14:val="tx1"/>
            </w14:solidFill>
          </w14:textFill>
        </w:rPr>
      </w:pPr>
      <w:bookmarkStart w:id="257" w:name="_Toc351203492"/>
      <w:bookmarkStart w:id="258" w:name="_Toc122424031"/>
      <w:bookmarkStart w:id="259" w:name="_Toc122424280"/>
      <w:r>
        <w:rPr>
          <w:rFonts w:hint="eastAsia" w:hAnsi="宋体" w:cs="宋体"/>
          <w:b/>
          <w:bCs/>
          <w:color w:val="000000" w:themeColor="text1"/>
          <w:highlight w:val="none"/>
          <w14:textFill>
            <w14:solidFill>
              <w14:schemeClr w14:val="tx1"/>
            </w14:solidFill>
          </w14:textFill>
        </w:rPr>
        <w:t>十二、合同生效</w:t>
      </w:r>
      <w:bookmarkEnd w:id="257"/>
      <w:bookmarkEnd w:id="258"/>
      <w:bookmarkEnd w:id="259"/>
    </w:p>
    <w:p w14:paraId="5DD7BBE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本合同自</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生效。</w:t>
      </w:r>
    </w:p>
    <w:p w14:paraId="36A263E3">
      <w:pPr>
        <w:spacing w:line="360" w:lineRule="auto"/>
        <w:ind w:firstLine="422" w:firstLineChars="200"/>
        <w:outlineLvl w:val="0"/>
        <w:rPr>
          <w:b/>
          <w:bCs/>
          <w:color w:val="000000" w:themeColor="text1"/>
          <w:highlight w:val="none"/>
          <w14:textFill>
            <w14:solidFill>
              <w14:schemeClr w14:val="tx1"/>
            </w14:solidFill>
          </w14:textFill>
        </w:rPr>
      </w:pPr>
      <w:bookmarkStart w:id="260" w:name="_Toc351203493"/>
      <w:bookmarkStart w:id="261" w:name="_Toc122424281"/>
      <w:bookmarkStart w:id="262" w:name="_Toc122424032"/>
      <w:r>
        <w:rPr>
          <w:rFonts w:hint="eastAsia" w:hAnsi="宋体" w:cs="宋体"/>
          <w:b/>
          <w:bCs/>
          <w:color w:val="000000" w:themeColor="text1"/>
          <w:highlight w:val="none"/>
          <w14:textFill>
            <w14:solidFill>
              <w14:schemeClr w14:val="tx1"/>
            </w14:solidFill>
          </w14:textFill>
        </w:rPr>
        <w:t>十三、合同份数</w:t>
      </w:r>
      <w:bookmarkEnd w:id="260"/>
      <w:bookmarkEnd w:id="261"/>
      <w:bookmarkEnd w:id="262"/>
    </w:p>
    <w:p w14:paraId="554F151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本合同一式伍份，均具有同等法律效力，发包人执叁 份，承包人执 贰份。</w:t>
      </w:r>
    </w:p>
    <w:p w14:paraId="65ED422B">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公章</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公章</w:t>
      </w:r>
      <w:r>
        <w:rPr>
          <w:rFonts w:hint="eastAsia" w:cs="宋体"/>
          <w:color w:val="000000" w:themeColor="text1"/>
          <w:highlight w:val="none"/>
          <w14:textFill>
            <w14:solidFill>
              <w14:schemeClr w14:val="tx1"/>
            </w14:solidFill>
          </w14:textFill>
        </w:rPr>
        <w:t>）</w:t>
      </w:r>
    </w:p>
    <w:p w14:paraId="7C8595B4">
      <w:pPr>
        <w:spacing w:line="36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                                 </w:t>
      </w:r>
    </w:p>
    <w:p w14:paraId="55520E23">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法定代表人或其委托代理人：</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法定代表人或其委托代理人：</w:t>
      </w:r>
    </w:p>
    <w:p w14:paraId="3734AB4B">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（签字）</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（签字）</w:t>
      </w:r>
    </w:p>
    <w:p w14:paraId="548002FD">
      <w:pPr>
        <w:spacing w:line="360" w:lineRule="auto"/>
        <w:rPr>
          <w:color w:val="000000" w:themeColor="text1"/>
          <w:highlight w:val="none"/>
          <w:u w:val="single"/>
          <w14:textFill>
            <w14:solidFill>
              <w14:schemeClr w14:val="tx1"/>
            </w14:solidFill>
          </w14:textFill>
        </w:rPr>
      </w:pPr>
    </w:p>
    <w:p w14:paraId="7F92A31C">
      <w:pPr>
        <w:tabs>
          <w:tab w:val="left" w:pos="4410"/>
        </w:tabs>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统一社会信用代码：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统一</w:t>
      </w:r>
      <w:r>
        <w:rPr>
          <w:rFonts w:hint="eastAsia" w:hAnsi="宋体" w:cs="宋体"/>
          <w:color w:val="000000" w:themeColor="text1"/>
          <w:highlight w:val="none"/>
          <w14:textFill>
            <w14:solidFill>
              <w14:schemeClr w14:val="tx1"/>
            </w14:solidFill>
          </w14:textFill>
        </w:rPr>
        <w:t>社会信用代码：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00A3CE16">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74B51456">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1BE2F872">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法定代表人：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4F2EF3E7">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30F70F21">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话：</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话：</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7197C303">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1E65DAAA">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电子信箱：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电子信箱：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10529C7A">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55D1F562">
      <w:pPr>
        <w:rPr>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08F0661E">
      <w:pPr>
        <w:pStyle w:val="2"/>
        <w:jc w:val="center"/>
        <w:rPr>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bookmarkStart w:id="263" w:name="_Toc86847323"/>
      <w:bookmarkStart w:id="264" w:name="_Toc122424033"/>
      <w:bookmarkStart w:id="265" w:name="_Toc407135192"/>
      <w:bookmarkStart w:id="266" w:name="_Toc1714491818"/>
      <w:bookmarkStart w:id="267" w:name="_Toc122424282"/>
      <w:bookmarkStart w:id="268" w:name="_Toc389065256"/>
      <w:bookmarkStart w:id="269" w:name="_Toc78449778"/>
      <w:bookmarkStart w:id="270" w:name="_Toc373227691"/>
      <w:bookmarkStart w:id="271" w:name="_Toc373478338"/>
      <w:bookmarkStart w:id="272" w:name="_Toc351203632"/>
      <w:r>
        <w:rPr>
          <w:rFonts w:hint="eastAsia" w:cs="黑体"/>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w:t>
      </w:r>
      <w:r>
        <w:rPr>
          <w:rFonts w:hint="eastAsia" w:cs="黑体"/>
          <w:color w:val="000000" w:themeColor="text1"/>
          <w:highlight w:val="none"/>
          <w14:textFill>
            <w14:solidFill>
              <w14:schemeClr w14:val="tx1"/>
            </w14:solidFill>
          </w14:textFill>
        </w:rPr>
        <w:t>通用合同条款</w:t>
      </w:r>
      <w:bookmarkEnd w:id="263"/>
      <w:bookmarkEnd w:id="264"/>
      <w:bookmarkEnd w:id="265"/>
      <w:bookmarkEnd w:id="266"/>
      <w:bookmarkEnd w:id="267"/>
      <w:bookmarkEnd w:id="268"/>
      <w:bookmarkEnd w:id="269"/>
    </w:p>
    <w:p w14:paraId="59DEAA16">
      <w:pPr>
        <w:spacing w:line="360" w:lineRule="auto"/>
        <w:ind w:firstLine="420" w:firstLineChars="200"/>
        <w:rPr>
          <w:rFonts w:hAnsi="宋体"/>
          <w:color w:val="000000" w:themeColor="text1"/>
          <w:kern w:val="0"/>
          <w:highlight w:val="none"/>
          <w14:textFill>
            <w14:solidFill>
              <w14:schemeClr w14:val="tx1"/>
            </w14:solidFill>
          </w14:textFill>
        </w:rPr>
      </w:pPr>
    </w:p>
    <w:p w14:paraId="26721A4F">
      <w:pPr>
        <w:spacing w:line="360" w:lineRule="auto"/>
        <w:ind w:firstLine="422" w:firstLineChars="200"/>
        <w:rPr>
          <w:rFonts w:hAnsi="宋体"/>
          <w:b/>
          <w:bCs/>
          <w:color w:val="000000" w:themeColor="text1"/>
          <w:kern w:val="0"/>
          <w:highlight w:val="none"/>
          <w14:textFill>
            <w14:solidFill>
              <w14:schemeClr w14:val="tx1"/>
            </w14:solidFill>
          </w14:textFill>
        </w:rPr>
      </w:pPr>
      <w:r>
        <w:rPr>
          <w:rFonts w:hint="eastAsia" w:hAnsi="宋体" w:cs="宋体"/>
          <w:b/>
          <w:bCs/>
          <w:color w:val="000000" w:themeColor="text1"/>
          <w:kern w:val="0"/>
          <w:highlight w:val="none"/>
          <w14:textFill>
            <w14:solidFill>
              <w14:schemeClr w14:val="tx1"/>
            </w14:solidFill>
          </w14:textFill>
        </w:rPr>
        <w:t>采用《建设工程施工合同（示范文本）》（</w:t>
      </w:r>
      <w:r>
        <w:rPr>
          <w:rFonts w:hAnsi="宋体"/>
          <w:b/>
          <w:bCs/>
          <w:color w:val="000000" w:themeColor="text1"/>
          <w:kern w:val="0"/>
          <w:highlight w:val="none"/>
          <w14:textFill>
            <w14:solidFill>
              <w14:schemeClr w14:val="tx1"/>
            </w14:solidFill>
          </w14:textFill>
        </w:rPr>
        <w:t>GF</w:t>
      </w:r>
      <w:r>
        <w:rPr>
          <w:rFonts w:hAnsi="宋体" w:cs="宋体"/>
          <w:b/>
          <w:bCs/>
          <w:color w:val="000000" w:themeColor="text1"/>
          <w:kern w:val="0"/>
          <w:highlight w:val="none"/>
          <w14:textFill>
            <w14:solidFill>
              <w14:schemeClr w14:val="tx1"/>
            </w14:solidFill>
          </w14:textFill>
        </w:rPr>
        <w:t>—</w:t>
      </w:r>
      <w:r>
        <w:rPr>
          <w:rFonts w:hAnsi="宋体"/>
          <w:b/>
          <w:bCs/>
          <w:color w:val="000000" w:themeColor="text1"/>
          <w:kern w:val="0"/>
          <w:highlight w:val="none"/>
          <w14:textFill>
            <w14:solidFill>
              <w14:schemeClr w14:val="tx1"/>
            </w14:solidFill>
          </w14:textFill>
        </w:rPr>
        <w:t>201</w:t>
      </w:r>
      <w:r>
        <w:rPr>
          <w:rFonts w:hint="eastAsia" w:hAnsi="宋体"/>
          <w:b/>
          <w:bCs/>
          <w:color w:val="000000" w:themeColor="text1"/>
          <w:kern w:val="0"/>
          <w:highlight w:val="none"/>
          <w14:textFill>
            <w14:solidFill>
              <w14:schemeClr w14:val="tx1"/>
            </w14:solidFill>
          </w14:textFill>
        </w:rPr>
        <w:t>7</w:t>
      </w:r>
      <w:r>
        <w:rPr>
          <w:rFonts w:hAnsi="宋体" w:cs="宋体"/>
          <w:b/>
          <w:bCs/>
          <w:color w:val="000000" w:themeColor="text1"/>
          <w:kern w:val="0"/>
          <w:highlight w:val="none"/>
          <w14:textFill>
            <w14:solidFill>
              <w14:schemeClr w14:val="tx1"/>
            </w14:solidFill>
          </w14:textFill>
        </w:rPr>
        <w:t>—</w:t>
      </w:r>
      <w:r>
        <w:rPr>
          <w:rFonts w:hAnsi="宋体"/>
          <w:b/>
          <w:bCs/>
          <w:color w:val="000000" w:themeColor="text1"/>
          <w:kern w:val="0"/>
          <w:highlight w:val="none"/>
          <w14:textFill>
            <w14:solidFill>
              <w14:schemeClr w14:val="tx1"/>
            </w14:solidFill>
          </w14:textFill>
        </w:rPr>
        <w:t>0201</w:t>
      </w:r>
      <w:r>
        <w:rPr>
          <w:rFonts w:hint="eastAsia" w:hAnsi="宋体" w:cs="宋体"/>
          <w:b/>
          <w:bCs/>
          <w:color w:val="000000" w:themeColor="text1"/>
          <w:kern w:val="0"/>
          <w:highlight w:val="none"/>
          <w14:textFill>
            <w14:solidFill>
              <w14:schemeClr w14:val="tx1"/>
            </w14:solidFill>
          </w14:textFill>
        </w:rPr>
        <w:t>）。</w:t>
      </w:r>
    </w:p>
    <w:p w14:paraId="5C318C21">
      <w:pPr>
        <w:pStyle w:val="2"/>
        <w:keepNext w:val="0"/>
        <w:keepLines w:val="0"/>
        <w:jc w:val="center"/>
        <w:rPr>
          <w:rFonts w:hAnsi="宋体"/>
          <w:color w:val="000000" w:themeColor="text1"/>
          <w:sz w:val="30"/>
          <w:szCs w:val="30"/>
          <w:highlight w:val="none"/>
          <w14:textFill>
            <w14:solidFill>
              <w14:schemeClr w14:val="tx1"/>
            </w14:solidFill>
          </w14:textFill>
        </w:rPr>
      </w:pPr>
      <w:bookmarkStart w:id="273" w:name="_Toc704444909"/>
      <w:bookmarkStart w:id="274" w:name="_Toc389065257"/>
      <w:bookmarkStart w:id="275" w:name="_Toc122424283"/>
      <w:bookmarkStart w:id="276" w:name="_Toc407135193"/>
      <w:bookmarkStart w:id="277" w:name="_Toc78449779"/>
      <w:bookmarkStart w:id="278" w:name="_Toc122424034"/>
      <w:bookmarkStart w:id="279" w:name="_Toc1204138598"/>
      <w:r>
        <w:rPr>
          <w:rFonts w:hint="eastAsia" w:hAnsi="宋体" w:cs="黑体"/>
          <w:color w:val="000000" w:themeColor="text1"/>
          <w:sz w:val="30"/>
          <w:szCs w:val="30"/>
          <w:highlight w:val="none"/>
          <w14:textFill>
            <w14:solidFill>
              <w14:schemeClr w14:val="tx1"/>
            </w14:solidFill>
          </w14:textFill>
        </w:rPr>
        <w:t>第三部分</w:t>
      </w:r>
      <w:r>
        <w:rPr>
          <w:color w:val="000000" w:themeColor="text1"/>
          <w:sz w:val="30"/>
          <w:szCs w:val="30"/>
          <w:highlight w:val="none"/>
          <w14:textFill>
            <w14:solidFill>
              <w14:schemeClr w14:val="tx1"/>
            </w14:solidFill>
          </w14:textFill>
        </w:rPr>
        <w:t xml:space="preserve"> </w:t>
      </w:r>
      <w:r>
        <w:rPr>
          <w:rFonts w:hint="eastAsia" w:hAnsi="宋体" w:cs="黑体"/>
          <w:color w:val="000000" w:themeColor="text1"/>
          <w:sz w:val="30"/>
          <w:szCs w:val="30"/>
          <w:highlight w:val="none"/>
          <w14:textFill>
            <w14:solidFill>
              <w14:schemeClr w14:val="tx1"/>
            </w14:solidFill>
          </w14:textFill>
        </w:rPr>
        <w:t>专用合同条款</w:t>
      </w:r>
      <w:bookmarkEnd w:id="270"/>
      <w:bookmarkEnd w:id="271"/>
      <w:bookmarkEnd w:id="272"/>
      <w:bookmarkEnd w:id="273"/>
      <w:bookmarkEnd w:id="274"/>
      <w:bookmarkEnd w:id="275"/>
      <w:bookmarkEnd w:id="276"/>
      <w:bookmarkEnd w:id="277"/>
      <w:bookmarkEnd w:id="278"/>
      <w:bookmarkEnd w:id="279"/>
    </w:p>
    <w:p w14:paraId="17A360AC">
      <w:pPr>
        <w:keepNext/>
        <w:keepLines/>
        <w:widowControl/>
        <w:spacing w:before="120" w:after="120" w:line="440" w:lineRule="exact"/>
        <w:ind w:firstLine="413" w:firstLineChars="196"/>
        <w:outlineLvl w:val="3"/>
        <w:rPr>
          <w:rFonts w:ascii="宋体" w:hAnsi="宋体" w:eastAsia="黑体"/>
          <w:b/>
          <w:color w:val="000000" w:themeColor="text1"/>
          <w:kern w:val="0"/>
          <w:sz w:val="28"/>
          <w:szCs w:val="21"/>
          <w:highlight w:val="none"/>
          <w14:textFill>
            <w14:solidFill>
              <w14:schemeClr w14:val="tx1"/>
            </w14:solidFill>
          </w14:textFill>
        </w:rPr>
      </w:pPr>
      <w:bookmarkStart w:id="280" w:name="_Toc351203633"/>
      <w:r>
        <w:rPr>
          <w:rFonts w:ascii="宋体" w:hAnsi="宋体"/>
          <w:b/>
          <w:color w:val="000000" w:themeColor="text1"/>
          <w:kern w:val="0"/>
          <w:szCs w:val="21"/>
          <w:highlight w:val="none"/>
          <w14:textFill>
            <w14:solidFill>
              <w14:schemeClr w14:val="tx1"/>
            </w14:solidFill>
          </w14:textFill>
        </w:rPr>
        <w:t>1</w:t>
      </w:r>
      <w:bookmarkStart w:id="281" w:name="_Toc292559361"/>
      <w:bookmarkStart w:id="282" w:name="_Toc296347155"/>
      <w:bookmarkStart w:id="283" w:name="_Toc296891196"/>
      <w:bookmarkStart w:id="284" w:name="_Toc296890984"/>
      <w:bookmarkStart w:id="285" w:name="_Toc297120456"/>
      <w:bookmarkStart w:id="286" w:name="_Toc296944495"/>
      <w:bookmarkStart w:id="287" w:name="_Toc296346657"/>
      <w:bookmarkStart w:id="288" w:name="_Toc292559866"/>
      <w:bookmarkStart w:id="289" w:name="_Toc296503156"/>
      <w:bookmarkStart w:id="290" w:name="_Toc297048342"/>
      <w:r>
        <w:rPr>
          <w:rFonts w:ascii="宋体" w:hAnsi="宋体"/>
          <w:b/>
          <w:color w:val="000000" w:themeColor="text1"/>
          <w:kern w:val="0"/>
          <w:szCs w:val="21"/>
          <w:highlight w:val="none"/>
          <w14:textFill>
            <w14:solidFill>
              <w14:schemeClr w14:val="tx1"/>
            </w14:solidFill>
          </w14:textFill>
        </w:rPr>
        <w:t>. 一般约定</w:t>
      </w:r>
      <w:bookmarkEnd w:id="280"/>
      <w:bookmarkEnd w:id="281"/>
      <w:bookmarkEnd w:id="282"/>
      <w:bookmarkEnd w:id="283"/>
      <w:bookmarkEnd w:id="284"/>
      <w:bookmarkEnd w:id="285"/>
      <w:bookmarkEnd w:id="286"/>
      <w:bookmarkEnd w:id="287"/>
      <w:bookmarkEnd w:id="288"/>
      <w:bookmarkEnd w:id="289"/>
      <w:bookmarkEnd w:id="290"/>
    </w:p>
    <w:p w14:paraId="428B73A1">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 词语定义</w:t>
      </w:r>
    </w:p>
    <w:p w14:paraId="739C0B4C">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1.1.1合同</w:t>
      </w:r>
    </w:p>
    <w:p w14:paraId="51C8EEF3">
      <w:pPr>
        <w:spacing w:line="44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其他合同文件包括：</w:t>
      </w:r>
      <w:r>
        <w:rPr>
          <w:rFonts w:hint="eastAsia" w:ascii="宋体" w:hAnsi="宋体"/>
          <w:color w:val="000000" w:themeColor="text1"/>
          <w:kern w:val="0"/>
          <w:szCs w:val="21"/>
          <w:highlight w:val="none"/>
          <w:u w:val="single"/>
          <w14:textFill>
            <w14:solidFill>
              <w14:schemeClr w14:val="tx1"/>
            </w14:solidFill>
          </w14:textFill>
        </w:rPr>
        <w:t>指合同书、成交通知书、竞标函及竞标函附录、专用合同条款、通用合同条款、规范、技术标准和要求、图纸、已标价工程量清单及工程量清单使用说明，以及双方共同确认的其他合同文件(包括但不限于在履行本合同过程中双方书面确认的会议纪要、签证、设计变更等资料)</w:t>
      </w:r>
      <w:r>
        <w:rPr>
          <w:rFonts w:ascii="宋体" w:hAnsi="宋体"/>
          <w:color w:val="000000" w:themeColor="text1"/>
          <w:szCs w:val="21"/>
          <w:highlight w:val="none"/>
          <w:u w:val="single"/>
          <w14:textFill>
            <w14:solidFill>
              <w14:schemeClr w14:val="tx1"/>
            </w14:solidFill>
          </w14:textFill>
        </w:rPr>
        <w:t>。</w:t>
      </w:r>
    </w:p>
    <w:p w14:paraId="1A6B3BE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 合同当事人及其他相关方</w:t>
      </w:r>
    </w:p>
    <w:p w14:paraId="117945D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监理人：</w:t>
      </w:r>
    </w:p>
    <w:p w14:paraId="673D752A">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w:t>
      </w:r>
    </w:p>
    <w:p w14:paraId="17512434">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资质类别和等级：</w:t>
      </w:r>
      <w:r>
        <w:rPr>
          <w:rFonts w:hint="eastAsia" w:ascii="宋体" w:hAnsi="宋体"/>
          <w:color w:val="000000" w:themeColor="text1"/>
          <w:szCs w:val="21"/>
          <w:highlight w:val="none"/>
          <w:lang w:eastAsia="zh-CN"/>
          <w14:textFill>
            <w14:solidFill>
              <w14:schemeClr w14:val="tx1"/>
            </w14:solidFill>
          </w14:textFill>
        </w:rPr>
        <w:t>；</w:t>
      </w:r>
    </w:p>
    <w:p w14:paraId="6C84331D">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648758AB">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22BCD86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p>
    <w:p w14:paraId="74FDDB3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设计人：</w:t>
      </w:r>
    </w:p>
    <w:p w14:paraId="2BFDDD94">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w:t>
      </w:r>
    </w:p>
    <w:p w14:paraId="2BDE60D7">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资质类别和等级：</w:t>
      </w:r>
      <w:r>
        <w:rPr>
          <w:rFonts w:hint="eastAsia" w:ascii="宋体" w:hAnsi="宋体"/>
          <w:color w:val="000000" w:themeColor="text1"/>
          <w:szCs w:val="21"/>
          <w:highlight w:val="none"/>
          <w:lang w:eastAsia="zh-CN"/>
          <w14:textFill>
            <w14:solidFill>
              <w14:schemeClr w14:val="tx1"/>
            </w14:solidFill>
          </w14:textFill>
        </w:rPr>
        <w:t>；</w:t>
      </w:r>
    </w:p>
    <w:p w14:paraId="25FA933D">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476CF3B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33B10AD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p>
    <w:p w14:paraId="559100F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 工程和设备</w:t>
      </w:r>
    </w:p>
    <w:p w14:paraId="01FA783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作为施工现场组成部分的其他场所包括：</w:t>
      </w:r>
      <w:r>
        <w:rPr>
          <w:rFonts w:hint="eastAsia"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45ABC66B">
      <w:pPr>
        <w:spacing w:line="400" w:lineRule="exact"/>
        <w:ind w:firstLine="424" w:firstLineChars="202"/>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1.1.3.9  永久占地包括：</w:t>
      </w:r>
      <w:r>
        <w:rPr>
          <w:rFonts w:hint="eastAsia" w:ascii="宋体" w:hAnsi="宋体"/>
          <w:color w:val="000000" w:themeColor="text1"/>
          <w:szCs w:val="21"/>
          <w:highlight w:val="none"/>
          <w:u w:val="single"/>
          <w14:textFill>
            <w14:solidFill>
              <w14:schemeClr w14:val="tx1"/>
            </w14:solidFill>
          </w14:textFill>
        </w:rPr>
        <w:t>实施工程需永久占用的土地</w:t>
      </w:r>
      <w:r>
        <w:rPr>
          <w:rFonts w:hint="eastAsia" w:ascii="宋体" w:hAnsi="宋体"/>
          <w:color w:val="000000" w:themeColor="text1"/>
          <w:kern w:val="0"/>
          <w:szCs w:val="21"/>
          <w:highlight w:val="none"/>
          <w14:textFill>
            <w14:solidFill>
              <w14:schemeClr w14:val="tx1"/>
            </w14:solidFill>
          </w14:textFill>
        </w:rPr>
        <w:t>。</w:t>
      </w:r>
    </w:p>
    <w:p w14:paraId="7F8B6D89">
      <w:pPr>
        <w:spacing w:line="400" w:lineRule="exact"/>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1.1.3.10 临时占地包括：</w:t>
      </w:r>
      <w:r>
        <w:rPr>
          <w:rFonts w:hint="eastAsia" w:ascii="宋体" w:hAnsi="宋体"/>
          <w:color w:val="000000" w:themeColor="text1"/>
          <w:szCs w:val="21"/>
          <w:highlight w:val="none"/>
          <w:u w:val="single"/>
          <w14:textFill>
            <w14:solidFill>
              <w14:schemeClr w14:val="tx1"/>
            </w14:solidFill>
          </w14:textFill>
        </w:rPr>
        <w:t>实施工程需要临时占用的土地</w:t>
      </w:r>
      <w:r>
        <w:rPr>
          <w:rFonts w:hint="eastAsia" w:ascii="宋体" w:hAnsi="宋体"/>
          <w:color w:val="000000" w:themeColor="text1"/>
          <w:kern w:val="0"/>
          <w:szCs w:val="21"/>
          <w:highlight w:val="none"/>
          <w14:textFill>
            <w14:solidFill>
              <w14:schemeClr w14:val="tx1"/>
            </w14:solidFill>
          </w14:textFill>
        </w:rPr>
        <w:t>。</w:t>
      </w:r>
    </w:p>
    <w:p w14:paraId="547B26E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1.3法律 </w:t>
      </w:r>
    </w:p>
    <w:p w14:paraId="34D94FCC">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适用于合同的其他规范性文件：</w:t>
      </w:r>
      <w:r>
        <w:rPr>
          <w:rFonts w:hint="eastAsia" w:ascii="宋体" w:hAnsi="宋体"/>
          <w:color w:val="000000" w:themeColor="text1"/>
          <w:szCs w:val="21"/>
          <w:highlight w:val="none"/>
          <w:u w:val="single"/>
          <w14:textFill>
            <w14:solidFill>
              <w14:schemeClr w14:val="tx1"/>
            </w14:solidFill>
          </w14:textFill>
        </w:rPr>
        <w:t>中华人民共和国现行的法律、行政法规及规章</w:t>
      </w:r>
      <w:r>
        <w:rPr>
          <w:rFonts w:hAnsi="宋体"/>
          <w:color w:val="000000" w:themeColor="text1"/>
          <w:szCs w:val="21"/>
          <w:highlight w:val="none"/>
          <w14:textFill>
            <w14:solidFill>
              <w14:schemeClr w14:val="tx1"/>
            </w14:solidFill>
          </w14:textFill>
        </w:rPr>
        <w:t>。</w:t>
      </w:r>
    </w:p>
    <w:p w14:paraId="2670C57D">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291" w:name="_Toc373478342"/>
      <w:bookmarkStart w:id="292" w:name="_Toc389065261"/>
      <w:bookmarkStart w:id="293" w:name="_Toc373227695"/>
      <w:bookmarkStart w:id="294" w:name="_Toc465114856"/>
      <w:r>
        <w:rPr>
          <w:rFonts w:ascii="宋体" w:hAnsi="宋体"/>
          <w:b/>
          <w:bCs/>
          <w:color w:val="000000" w:themeColor="text1"/>
          <w:kern w:val="0"/>
          <w:sz w:val="24"/>
          <w:szCs w:val="32"/>
          <w:highlight w:val="none"/>
          <w14:textFill>
            <w14:solidFill>
              <w14:schemeClr w14:val="tx1"/>
            </w14:solidFill>
          </w14:textFill>
        </w:rPr>
        <w:t>1.4 标准和规范</w:t>
      </w:r>
      <w:bookmarkEnd w:id="291"/>
      <w:bookmarkEnd w:id="292"/>
      <w:bookmarkEnd w:id="293"/>
      <w:bookmarkEnd w:id="294"/>
    </w:p>
    <w:p w14:paraId="4F620085">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1.4.1</w:t>
      </w:r>
      <w:r>
        <w:rPr>
          <w:rFonts w:hAnsi="宋体"/>
          <w:color w:val="000000" w:themeColor="text1"/>
          <w:szCs w:val="21"/>
          <w:highlight w:val="none"/>
          <w14:textFill>
            <w14:solidFill>
              <w14:schemeClr w14:val="tx1"/>
            </w14:solidFill>
          </w14:textFill>
        </w:rPr>
        <w:t>适用于工程的标准规范包括：</w:t>
      </w:r>
      <w:r>
        <w:rPr>
          <w:rFonts w:hint="eastAsia" w:ascii="宋体" w:hAnsi="宋体"/>
          <w:color w:val="000000" w:themeColor="text1"/>
          <w:szCs w:val="21"/>
          <w:highlight w:val="none"/>
          <w:u w:val="single"/>
          <w14:textFill>
            <w14:solidFill>
              <w14:schemeClr w14:val="tx1"/>
            </w14:solidFill>
          </w14:textFill>
        </w:rPr>
        <w:t>国家现行的行业标准及相关规范。</w:t>
      </w:r>
    </w:p>
    <w:p w14:paraId="5C9856DB">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1.4.2 </w:t>
      </w:r>
      <w:r>
        <w:rPr>
          <w:rFonts w:hAnsi="宋体"/>
          <w:color w:val="000000" w:themeColor="text1"/>
          <w:kern w:val="0"/>
          <w:szCs w:val="21"/>
          <w:highlight w:val="none"/>
          <w14:textFill>
            <w14:solidFill>
              <w14:schemeClr w14:val="tx1"/>
            </w14:solidFill>
          </w14:textFill>
        </w:rPr>
        <w:t>发包人提供国外标准、规范的名称：</w:t>
      </w:r>
      <w:r>
        <w:rPr>
          <w:rFonts w:hAnsi="宋体"/>
          <w:color w:val="000000" w:themeColor="text1"/>
          <w:szCs w:val="21"/>
          <w:highlight w:val="none"/>
          <w:u w:val="single"/>
          <w14:textFill>
            <w14:solidFill>
              <w14:schemeClr w14:val="tx1"/>
            </w14:solidFill>
          </w14:textFill>
        </w:rPr>
        <w:t>无。</w:t>
      </w:r>
    </w:p>
    <w:p w14:paraId="4A3CB6D8">
      <w:pPr>
        <w:spacing w:line="360" w:lineRule="auto"/>
        <w:ind w:firstLine="420" w:firstLineChars="200"/>
        <w:rPr>
          <w:rFonts w:hint="eastAsia" w:eastAsia="宋体"/>
          <w:color w:val="000000" w:themeColor="text1"/>
          <w:kern w:val="0"/>
          <w:szCs w:val="21"/>
          <w:highlight w:val="none"/>
          <w:lang w:eastAsia="zh-CN"/>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发包人提供国外标准、规范的份数：</w:t>
      </w:r>
      <w:r>
        <w:rPr>
          <w:color w:val="000000" w:themeColor="text1"/>
          <w:kern w:val="0"/>
          <w:szCs w:val="21"/>
          <w:highlight w:val="none"/>
          <w:u w:val="single"/>
          <w14:textFill>
            <w14:solidFill>
              <w14:schemeClr w14:val="tx1"/>
            </w14:solidFill>
          </w14:textFill>
        </w:rPr>
        <w:t xml:space="preserve">    无     </w:t>
      </w:r>
      <w:r>
        <w:rPr>
          <w:rFonts w:hint="eastAsia" w:hAnsi="宋体"/>
          <w:color w:val="000000" w:themeColor="text1"/>
          <w:kern w:val="0"/>
          <w:szCs w:val="21"/>
          <w:highlight w:val="none"/>
          <w:lang w:eastAsia="zh-CN"/>
          <w14:textFill>
            <w14:solidFill>
              <w14:schemeClr w14:val="tx1"/>
            </w14:solidFill>
          </w14:textFill>
        </w:rPr>
        <w:t>；</w:t>
      </w:r>
    </w:p>
    <w:p w14:paraId="7CB40707">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发包人提供国外标准、规范的名称：</w:t>
      </w:r>
      <w:r>
        <w:rPr>
          <w:color w:val="000000" w:themeColor="text1"/>
          <w:kern w:val="0"/>
          <w:szCs w:val="21"/>
          <w:highlight w:val="none"/>
          <w:u w:val="single"/>
          <w14:textFill>
            <w14:solidFill>
              <w14:schemeClr w14:val="tx1"/>
            </w14:solidFill>
          </w14:textFill>
        </w:rPr>
        <w:t xml:space="preserve">   无      </w:t>
      </w:r>
      <w:r>
        <w:rPr>
          <w:rFonts w:hAnsi="宋体"/>
          <w:color w:val="000000" w:themeColor="text1"/>
          <w:kern w:val="0"/>
          <w:szCs w:val="21"/>
          <w:highlight w:val="none"/>
          <w14:textFill>
            <w14:solidFill>
              <w14:schemeClr w14:val="tx1"/>
            </w14:solidFill>
          </w14:textFill>
        </w:rPr>
        <w:t>。</w:t>
      </w:r>
    </w:p>
    <w:p w14:paraId="54164497">
      <w:pPr>
        <w:spacing w:line="400" w:lineRule="exact"/>
        <w:ind w:left="479" w:left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1.4.3</w:t>
      </w:r>
      <w:r>
        <w:rPr>
          <w:rFonts w:hAnsi="宋体"/>
          <w:color w:val="000000" w:themeColor="text1"/>
          <w:szCs w:val="21"/>
          <w:highlight w:val="none"/>
          <w14:textFill>
            <w14:solidFill>
              <w14:schemeClr w14:val="tx1"/>
            </w14:solidFill>
          </w14:textFill>
        </w:rPr>
        <w:t>发包人对工程的技术标准和功能要求的特殊要求：</w:t>
      </w:r>
      <w:r>
        <w:rPr>
          <w:rFonts w:hint="eastAsia" w:ascii="宋体" w:hAnsi="宋体"/>
          <w:color w:val="000000" w:themeColor="text1"/>
          <w:szCs w:val="21"/>
          <w:highlight w:val="none"/>
          <w:u w:val="single"/>
          <w14:textFill>
            <w14:solidFill>
              <w14:schemeClr w14:val="tx1"/>
            </w14:solidFill>
          </w14:textFill>
        </w:rPr>
        <w:t>按中华人民共和国现行的标准、行业标准或地方标准执行</w:t>
      </w:r>
      <w:r>
        <w:rPr>
          <w:rFonts w:hint="eastAsia" w:ascii="宋体" w:hAnsi="宋体"/>
          <w:color w:val="000000" w:themeColor="text1"/>
          <w:szCs w:val="21"/>
          <w:highlight w:val="none"/>
          <w14:textFill>
            <w14:solidFill>
              <w14:schemeClr w14:val="tx1"/>
            </w14:solidFill>
          </w14:textFill>
        </w:rPr>
        <w:t>。</w:t>
      </w:r>
    </w:p>
    <w:p w14:paraId="5C3F8E8E">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295" w:name="_Toc389065262"/>
      <w:bookmarkStart w:id="296" w:name="_Toc373227696"/>
      <w:bookmarkStart w:id="297" w:name="_Toc465114857"/>
      <w:bookmarkStart w:id="298" w:name="_Toc373478343"/>
      <w:r>
        <w:rPr>
          <w:rFonts w:ascii="宋体" w:hAnsi="宋体"/>
          <w:b/>
          <w:bCs/>
          <w:color w:val="000000" w:themeColor="text1"/>
          <w:kern w:val="0"/>
          <w:sz w:val="24"/>
          <w:szCs w:val="32"/>
          <w:highlight w:val="none"/>
          <w14:textFill>
            <w14:solidFill>
              <w14:schemeClr w14:val="tx1"/>
            </w14:solidFill>
          </w14:textFill>
        </w:rPr>
        <w:t>1.5 合同文件的优先顺序</w:t>
      </w:r>
      <w:bookmarkEnd w:id="295"/>
      <w:bookmarkEnd w:id="296"/>
      <w:bookmarkEnd w:id="297"/>
      <w:bookmarkEnd w:id="298"/>
    </w:p>
    <w:p w14:paraId="08075AA1">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合同文件组成及优先顺序为：</w:t>
      </w:r>
    </w:p>
    <w:p w14:paraId="452FCE4A">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（1）合同协议书</w:t>
      </w:r>
      <w:r>
        <w:rPr>
          <w:rFonts w:hint="eastAsia" w:ascii="宋体" w:hAnsi="宋体"/>
          <w:color w:val="000000" w:themeColor="text1"/>
          <w:szCs w:val="21"/>
          <w:highlight w:val="none"/>
          <w:lang w:eastAsia="zh-CN"/>
          <w14:textFill>
            <w14:solidFill>
              <w14:schemeClr w14:val="tx1"/>
            </w14:solidFill>
          </w14:textFill>
        </w:rPr>
        <w:t>；</w:t>
      </w:r>
    </w:p>
    <w:p w14:paraId="1F3FCDB1">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（2）中标通知书</w:t>
      </w:r>
      <w:r>
        <w:rPr>
          <w:rFonts w:hint="eastAsia" w:ascii="宋体" w:hAnsi="宋体"/>
          <w:color w:val="000000" w:themeColor="text1"/>
          <w:szCs w:val="21"/>
          <w:highlight w:val="none"/>
          <w:lang w:eastAsia="zh-CN"/>
          <w14:textFill>
            <w14:solidFill>
              <w14:schemeClr w14:val="tx1"/>
            </w14:solidFill>
          </w14:textFill>
        </w:rPr>
        <w:t>；</w:t>
      </w:r>
    </w:p>
    <w:p w14:paraId="3CBD9D21">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（3）竞标函及其附录</w:t>
      </w:r>
      <w:r>
        <w:rPr>
          <w:rFonts w:hint="eastAsia" w:ascii="宋体" w:hAnsi="宋体"/>
          <w:color w:val="000000" w:themeColor="text1"/>
          <w:szCs w:val="21"/>
          <w:highlight w:val="none"/>
          <w:lang w:eastAsia="zh-CN"/>
          <w14:textFill>
            <w14:solidFill>
              <w14:schemeClr w14:val="tx1"/>
            </w14:solidFill>
          </w14:textFill>
        </w:rPr>
        <w:t>；</w:t>
      </w:r>
    </w:p>
    <w:p w14:paraId="4723417A">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（4）专用合同条款及其附件</w:t>
      </w:r>
      <w:r>
        <w:rPr>
          <w:rFonts w:hint="eastAsia" w:ascii="宋体" w:hAnsi="宋体"/>
          <w:color w:val="000000" w:themeColor="text1"/>
          <w:szCs w:val="21"/>
          <w:highlight w:val="none"/>
          <w:lang w:eastAsia="zh-CN"/>
          <w14:textFill>
            <w14:solidFill>
              <w14:schemeClr w14:val="tx1"/>
            </w14:solidFill>
          </w14:textFill>
        </w:rPr>
        <w:t>；</w:t>
      </w:r>
    </w:p>
    <w:p w14:paraId="685F8A48">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（5）通用合同条款</w:t>
      </w:r>
      <w:r>
        <w:rPr>
          <w:rFonts w:hint="eastAsia" w:ascii="宋体" w:hAnsi="宋体"/>
          <w:color w:val="000000" w:themeColor="text1"/>
          <w:szCs w:val="21"/>
          <w:highlight w:val="none"/>
          <w:lang w:eastAsia="zh-CN"/>
          <w14:textFill>
            <w14:solidFill>
              <w14:schemeClr w14:val="tx1"/>
            </w14:solidFill>
          </w14:textFill>
        </w:rPr>
        <w:t>；</w:t>
      </w:r>
    </w:p>
    <w:p w14:paraId="0163461D">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（6）技术标准和要求</w:t>
      </w:r>
      <w:r>
        <w:rPr>
          <w:rFonts w:hint="eastAsia" w:ascii="宋体" w:hAnsi="宋体"/>
          <w:color w:val="000000" w:themeColor="text1"/>
          <w:szCs w:val="21"/>
          <w:highlight w:val="none"/>
          <w:lang w:eastAsia="zh-CN"/>
          <w14:textFill>
            <w14:solidFill>
              <w14:schemeClr w14:val="tx1"/>
            </w14:solidFill>
          </w14:textFill>
        </w:rPr>
        <w:t>；</w:t>
      </w:r>
    </w:p>
    <w:p w14:paraId="462706A4">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（7）图纸</w:t>
      </w:r>
      <w:r>
        <w:rPr>
          <w:rFonts w:hint="eastAsia" w:ascii="宋体" w:hAnsi="宋体"/>
          <w:color w:val="000000" w:themeColor="text1"/>
          <w:szCs w:val="21"/>
          <w:highlight w:val="none"/>
          <w:lang w:eastAsia="zh-CN"/>
          <w14:textFill>
            <w14:solidFill>
              <w14:schemeClr w14:val="tx1"/>
            </w14:solidFill>
          </w14:textFill>
        </w:rPr>
        <w:t>；</w:t>
      </w:r>
    </w:p>
    <w:p w14:paraId="463F5B90">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（8）已标价工程量清单</w:t>
      </w:r>
      <w:r>
        <w:rPr>
          <w:rFonts w:hint="eastAsia" w:ascii="宋体" w:hAnsi="宋体"/>
          <w:color w:val="000000" w:themeColor="text1"/>
          <w:szCs w:val="21"/>
          <w:highlight w:val="none"/>
          <w:lang w:eastAsia="zh-CN"/>
          <w14:textFill>
            <w14:solidFill>
              <w14:schemeClr w14:val="tx1"/>
            </w14:solidFill>
          </w14:textFill>
        </w:rPr>
        <w:t>；</w:t>
      </w:r>
    </w:p>
    <w:p w14:paraId="707A46AE">
      <w:pPr>
        <w:autoSpaceDE w:val="0"/>
        <w:autoSpaceDN w:val="0"/>
        <w:adjustRightIn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color w:val="000000" w:themeColor="text1"/>
          <w:highlight w:val="none"/>
          <w14:textFill>
            <w14:solidFill>
              <w14:schemeClr w14:val="tx1"/>
            </w14:solidFill>
          </w14:textFill>
        </w:rPr>
        <w:t>竞争性磋商文件及响应文件</w:t>
      </w:r>
      <w:r>
        <w:rPr>
          <w:rFonts w:hint="eastAsia" w:ascii="宋体" w:hAnsi="宋体"/>
          <w:color w:val="000000" w:themeColor="text1"/>
          <w:szCs w:val="21"/>
          <w:highlight w:val="none"/>
          <w:lang w:eastAsia="zh-CN"/>
          <w14:textFill>
            <w14:solidFill>
              <w14:schemeClr w14:val="tx1"/>
            </w14:solidFill>
          </w14:textFill>
        </w:rPr>
        <w:t>；</w:t>
      </w:r>
    </w:p>
    <w:p w14:paraId="4F573C02">
      <w:pPr>
        <w:spacing w:line="360" w:lineRule="auto"/>
        <w:ind w:firstLine="420" w:firstLineChars="200"/>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（10）《</w:t>
      </w:r>
      <w:r>
        <w:rPr>
          <w:rFonts w:hAnsi="宋体"/>
          <w:color w:val="000000" w:themeColor="text1"/>
          <w:kern w:val="0"/>
          <w:szCs w:val="21"/>
          <w:highlight w:val="none"/>
          <w14:textFill>
            <w14:solidFill>
              <w14:schemeClr w14:val="tx1"/>
            </w14:solidFill>
          </w14:textFill>
        </w:rPr>
        <w:t>建设工程工程量清单计价规范（GB5050-2013）</w:t>
      </w:r>
      <w:r>
        <w:rPr>
          <w:rFonts w:hint="eastAsia" w:hAnsi="宋体"/>
          <w:color w:val="000000" w:themeColor="text1"/>
          <w:kern w:val="0"/>
          <w:szCs w:val="21"/>
          <w:highlight w:val="none"/>
          <w14:textFill>
            <w14:solidFill>
              <w14:schemeClr w14:val="tx1"/>
            </w14:solidFill>
          </w14:textFill>
        </w:rPr>
        <w:t>》及其</w:t>
      </w:r>
      <w:r>
        <w:rPr>
          <w:rFonts w:hAnsi="宋体"/>
          <w:color w:val="000000" w:themeColor="text1"/>
          <w:kern w:val="0"/>
          <w:szCs w:val="21"/>
          <w:highlight w:val="none"/>
          <w14:textFill>
            <w14:solidFill>
              <w14:schemeClr w14:val="tx1"/>
            </w14:solidFill>
          </w14:textFill>
        </w:rPr>
        <w:t>广西实施细则</w:t>
      </w:r>
      <w:r>
        <w:rPr>
          <w:rFonts w:hint="eastAsia" w:hAnsi="宋体"/>
          <w:color w:val="000000" w:themeColor="text1"/>
          <w:kern w:val="0"/>
          <w:szCs w:val="21"/>
          <w:highlight w:val="none"/>
          <w14:textFill>
            <w14:solidFill>
              <w14:schemeClr w14:val="tx1"/>
            </w14:solidFill>
          </w14:textFill>
        </w:rPr>
        <w:t>及《关于建筑业实施营业税改征增值税后广西壮族自治区建设工程计价依据调整的通知》（桂建标〔2016〕17号）、《</w:t>
      </w:r>
      <w:r>
        <w:rPr>
          <w:rFonts w:hAnsi="宋体"/>
          <w:color w:val="000000" w:themeColor="text1"/>
          <w:kern w:val="0"/>
          <w:szCs w:val="21"/>
          <w:highlight w:val="none"/>
          <w14:textFill>
            <w14:solidFill>
              <w14:schemeClr w14:val="tx1"/>
            </w14:solidFill>
          </w14:textFill>
        </w:rPr>
        <w:t>建设工程工程量清单计</w:t>
      </w:r>
      <w:r>
        <w:rPr>
          <w:rFonts w:hint="eastAsia" w:hAnsi="宋体"/>
          <w:color w:val="000000" w:themeColor="text1"/>
          <w:kern w:val="0"/>
          <w:szCs w:val="21"/>
          <w:highlight w:val="none"/>
          <w14:textFill>
            <w14:solidFill>
              <w14:schemeClr w14:val="tx1"/>
            </w14:solidFill>
          </w14:textFill>
        </w:rPr>
        <w:t>算</w:t>
      </w:r>
      <w:r>
        <w:rPr>
          <w:rFonts w:hAnsi="宋体"/>
          <w:color w:val="000000" w:themeColor="text1"/>
          <w:kern w:val="0"/>
          <w:szCs w:val="21"/>
          <w:highlight w:val="none"/>
          <w14:textFill>
            <w14:solidFill>
              <w14:schemeClr w14:val="tx1"/>
            </w14:solidFill>
          </w14:textFill>
        </w:rPr>
        <w:t>规范（GB5</w:t>
      </w:r>
      <w:r>
        <w:rPr>
          <w:rFonts w:hint="eastAsia" w:hAnsi="宋体"/>
          <w:color w:val="000000" w:themeColor="text1"/>
          <w:kern w:val="0"/>
          <w:szCs w:val="21"/>
          <w:highlight w:val="none"/>
          <w14:textFill>
            <w14:solidFill>
              <w14:schemeClr w14:val="tx1"/>
            </w14:solidFill>
          </w14:textFill>
        </w:rPr>
        <w:t>854~50862</w:t>
      </w:r>
      <w:r>
        <w:rPr>
          <w:rFonts w:hAnsi="宋体"/>
          <w:color w:val="000000" w:themeColor="text1"/>
          <w:kern w:val="0"/>
          <w:szCs w:val="21"/>
          <w:highlight w:val="none"/>
          <w14:textFill>
            <w14:solidFill>
              <w14:schemeClr w14:val="tx1"/>
            </w14:solidFill>
          </w14:textFill>
        </w:rPr>
        <w:t>-2013）</w:t>
      </w:r>
      <w:r>
        <w:rPr>
          <w:rFonts w:hint="eastAsia" w:hAnsi="宋体"/>
          <w:color w:val="000000" w:themeColor="text1"/>
          <w:kern w:val="0"/>
          <w:szCs w:val="21"/>
          <w:highlight w:val="none"/>
          <w14:textFill>
            <w14:solidFill>
              <w14:schemeClr w14:val="tx1"/>
            </w14:solidFill>
          </w14:textFill>
        </w:rPr>
        <w:t>》及其</w:t>
      </w:r>
      <w:r>
        <w:rPr>
          <w:rFonts w:hAnsi="宋体"/>
          <w:color w:val="000000" w:themeColor="text1"/>
          <w:kern w:val="0"/>
          <w:szCs w:val="21"/>
          <w:highlight w:val="none"/>
          <w14:textFill>
            <w14:solidFill>
              <w14:schemeClr w14:val="tx1"/>
            </w14:solidFill>
          </w14:textFill>
        </w:rPr>
        <w:t>广西实施细则</w:t>
      </w:r>
      <w:r>
        <w:rPr>
          <w:rFonts w:hint="eastAsia" w:hAnsi="宋体"/>
          <w:color w:val="000000" w:themeColor="text1"/>
          <w:kern w:val="0"/>
          <w:szCs w:val="21"/>
          <w:highlight w:val="none"/>
          <w14:textFill>
            <w14:solidFill>
              <w14:schemeClr w14:val="tx1"/>
            </w14:solidFill>
          </w14:textFill>
        </w:rPr>
        <w:t>（修订本）</w:t>
      </w:r>
      <w:r>
        <w:rPr>
          <w:rFonts w:hAnsi="宋体"/>
          <w:color w:val="000000" w:themeColor="text1"/>
          <w:kern w:val="0"/>
          <w:szCs w:val="21"/>
          <w:highlight w:val="none"/>
          <w14:textFill>
            <w14:solidFill>
              <w14:schemeClr w14:val="tx1"/>
            </w14:solidFill>
          </w14:textFill>
        </w:rPr>
        <w:t>。</w:t>
      </w:r>
    </w:p>
    <w:p w14:paraId="29FED881">
      <w:pPr>
        <w:spacing w:line="400" w:lineRule="exact"/>
        <w:ind w:firstLine="447" w:firstLineChars="213"/>
        <w:rPr>
          <w:rFonts w:ascii="宋体" w:hAnsi="宋体"/>
          <w:color w:val="000000" w:themeColor="text1"/>
          <w:szCs w:val="21"/>
          <w:highlight w:val="none"/>
          <w14:textFill>
            <w14:solidFill>
              <w14:schemeClr w14:val="tx1"/>
            </w14:solidFill>
          </w14:textFill>
        </w:rPr>
      </w:pPr>
      <w:bookmarkStart w:id="299" w:name="_Toc373227697"/>
      <w:bookmarkStart w:id="300" w:name="_Toc465114858"/>
      <w:bookmarkStart w:id="301" w:name="_Toc389065263"/>
      <w:bookmarkStart w:id="302" w:name="_Toc373478344"/>
      <w:r>
        <w:rPr>
          <w:rFonts w:hint="eastAsia" w:ascii="宋体" w:hAnsi="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F7AA7C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在合同订立及履行过程中形成的与合同有关的文件均构成合同文件组成部分，并根据其性质确定优先解释顺序。</w:t>
      </w:r>
    </w:p>
    <w:p w14:paraId="7F2F1D7D">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r>
        <w:rPr>
          <w:rFonts w:ascii="宋体" w:hAnsi="宋体"/>
          <w:b/>
          <w:bCs/>
          <w:color w:val="000000" w:themeColor="text1"/>
          <w:kern w:val="0"/>
          <w:sz w:val="24"/>
          <w:szCs w:val="32"/>
          <w:highlight w:val="none"/>
          <w14:textFill>
            <w14:solidFill>
              <w14:schemeClr w14:val="tx1"/>
            </w14:solidFill>
          </w14:textFill>
        </w:rPr>
        <w:t>1.6 图纸和承包人文件</w:t>
      </w:r>
      <w:bookmarkEnd w:id="299"/>
      <w:bookmarkEnd w:id="300"/>
      <w:bookmarkEnd w:id="301"/>
      <w:bookmarkEnd w:id="302"/>
      <w:r>
        <w:rPr>
          <w:rFonts w:ascii="宋体" w:hAnsi="宋体"/>
          <w:b/>
          <w:bCs/>
          <w:color w:val="000000" w:themeColor="text1"/>
          <w:kern w:val="0"/>
          <w:sz w:val="24"/>
          <w:szCs w:val="32"/>
          <w:highlight w:val="none"/>
          <w14:textFill>
            <w14:solidFill>
              <w14:schemeClr w14:val="tx1"/>
            </w14:solidFill>
          </w14:textFill>
        </w:rPr>
        <w:tab/>
      </w:r>
    </w:p>
    <w:p w14:paraId="75E754F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1.6.1 </w:t>
      </w:r>
      <w:r>
        <w:rPr>
          <w:rFonts w:hAnsi="宋体"/>
          <w:color w:val="000000" w:themeColor="text1"/>
          <w:szCs w:val="21"/>
          <w:highlight w:val="none"/>
          <w14:textFill>
            <w14:solidFill>
              <w14:schemeClr w14:val="tx1"/>
            </w14:solidFill>
          </w14:textFill>
        </w:rPr>
        <w:t>图纸的提供</w:t>
      </w:r>
    </w:p>
    <w:p w14:paraId="45E52AE1">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发包人向承包人提供图纸的期限：</w:t>
      </w:r>
      <w:r>
        <w:rPr>
          <w:rFonts w:hAnsi="宋体"/>
          <w:color w:val="000000" w:themeColor="text1"/>
          <w:szCs w:val="21"/>
          <w:highlight w:val="none"/>
          <w:u w:val="single"/>
          <w14:textFill>
            <w14:solidFill>
              <w14:schemeClr w14:val="tx1"/>
            </w14:solidFill>
          </w14:textFill>
        </w:rPr>
        <w:t>签订合同后</w:t>
      </w:r>
      <w:r>
        <w:rPr>
          <w:rFonts w:hint="eastAsia" w:hAnsi="宋体"/>
          <w:color w:val="000000" w:themeColor="text1"/>
          <w:szCs w:val="21"/>
          <w:highlight w:val="none"/>
          <w:u w:val="single"/>
          <w14:textFill>
            <w14:solidFill>
              <w14:schemeClr w14:val="tx1"/>
            </w14:solidFill>
          </w14:textFill>
        </w:rPr>
        <w:t>5</w:t>
      </w:r>
      <w:r>
        <w:rPr>
          <w:rFonts w:hAnsi="宋体"/>
          <w:color w:val="000000" w:themeColor="text1"/>
          <w:szCs w:val="21"/>
          <w:highlight w:val="none"/>
          <w:u w:val="single"/>
          <w14:textFill>
            <w14:solidFill>
              <w14:schemeClr w14:val="tx1"/>
            </w14:solidFill>
          </w14:textFill>
        </w:rPr>
        <w:t>天内。</w:t>
      </w:r>
    </w:p>
    <w:p w14:paraId="112DC3D1">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发包人向承包人提供图纸的数量：</w:t>
      </w:r>
      <w:r>
        <w:rPr>
          <w:rFonts w:hint="eastAsia" w:ascii="宋体" w:hAnsi="宋体"/>
          <w:color w:val="000000" w:themeColor="text1"/>
          <w:szCs w:val="21"/>
          <w:highlight w:val="none"/>
          <w:u w:val="single"/>
          <w14:textFill>
            <w14:solidFill>
              <w14:schemeClr w14:val="tx1"/>
            </w14:solidFill>
          </w14:textFill>
        </w:rPr>
        <w:t>壹套施工图纸（承包人需要更多份数时，应自费复制）</w:t>
      </w:r>
      <w:r>
        <w:rPr>
          <w:rFonts w:hint="eastAsia" w:hAnsi="宋体"/>
          <w:color w:val="000000" w:themeColor="text1"/>
          <w:szCs w:val="21"/>
          <w:highlight w:val="none"/>
          <w:u w:val="single"/>
          <w:lang w:eastAsia="zh-CN"/>
          <w14:textFill>
            <w14:solidFill>
              <w14:schemeClr w14:val="tx1"/>
            </w14:solidFill>
          </w14:textFill>
        </w:rPr>
        <w:t>；</w:t>
      </w:r>
    </w:p>
    <w:p w14:paraId="6B77AE43">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发包人向承包人提供图纸的内容：</w:t>
      </w:r>
      <w:r>
        <w:rPr>
          <w:rFonts w:hint="eastAsia" w:ascii="宋体" w:hAnsi="宋体"/>
          <w:color w:val="000000" w:themeColor="text1"/>
          <w:szCs w:val="21"/>
          <w:highlight w:val="none"/>
          <w:u w:val="single"/>
          <w14:textFill>
            <w14:solidFill>
              <w14:schemeClr w14:val="tx1"/>
            </w14:solidFill>
          </w14:textFill>
        </w:rPr>
        <w:t>详见施工图纸(全套)</w:t>
      </w:r>
      <w:r>
        <w:rPr>
          <w:rFonts w:hAnsi="宋体"/>
          <w:color w:val="000000" w:themeColor="text1"/>
          <w:szCs w:val="21"/>
          <w:highlight w:val="none"/>
          <w14:textFill>
            <w14:solidFill>
              <w14:schemeClr w14:val="tx1"/>
            </w14:solidFill>
          </w14:textFill>
        </w:rPr>
        <w:t>。</w:t>
      </w:r>
    </w:p>
    <w:p w14:paraId="181B4DC2">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1.6.4 </w:t>
      </w:r>
      <w:r>
        <w:rPr>
          <w:rFonts w:hAnsi="宋体"/>
          <w:color w:val="000000" w:themeColor="text1"/>
          <w:szCs w:val="21"/>
          <w:highlight w:val="none"/>
          <w14:textFill>
            <w14:solidFill>
              <w14:schemeClr w14:val="tx1"/>
            </w14:solidFill>
          </w14:textFill>
        </w:rPr>
        <w:t>承包人文件</w:t>
      </w:r>
    </w:p>
    <w:p w14:paraId="0501B724">
      <w:pPr>
        <w:spacing w:line="360" w:lineRule="auto"/>
        <w:ind w:firstLine="420" w:firstLineChars="200"/>
        <w:jc w:val="left"/>
        <w:rPr>
          <w:rFonts w:hint="eastAsia" w:eastAsia="宋体"/>
          <w:color w:val="000000" w:themeColor="text1"/>
          <w:szCs w:val="21"/>
          <w:highlight w:val="none"/>
          <w:u w:val="singl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需要由承包人提供的文件，包括：</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lang w:eastAsia="zh-CN"/>
          <w14:textFill>
            <w14:solidFill>
              <w14:schemeClr w14:val="tx1"/>
            </w14:solidFill>
          </w14:textFill>
        </w:rPr>
        <w:t>；</w:t>
      </w:r>
    </w:p>
    <w:p w14:paraId="263D4EC5">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承包人提供的文件的期限为：</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lang w:eastAsia="zh-CN"/>
          <w14:textFill>
            <w14:solidFill>
              <w14:schemeClr w14:val="tx1"/>
            </w14:solidFill>
          </w14:textFill>
        </w:rPr>
        <w:t>；</w:t>
      </w:r>
    </w:p>
    <w:p w14:paraId="72CCA751">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承包人提供的文件的数量为：</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lang w:eastAsia="zh-CN"/>
          <w14:textFill>
            <w14:solidFill>
              <w14:schemeClr w14:val="tx1"/>
            </w14:solidFill>
          </w14:textFill>
        </w:rPr>
        <w:t>；</w:t>
      </w:r>
    </w:p>
    <w:p w14:paraId="6665DB9F">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承包人提供的文件的形式为：</w:t>
      </w:r>
      <w:r>
        <w:rPr>
          <w:rFonts w:hint="eastAsia" w:hAnsi="宋体"/>
          <w:color w:val="000000" w:themeColor="text1"/>
          <w:szCs w:val="21"/>
          <w:highlight w:val="none"/>
          <w:u w:val="single"/>
          <w14:textFill>
            <w14:solidFill>
              <w14:schemeClr w14:val="tx1"/>
            </w14:solidFill>
          </w14:textFill>
        </w:rPr>
        <w:t>书面文件</w:t>
      </w:r>
      <w:r>
        <w:rPr>
          <w:rFonts w:hint="eastAsia" w:hAnsi="宋体"/>
          <w:color w:val="000000" w:themeColor="text1"/>
          <w:szCs w:val="21"/>
          <w:highlight w:val="none"/>
          <w:lang w:eastAsia="zh-CN"/>
          <w14:textFill>
            <w14:solidFill>
              <w14:schemeClr w14:val="tx1"/>
            </w14:solidFill>
          </w14:textFill>
        </w:rPr>
        <w:t>；</w:t>
      </w:r>
    </w:p>
    <w:p w14:paraId="40D0B6A8">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发包人审批承包人文件的期限：</w:t>
      </w:r>
      <w:r>
        <w:rPr>
          <w:rFonts w:hint="eastAsia" w:hAnsi="宋体"/>
          <w:color w:val="000000" w:themeColor="text1"/>
          <w:szCs w:val="21"/>
          <w:highlight w:val="none"/>
          <w:u w:val="single"/>
          <w14:textFill>
            <w14:solidFill>
              <w14:schemeClr w14:val="tx1"/>
            </w14:solidFill>
          </w14:textFill>
        </w:rPr>
        <w:t xml:space="preserve"> 10个工作日</w:t>
      </w:r>
      <w:r>
        <w:rPr>
          <w:rFonts w:hAnsi="宋体"/>
          <w:color w:val="000000" w:themeColor="text1"/>
          <w:szCs w:val="21"/>
          <w:highlight w:val="none"/>
          <w14:textFill>
            <w14:solidFill>
              <w14:schemeClr w14:val="tx1"/>
            </w14:solidFill>
          </w14:textFill>
        </w:rPr>
        <w:t>。</w:t>
      </w:r>
    </w:p>
    <w:p w14:paraId="5280BAA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1.6.5 </w:t>
      </w:r>
      <w:r>
        <w:rPr>
          <w:rFonts w:hAnsi="宋体"/>
          <w:color w:val="000000" w:themeColor="text1"/>
          <w:szCs w:val="21"/>
          <w:highlight w:val="none"/>
          <w14:textFill>
            <w14:solidFill>
              <w14:schemeClr w14:val="tx1"/>
            </w14:solidFill>
          </w14:textFill>
        </w:rPr>
        <w:t>现场图纸准备</w:t>
      </w:r>
    </w:p>
    <w:p w14:paraId="53278723">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关于现场图纸准备的约定：</w:t>
      </w:r>
      <w:r>
        <w:rPr>
          <w:rFonts w:hint="eastAsia" w:ascii="宋体" w:hAnsi="宋体"/>
          <w:color w:val="000000" w:themeColor="text1"/>
          <w:szCs w:val="21"/>
          <w:highlight w:val="none"/>
          <w:u w:val="single"/>
          <w14:textFill>
            <w14:solidFill>
              <w14:schemeClr w14:val="tx1"/>
            </w14:solidFill>
          </w14:textFill>
        </w:rPr>
        <w:t>按《通用合同条款》执行</w:t>
      </w:r>
      <w:r>
        <w:rPr>
          <w:rFonts w:hAnsi="宋体"/>
          <w:color w:val="000000" w:themeColor="text1"/>
          <w:szCs w:val="21"/>
          <w:highlight w:val="none"/>
          <w14:textFill>
            <w14:solidFill>
              <w14:schemeClr w14:val="tx1"/>
            </w14:solidFill>
          </w14:textFill>
        </w:rPr>
        <w:t>。</w:t>
      </w:r>
    </w:p>
    <w:p w14:paraId="195841D0">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 联络</w:t>
      </w:r>
    </w:p>
    <w:p w14:paraId="6C4842C9">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1.7.1发包人和承包人应当在</w:t>
      </w:r>
      <w:r>
        <w:rPr>
          <w:rFonts w:hint="eastAsia" w:ascii="宋体" w:hAnsi="宋体" w:cs="宋体"/>
          <w:color w:val="000000" w:themeColor="text1"/>
          <w:szCs w:val="21"/>
          <w:highlight w:val="none"/>
          <w:u w:val="singl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Cs w:val="21"/>
          <w:highlight w:val="none"/>
          <w14:textFill>
            <w14:solidFill>
              <w14:schemeClr w14:val="tx1"/>
            </w14:solidFill>
          </w14:textFill>
        </w:rPr>
        <w:t>。</w:t>
      </w:r>
    </w:p>
    <w:p w14:paraId="6E1E6C62">
      <w:pPr>
        <w:spacing w:line="44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发包人接收文件的地点：</w:t>
      </w:r>
      <w:r>
        <w:rPr>
          <w:rFonts w:hint="eastAsia" w:hAnsi="宋体"/>
          <w:color w:val="000000" w:themeColor="text1"/>
          <w:szCs w:val="21"/>
          <w:highlight w:val="none"/>
          <w:u w:val="single"/>
          <w14:textFill>
            <w14:solidFill>
              <w14:schemeClr w14:val="tx1"/>
            </w14:solidFill>
          </w14:textFill>
        </w:rPr>
        <w:t>工程项目部</w:t>
      </w:r>
      <w:r>
        <w:rPr>
          <w:rFonts w:hint="eastAsia" w:ascii="宋体" w:hAnsi="宋体"/>
          <w:color w:val="000000" w:themeColor="text1"/>
          <w:kern w:val="0"/>
          <w:szCs w:val="21"/>
          <w:highlight w:val="none"/>
          <w:lang w:eastAsia="zh-CN"/>
          <w14:textFill>
            <w14:solidFill>
              <w14:schemeClr w14:val="tx1"/>
            </w14:solidFill>
          </w14:textFill>
        </w:rPr>
        <w:t>；</w:t>
      </w:r>
    </w:p>
    <w:p w14:paraId="45CC4230">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发包人指定的接收人为：。</w:t>
      </w:r>
    </w:p>
    <w:p w14:paraId="640F888D">
      <w:pPr>
        <w:spacing w:line="44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承包人接收文件的地点：</w:t>
      </w:r>
      <w:r>
        <w:rPr>
          <w:rFonts w:hint="eastAsia" w:hAnsi="宋体"/>
          <w:color w:val="000000" w:themeColor="text1"/>
          <w:szCs w:val="21"/>
          <w:highlight w:val="none"/>
          <w:u w:val="single"/>
          <w14:textFill>
            <w14:solidFill>
              <w14:schemeClr w14:val="tx1"/>
            </w14:solidFill>
          </w14:textFill>
        </w:rPr>
        <w:t>工程项目部</w:t>
      </w:r>
      <w:r>
        <w:rPr>
          <w:rFonts w:hint="eastAsia" w:ascii="宋体" w:hAnsi="宋体"/>
          <w:color w:val="000000" w:themeColor="text1"/>
          <w:kern w:val="0"/>
          <w:szCs w:val="21"/>
          <w:highlight w:val="none"/>
          <w:lang w:eastAsia="zh-CN"/>
          <w14:textFill>
            <w14:solidFill>
              <w14:schemeClr w14:val="tx1"/>
            </w14:solidFill>
          </w14:textFill>
        </w:rPr>
        <w:t>；</w:t>
      </w:r>
    </w:p>
    <w:p w14:paraId="01913A4E">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承包人指定的接收人为：。</w:t>
      </w:r>
    </w:p>
    <w:p w14:paraId="5D6ABE11">
      <w:pPr>
        <w:spacing w:line="44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监理人接收文件的地点：</w:t>
      </w:r>
      <w:r>
        <w:rPr>
          <w:rFonts w:hint="eastAsia" w:hAnsi="宋体"/>
          <w:color w:val="000000" w:themeColor="text1"/>
          <w:szCs w:val="21"/>
          <w:highlight w:val="none"/>
          <w:u w:val="single"/>
          <w14:textFill>
            <w14:solidFill>
              <w14:schemeClr w14:val="tx1"/>
            </w14:solidFill>
          </w14:textFill>
        </w:rPr>
        <w:t>工程项目部</w:t>
      </w:r>
      <w:r>
        <w:rPr>
          <w:rFonts w:hint="eastAsia" w:ascii="宋体" w:hAnsi="宋体"/>
          <w:color w:val="000000" w:themeColor="text1"/>
          <w:kern w:val="0"/>
          <w:szCs w:val="21"/>
          <w:highlight w:val="none"/>
          <w:lang w:eastAsia="zh-CN"/>
          <w14:textFill>
            <w14:solidFill>
              <w14:schemeClr w14:val="tx1"/>
            </w14:solidFill>
          </w14:textFill>
        </w:rPr>
        <w:t>；</w:t>
      </w:r>
    </w:p>
    <w:p w14:paraId="7AE68D6C">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监理人指定的接收人为：。</w:t>
      </w:r>
    </w:p>
    <w:p w14:paraId="32D593E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 交通运输</w:t>
      </w:r>
    </w:p>
    <w:p w14:paraId="41F1B2E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303" w:name="_Toc300934943"/>
      <w:bookmarkStart w:id="304" w:name="_Toc318581155"/>
      <w:bookmarkStart w:id="305" w:name="_Toc304295521"/>
      <w:bookmarkStart w:id="306" w:name="_Toc312677986"/>
      <w:bookmarkStart w:id="307" w:name="_Toc303539100"/>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.1 出入现场的权利</w:t>
      </w:r>
    </w:p>
    <w:p w14:paraId="1AC49A5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关于出入现场的权利的约定：</w:t>
      </w:r>
      <w:r>
        <w:rPr>
          <w:rFonts w:hint="eastAsia" w:ascii="宋体" w:hAnsi="宋体"/>
          <w:bCs/>
          <w:color w:val="000000" w:themeColor="text1"/>
          <w:szCs w:val="21"/>
          <w:highlight w:val="none"/>
          <w:u w:val="single"/>
          <w14:textFill>
            <w14:solidFill>
              <w14:schemeClr w14:val="tx1"/>
            </w14:solidFill>
          </w14:textFill>
        </w:rPr>
        <w:t>发包人应根据施工需要，负责取得出入施工现场所需的批准手续和全部权利，以及取得因施工所需修建道路及其他基础设施的权利，并承担相关手续费用和建设费用。承包人应协助发包人办理修建场内外道路及其他基础设施的手续。</w:t>
      </w:r>
    </w:p>
    <w:bookmarkEnd w:id="303"/>
    <w:bookmarkEnd w:id="304"/>
    <w:bookmarkEnd w:id="305"/>
    <w:bookmarkEnd w:id="306"/>
    <w:bookmarkEnd w:id="307"/>
    <w:p w14:paraId="7B3BE00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308" w:name="_Toc312677987"/>
      <w:bookmarkStart w:id="309" w:name="_Toc304295522"/>
      <w:bookmarkStart w:id="310" w:name="_Toc300934944"/>
      <w:bookmarkStart w:id="311" w:name="_Toc303539101"/>
      <w:bookmarkStart w:id="312" w:name="_Toc318581156"/>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场内交通</w:t>
      </w:r>
    </w:p>
    <w:p w14:paraId="6C500471">
      <w:pPr>
        <w:spacing w:line="400" w:lineRule="exact"/>
        <w:ind w:firstLine="424" w:firstLineChars="202"/>
        <w:jc w:val="left"/>
        <w:rPr>
          <w:rFonts w:ascii="宋体" w:hAnsi="宋体"/>
          <w:bCs/>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关于场外交通和场内交通的边界的约定：</w:t>
      </w:r>
      <w:r>
        <w:rPr>
          <w:rFonts w:hint="eastAsia" w:ascii="宋体" w:hAnsi="宋体"/>
          <w:bCs/>
          <w:color w:val="000000" w:themeColor="text1"/>
          <w:szCs w:val="21"/>
          <w:highlight w:val="none"/>
          <w:u w:val="single"/>
          <w14:textFill>
            <w14:solidFill>
              <w14:schemeClr w14:val="tx1"/>
            </w14:solidFill>
          </w14:textFill>
        </w:rPr>
        <w:t>建筑征地红线范围内的为场内交通，建筑征地红线范围外的为场外交通。</w:t>
      </w:r>
    </w:p>
    <w:p w14:paraId="2EB52F0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bookmarkEnd w:id="308"/>
      <w:bookmarkEnd w:id="309"/>
      <w:bookmarkEnd w:id="310"/>
      <w:bookmarkEnd w:id="311"/>
      <w:bookmarkEnd w:id="312"/>
      <w:bookmarkStart w:id="313" w:name="_Toc318581157"/>
    </w:p>
    <w:p w14:paraId="213F4AC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超大件和超重件的运输</w:t>
      </w:r>
    </w:p>
    <w:p w14:paraId="02B62D9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运输超大件或超重件所需的道路和桥梁临时加固改造费用和其他有关费用由承担。</w:t>
      </w:r>
    </w:p>
    <w:bookmarkEnd w:id="313"/>
    <w:p w14:paraId="60008302">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 xml:space="preserve"> 知识产权</w:t>
      </w:r>
    </w:p>
    <w:p w14:paraId="762EB34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50FFEE1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关于发包人提供的上述文件的使用限制的要求：。</w:t>
      </w:r>
    </w:p>
    <w:p w14:paraId="5D88F94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.2 关于承包人为实施工程所编制文件的著作权的归属：</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3B2D179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关于承包人提供的上述文件的使用限制的要求：</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0BEFB7EF">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.4 承包人在施工过程中所采用的专利、专有技术、技术秘密的使用费的承担方式：</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kern w:val="0"/>
          <w:szCs w:val="21"/>
          <w:highlight w:val="none"/>
          <w14:textFill>
            <w14:solidFill>
              <w14:schemeClr w14:val="tx1"/>
            </w14:solidFill>
          </w14:textFill>
        </w:rPr>
        <w:t>。</w:t>
      </w:r>
    </w:p>
    <w:p w14:paraId="63C3F20B">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0</w:t>
      </w:r>
      <w:r>
        <w:rPr>
          <w:rFonts w:ascii="宋体" w:hAnsi="宋体"/>
          <w:color w:val="000000" w:themeColor="text1"/>
          <w:szCs w:val="21"/>
          <w:highlight w:val="none"/>
          <w14:textFill>
            <w14:solidFill>
              <w14:schemeClr w14:val="tx1"/>
            </w14:solidFill>
          </w14:textFill>
        </w:rPr>
        <w:t>工程量清单错误的修正</w:t>
      </w:r>
    </w:p>
    <w:p w14:paraId="37DE30A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出现工程量清单错误时，是否调整合同价格：</w:t>
      </w:r>
      <w:r>
        <w:rPr>
          <w:rFonts w:hint="eastAsia" w:ascii="宋体" w:hAnsi="宋体"/>
          <w:color w:val="000000" w:themeColor="text1"/>
          <w:szCs w:val="21"/>
          <w:highlight w:val="none"/>
          <w:u w:val="single"/>
          <w14:textFill>
            <w14:solidFill>
              <w14:schemeClr w14:val="tx1"/>
            </w14:solidFill>
          </w14:textFill>
        </w:rPr>
        <w:t xml:space="preserve">  是</w:t>
      </w:r>
      <w:r>
        <w:rPr>
          <w:rFonts w:ascii="宋体" w:hAnsi="宋体"/>
          <w:color w:val="000000" w:themeColor="text1"/>
          <w:kern w:val="0"/>
          <w:szCs w:val="21"/>
          <w:highlight w:val="none"/>
          <w14:textFill>
            <w14:solidFill>
              <w14:schemeClr w14:val="tx1"/>
            </w14:solidFill>
          </w14:textFill>
        </w:rPr>
        <w:t>。</w:t>
      </w:r>
    </w:p>
    <w:p w14:paraId="5FEC70C1">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允许调整合同价格的工程量偏差范围：</w:t>
      </w:r>
      <w:r>
        <w:rPr>
          <w:rFonts w:hint="eastAsia" w:ascii="宋体" w:hAnsi="宋体"/>
          <w:color w:val="000000" w:themeColor="text1"/>
          <w:szCs w:val="21"/>
          <w:highlight w:val="none"/>
          <w14:textFill>
            <w14:solidFill>
              <w14:schemeClr w14:val="tx1"/>
            </w14:solidFill>
          </w14:textFill>
        </w:rPr>
        <w:t>。</w:t>
      </w:r>
    </w:p>
    <w:p w14:paraId="05968309">
      <w:pPr>
        <w:keepNext/>
        <w:keepLines/>
        <w:widowControl/>
        <w:spacing w:before="120" w:after="120" w:line="440" w:lineRule="exact"/>
        <w:ind w:firstLine="281" w:firstLineChars="100"/>
        <w:outlineLvl w:val="3"/>
        <w:rPr>
          <w:rFonts w:ascii="宋体" w:hAnsi="宋体" w:eastAsia="黑体"/>
          <w:b/>
          <w:color w:val="000000" w:themeColor="text1"/>
          <w:kern w:val="0"/>
          <w:sz w:val="28"/>
          <w:szCs w:val="21"/>
          <w:highlight w:val="none"/>
          <w14:textFill>
            <w14:solidFill>
              <w14:schemeClr w14:val="tx1"/>
            </w14:solidFill>
          </w14:textFill>
        </w:rPr>
      </w:pPr>
      <w:bookmarkStart w:id="314" w:name="_Toc351203634"/>
      <w:r>
        <w:rPr>
          <w:rFonts w:ascii="宋体" w:hAnsi="宋体" w:eastAsia="黑体"/>
          <w:b/>
          <w:color w:val="000000" w:themeColor="text1"/>
          <w:kern w:val="0"/>
          <w:sz w:val="28"/>
          <w:szCs w:val="21"/>
          <w:highlight w:val="none"/>
          <w14:textFill>
            <w14:solidFill>
              <w14:schemeClr w14:val="tx1"/>
            </w14:solidFill>
          </w14:textFill>
        </w:rPr>
        <w:t>2</w:t>
      </w:r>
      <w:bookmarkStart w:id="315" w:name="_Toc292559867"/>
      <w:bookmarkStart w:id="316" w:name="_Toc292559362"/>
      <w:bookmarkStart w:id="317" w:name="_Toc296944496"/>
      <w:bookmarkStart w:id="318" w:name="_Toc296347156"/>
      <w:bookmarkStart w:id="319" w:name="_Toc297048343"/>
      <w:bookmarkStart w:id="320" w:name="_Toc296890985"/>
      <w:bookmarkStart w:id="321" w:name="_Toc296346658"/>
      <w:bookmarkStart w:id="322" w:name="_Toc296503157"/>
      <w:bookmarkStart w:id="323" w:name="_Toc296891197"/>
      <w:bookmarkStart w:id="324" w:name="_Toc297120457"/>
      <w:r>
        <w:rPr>
          <w:rFonts w:ascii="宋体" w:hAnsi="宋体" w:eastAsia="黑体"/>
          <w:b/>
          <w:color w:val="000000" w:themeColor="text1"/>
          <w:kern w:val="0"/>
          <w:sz w:val="28"/>
          <w:szCs w:val="21"/>
          <w:highlight w:val="none"/>
          <w14:textFill>
            <w14:solidFill>
              <w14:schemeClr w14:val="tx1"/>
            </w14:solidFill>
          </w14:textFill>
        </w:rPr>
        <w:t>. 发包人</w:t>
      </w:r>
      <w:bookmarkEnd w:id="314"/>
    </w:p>
    <w:bookmarkEnd w:id="315"/>
    <w:bookmarkEnd w:id="316"/>
    <w:bookmarkEnd w:id="317"/>
    <w:bookmarkEnd w:id="318"/>
    <w:bookmarkEnd w:id="319"/>
    <w:bookmarkEnd w:id="320"/>
    <w:bookmarkEnd w:id="321"/>
    <w:bookmarkEnd w:id="322"/>
    <w:bookmarkEnd w:id="323"/>
    <w:bookmarkEnd w:id="324"/>
    <w:p w14:paraId="71EEADAE">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发包人代表</w:t>
      </w:r>
    </w:p>
    <w:p w14:paraId="1F1570B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发包人代表：</w:t>
      </w:r>
    </w:p>
    <w:p w14:paraId="3E7A7B82">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lang w:eastAsia="zh-CN"/>
          <w14:textFill>
            <w14:solidFill>
              <w14:schemeClr w14:val="tx1"/>
            </w14:solidFill>
          </w14:textFill>
        </w:rPr>
        <w:t>；</w:t>
      </w:r>
    </w:p>
    <w:p w14:paraId="7D519E59">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w:t>
      </w:r>
      <w:r>
        <w:rPr>
          <w:rFonts w:hint="eastAsia" w:ascii="宋体" w:hAnsi="宋体"/>
          <w:color w:val="000000" w:themeColor="text1"/>
          <w:szCs w:val="21"/>
          <w:highlight w:val="none"/>
          <w:lang w:eastAsia="zh-CN"/>
          <w14:textFill>
            <w14:solidFill>
              <w14:schemeClr w14:val="tx1"/>
            </w14:solidFill>
          </w14:textFill>
        </w:rPr>
        <w:t>；</w:t>
      </w:r>
    </w:p>
    <w:p w14:paraId="78DA6CA8">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lang w:eastAsia="zh-CN"/>
          <w14:textFill>
            <w14:solidFill>
              <w14:schemeClr w14:val="tx1"/>
            </w14:solidFill>
          </w14:textFill>
        </w:rPr>
        <w:t>；</w:t>
      </w:r>
    </w:p>
    <w:p w14:paraId="47A41E83">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24150878">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7A6049F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p>
    <w:p w14:paraId="56E3213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发包人对发包人代表的授权范围如下：</w:t>
      </w:r>
    </w:p>
    <w:p w14:paraId="30A3BC2D">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（1）负责工程施工现场的管理</w:t>
      </w:r>
      <w:r>
        <w:rPr>
          <w:rFonts w:hint="eastAsia" w:hAnsi="宋体"/>
          <w:color w:val="000000" w:themeColor="text1"/>
          <w:szCs w:val="21"/>
          <w:highlight w:val="none"/>
          <w:u w:val="single"/>
          <w:lang w:eastAsia="zh-CN"/>
          <w14:textFill>
            <w14:solidFill>
              <w14:schemeClr w14:val="tx1"/>
            </w14:solidFill>
          </w14:textFill>
        </w:rPr>
        <w:t>；</w:t>
      </w:r>
    </w:p>
    <w:p w14:paraId="6C91D8D2">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（2）负责协调与工程项目有关的事项</w:t>
      </w:r>
      <w:r>
        <w:rPr>
          <w:rFonts w:hint="eastAsia" w:hAnsi="宋体"/>
          <w:color w:val="000000" w:themeColor="text1"/>
          <w:szCs w:val="21"/>
          <w:highlight w:val="none"/>
          <w:u w:val="single"/>
          <w:lang w:eastAsia="zh-CN"/>
          <w14:textFill>
            <w14:solidFill>
              <w14:schemeClr w14:val="tx1"/>
            </w14:solidFill>
          </w14:textFill>
        </w:rPr>
        <w:t>；</w:t>
      </w:r>
    </w:p>
    <w:p w14:paraId="6ECE767C">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（3）工程量确认</w:t>
      </w:r>
      <w:r>
        <w:rPr>
          <w:rFonts w:hint="eastAsia" w:hAnsi="宋体"/>
          <w:color w:val="000000" w:themeColor="text1"/>
          <w:szCs w:val="21"/>
          <w:highlight w:val="none"/>
          <w:u w:val="single"/>
          <w:lang w:eastAsia="zh-CN"/>
          <w14:textFill>
            <w14:solidFill>
              <w14:schemeClr w14:val="tx1"/>
            </w14:solidFill>
          </w14:textFill>
        </w:rPr>
        <w:t>；</w:t>
      </w:r>
    </w:p>
    <w:p w14:paraId="243FE647">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（4）同意监理工程师发布开工令、停工令及复工令</w:t>
      </w:r>
      <w:r>
        <w:rPr>
          <w:rFonts w:hint="eastAsia" w:hAnsi="宋体"/>
          <w:color w:val="000000" w:themeColor="text1"/>
          <w:szCs w:val="21"/>
          <w:highlight w:val="none"/>
          <w:u w:val="single"/>
          <w:lang w:eastAsia="zh-CN"/>
          <w14:textFill>
            <w14:solidFill>
              <w14:schemeClr w14:val="tx1"/>
            </w14:solidFill>
          </w14:textFill>
        </w:rPr>
        <w:t>；</w:t>
      </w:r>
    </w:p>
    <w:p w14:paraId="07EE7E3E">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（5）确认或修改承包人的施工组织设计和工程进度计划</w:t>
      </w:r>
      <w:r>
        <w:rPr>
          <w:rFonts w:hint="eastAsia" w:hAnsi="宋体"/>
          <w:color w:val="000000" w:themeColor="text1"/>
          <w:szCs w:val="21"/>
          <w:highlight w:val="none"/>
          <w:u w:val="single"/>
          <w:lang w:eastAsia="zh-CN"/>
          <w14:textFill>
            <w14:solidFill>
              <w14:schemeClr w14:val="tx1"/>
            </w14:solidFill>
          </w14:textFill>
        </w:rPr>
        <w:t>；</w:t>
      </w:r>
    </w:p>
    <w:p w14:paraId="5CD83A73">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（6）对进度的检查、监督和提出改进措施</w:t>
      </w:r>
      <w:r>
        <w:rPr>
          <w:rFonts w:hint="eastAsia" w:hAnsi="宋体"/>
          <w:color w:val="000000" w:themeColor="text1"/>
          <w:szCs w:val="21"/>
          <w:highlight w:val="none"/>
          <w:u w:val="single"/>
          <w:lang w:eastAsia="zh-CN"/>
          <w14:textFill>
            <w14:solidFill>
              <w14:schemeClr w14:val="tx1"/>
            </w14:solidFill>
          </w14:textFill>
        </w:rPr>
        <w:t>；</w:t>
      </w:r>
    </w:p>
    <w:p w14:paraId="2ED4198A">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（7）对承包人延期开工要求进行答复</w:t>
      </w:r>
      <w:r>
        <w:rPr>
          <w:rFonts w:hint="eastAsia" w:hAnsi="宋体"/>
          <w:color w:val="000000" w:themeColor="text1"/>
          <w:szCs w:val="21"/>
          <w:highlight w:val="none"/>
          <w:u w:val="single"/>
          <w:lang w:eastAsia="zh-CN"/>
          <w14:textFill>
            <w14:solidFill>
              <w14:schemeClr w14:val="tx1"/>
            </w14:solidFill>
          </w14:textFill>
        </w:rPr>
        <w:t>；</w:t>
      </w:r>
    </w:p>
    <w:p w14:paraId="31F1E30F">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（8）以通知方式推迟开工日期</w:t>
      </w:r>
      <w:r>
        <w:rPr>
          <w:rFonts w:hint="eastAsia" w:hAnsi="宋体"/>
          <w:color w:val="000000" w:themeColor="text1"/>
          <w:szCs w:val="21"/>
          <w:highlight w:val="none"/>
          <w:u w:val="single"/>
          <w:lang w:eastAsia="zh-CN"/>
          <w14:textFill>
            <w14:solidFill>
              <w14:schemeClr w14:val="tx1"/>
            </w14:solidFill>
          </w14:textFill>
        </w:rPr>
        <w:t>；</w:t>
      </w:r>
    </w:p>
    <w:p w14:paraId="40F029F4">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（9）暂停施工并提出处理意见，对承包人复工要求进行答复</w:t>
      </w:r>
      <w:r>
        <w:rPr>
          <w:rFonts w:hint="eastAsia" w:hAnsi="宋体"/>
          <w:color w:val="000000" w:themeColor="text1"/>
          <w:szCs w:val="21"/>
          <w:highlight w:val="none"/>
          <w:u w:val="single"/>
          <w:lang w:eastAsia="zh-CN"/>
          <w14:textFill>
            <w14:solidFill>
              <w14:schemeClr w14:val="tx1"/>
            </w14:solidFill>
          </w14:textFill>
        </w:rPr>
        <w:t>；</w:t>
      </w:r>
    </w:p>
    <w:p w14:paraId="3C19A73B">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（10）确认工期顺延</w:t>
      </w:r>
      <w:r>
        <w:rPr>
          <w:rFonts w:hint="eastAsia" w:hAnsi="宋体"/>
          <w:color w:val="000000" w:themeColor="text1"/>
          <w:szCs w:val="21"/>
          <w:highlight w:val="none"/>
          <w:u w:val="single"/>
          <w:lang w:eastAsia="zh-CN"/>
          <w14:textFill>
            <w14:solidFill>
              <w14:schemeClr w14:val="tx1"/>
            </w14:solidFill>
          </w14:textFill>
        </w:rPr>
        <w:t>；</w:t>
      </w:r>
    </w:p>
    <w:p w14:paraId="407FECDB">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（11）对承包人工程质量检查检验</w:t>
      </w:r>
      <w:r>
        <w:rPr>
          <w:rFonts w:hint="eastAsia" w:hAnsi="宋体"/>
          <w:color w:val="000000" w:themeColor="text1"/>
          <w:szCs w:val="21"/>
          <w:highlight w:val="none"/>
          <w:u w:val="single"/>
          <w:lang w:eastAsia="zh-CN"/>
          <w14:textFill>
            <w14:solidFill>
              <w14:schemeClr w14:val="tx1"/>
            </w14:solidFill>
          </w14:textFill>
        </w:rPr>
        <w:t>；</w:t>
      </w:r>
    </w:p>
    <w:p w14:paraId="035EFCAB">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（12）工程质量达不到约定标准的部分，要求承包人拆除和重新施工。</w:t>
      </w:r>
    </w:p>
    <w:p w14:paraId="73C1E0A7">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（13）隐蔽工程验收</w:t>
      </w:r>
      <w:r>
        <w:rPr>
          <w:rFonts w:hint="eastAsia" w:hAnsi="宋体"/>
          <w:color w:val="000000" w:themeColor="text1"/>
          <w:szCs w:val="21"/>
          <w:highlight w:val="none"/>
          <w:u w:val="single"/>
          <w:lang w:eastAsia="zh-CN"/>
          <w14:textFill>
            <w14:solidFill>
              <w14:schemeClr w14:val="tx1"/>
            </w14:solidFill>
          </w14:textFill>
        </w:rPr>
        <w:t>；</w:t>
      </w:r>
    </w:p>
    <w:p w14:paraId="3F8407EB">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（14）隐蔽工程重新检验</w:t>
      </w:r>
      <w:r>
        <w:rPr>
          <w:rFonts w:hint="eastAsia" w:hAnsi="宋体"/>
          <w:color w:val="000000" w:themeColor="text1"/>
          <w:szCs w:val="21"/>
          <w:highlight w:val="none"/>
          <w:u w:val="single"/>
          <w:lang w:eastAsia="zh-CN"/>
          <w14:textFill>
            <w14:solidFill>
              <w14:schemeClr w14:val="tx1"/>
            </w14:solidFill>
          </w14:textFill>
        </w:rPr>
        <w:t>；</w:t>
      </w:r>
    </w:p>
    <w:p w14:paraId="5CE3C14D">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（15）根据本款（17）项确认或修改承包人提出的调整金额</w:t>
      </w:r>
      <w:r>
        <w:rPr>
          <w:rFonts w:hint="eastAsia" w:hAnsi="宋体"/>
          <w:color w:val="000000" w:themeColor="text1"/>
          <w:szCs w:val="21"/>
          <w:highlight w:val="none"/>
          <w:u w:val="single"/>
          <w:lang w:eastAsia="zh-CN"/>
          <w14:textFill>
            <w14:solidFill>
              <w14:schemeClr w14:val="tx1"/>
            </w14:solidFill>
          </w14:textFill>
        </w:rPr>
        <w:t>；</w:t>
      </w:r>
    </w:p>
    <w:p w14:paraId="138980A2">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（16）核实承包人已完工程量</w:t>
      </w:r>
      <w:r>
        <w:rPr>
          <w:rFonts w:hint="eastAsia" w:hAnsi="宋体"/>
          <w:color w:val="000000" w:themeColor="text1"/>
          <w:szCs w:val="21"/>
          <w:highlight w:val="none"/>
          <w:u w:val="single"/>
          <w:lang w:eastAsia="zh-CN"/>
          <w14:textFill>
            <w14:solidFill>
              <w14:schemeClr w14:val="tx1"/>
            </w14:solidFill>
          </w14:textFill>
        </w:rPr>
        <w:t>；</w:t>
      </w:r>
    </w:p>
    <w:p w14:paraId="6CD7CFA6">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（17）要求更换承包人采购的不符合要求的材料设备</w:t>
      </w:r>
      <w:r>
        <w:rPr>
          <w:rFonts w:hint="eastAsia" w:hAnsi="宋体"/>
          <w:color w:val="000000" w:themeColor="text1"/>
          <w:szCs w:val="21"/>
          <w:highlight w:val="none"/>
          <w:u w:val="single"/>
          <w:lang w:eastAsia="zh-CN"/>
          <w14:textFill>
            <w14:solidFill>
              <w14:schemeClr w14:val="tx1"/>
            </w14:solidFill>
          </w14:textFill>
        </w:rPr>
        <w:t>；</w:t>
      </w:r>
    </w:p>
    <w:p w14:paraId="44992400">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（18）要求承包人对采购的材料设备在使用前进行检验或试验</w:t>
      </w:r>
      <w:r>
        <w:rPr>
          <w:rFonts w:hint="eastAsia" w:hAnsi="宋体"/>
          <w:color w:val="000000" w:themeColor="text1"/>
          <w:szCs w:val="21"/>
          <w:highlight w:val="none"/>
          <w:u w:val="single"/>
          <w:lang w:eastAsia="zh-CN"/>
          <w14:textFill>
            <w14:solidFill>
              <w14:schemeClr w14:val="tx1"/>
            </w14:solidFill>
          </w14:textFill>
        </w:rPr>
        <w:t>；</w:t>
      </w:r>
    </w:p>
    <w:p w14:paraId="62FA96EF">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（19）批准承包人使用替代材料</w:t>
      </w:r>
      <w:r>
        <w:rPr>
          <w:rFonts w:hint="eastAsia" w:hAnsi="宋体"/>
          <w:color w:val="000000" w:themeColor="text1"/>
          <w:szCs w:val="21"/>
          <w:highlight w:val="none"/>
          <w:u w:val="single"/>
          <w:lang w:eastAsia="zh-CN"/>
          <w14:textFill>
            <w14:solidFill>
              <w14:schemeClr w14:val="tx1"/>
            </w14:solidFill>
          </w14:textFill>
        </w:rPr>
        <w:t>；</w:t>
      </w:r>
    </w:p>
    <w:p w14:paraId="41F462BD">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（20）同意承包人提出的合理化建议</w:t>
      </w:r>
      <w:r>
        <w:rPr>
          <w:rFonts w:hint="eastAsia" w:hAnsi="宋体"/>
          <w:color w:val="000000" w:themeColor="text1"/>
          <w:szCs w:val="21"/>
          <w:highlight w:val="none"/>
          <w:u w:val="single"/>
          <w:lang w:eastAsia="zh-CN"/>
          <w14:textFill>
            <w14:solidFill>
              <w14:schemeClr w14:val="tx1"/>
            </w14:solidFill>
          </w14:textFill>
        </w:rPr>
        <w:t>；</w:t>
      </w:r>
    </w:p>
    <w:p w14:paraId="693BAC15">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（21）确认变更价款</w:t>
      </w:r>
      <w:r>
        <w:rPr>
          <w:rFonts w:hint="eastAsia" w:hAnsi="宋体"/>
          <w:color w:val="000000" w:themeColor="text1"/>
          <w:szCs w:val="21"/>
          <w:highlight w:val="none"/>
          <w:u w:val="single"/>
          <w:lang w:eastAsia="zh-CN"/>
          <w14:textFill>
            <w14:solidFill>
              <w14:schemeClr w14:val="tx1"/>
            </w14:solidFill>
          </w14:textFill>
        </w:rPr>
        <w:t>；</w:t>
      </w:r>
    </w:p>
    <w:p w14:paraId="1BDEEBFE">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（22）答复索赔。</w:t>
      </w:r>
    </w:p>
    <w:p w14:paraId="449247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施工现场、施工条件和基础资料的提供</w:t>
      </w:r>
    </w:p>
    <w:p w14:paraId="6CFCE94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.1 提供施工现场</w:t>
      </w:r>
    </w:p>
    <w:p w14:paraId="3188AC6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关于发包人移交施工现场的期限要求：</w:t>
      </w:r>
      <w:r>
        <w:rPr>
          <w:rFonts w:hint="eastAsia" w:ascii="宋体" w:hAnsi="宋体"/>
          <w:color w:val="000000" w:themeColor="text1"/>
          <w:szCs w:val="21"/>
          <w:highlight w:val="none"/>
          <w:u w:val="single"/>
          <w14:textFill>
            <w14:solidFill>
              <w14:schemeClr w14:val="tx1"/>
            </w14:solidFill>
          </w14:textFill>
        </w:rPr>
        <w:t>计划开工日前3天</w:t>
      </w:r>
      <w:r>
        <w:rPr>
          <w:rFonts w:ascii="宋体" w:hAnsi="宋体"/>
          <w:color w:val="000000" w:themeColor="text1"/>
          <w:szCs w:val="21"/>
          <w:highlight w:val="none"/>
          <w14:textFill>
            <w14:solidFill>
              <w14:schemeClr w14:val="tx1"/>
            </w14:solidFill>
          </w14:textFill>
        </w:rPr>
        <w:t>。</w:t>
      </w:r>
    </w:p>
    <w:p w14:paraId="32BEA28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.2 提供施工条件</w:t>
      </w:r>
    </w:p>
    <w:p w14:paraId="5A1EEA6D">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关于发包人应负责提供施工</w:t>
      </w:r>
      <w:r>
        <w:rPr>
          <w:rFonts w:hint="eastAsia" w:ascii="宋体" w:hAnsi="宋体"/>
          <w:color w:val="000000" w:themeColor="text1"/>
          <w:szCs w:val="21"/>
          <w:highlight w:val="none"/>
          <w14:textFill>
            <w14:solidFill>
              <w14:schemeClr w14:val="tx1"/>
            </w14:solidFill>
          </w14:textFill>
        </w:rPr>
        <w:t>所需要的条件，</w:t>
      </w:r>
      <w:r>
        <w:rPr>
          <w:rFonts w:ascii="宋体" w:hAnsi="宋体"/>
          <w:color w:val="000000" w:themeColor="text1"/>
          <w:szCs w:val="21"/>
          <w:highlight w:val="none"/>
          <w14:textFill>
            <w14:solidFill>
              <w14:schemeClr w14:val="tx1"/>
            </w14:solidFill>
          </w14:textFill>
        </w:rPr>
        <w:t>包括：。</w:t>
      </w:r>
    </w:p>
    <w:p w14:paraId="558822B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资金来源证明及支付担保</w:t>
      </w:r>
    </w:p>
    <w:p w14:paraId="6E2068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发包人提供资金来源证明的期限要求：</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66AB05C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发包人是否提供支付担保：</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4649F1C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发包人提供支付担保的形式：</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50876FF2">
      <w:pPr>
        <w:keepNext/>
        <w:keepLines/>
        <w:widowControl/>
        <w:spacing w:before="120" w:after="120" w:line="440" w:lineRule="exact"/>
        <w:ind w:firstLine="281" w:firstLineChars="100"/>
        <w:outlineLvl w:val="3"/>
        <w:rPr>
          <w:rFonts w:ascii="宋体" w:hAnsi="宋体" w:eastAsia="黑体"/>
          <w:b/>
          <w:color w:val="000000" w:themeColor="text1"/>
          <w:kern w:val="0"/>
          <w:sz w:val="28"/>
          <w:szCs w:val="21"/>
          <w:highlight w:val="none"/>
          <w14:textFill>
            <w14:solidFill>
              <w14:schemeClr w14:val="tx1"/>
            </w14:solidFill>
          </w14:textFill>
        </w:rPr>
      </w:pPr>
      <w:bookmarkStart w:id="325" w:name="_Toc351203635"/>
      <w:r>
        <w:rPr>
          <w:rFonts w:ascii="宋体" w:hAnsi="宋体" w:eastAsia="黑体"/>
          <w:b/>
          <w:color w:val="000000" w:themeColor="text1"/>
          <w:kern w:val="0"/>
          <w:sz w:val="28"/>
          <w:szCs w:val="21"/>
          <w:highlight w:val="none"/>
          <w14:textFill>
            <w14:solidFill>
              <w14:schemeClr w14:val="tx1"/>
            </w14:solidFill>
          </w14:textFill>
        </w:rPr>
        <w:t>3</w:t>
      </w:r>
      <w:bookmarkStart w:id="326" w:name="_Toc296346659"/>
      <w:bookmarkStart w:id="327" w:name="_Toc296944497"/>
      <w:bookmarkStart w:id="328" w:name="_Toc292559868"/>
      <w:bookmarkStart w:id="329" w:name="_Toc297048344"/>
      <w:bookmarkStart w:id="330" w:name="_Toc292559363"/>
      <w:bookmarkStart w:id="331" w:name="_Toc296891198"/>
      <w:bookmarkStart w:id="332" w:name="_Toc296890986"/>
      <w:bookmarkStart w:id="333" w:name="_Toc296347157"/>
      <w:bookmarkStart w:id="334" w:name="_Toc297120458"/>
      <w:bookmarkStart w:id="335" w:name="_Toc296503158"/>
      <w:r>
        <w:rPr>
          <w:rFonts w:ascii="宋体" w:hAnsi="宋体" w:eastAsia="黑体"/>
          <w:b/>
          <w:color w:val="000000" w:themeColor="text1"/>
          <w:kern w:val="0"/>
          <w:sz w:val="28"/>
          <w:szCs w:val="21"/>
          <w:highlight w:val="none"/>
          <w14:textFill>
            <w14:solidFill>
              <w14:schemeClr w14:val="tx1"/>
            </w14:solidFill>
          </w14:textFill>
        </w:rPr>
        <w:t>. 承包人</w:t>
      </w:r>
      <w:bookmarkEnd w:id="325"/>
    </w:p>
    <w:bookmarkEnd w:id="326"/>
    <w:bookmarkEnd w:id="327"/>
    <w:bookmarkEnd w:id="328"/>
    <w:bookmarkEnd w:id="329"/>
    <w:bookmarkEnd w:id="330"/>
    <w:bookmarkEnd w:id="331"/>
    <w:bookmarkEnd w:id="332"/>
    <w:bookmarkEnd w:id="333"/>
    <w:bookmarkEnd w:id="334"/>
    <w:bookmarkEnd w:id="335"/>
    <w:p w14:paraId="3D6CAAD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 承包人的一般义务</w:t>
      </w:r>
    </w:p>
    <w:p w14:paraId="4494D12B">
      <w:pPr>
        <w:spacing w:line="440" w:lineRule="exact"/>
        <w:ind w:firstLine="315" w:firstLineChars="15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承包人提交的竣工资料的内容：。</w:t>
      </w:r>
    </w:p>
    <w:p w14:paraId="667D8DC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承包人需要提交的竣工资料套数：。</w:t>
      </w:r>
    </w:p>
    <w:p w14:paraId="25D8434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承包人提交的竣工资料的费用承担：。</w:t>
      </w:r>
    </w:p>
    <w:p w14:paraId="10E2C84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承包人提交的竣工资料移交时间：。</w:t>
      </w:r>
    </w:p>
    <w:p w14:paraId="42FF82A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承包人提交的竣工资料形式要求：。</w:t>
      </w:r>
    </w:p>
    <w:p w14:paraId="7108552F">
      <w:pPr>
        <w:spacing w:line="440" w:lineRule="exact"/>
        <w:ind w:firstLine="420" w:firstLineChars="200"/>
        <w:rPr>
          <w:rFonts w:ascii="宋体" w:hAnsi="宋体"/>
          <w:b/>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（6）承包人应履行的其他义务：</w:t>
      </w:r>
      <w:r>
        <w:rPr>
          <w:rFonts w:hint="eastAsia" w:ascii="宋体" w:hAnsi="宋体"/>
          <w:b/>
          <w:color w:val="000000" w:themeColor="text1"/>
          <w:szCs w:val="21"/>
          <w:highlight w:val="none"/>
          <w:u w:val="single"/>
          <w14:textFill>
            <w14:solidFill>
              <w14:schemeClr w14:val="tx1"/>
            </w14:solidFill>
          </w14:textFill>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76F8DA6E">
      <w:pPr>
        <w:spacing w:line="440" w:lineRule="exact"/>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②取土场及弃土场由承包人自行解决，但不得违反相关管理规定，并承担相关费用。</w:t>
      </w:r>
    </w:p>
    <w:p w14:paraId="64617C5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 项目经理</w:t>
      </w:r>
    </w:p>
    <w:p w14:paraId="5C8008D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3.2.1 </w:t>
      </w:r>
      <w:r>
        <w:rPr>
          <w:rFonts w:ascii="宋体" w:hAnsi="宋体"/>
          <w:color w:val="000000" w:themeColor="text1"/>
          <w:szCs w:val="21"/>
          <w:highlight w:val="none"/>
          <w14:textFill>
            <w14:solidFill>
              <w14:schemeClr w14:val="tx1"/>
            </w14:solidFill>
          </w14:textFill>
        </w:rPr>
        <w:t>项目经理：</w:t>
      </w:r>
    </w:p>
    <w:p w14:paraId="1565AD0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lang w:eastAsia="zh-CN"/>
          <w14:textFill>
            <w14:solidFill>
              <w14:schemeClr w14:val="tx1"/>
            </w14:solidFill>
          </w14:textFill>
        </w:rPr>
        <w:t>；</w:t>
      </w:r>
    </w:p>
    <w:p w14:paraId="6EA386A7">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w:t>
      </w:r>
      <w:r>
        <w:rPr>
          <w:rFonts w:hint="eastAsia" w:ascii="宋体" w:hAnsi="宋体"/>
          <w:color w:val="000000" w:themeColor="text1"/>
          <w:szCs w:val="21"/>
          <w:highlight w:val="none"/>
          <w:lang w:eastAsia="zh-CN"/>
          <w14:textFill>
            <w14:solidFill>
              <w14:schemeClr w14:val="tx1"/>
            </w14:solidFill>
          </w14:textFill>
        </w:rPr>
        <w:t>；</w:t>
      </w:r>
    </w:p>
    <w:p w14:paraId="19C15D05">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建造师执业资格等级：</w:t>
      </w:r>
      <w:r>
        <w:rPr>
          <w:rFonts w:hint="eastAsia" w:ascii="宋体" w:hAnsi="宋体"/>
          <w:color w:val="000000" w:themeColor="text1"/>
          <w:szCs w:val="21"/>
          <w:highlight w:val="none"/>
          <w:lang w:eastAsia="zh-CN"/>
          <w14:textFill>
            <w14:solidFill>
              <w14:schemeClr w14:val="tx1"/>
            </w14:solidFill>
          </w14:textFill>
        </w:rPr>
        <w:t>；</w:t>
      </w:r>
    </w:p>
    <w:p w14:paraId="54487C6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建造师注册证书号：</w:t>
      </w:r>
      <w:r>
        <w:rPr>
          <w:rFonts w:hint="eastAsia" w:ascii="宋体" w:hAnsi="宋体"/>
          <w:color w:val="000000" w:themeColor="text1"/>
          <w:szCs w:val="21"/>
          <w:highlight w:val="none"/>
          <w:lang w:eastAsia="zh-CN"/>
          <w14:textFill>
            <w14:solidFill>
              <w14:schemeClr w14:val="tx1"/>
            </w14:solidFill>
          </w14:textFill>
        </w:rPr>
        <w:t>；</w:t>
      </w:r>
    </w:p>
    <w:p w14:paraId="0C40065A">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建造师执业印章号：</w:t>
      </w:r>
      <w:r>
        <w:rPr>
          <w:rFonts w:hint="eastAsia" w:ascii="宋体" w:hAnsi="宋体"/>
          <w:color w:val="000000" w:themeColor="text1"/>
          <w:szCs w:val="21"/>
          <w:highlight w:val="none"/>
          <w:lang w:eastAsia="zh-CN"/>
          <w14:textFill>
            <w14:solidFill>
              <w14:schemeClr w14:val="tx1"/>
            </w14:solidFill>
          </w14:textFill>
        </w:rPr>
        <w:t>；</w:t>
      </w:r>
    </w:p>
    <w:p w14:paraId="4AE4BA41">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安全生产考核合格证书号：</w:t>
      </w:r>
      <w:r>
        <w:rPr>
          <w:rFonts w:hint="eastAsia" w:ascii="宋体" w:hAnsi="宋体"/>
          <w:color w:val="000000" w:themeColor="text1"/>
          <w:szCs w:val="21"/>
          <w:highlight w:val="none"/>
          <w:lang w:eastAsia="zh-CN"/>
          <w14:textFill>
            <w14:solidFill>
              <w14:schemeClr w14:val="tx1"/>
            </w14:solidFill>
          </w14:textFill>
        </w:rPr>
        <w:t>；</w:t>
      </w:r>
    </w:p>
    <w:p w14:paraId="6FC8761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12C1262B">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23874B31">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lang w:eastAsia="zh-CN"/>
          <w14:textFill>
            <w14:solidFill>
              <w14:schemeClr w14:val="tx1"/>
            </w14:solidFill>
          </w14:textFill>
        </w:rPr>
        <w:t>；</w:t>
      </w:r>
    </w:p>
    <w:p w14:paraId="0D875DD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承包人对项目经理的授权范围如下：</w:t>
      </w:r>
      <w:r>
        <w:rPr>
          <w:rFonts w:hint="eastAsia" w:ascii="宋体" w:hAnsi="宋体"/>
          <w:color w:val="000000" w:themeColor="text1"/>
          <w:szCs w:val="21"/>
          <w:highlight w:val="none"/>
          <w:u w:val="single"/>
          <w14:textFill>
            <w14:solidFill>
              <w14:schemeClr w14:val="tx1"/>
            </w14:solidFill>
          </w14:textFill>
        </w:rPr>
        <w:t>负责组织合同工程内容的施工</w:t>
      </w:r>
      <w:r>
        <w:rPr>
          <w:rFonts w:ascii="宋体" w:hAnsi="宋体"/>
          <w:color w:val="000000" w:themeColor="text1"/>
          <w:szCs w:val="21"/>
          <w:highlight w:val="none"/>
          <w14:textFill>
            <w14:solidFill>
              <w14:schemeClr w14:val="tx1"/>
            </w14:solidFill>
          </w14:textFill>
        </w:rPr>
        <w:t>。</w:t>
      </w:r>
    </w:p>
    <w:p w14:paraId="30BAA3A1">
      <w:pPr>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关于项目经理每月在施工现场的时间要求：</w:t>
      </w:r>
      <w:r>
        <w:rPr>
          <w:rFonts w:hint="eastAsia" w:ascii="宋体" w:hAnsi="宋体" w:cs="宋体"/>
          <w:color w:val="000000" w:themeColor="text1"/>
          <w:szCs w:val="21"/>
          <w:highlight w:val="none"/>
          <w:u w:val="single"/>
          <w14:textFill>
            <w14:solidFill>
              <w14:schemeClr w14:val="tx1"/>
            </w14:solidFill>
          </w14:textFill>
        </w:rPr>
        <w:t xml:space="preserve">     </w:t>
      </w:r>
      <w:bookmarkStart w:id="840" w:name="_GoBack"/>
      <w:r>
        <w:rPr>
          <w:rFonts w:hint="eastAsia" w:ascii="宋体" w:hAnsi="宋体" w:cs="宋体"/>
          <w:color w:val="000000" w:themeColor="text1"/>
          <w:szCs w:val="21"/>
          <w:highlight w:val="none"/>
          <w:u w:val="single"/>
          <w14:textFill>
            <w14:solidFill>
              <w14:schemeClr w14:val="tx1"/>
            </w14:solidFill>
          </w14:textFill>
        </w:rPr>
        <w:t>不少于5天且符合国家相关规定要求</w:t>
      </w:r>
      <w:bookmarkEnd w:id="840"/>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B81EF8A">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hint="eastAsia" w:ascii="宋体" w:hAnsi="宋体"/>
          <w:color w:val="000000" w:themeColor="text1"/>
          <w:kern w:val="0"/>
          <w:szCs w:val="21"/>
          <w:highlight w:val="none"/>
          <w:u w:val="single"/>
          <w14:textFill>
            <w14:solidFill>
              <w14:schemeClr w14:val="tx1"/>
            </w14:solidFill>
          </w14:textFill>
        </w:rPr>
        <w:t>承包人支付违约金10000元，并责令限期提交劳动合同并补缴社会保险。如承包人未在规定期限内提交项目经理劳动合同和缴交社会保险证明材料的，则发包人可致函承包人要求更换项目经理，且承包人按1000元/天标准向发包人支付违约金直至承包人更换新的项目经理。如在更换项目经理期间造成发包人损失的，承包人须另行赔偿发包人损失。</w:t>
      </w:r>
    </w:p>
    <w:p w14:paraId="71E2D8D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项目经理未经批准，擅自离开施工现场的违约责任：</w:t>
      </w:r>
      <w:r>
        <w:rPr>
          <w:rFonts w:hint="eastAsia" w:ascii="宋体" w:hAnsi="宋体"/>
          <w:color w:val="000000" w:themeColor="text1"/>
          <w:kern w:val="0"/>
          <w:szCs w:val="21"/>
          <w:highlight w:val="none"/>
          <w:u w:val="single"/>
          <w14:textFill>
            <w14:solidFill>
              <w14:schemeClr w14:val="tx1"/>
            </w14:solidFill>
          </w14:textFill>
        </w:rPr>
        <w:t>未经发包人同意，项目经理擅自离岗的，视为承包人违约，承包人向发包人支付违约金人民币1000元/人•次</w:t>
      </w:r>
      <w:r>
        <w:rPr>
          <w:rFonts w:ascii="宋体" w:hAnsi="宋体"/>
          <w:color w:val="000000" w:themeColor="text1"/>
          <w:szCs w:val="21"/>
          <w:highlight w:val="none"/>
          <w:u w:val="single"/>
          <w14:textFill>
            <w14:solidFill>
              <w14:schemeClr w14:val="tx1"/>
            </w14:solidFill>
          </w14:textFill>
        </w:rPr>
        <w:t>。</w:t>
      </w:r>
    </w:p>
    <w:p w14:paraId="321E673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承包人擅自更换项目经理的违约责任：</w:t>
      </w:r>
      <w:r>
        <w:rPr>
          <w:rFonts w:hint="eastAsia" w:ascii="宋体" w:hAnsi="宋体"/>
          <w:color w:val="000000" w:themeColor="text1"/>
          <w:szCs w:val="21"/>
          <w:highlight w:val="none"/>
          <w:u w:val="single"/>
          <w14:textFill>
            <w14:solidFill>
              <w14:schemeClr w14:val="tx1"/>
            </w14:solidFill>
          </w14:textFill>
        </w:rPr>
        <w:t>承包人项目经理必须与承包人竞标时所承诺的人员一致，并在项目开工日期前到任。在监理人向承包人颁发（竣工证明材料名称）前，项目经理不得同时兼任其他任何项目的项目经理。未经发包人书面同意，承包人擅自更换项目经理的视为违约，违约金为人民币15000元/人•次。如发现承包人的项目经理同时兼任其他项目的，发包人视承包人违约，违约金为人民币20000元，同时报住建监管部门。</w:t>
      </w:r>
    </w:p>
    <w:p w14:paraId="61E3CB2C">
      <w:pPr>
        <w:spacing w:line="44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承包人无正当理由拒绝更换项目经理的违约责任：</w:t>
      </w:r>
      <w:r>
        <w:rPr>
          <w:rFonts w:hint="eastAsia" w:ascii="宋体" w:hAnsi="宋体"/>
          <w:color w:val="000000" w:themeColor="text1"/>
          <w:szCs w:val="21"/>
          <w:highlight w:val="none"/>
          <w:u w:val="single"/>
          <w14:textFill>
            <w14:solidFill>
              <w14:schemeClr w14:val="tx1"/>
            </w14:solidFill>
          </w14:textFill>
        </w:rPr>
        <w:t>承包人项目经理因不称职，在收到发包人调换通知后7日内未调换的，视为承包人违约，必须向发包人支付违约金人民币10000元/人•次</w:t>
      </w:r>
      <w:r>
        <w:rPr>
          <w:rFonts w:ascii="宋体" w:hAnsi="宋体"/>
          <w:color w:val="000000" w:themeColor="text1"/>
          <w:szCs w:val="21"/>
          <w:highlight w:val="none"/>
          <w:u w:val="single"/>
          <w14:textFill>
            <w14:solidFill>
              <w14:schemeClr w14:val="tx1"/>
            </w14:solidFill>
          </w14:textFill>
        </w:rPr>
        <w:t>。</w:t>
      </w:r>
    </w:p>
    <w:p w14:paraId="126DA52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 承包人人员</w:t>
      </w:r>
    </w:p>
    <w:p w14:paraId="769D369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3.3.1 承包人提交项目管理机构及施工现场管理人员安排报告的期限：</w:t>
      </w:r>
      <w:r>
        <w:rPr>
          <w:rFonts w:hint="eastAsia" w:ascii="宋体" w:hAnsi="宋体"/>
          <w:color w:val="000000" w:themeColor="text1"/>
          <w:szCs w:val="21"/>
          <w:highlight w:val="none"/>
          <w:u w:val="single"/>
          <w14:textFill>
            <w14:solidFill>
              <w14:schemeClr w14:val="tx1"/>
            </w14:solidFill>
          </w14:textFill>
        </w:rPr>
        <w:t>开工前7天</w:t>
      </w:r>
      <w:r>
        <w:rPr>
          <w:rFonts w:ascii="宋体" w:hAnsi="宋体"/>
          <w:color w:val="000000" w:themeColor="text1"/>
          <w:szCs w:val="21"/>
          <w:highlight w:val="none"/>
          <w14:textFill>
            <w14:solidFill>
              <w14:schemeClr w14:val="tx1"/>
            </w14:solidFill>
          </w14:textFill>
        </w:rPr>
        <w:t>。</w:t>
      </w:r>
    </w:p>
    <w:p w14:paraId="54357BB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承包人无正当理由拒绝撤换主要施工管理人员的违约责任：</w:t>
      </w:r>
      <w:r>
        <w:rPr>
          <w:rFonts w:hint="eastAsia" w:ascii="宋体" w:hAnsi="宋体"/>
          <w:color w:val="000000" w:themeColor="text1"/>
          <w:szCs w:val="21"/>
          <w:highlight w:val="none"/>
          <w:u w:val="single"/>
          <w14:textFill>
            <w14:solidFill>
              <w14:schemeClr w14:val="tx1"/>
            </w14:solidFill>
          </w14:textFill>
        </w:rPr>
        <w:t>承包人主要施工管理人员因不称职，在收到发包人调换通知后7日内未调换的，视为承包人违约，必须向发包人承担违约责任并支付违约金，违约金按：技术负责人人民币10000元/人•次</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专业工程师人民币5000元/人•次进行支付。</w:t>
      </w:r>
    </w:p>
    <w:p w14:paraId="3244D156">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承包人主要施工管理人员离开施工现场的批准要求：</w:t>
      </w:r>
      <w:r>
        <w:rPr>
          <w:rFonts w:hint="eastAsia" w:ascii="宋体" w:hAnsi="宋体"/>
          <w:color w:val="000000" w:themeColor="text1"/>
          <w:szCs w:val="21"/>
          <w:highlight w:val="none"/>
          <w:u w:val="single"/>
          <w14:textFill>
            <w14:solidFill>
              <w14:schemeClr w14:val="tx1"/>
            </w14:solidFill>
          </w14:textFill>
        </w:rPr>
        <w:t>须经发包人或监理人书面同意。</w:t>
      </w:r>
    </w:p>
    <w:p w14:paraId="7D335C4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承包人擅自更换主要施工管理人员的违约责任：</w:t>
      </w:r>
      <w:r>
        <w:rPr>
          <w:rFonts w:hint="eastAsia" w:ascii="宋体" w:hAnsi="宋体"/>
          <w:color w:val="000000" w:themeColor="text1"/>
          <w:szCs w:val="21"/>
          <w:highlight w:val="none"/>
          <w:u w:val="single"/>
          <w14:textFill>
            <w14:solidFill>
              <w14:schemeClr w14:val="tx1"/>
            </w14:solidFill>
          </w14:textFill>
        </w:rPr>
        <w:t>技术负责人、专业工程师未经发包人书面同意不准擅自更换，擅自更换技术负责人的按人民币100000元/人•次违约金进行支付</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擅自更换专业工程师（施工员、安全员、资料员）处人民币20000元/人•次违约金。项目管理人员出现身故、重伤、重病、离职及被发包人主动更换五者之一情况而无法履职的，承包人在出具相关证明后变更管理人员的，可免于向发包人支付违约金。如承包人需要调换施工现场管理人员时，需经发包人同意后生效。新调换施工管理人员应与被调换管理人员有相同或更优秀的资历（专业、职称、职业资格），否则，发包人有权拒绝。</w:t>
      </w:r>
    </w:p>
    <w:p w14:paraId="5FD26F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承包人主要施工管理人员擅自离开施工现场的违约责任：</w:t>
      </w:r>
      <w:r>
        <w:rPr>
          <w:rFonts w:hint="eastAsia" w:ascii="宋体" w:hAnsi="宋体"/>
          <w:color w:val="000000" w:themeColor="text1"/>
          <w:szCs w:val="21"/>
          <w:highlight w:val="none"/>
          <w:u w:val="single"/>
          <w14:textFill>
            <w14:solidFill>
              <w14:schemeClr w14:val="tx1"/>
            </w14:solidFill>
          </w14:textFill>
        </w:rPr>
        <w:t>未经发包人同意，技术负责人擅自离岗或者不到位的，视为承包人违约，承包人按人民币1000元/人•次（天）向发包人支付违约金</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未经发包人同意，专业工程师（施工员、安全员、资料员）擅自离岗或者不到位的，视为承包人违约，承包人按人民币500 元/人•次（天）向发包人支付违约金</w:t>
      </w:r>
      <w:r>
        <w:rPr>
          <w:rFonts w:ascii="宋体" w:hAnsi="宋体"/>
          <w:color w:val="000000" w:themeColor="text1"/>
          <w:szCs w:val="21"/>
          <w:highlight w:val="none"/>
          <w:u w:val="single"/>
          <w14:textFill>
            <w14:solidFill>
              <w14:schemeClr w14:val="tx1"/>
            </w14:solidFill>
          </w14:textFill>
        </w:rPr>
        <w:t>。</w:t>
      </w:r>
    </w:p>
    <w:p w14:paraId="656DF5E0">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bookmarkStart w:id="336" w:name="_Toc297216151"/>
      <w:bookmarkStart w:id="337" w:name="_Toc292559364"/>
      <w:bookmarkStart w:id="338" w:name="_Toc297048345"/>
      <w:bookmarkStart w:id="339" w:name="_Toc296891199"/>
      <w:bookmarkStart w:id="340" w:name="_Toc296890987"/>
      <w:bookmarkStart w:id="341" w:name="_Toc297123492"/>
      <w:bookmarkStart w:id="342" w:name="_Toc303539102"/>
      <w:bookmarkStart w:id="343" w:name="_Toc292559869"/>
      <w:bookmarkStart w:id="344" w:name="_Toc296346660"/>
      <w:bookmarkStart w:id="345" w:name="_Toc304295523"/>
      <w:bookmarkStart w:id="346" w:name="_Toc297120459"/>
      <w:bookmarkStart w:id="347" w:name="_Toc296944498"/>
      <w:bookmarkStart w:id="348" w:name="_Toc296347158"/>
      <w:bookmarkStart w:id="349" w:name="_Toc312677988"/>
      <w:bookmarkStart w:id="350" w:name="_Toc296503159"/>
      <w:bookmarkStart w:id="351" w:name="_Toc300934945"/>
      <w:r>
        <w:rPr>
          <w:rFonts w:ascii="宋体" w:hAnsi="宋体"/>
          <w:color w:val="000000" w:themeColor="text1"/>
          <w:szCs w:val="21"/>
          <w:highlight w:val="none"/>
          <w14:textFill>
            <w14:solidFill>
              <w14:schemeClr w14:val="tx1"/>
            </w14:solidFill>
          </w14:textFill>
        </w:rPr>
        <w:t>.5 分包</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3CA0173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bookmarkStart w:id="352" w:name="_Toc296891200"/>
      <w:bookmarkStart w:id="353" w:name="_Toc296503160"/>
      <w:bookmarkStart w:id="354" w:name="_Toc296944499"/>
      <w:bookmarkStart w:id="355" w:name="_Toc292559365"/>
      <w:bookmarkStart w:id="356" w:name="_Toc292559870"/>
      <w:bookmarkStart w:id="357" w:name="_Toc297123493"/>
      <w:bookmarkStart w:id="358" w:name="_Toc296890988"/>
      <w:bookmarkStart w:id="359" w:name="_Toc300934946"/>
      <w:bookmarkStart w:id="360" w:name="_Toc297120460"/>
      <w:bookmarkStart w:id="361" w:name="_Toc304295524"/>
      <w:bookmarkStart w:id="362" w:name="_Toc297048346"/>
      <w:bookmarkStart w:id="363" w:name="_Toc296346661"/>
      <w:bookmarkStart w:id="364" w:name="_Toc303539103"/>
      <w:bookmarkStart w:id="365" w:name="_Toc296347159"/>
      <w:bookmarkStart w:id="366" w:name="_Toc297216152"/>
      <w:bookmarkStart w:id="367" w:name="_Toc318581158"/>
      <w:bookmarkStart w:id="368" w:name="_Toc312677989"/>
      <w:r>
        <w:rPr>
          <w:rFonts w:ascii="宋体" w:hAnsi="宋体"/>
          <w:color w:val="000000" w:themeColor="text1"/>
          <w:szCs w:val="21"/>
          <w:highlight w:val="none"/>
          <w14:textFill>
            <w14:solidFill>
              <w14:schemeClr w14:val="tx1"/>
            </w14:solidFill>
          </w14:textFill>
        </w:rPr>
        <w:t>.5.1 分包的一般约定</w:t>
      </w:r>
    </w:p>
    <w:p w14:paraId="65BDDE7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禁止分包的工程包括：</w:t>
      </w:r>
      <w:r>
        <w:rPr>
          <w:rFonts w:hint="eastAsia" w:ascii="宋体" w:hAnsi="宋体"/>
          <w:color w:val="000000" w:themeColor="text1"/>
          <w:szCs w:val="21"/>
          <w:highlight w:val="none"/>
          <w14:textFill>
            <w14:solidFill>
              <w14:schemeClr w14:val="tx1"/>
            </w14:solidFill>
          </w14:textFill>
        </w:rPr>
        <w:t>本工程禁止分包</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B2FF0D6">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主体结构、关键性工作的范围：</w:t>
      </w:r>
      <w:r>
        <w:rPr>
          <w:rFonts w:hint="eastAsia" w:ascii="宋体" w:hAnsi="宋体" w:cs="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9" w:name="_Toc303539104"/>
      <w:bookmarkStart w:id="370" w:name="_Toc296944500"/>
      <w:bookmarkStart w:id="371" w:name="_Toc300934947"/>
      <w:bookmarkStart w:id="372" w:name="_Toc297048347"/>
      <w:bookmarkStart w:id="373" w:name="_Toc296346662"/>
      <w:bookmarkStart w:id="374" w:name="_Toc296503161"/>
      <w:bookmarkStart w:id="375" w:name="_Toc297123494"/>
      <w:bookmarkStart w:id="376" w:name="_Toc296890989"/>
      <w:bookmarkStart w:id="377" w:name="_Toc297120461"/>
      <w:bookmarkStart w:id="378" w:name="_Toc304295525"/>
      <w:bookmarkStart w:id="379" w:name="_Toc296891201"/>
      <w:bookmarkStart w:id="380" w:name="_Toc296347160"/>
      <w:bookmarkStart w:id="381" w:name="_Toc297216153"/>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6D642E45">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w:t>
      </w:r>
      <w:bookmarkStart w:id="382" w:name="_Toc312677990"/>
      <w:bookmarkStart w:id="383" w:name="_Toc318581159"/>
      <w:r>
        <w:rPr>
          <w:rFonts w:ascii="宋体" w:hAnsi="宋体"/>
          <w:color w:val="000000" w:themeColor="text1"/>
          <w:szCs w:val="21"/>
          <w:highlight w:val="none"/>
          <w14:textFill>
            <w14:solidFill>
              <w14:schemeClr w14:val="tx1"/>
            </w14:solidFill>
          </w14:textFill>
        </w:rPr>
        <w:t>.5.2分包的确定</w:t>
      </w:r>
    </w:p>
    <w:p w14:paraId="5B48C392">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允许分包的专业工程包括</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本工程禁止分包</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1B436E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其他关于分包的约定：。</w:t>
      </w:r>
    </w:p>
    <w:p w14:paraId="37AC627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分包合同价款</w:t>
      </w:r>
    </w:p>
    <w:p w14:paraId="3815570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关于分包合同价款支付的约定：</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bookmarkEnd w:id="382"/>
    <w:bookmarkEnd w:id="383"/>
    <w:p w14:paraId="2B814164">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 工程照管与成品、半成品保护</w:t>
      </w:r>
    </w:p>
    <w:p w14:paraId="2C21BCCC">
      <w:pPr>
        <w:spacing w:before="120" w:after="120" w:line="44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承包人负责照管工程及工程相关的材料、工程设备的起始时间：。</w:t>
      </w:r>
    </w:p>
    <w:p w14:paraId="7E192F7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 履约担保</w:t>
      </w:r>
    </w:p>
    <w:p w14:paraId="48923F1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bookmarkStart w:id="384" w:name="_Toc351203636"/>
      <w:r>
        <w:rPr>
          <w:rFonts w:hint="eastAsia" w:ascii="宋体" w:hAnsi="宋体"/>
          <w:color w:val="000000" w:themeColor="text1"/>
          <w:szCs w:val="21"/>
          <w:highlight w:val="none"/>
          <w14:textFill>
            <w14:solidFill>
              <w14:schemeClr w14:val="tx1"/>
            </w14:solidFill>
          </w14:textFill>
        </w:rPr>
        <w:t>承包人是否提供履约担保：</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6B0E714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承包人提供履约担保的形式</w:t>
      </w:r>
      <w:r>
        <w:rPr>
          <w:rFonts w:hint="eastAsia" w:ascii="宋体" w:hAnsi="宋体"/>
          <w:color w:val="000000" w:themeColor="text1"/>
          <w:szCs w:val="21"/>
          <w:highlight w:val="none"/>
          <w14:textFill>
            <w14:solidFill>
              <w14:schemeClr w14:val="tx1"/>
            </w14:solidFill>
          </w14:textFill>
        </w:rPr>
        <w:t>、金额及期限的</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3CA73C9D">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4</w:t>
      </w:r>
      <w:bookmarkStart w:id="385" w:name="_Toc267251413"/>
      <w:bookmarkStart w:id="386" w:name="_Toc296503162"/>
      <w:bookmarkStart w:id="387" w:name="_Toc297048348"/>
      <w:bookmarkStart w:id="388" w:name="_Toc296346663"/>
      <w:bookmarkStart w:id="389" w:name="_Toc297120462"/>
      <w:bookmarkStart w:id="390" w:name="_Toc292559871"/>
      <w:bookmarkStart w:id="391" w:name="_Toc296347161"/>
      <w:bookmarkStart w:id="392" w:name="_Toc296944501"/>
      <w:bookmarkStart w:id="393" w:name="_Toc292559366"/>
      <w:bookmarkStart w:id="394" w:name="_Toc296891202"/>
      <w:bookmarkStart w:id="395" w:name="_Toc296890990"/>
      <w:r>
        <w:rPr>
          <w:rFonts w:ascii="宋体" w:hAnsi="宋体" w:eastAsia="黑体"/>
          <w:b/>
          <w:color w:val="000000" w:themeColor="text1"/>
          <w:kern w:val="0"/>
          <w:sz w:val="28"/>
          <w:szCs w:val="21"/>
          <w:highlight w:val="none"/>
          <w14:textFill>
            <w14:solidFill>
              <w14:schemeClr w14:val="tx1"/>
            </w14:solidFill>
          </w14:textFill>
        </w:rPr>
        <w:t>. 监</w:t>
      </w:r>
      <w:bookmarkEnd w:id="385"/>
      <w:bookmarkEnd w:id="386"/>
      <w:bookmarkEnd w:id="387"/>
      <w:bookmarkEnd w:id="388"/>
      <w:bookmarkEnd w:id="389"/>
      <w:bookmarkEnd w:id="390"/>
      <w:bookmarkEnd w:id="391"/>
      <w:bookmarkEnd w:id="392"/>
      <w:bookmarkEnd w:id="393"/>
      <w:bookmarkEnd w:id="394"/>
      <w:bookmarkEnd w:id="395"/>
      <w:r>
        <w:rPr>
          <w:rFonts w:ascii="宋体" w:hAnsi="宋体" w:eastAsia="黑体"/>
          <w:b/>
          <w:color w:val="000000" w:themeColor="text1"/>
          <w:kern w:val="0"/>
          <w:sz w:val="28"/>
          <w:szCs w:val="21"/>
          <w:highlight w:val="none"/>
          <w14:textFill>
            <w14:solidFill>
              <w14:schemeClr w14:val="tx1"/>
            </w14:solidFill>
          </w14:textFill>
        </w:rPr>
        <w:t>理人</w:t>
      </w:r>
      <w:bookmarkEnd w:id="384"/>
    </w:p>
    <w:p w14:paraId="4268DC4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4.1监理人的一般规定</w:t>
      </w:r>
    </w:p>
    <w:p w14:paraId="74A5C84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关于监理人的监理内容：。</w:t>
      </w:r>
    </w:p>
    <w:p w14:paraId="752CC511">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关于监理人的监理权限：。 </w:t>
      </w:r>
    </w:p>
    <w:p w14:paraId="1BB2658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关于监理人在施工现场的办公场所、生活场所的提供和费用承担的约定：。</w:t>
      </w:r>
    </w:p>
    <w:p w14:paraId="51892418">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 监理人员</w:t>
      </w:r>
    </w:p>
    <w:p w14:paraId="06B18E9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总监理工程师：</w:t>
      </w:r>
    </w:p>
    <w:p w14:paraId="673B81A5">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lang w:eastAsia="zh-CN"/>
          <w14:textFill>
            <w14:solidFill>
              <w14:schemeClr w14:val="tx1"/>
            </w14:solidFill>
          </w14:textFill>
        </w:rPr>
        <w:t>；</w:t>
      </w:r>
    </w:p>
    <w:p w14:paraId="600C10E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lang w:eastAsia="zh-CN"/>
          <w14:textFill>
            <w14:solidFill>
              <w14:schemeClr w14:val="tx1"/>
            </w14:solidFill>
          </w14:textFill>
        </w:rPr>
        <w:t>；</w:t>
      </w:r>
    </w:p>
    <w:p w14:paraId="1AC7B9E7">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监理工程师执业资格证书号：</w:t>
      </w:r>
      <w:r>
        <w:rPr>
          <w:rFonts w:hint="eastAsia" w:ascii="宋体" w:hAnsi="宋体"/>
          <w:color w:val="000000" w:themeColor="text1"/>
          <w:szCs w:val="21"/>
          <w:highlight w:val="none"/>
          <w:lang w:eastAsia="zh-CN"/>
          <w14:textFill>
            <w14:solidFill>
              <w14:schemeClr w14:val="tx1"/>
            </w14:solidFill>
          </w14:textFill>
        </w:rPr>
        <w:t>；</w:t>
      </w:r>
    </w:p>
    <w:p w14:paraId="05F82FDB">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2399C674">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684AB81A">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lang w:eastAsia="zh-CN"/>
          <w14:textFill>
            <w14:solidFill>
              <w14:schemeClr w14:val="tx1"/>
            </w14:solidFill>
          </w14:textFill>
        </w:rPr>
        <w:t>；</w:t>
      </w:r>
    </w:p>
    <w:p w14:paraId="0315B94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关于监理人的其他约定：。</w:t>
      </w:r>
    </w:p>
    <w:p w14:paraId="790CADB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商定或确定</w:t>
      </w:r>
    </w:p>
    <w:p w14:paraId="59361211">
      <w:pPr>
        <w:spacing w:line="440" w:lineRule="exact"/>
        <w:ind w:firstLine="420" w:firstLineChars="200"/>
        <w:rPr>
          <w:rFonts w:ascii="宋体" w:hAnsi="宋体"/>
          <w:color w:val="000000" w:themeColor="text1"/>
          <w:szCs w:val="21"/>
          <w:highlight w:val="none"/>
          <w14:textFill>
            <w14:solidFill>
              <w14:schemeClr w14:val="tx1"/>
            </w14:solidFill>
          </w14:textFill>
        </w:rPr>
      </w:pPr>
      <w:bookmarkStart w:id="396" w:name="_Toc267251418"/>
      <w:r>
        <w:rPr>
          <w:rFonts w:ascii="宋体" w:hAnsi="宋体"/>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1FD40DC4">
      <w:pPr>
        <w:autoSpaceDE w:val="0"/>
        <w:autoSpaceDN w:val="0"/>
        <w:adjustRightInd w:val="0"/>
        <w:spacing w:line="44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p w14:paraId="42CF5FF9">
      <w:pPr>
        <w:autoSpaceDE w:val="0"/>
        <w:autoSpaceDN w:val="0"/>
        <w:adjustRightInd w:val="0"/>
        <w:spacing w:line="44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p>
    <w:p w14:paraId="66C82205">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p>
    <w:p w14:paraId="1F95252E">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397" w:name="_Toc351203637"/>
      <w:r>
        <w:rPr>
          <w:rFonts w:ascii="宋体" w:hAnsi="宋体" w:eastAsia="黑体"/>
          <w:b/>
          <w:color w:val="000000" w:themeColor="text1"/>
          <w:kern w:val="0"/>
          <w:sz w:val="28"/>
          <w:szCs w:val="21"/>
          <w:highlight w:val="none"/>
          <w14:textFill>
            <w14:solidFill>
              <w14:schemeClr w14:val="tx1"/>
            </w14:solidFill>
          </w14:textFill>
        </w:rPr>
        <w:t>5</w:t>
      </w:r>
      <w:bookmarkEnd w:id="396"/>
      <w:bookmarkStart w:id="398" w:name="_Toc296346664"/>
      <w:bookmarkStart w:id="399" w:name="_Toc296944502"/>
      <w:bookmarkStart w:id="400" w:name="_Toc297048349"/>
      <w:bookmarkStart w:id="401" w:name="_Toc296891203"/>
      <w:bookmarkStart w:id="402" w:name="_Toc297120463"/>
      <w:bookmarkStart w:id="403" w:name="_Toc292559367"/>
      <w:bookmarkStart w:id="404" w:name="_Toc292559872"/>
      <w:bookmarkStart w:id="405" w:name="_Toc296890991"/>
      <w:bookmarkStart w:id="406" w:name="_Toc296503163"/>
      <w:bookmarkStart w:id="407" w:name="_Toc296347162"/>
      <w:r>
        <w:rPr>
          <w:rFonts w:ascii="宋体" w:hAnsi="宋体" w:eastAsia="黑体"/>
          <w:b/>
          <w:color w:val="000000" w:themeColor="text1"/>
          <w:kern w:val="0"/>
          <w:sz w:val="28"/>
          <w:szCs w:val="21"/>
          <w:highlight w:val="none"/>
          <w14:textFill>
            <w14:solidFill>
              <w14:schemeClr w14:val="tx1"/>
            </w14:solidFill>
          </w14:textFill>
        </w:rPr>
        <w:t>. 工程质量</w:t>
      </w:r>
      <w:bookmarkEnd w:id="397"/>
    </w:p>
    <w:p w14:paraId="23A3114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 质量要求</w:t>
      </w:r>
    </w:p>
    <w:p w14:paraId="0DC58FD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bookmarkStart w:id="408" w:name="_Toc303539106"/>
      <w:bookmarkStart w:id="409" w:name="_Toc304295527"/>
      <w:bookmarkStart w:id="410" w:name="_Toc297123496"/>
      <w:bookmarkStart w:id="411" w:name="_Toc312677997"/>
      <w:bookmarkStart w:id="412" w:name="_Toc318581164"/>
      <w:bookmarkStart w:id="413" w:name="_Toc300934949"/>
      <w:bookmarkStart w:id="414" w:name="_Toc297216155"/>
      <w:r>
        <w:rPr>
          <w:rFonts w:ascii="宋体" w:hAnsi="宋体"/>
          <w:color w:val="000000" w:themeColor="text1"/>
          <w:szCs w:val="21"/>
          <w:highlight w:val="none"/>
          <w14:textFill>
            <w14:solidFill>
              <w14:schemeClr w14:val="tx1"/>
            </w14:solidFill>
          </w14:textFill>
        </w:rPr>
        <w:t>.1.1 特殊质量标准和要求：。</w:t>
      </w:r>
    </w:p>
    <w:p w14:paraId="0E7BF02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关于工程奖项的约定：。</w:t>
      </w:r>
    </w:p>
    <w:p w14:paraId="57A44696">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 隐蔽工程检查</w:t>
      </w:r>
    </w:p>
    <w:p w14:paraId="3CC2CA8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5.3.2承包人提前通知监理人隐蔽工程检查的期限的约定：</w:t>
      </w:r>
      <w:r>
        <w:rPr>
          <w:rFonts w:hint="eastAsia" w:ascii="宋体" w:hAnsi="宋体"/>
          <w:b/>
          <w:bCs/>
          <w:color w:val="000000" w:themeColor="text1"/>
          <w:szCs w:val="21"/>
          <w:highlight w:val="none"/>
          <w:u w:val="single"/>
          <w14:textFill>
            <w14:solidFill>
              <w14:schemeClr w14:val="tx1"/>
            </w14:solidFill>
          </w14:textFill>
        </w:rPr>
        <w:t>工程隐蔽或中间验收前24小时以书面形式通知发包人和监理工程师验收的内容、时间、地点，承包人准备验收记录单（最好是印制的表格）由双方签证。验收合格，承包人可进行隐蔽和继续施工</w:t>
      </w:r>
      <w:r>
        <w:rPr>
          <w:rFonts w:hint="eastAsia" w:ascii="宋体" w:hAnsi="宋体"/>
          <w:b/>
          <w:bCs/>
          <w:color w:val="000000" w:themeColor="text1"/>
          <w:szCs w:val="21"/>
          <w:highlight w:val="none"/>
          <w:u w:val="single"/>
          <w:lang w:eastAsia="zh-CN"/>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验收不合格，双方商订时限内修改后按上述循序重新验收。</w:t>
      </w:r>
    </w:p>
    <w:p w14:paraId="38D88F7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监理人不能按时进行检查时，应提前</w:t>
      </w:r>
      <w:r>
        <w:rPr>
          <w:rFonts w:hint="eastAsia" w:ascii="宋体" w:hAnsi="宋体"/>
          <w:color w:val="000000" w:themeColor="text1"/>
          <w:szCs w:val="21"/>
          <w:highlight w:val="none"/>
          <w14:textFill>
            <w14:solidFill>
              <w14:schemeClr w14:val="tx1"/>
            </w14:solidFill>
          </w14:textFill>
        </w:rPr>
        <w:t>24</w:t>
      </w:r>
      <w:r>
        <w:rPr>
          <w:rFonts w:ascii="宋体" w:hAnsi="宋体"/>
          <w:color w:val="000000" w:themeColor="text1"/>
          <w:szCs w:val="21"/>
          <w:highlight w:val="none"/>
          <w14:textFill>
            <w14:solidFill>
              <w14:schemeClr w14:val="tx1"/>
            </w14:solidFill>
          </w14:textFill>
        </w:rPr>
        <w:t>小时提交书面延期要求。</w:t>
      </w:r>
    </w:p>
    <w:p w14:paraId="481B41D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关于延期最长不得超过：</w:t>
      </w:r>
      <w:r>
        <w:rPr>
          <w:rFonts w:hint="eastAsia" w:ascii="宋体" w:hAnsi="宋体"/>
          <w:color w:val="000000" w:themeColor="text1"/>
          <w:szCs w:val="21"/>
          <w:highlight w:val="none"/>
          <w14:textFill>
            <w14:solidFill>
              <w14:schemeClr w14:val="tx1"/>
            </w14:solidFill>
          </w14:textFill>
        </w:rPr>
        <w:t>12</w:t>
      </w:r>
      <w:r>
        <w:rPr>
          <w:rFonts w:ascii="宋体" w:hAnsi="宋体"/>
          <w:color w:val="000000" w:themeColor="text1"/>
          <w:szCs w:val="21"/>
          <w:highlight w:val="none"/>
          <w14:textFill>
            <w14:solidFill>
              <w14:schemeClr w14:val="tx1"/>
            </w14:solidFill>
          </w14:textFill>
        </w:rPr>
        <w:t>小时。</w:t>
      </w:r>
    </w:p>
    <w:p w14:paraId="47ABC650">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415" w:name="_Toc351203638"/>
      <w:r>
        <w:rPr>
          <w:rFonts w:ascii="宋体" w:hAnsi="宋体" w:eastAsia="黑体"/>
          <w:b/>
          <w:color w:val="000000" w:themeColor="text1"/>
          <w:kern w:val="0"/>
          <w:sz w:val="28"/>
          <w:szCs w:val="21"/>
          <w:highlight w:val="none"/>
          <w14:textFill>
            <w14:solidFill>
              <w14:schemeClr w14:val="tx1"/>
            </w14:solidFill>
          </w14:textFill>
        </w:rPr>
        <w:t>6. 安全文明施工与环境保护</w:t>
      </w:r>
      <w:bookmarkEnd w:id="415"/>
    </w:p>
    <w:p w14:paraId="544D2E7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6.1安全文明施工</w:t>
      </w:r>
    </w:p>
    <w:p w14:paraId="7B8E4C9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6.1.1 项目安全生产的达标目标及相应事项的约定：。</w:t>
      </w:r>
    </w:p>
    <w:p w14:paraId="5CF48B0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关于治安保卫的特别约定：</w:t>
      </w:r>
      <w:r>
        <w:rPr>
          <w:rFonts w:hint="eastAsia" w:ascii="宋体" w:hAnsi="宋体"/>
          <w:b/>
          <w:color w:val="000000" w:themeColor="text1"/>
          <w:szCs w:val="21"/>
          <w:highlight w:val="none"/>
          <w:u w:val="single"/>
          <w14:textFill>
            <w14:solidFill>
              <w14:schemeClr w14:val="tx1"/>
            </w14:solidFill>
          </w14:textFill>
        </w:rPr>
        <w:t>承包人应承担施工安全保卫工作及非夜间施工照明的责任，承包人应采取一切合理的预防措施，防止人员伤亡、财产损失事故，费用由承包人承担</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承包人生活设施及施工场应自费配备消防设备，防止火灾发生。</w:t>
      </w:r>
    </w:p>
    <w:p w14:paraId="2D8F59C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关于编制施工场地治安管理计划的约定：</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14:paraId="3A38AF3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6.1.3 文明施工</w:t>
      </w:r>
    </w:p>
    <w:p w14:paraId="65EA0BF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当事人对文明施工的要求：承包人应按住建主管部门有关规定做好工程质量和安全管理、环境保护和文明施工的工作，建立完善的工程质量和安全管理、环境保护和文明施工体系，严格遵照实施，并接受发包人及相关职能部门的监督检查。</w:t>
      </w:r>
    </w:p>
    <w:p w14:paraId="0F58169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关于安全文明施工费支付比例和支付期限的约定：</w:t>
      </w:r>
    </w:p>
    <w:p w14:paraId="4FBE0759">
      <w:pPr>
        <w:numPr>
          <w:ilvl w:val="0"/>
          <w:numId w:val="3"/>
        </w:num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本合同价款已包含安全文明施工费</w:t>
      </w:r>
    </w:p>
    <w:p w14:paraId="6A6FDA5A">
      <w:pPr>
        <w:numPr>
          <w:ilvl w:val="0"/>
          <w:numId w:val="3"/>
        </w:num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使用要求：专款专用。具体按《广西壮族自治区建设工程安全文明施工费使用管理细则》（桂建质【2015】16号及其相关规定执行）</w:t>
      </w:r>
      <w:r>
        <w:rPr>
          <w:rFonts w:ascii="宋体" w:hAnsi="宋体"/>
          <w:color w:val="000000" w:themeColor="text1"/>
          <w:szCs w:val="21"/>
          <w:highlight w:val="none"/>
          <w14:textFill>
            <w14:solidFill>
              <w14:schemeClr w14:val="tx1"/>
            </w14:solidFill>
          </w14:textFill>
        </w:rPr>
        <w:t>。</w:t>
      </w:r>
    </w:p>
    <w:p w14:paraId="7828199C">
      <w:pPr>
        <w:numPr>
          <w:ilvl w:val="0"/>
          <w:numId w:val="3"/>
        </w:num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支付约定：限额内专款专用，实报实销。</w:t>
      </w:r>
    </w:p>
    <w:p w14:paraId="661BC76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6.2环境保护:</w:t>
      </w:r>
      <w:r>
        <w:rPr>
          <w:rFonts w:hint="eastAsia" w:ascii="宋体" w:hAnsi="宋体"/>
          <w:b/>
          <w:color w:val="000000" w:themeColor="text1"/>
          <w:szCs w:val="21"/>
          <w:highlight w:val="none"/>
          <w:u w:val="single"/>
          <w14:textFill>
            <w14:solidFill>
              <w14:schemeClr w14:val="tx1"/>
            </w14:solidFill>
          </w14:textFill>
        </w:rPr>
        <w:t>因施工需要，经发包人批准，由承包人办理有关施工场地交通、环卫和施工噪音管理等手续，费用由承包人负责。经过城市道路的施工车辆，必须按交警、城管、运输等部门相关规定执行。由于施工车辆造成的道路、环境等污染，其责任和费用均由承包人承担。</w:t>
      </w:r>
    </w:p>
    <w:bookmarkEnd w:id="408"/>
    <w:bookmarkEnd w:id="409"/>
    <w:bookmarkEnd w:id="410"/>
    <w:bookmarkEnd w:id="411"/>
    <w:bookmarkEnd w:id="412"/>
    <w:bookmarkEnd w:id="413"/>
    <w:bookmarkEnd w:id="414"/>
    <w:p w14:paraId="74C601D5">
      <w:pPr>
        <w:keepNext/>
        <w:keepLines/>
        <w:widowControl/>
        <w:spacing w:before="120" w:after="120" w:line="440" w:lineRule="exact"/>
        <w:ind w:firstLine="141" w:firstLineChars="50"/>
        <w:outlineLvl w:val="3"/>
        <w:rPr>
          <w:rFonts w:ascii="宋体" w:hAnsi="宋体" w:eastAsia="黑体"/>
          <w:b/>
          <w:color w:val="000000" w:themeColor="text1"/>
          <w:kern w:val="0"/>
          <w:sz w:val="28"/>
          <w:szCs w:val="21"/>
          <w:highlight w:val="none"/>
          <w14:textFill>
            <w14:solidFill>
              <w14:schemeClr w14:val="tx1"/>
            </w14:solidFill>
          </w14:textFill>
        </w:rPr>
      </w:pPr>
      <w:bookmarkStart w:id="416" w:name="_Toc351203639"/>
      <w:r>
        <w:rPr>
          <w:rFonts w:ascii="宋体" w:hAnsi="宋体" w:eastAsia="黑体"/>
          <w:b/>
          <w:color w:val="000000" w:themeColor="text1"/>
          <w:kern w:val="0"/>
          <w:sz w:val="28"/>
          <w:szCs w:val="21"/>
          <w:highlight w:val="none"/>
          <w14:textFill>
            <w14:solidFill>
              <w14:schemeClr w14:val="tx1"/>
            </w14:solidFill>
          </w14:textFill>
        </w:rPr>
        <w:t>7. 工期和进度</w:t>
      </w:r>
      <w:bookmarkEnd w:id="416"/>
    </w:p>
    <w:p w14:paraId="6AEFEFC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 施工组织设计</w:t>
      </w:r>
    </w:p>
    <w:p w14:paraId="03060624">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w:t>
      </w:r>
      <w:r>
        <w:rPr>
          <w:rFonts w:hint="eastAsia" w:ascii="宋体" w:hAnsi="宋体"/>
          <w:color w:val="000000" w:themeColor="text1"/>
          <w:szCs w:val="21"/>
          <w:highlight w:val="none"/>
          <w14:textFill>
            <w14:solidFill>
              <w14:schemeClr w14:val="tx1"/>
            </w14:solidFill>
          </w14:textFill>
        </w:rPr>
        <w:t>1 合</w:t>
      </w:r>
      <w:r>
        <w:rPr>
          <w:rFonts w:hint="eastAsia" w:ascii="宋体" w:hAnsi="宋体"/>
          <w:color w:val="000000" w:themeColor="text1"/>
          <w:kern w:val="0"/>
          <w:szCs w:val="21"/>
          <w:highlight w:val="none"/>
          <w14:textFill>
            <w14:solidFill>
              <w14:schemeClr w14:val="tx1"/>
            </w14:solidFill>
          </w14:textFill>
        </w:rPr>
        <w:t>同当事人约定的</w:t>
      </w:r>
      <w:r>
        <w:rPr>
          <w:rFonts w:ascii="宋体" w:hAnsi="宋体"/>
          <w:color w:val="000000" w:themeColor="text1"/>
          <w:kern w:val="0"/>
          <w:szCs w:val="21"/>
          <w:highlight w:val="none"/>
          <w14:textFill>
            <w14:solidFill>
              <w14:schemeClr w14:val="tx1"/>
            </w14:solidFill>
          </w14:textFill>
        </w:rPr>
        <w:t>施工组织设计</w:t>
      </w:r>
      <w:r>
        <w:rPr>
          <w:rFonts w:hint="eastAsia" w:ascii="宋体" w:hAnsi="宋体"/>
          <w:color w:val="000000" w:themeColor="text1"/>
          <w:kern w:val="0"/>
          <w:szCs w:val="21"/>
          <w:highlight w:val="none"/>
          <w14:textFill>
            <w14:solidFill>
              <w14:schemeClr w14:val="tx1"/>
            </w14:solidFill>
          </w14:textFill>
        </w:rPr>
        <w:t>应包括的其他内容</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14:paraId="45A80876">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7.1.2</w:t>
      </w:r>
      <w:r>
        <w:rPr>
          <w:rFonts w:ascii="宋体" w:hAnsi="宋体"/>
          <w:color w:val="000000" w:themeColor="text1"/>
          <w:kern w:val="0"/>
          <w:szCs w:val="21"/>
          <w:highlight w:val="none"/>
          <w14:textFill>
            <w14:solidFill>
              <w14:schemeClr w14:val="tx1"/>
            </w14:solidFill>
          </w14:textFill>
        </w:rPr>
        <w:t>施工组织设计的提交和修改</w:t>
      </w:r>
    </w:p>
    <w:p w14:paraId="29032B81">
      <w:pPr>
        <w:autoSpaceDE w:val="0"/>
        <w:autoSpaceDN w:val="0"/>
        <w:adjustRightInd w:val="0"/>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承包人提交详细施工组织设计的期限的约定：</w:t>
      </w:r>
      <w:r>
        <w:rPr>
          <w:rFonts w:ascii="宋体" w:hAnsi="宋体"/>
          <w:color w:val="000000" w:themeColor="text1"/>
          <w:szCs w:val="21"/>
          <w:highlight w:val="none"/>
          <w14:textFill>
            <w14:solidFill>
              <w14:schemeClr w14:val="tx1"/>
            </w14:solidFill>
          </w14:textFill>
        </w:rPr>
        <w:t>。</w:t>
      </w:r>
    </w:p>
    <w:p w14:paraId="3B38A7A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发包人和监理人在收到</w:t>
      </w:r>
      <w:r>
        <w:rPr>
          <w:rFonts w:hint="eastAsia" w:ascii="宋体" w:hAnsi="宋体"/>
          <w:color w:val="000000" w:themeColor="text1"/>
          <w:szCs w:val="21"/>
          <w:highlight w:val="none"/>
          <w14:textFill>
            <w14:solidFill>
              <w14:schemeClr w14:val="tx1"/>
            </w14:solidFill>
          </w14:textFill>
        </w:rPr>
        <w:t>详细的施工组织设计</w:t>
      </w:r>
      <w:r>
        <w:rPr>
          <w:rFonts w:ascii="宋体" w:hAnsi="宋体"/>
          <w:color w:val="000000" w:themeColor="text1"/>
          <w:szCs w:val="21"/>
          <w:highlight w:val="none"/>
          <w14:textFill>
            <w14:solidFill>
              <w14:schemeClr w14:val="tx1"/>
            </w14:solidFill>
          </w14:textFill>
        </w:rPr>
        <w:t>后确认或提出修改意见的期限：。</w:t>
      </w:r>
    </w:p>
    <w:p w14:paraId="2C833DE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17" w:name="_Toc297123514"/>
      <w:bookmarkStart w:id="418" w:name="_Toc312678005"/>
      <w:bookmarkStart w:id="419" w:name="_Toc300934966"/>
      <w:bookmarkStart w:id="420" w:name="_Toc303539123"/>
      <w:bookmarkStart w:id="421" w:name="_Toc312677479"/>
      <w:bookmarkStart w:id="422" w:name="_Toc297216173"/>
      <w:bookmarkStart w:id="423" w:name="_Toc304295541"/>
      <w:r>
        <w:rPr>
          <w:rFonts w:ascii="宋体" w:hAnsi="宋体"/>
          <w:color w:val="000000" w:themeColor="text1"/>
          <w:szCs w:val="21"/>
          <w:highlight w:val="none"/>
          <w14:textFill>
            <w14:solidFill>
              <w14:schemeClr w14:val="tx1"/>
            </w14:solidFill>
          </w14:textFill>
        </w:rPr>
        <w:t>.2 施工进度计划</w:t>
      </w:r>
    </w:p>
    <w:p w14:paraId="5166FEF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施工进度计划的修订</w:t>
      </w:r>
    </w:p>
    <w:p w14:paraId="7043855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发包人和监理人在收到修订的施工进度计划后确认或提出修改意见的期限：。</w:t>
      </w:r>
    </w:p>
    <w:p w14:paraId="2789EC3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 开工</w:t>
      </w:r>
    </w:p>
    <w:p w14:paraId="7D3C119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7.3.1 开工准备</w:t>
      </w:r>
    </w:p>
    <w:p w14:paraId="42D95EEE">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关于承包人提交</w:t>
      </w:r>
      <w:r>
        <w:rPr>
          <w:rFonts w:ascii="宋体" w:hAnsi="宋体"/>
          <w:color w:val="000000" w:themeColor="text1"/>
          <w:kern w:val="0"/>
          <w:szCs w:val="21"/>
          <w:highlight w:val="none"/>
          <w14:textFill>
            <w14:solidFill>
              <w14:schemeClr w14:val="tx1"/>
            </w14:solidFill>
          </w14:textFill>
        </w:rPr>
        <w:t>工程开工报审表的期限：</w:t>
      </w:r>
      <w:r>
        <w:rPr>
          <w:rFonts w:ascii="宋体" w:hAnsi="宋体"/>
          <w:color w:val="000000" w:themeColor="text1"/>
          <w:szCs w:val="21"/>
          <w:highlight w:val="none"/>
          <w14:textFill>
            <w14:solidFill>
              <w14:schemeClr w14:val="tx1"/>
            </w14:solidFill>
          </w14:textFill>
        </w:rPr>
        <w:t>。</w:t>
      </w:r>
    </w:p>
    <w:p w14:paraId="4A40EDB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关于发包人应完成的其他开工准备工作及期限：。</w:t>
      </w:r>
    </w:p>
    <w:p w14:paraId="2CFA7E9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关于承包人应完成的其他开工准备工作及期限：。</w:t>
      </w:r>
    </w:p>
    <w:p w14:paraId="14EF979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7.3.2开工通知</w:t>
      </w:r>
    </w:p>
    <w:p w14:paraId="2D6BA58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因发包人原因造成监理人未能在计划开工日期之日起天内发出开工通知的，承包人有权提出价格调整要求，或者解除合同。</w:t>
      </w:r>
    </w:p>
    <w:bookmarkEnd w:id="417"/>
    <w:bookmarkEnd w:id="418"/>
    <w:bookmarkEnd w:id="419"/>
    <w:bookmarkEnd w:id="420"/>
    <w:bookmarkEnd w:id="421"/>
    <w:bookmarkEnd w:id="422"/>
    <w:bookmarkEnd w:id="423"/>
    <w:p w14:paraId="445B64F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7.4 测量放线</w:t>
      </w:r>
    </w:p>
    <w:p w14:paraId="366C17C0">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7.4.1发包人通过监理人向承包人提供测量基准点、基准线和水准点及其书面资料的期限：。</w:t>
      </w:r>
    </w:p>
    <w:p w14:paraId="334158B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24" w:name="_Toc312677484"/>
      <w:bookmarkStart w:id="425" w:name="_Toc300934968"/>
      <w:bookmarkStart w:id="426" w:name="_Toc297216175"/>
      <w:bookmarkStart w:id="427" w:name="_Toc297123516"/>
      <w:bookmarkStart w:id="428" w:name="_Toc312678010"/>
      <w:bookmarkStart w:id="429" w:name="_Toc304295546"/>
      <w:bookmarkStart w:id="430" w:name="_Toc303539125"/>
      <w:r>
        <w:rPr>
          <w:rFonts w:ascii="宋体" w:hAnsi="宋体"/>
          <w:color w:val="000000" w:themeColor="text1"/>
          <w:szCs w:val="21"/>
          <w:highlight w:val="none"/>
          <w14:textFill>
            <w14:solidFill>
              <w14:schemeClr w14:val="tx1"/>
            </w14:solidFill>
          </w14:textFill>
        </w:rPr>
        <w:t>.5 工期延误</w:t>
      </w:r>
    </w:p>
    <w:bookmarkEnd w:id="424"/>
    <w:bookmarkEnd w:id="425"/>
    <w:bookmarkEnd w:id="426"/>
    <w:bookmarkEnd w:id="427"/>
    <w:bookmarkEnd w:id="428"/>
    <w:bookmarkEnd w:id="429"/>
    <w:bookmarkEnd w:id="430"/>
    <w:p w14:paraId="712EF3C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7.5.1 因发包人原因导致工期延误</w:t>
      </w:r>
    </w:p>
    <w:p w14:paraId="68DEAA7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（7）因发包人原因导致工期延误的其他情形：。</w:t>
      </w:r>
    </w:p>
    <w:p w14:paraId="6415215D">
      <w:pPr>
        <w:spacing w:line="440" w:lineRule="exact"/>
        <w:ind w:firstLine="422" w:firstLineChars="200"/>
        <w:jc w:val="left"/>
        <w:rPr>
          <w:rFonts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u w:val="single"/>
          <w14:textFill>
            <w14:solidFill>
              <w14:schemeClr w14:val="tx1"/>
            </w14:solidFill>
          </w14:textFill>
        </w:rPr>
        <w:t>因</w:t>
      </w:r>
      <w:r>
        <w:rPr>
          <w:rFonts w:hint="eastAsia" w:ascii="宋体" w:hAnsi="宋体"/>
          <w:b/>
          <w:bCs/>
          <w:color w:val="000000" w:themeColor="text1"/>
          <w:szCs w:val="21"/>
          <w:highlight w:val="none"/>
          <w:u w:val="single"/>
          <w14:textFill>
            <w14:solidFill>
              <w14:schemeClr w14:val="tx1"/>
            </w14:solidFill>
          </w14:textFill>
        </w:rPr>
        <w:t>发</w:t>
      </w:r>
      <w:r>
        <w:rPr>
          <w:rFonts w:ascii="宋体" w:hAnsi="宋体"/>
          <w:b/>
          <w:bCs/>
          <w:color w:val="000000" w:themeColor="text1"/>
          <w:szCs w:val="21"/>
          <w:highlight w:val="none"/>
          <w:u w:val="single"/>
          <w14:textFill>
            <w14:solidFill>
              <w14:schemeClr w14:val="tx1"/>
            </w14:solidFill>
          </w14:textFill>
        </w:rPr>
        <w:t>包人</w:t>
      </w:r>
      <w:r>
        <w:rPr>
          <w:rFonts w:hint="eastAsia" w:ascii="宋体" w:hAnsi="宋体"/>
          <w:b/>
          <w:bCs/>
          <w:color w:val="000000" w:themeColor="text1"/>
          <w:szCs w:val="21"/>
          <w:highlight w:val="none"/>
          <w:u w:val="single"/>
          <w14:textFill>
            <w14:solidFill>
              <w14:schemeClr w14:val="tx1"/>
            </w14:solidFill>
          </w14:textFill>
        </w:rPr>
        <w:t>资金未能及时支付等资金方面的</w:t>
      </w:r>
      <w:r>
        <w:rPr>
          <w:rFonts w:ascii="宋体" w:hAnsi="宋体"/>
          <w:b/>
          <w:bCs/>
          <w:color w:val="000000" w:themeColor="text1"/>
          <w:szCs w:val="21"/>
          <w:highlight w:val="none"/>
          <w:u w:val="single"/>
          <w14:textFill>
            <w14:solidFill>
              <w14:schemeClr w14:val="tx1"/>
            </w14:solidFill>
          </w14:textFill>
        </w:rPr>
        <w:t>原因</w:t>
      </w:r>
      <w:r>
        <w:rPr>
          <w:rFonts w:hint="eastAsia" w:ascii="宋体" w:hAnsi="宋体"/>
          <w:b/>
          <w:bCs/>
          <w:color w:val="000000" w:themeColor="text1"/>
          <w:szCs w:val="21"/>
          <w:highlight w:val="none"/>
          <w:u w:val="single"/>
          <w14:textFill>
            <w14:solidFill>
              <w14:schemeClr w14:val="tx1"/>
            </w14:solidFill>
          </w14:textFill>
        </w:rPr>
        <w:t>，若承包人因此造成的窝工、停工超过两个月的，发包人有权更换承包人。</w:t>
      </w:r>
    </w:p>
    <w:p w14:paraId="1E6EA9A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31" w:name="_Toc318581169"/>
      <w:bookmarkStart w:id="432" w:name="_Toc312678012"/>
      <w:bookmarkStart w:id="433" w:name="_Toc312677486"/>
      <w:bookmarkStart w:id="434" w:name="_Toc303539127"/>
      <w:bookmarkStart w:id="435" w:name="_Toc300934970"/>
      <w:bookmarkStart w:id="436" w:name="_Toc297123518"/>
      <w:bookmarkStart w:id="437" w:name="_Toc297216177"/>
      <w:bookmarkStart w:id="438" w:name="_Toc304295548"/>
      <w:r>
        <w:rPr>
          <w:rFonts w:ascii="宋体" w:hAnsi="宋体"/>
          <w:color w:val="000000" w:themeColor="text1"/>
          <w:szCs w:val="21"/>
          <w:highlight w:val="none"/>
          <w14:textFill>
            <w14:solidFill>
              <w14:schemeClr w14:val="tx1"/>
            </w14:solidFill>
          </w14:textFill>
        </w:rPr>
        <w:t>.5.2 因承包人原因导致工期延误</w:t>
      </w:r>
    </w:p>
    <w:bookmarkEnd w:id="431"/>
    <w:bookmarkEnd w:id="432"/>
    <w:bookmarkEnd w:id="433"/>
    <w:p w14:paraId="0DC38FF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w:t>
      </w:r>
      <w:bookmarkStart w:id="439" w:name="_Toc312677487"/>
      <w:bookmarkStart w:id="440" w:name="_Toc312678013"/>
      <w:bookmarkStart w:id="441" w:name="_Toc318581170"/>
      <w:r>
        <w:rPr>
          <w:rFonts w:ascii="宋体" w:hAnsi="宋体"/>
          <w:color w:val="000000" w:themeColor="text1"/>
          <w:szCs w:val="21"/>
          <w:highlight w:val="none"/>
          <w14:textFill>
            <w14:solidFill>
              <w14:schemeClr w14:val="tx1"/>
            </w14:solidFill>
          </w14:textFill>
        </w:rPr>
        <w:t>承包人原因造成工期延误，逾期竣工违约金的计算方法：</w:t>
      </w:r>
      <w:r>
        <w:rPr>
          <w:rFonts w:hint="eastAsia" w:ascii="宋体" w:hAnsi="宋体"/>
          <w:b/>
          <w:color w:val="000000" w:themeColor="text1"/>
          <w:szCs w:val="21"/>
          <w:highlight w:val="none"/>
          <w:u w:val="single"/>
          <w14:textFill>
            <w14:solidFill>
              <w14:schemeClr w14:val="tx1"/>
            </w14:solidFill>
          </w14:textFill>
        </w:rPr>
        <w:t>非上述原因，承包人不能按合同约定的时间竣工，承包人应承担违约责任。应向发包人支付误期赔偿费（每天赔偿金额为合同价款的万分之一），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000000" w:themeColor="text1"/>
          <w:szCs w:val="21"/>
          <w:highlight w:val="none"/>
          <w14:textFill>
            <w14:solidFill>
              <w14:schemeClr w14:val="tx1"/>
            </w14:solidFill>
          </w14:textFill>
        </w:rPr>
        <w:t>。</w:t>
      </w:r>
      <w:bookmarkEnd w:id="434"/>
      <w:bookmarkEnd w:id="435"/>
      <w:bookmarkEnd w:id="436"/>
      <w:bookmarkEnd w:id="437"/>
      <w:bookmarkEnd w:id="438"/>
      <w:bookmarkEnd w:id="439"/>
      <w:bookmarkEnd w:id="440"/>
    </w:p>
    <w:bookmarkEnd w:id="441"/>
    <w:p w14:paraId="0512247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因承包人原因造成工期延误，逾</w:t>
      </w:r>
      <w:bookmarkStart w:id="442" w:name="_Toc312678014"/>
      <w:bookmarkStart w:id="443" w:name="_Toc318581171"/>
      <w:r>
        <w:rPr>
          <w:rFonts w:ascii="宋体" w:hAnsi="宋体"/>
          <w:color w:val="000000" w:themeColor="text1"/>
          <w:szCs w:val="21"/>
          <w:highlight w:val="none"/>
          <w14:textFill>
            <w14:solidFill>
              <w14:schemeClr w14:val="tx1"/>
            </w14:solidFill>
          </w14:textFill>
        </w:rPr>
        <w:t>期竣工违约金的上限：</w:t>
      </w:r>
      <w:r>
        <w:rPr>
          <w:rFonts w:hint="eastAsia" w:ascii="宋体" w:hAnsi="宋体"/>
          <w:color w:val="000000" w:themeColor="text1"/>
          <w:szCs w:val="21"/>
          <w:highlight w:val="none"/>
          <w:u w:val="single"/>
          <w14:textFill>
            <w14:solidFill>
              <w14:schemeClr w14:val="tx1"/>
            </w14:solidFill>
          </w14:textFill>
        </w:rPr>
        <w:t>每逾期一天，每天赔偿金额为逾期竣工的单位工程结算造价</w:t>
      </w:r>
      <w:r>
        <w:rPr>
          <w:rFonts w:ascii="宋体" w:hAnsi="宋体"/>
          <w:color w:val="000000" w:themeColor="text1"/>
          <w:szCs w:val="21"/>
          <w:highlight w:val="none"/>
          <w:u w:val="single"/>
          <w14:textFill>
            <w14:solidFill>
              <w14:schemeClr w14:val="tx1"/>
            </w14:solidFill>
          </w14:textFill>
        </w:rPr>
        <w:t>扣</w:t>
      </w:r>
      <w:r>
        <w:rPr>
          <w:rFonts w:hAnsi="宋体"/>
          <w:color w:val="000000" w:themeColor="text1"/>
          <w:szCs w:val="21"/>
          <w:highlight w:val="none"/>
          <w:u w:val="single"/>
          <w14:textFill>
            <w14:solidFill>
              <w14:schemeClr w14:val="tx1"/>
            </w14:solidFill>
          </w14:textFill>
        </w:rPr>
        <w:t>除建安劳保费、发包人材料</w:t>
      </w:r>
      <w:r>
        <w:rPr>
          <w:rFonts w:hint="eastAsia" w:hAnsi="宋体"/>
          <w:color w:val="000000" w:themeColor="text1"/>
          <w:szCs w:val="21"/>
          <w:highlight w:val="none"/>
          <w:u w:val="single"/>
          <w14:textFill>
            <w14:solidFill>
              <w14:schemeClr w14:val="tx1"/>
            </w14:solidFill>
          </w14:textFill>
        </w:rPr>
        <w:t>设备</w:t>
      </w:r>
      <w:r>
        <w:rPr>
          <w:rFonts w:hAnsi="宋体"/>
          <w:color w:val="000000" w:themeColor="text1"/>
          <w:szCs w:val="21"/>
          <w:highlight w:val="none"/>
          <w:u w:val="single"/>
          <w14:textFill>
            <w14:solidFill>
              <w14:schemeClr w14:val="tx1"/>
            </w14:solidFill>
          </w14:textFill>
        </w:rPr>
        <w:t>价款、暂估专业工程、暂列金额后的</w:t>
      </w:r>
      <w:r>
        <w:rPr>
          <w:rFonts w:hint="eastAsia"/>
          <w:color w:val="000000" w:themeColor="text1"/>
          <w:szCs w:val="21"/>
          <w:highlight w:val="none"/>
          <w:u w:val="single"/>
          <w14:textFill>
            <w14:solidFill>
              <w14:schemeClr w14:val="tx1"/>
            </w14:solidFill>
          </w14:textFill>
        </w:rPr>
        <w:t>1</w:t>
      </w:r>
      <w:r>
        <w:rPr>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bookmarkEnd w:id="442"/>
    <w:bookmarkEnd w:id="443"/>
    <w:p w14:paraId="0CA830A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44" w:name="_Toc304295549"/>
      <w:bookmarkStart w:id="445" w:name="_Toc297216178"/>
      <w:bookmarkStart w:id="446" w:name="_Toc312678015"/>
      <w:bookmarkStart w:id="447" w:name="_Toc297123519"/>
      <w:bookmarkStart w:id="448" w:name="_Toc303539128"/>
      <w:bookmarkStart w:id="449" w:name="_Toc300934971"/>
      <w:r>
        <w:rPr>
          <w:rFonts w:ascii="宋体" w:hAnsi="宋体"/>
          <w:color w:val="000000" w:themeColor="text1"/>
          <w:szCs w:val="21"/>
          <w:highlight w:val="none"/>
          <w14:textFill>
            <w14:solidFill>
              <w14:schemeClr w14:val="tx1"/>
            </w14:solidFill>
          </w14:textFill>
        </w:rPr>
        <w:t>.6 不</w:t>
      </w:r>
      <w:bookmarkEnd w:id="444"/>
      <w:bookmarkEnd w:id="445"/>
      <w:bookmarkEnd w:id="446"/>
      <w:bookmarkEnd w:id="447"/>
      <w:bookmarkEnd w:id="448"/>
      <w:bookmarkEnd w:id="449"/>
      <w:r>
        <w:rPr>
          <w:rFonts w:ascii="宋体" w:hAnsi="宋体"/>
          <w:color w:val="000000" w:themeColor="text1"/>
          <w:szCs w:val="21"/>
          <w:highlight w:val="none"/>
          <w14:textFill>
            <w14:solidFill>
              <w14:schemeClr w14:val="tx1"/>
            </w14:solidFill>
          </w14:textFill>
        </w:rPr>
        <w:t>利物质条件</w:t>
      </w:r>
    </w:p>
    <w:p w14:paraId="474AB90D">
      <w:pPr>
        <w:spacing w:line="440" w:lineRule="exact"/>
        <w:ind w:firstLine="315" w:firstLineChars="150"/>
        <w:jc w:val="left"/>
        <w:rPr>
          <w:rFonts w:ascii="宋体" w:hAnsi="宋体"/>
          <w:color w:val="000000" w:themeColor="text1"/>
          <w:szCs w:val="21"/>
          <w:highlight w:val="none"/>
          <w14:textFill>
            <w14:solidFill>
              <w14:schemeClr w14:val="tx1"/>
            </w14:solidFill>
          </w14:textFill>
        </w:rPr>
      </w:pPr>
      <w:bookmarkStart w:id="450" w:name="_Toc304295550"/>
      <w:bookmarkStart w:id="451" w:name="_Toc300934972"/>
      <w:bookmarkStart w:id="452" w:name="_Toc297216179"/>
      <w:bookmarkStart w:id="453" w:name="_Toc297123520"/>
      <w:bookmarkStart w:id="454" w:name="_Toc318581172"/>
      <w:bookmarkStart w:id="455" w:name="_Toc312678016"/>
      <w:bookmarkStart w:id="456" w:name="_Toc303539129"/>
      <w:r>
        <w:rPr>
          <w:rFonts w:ascii="宋体" w:hAnsi="宋体"/>
          <w:color w:val="000000" w:themeColor="text1"/>
          <w:szCs w:val="21"/>
          <w:highlight w:val="none"/>
          <w14:textFill>
            <w14:solidFill>
              <w14:schemeClr w14:val="tx1"/>
            </w14:solidFill>
          </w14:textFill>
        </w:rPr>
        <w:t>不利物质条件的其他情形和有关约定：。</w:t>
      </w:r>
    </w:p>
    <w:bookmarkEnd w:id="450"/>
    <w:bookmarkEnd w:id="451"/>
    <w:bookmarkEnd w:id="452"/>
    <w:bookmarkEnd w:id="453"/>
    <w:bookmarkEnd w:id="454"/>
    <w:bookmarkEnd w:id="455"/>
    <w:bookmarkEnd w:id="456"/>
    <w:p w14:paraId="1366BBFB">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57" w:name="_Toc304295551"/>
      <w:bookmarkStart w:id="458" w:name="_Toc303539130"/>
      <w:bookmarkStart w:id="459" w:name="_Toc297123521"/>
      <w:bookmarkStart w:id="460" w:name="_Toc312678017"/>
      <w:bookmarkStart w:id="461" w:name="_Toc300934973"/>
      <w:bookmarkStart w:id="462" w:name="_Toc297216180"/>
      <w:r>
        <w:rPr>
          <w:rFonts w:ascii="宋体" w:hAnsi="宋体"/>
          <w:color w:val="000000" w:themeColor="text1"/>
          <w:szCs w:val="21"/>
          <w:highlight w:val="none"/>
          <w14:textFill>
            <w14:solidFill>
              <w14:schemeClr w14:val="tx1"/>
            </w14:solidFill>
          </w14:textFill>
        </w:rPr>
        <w:t>.7异常恶劣的气候条件</w:t>
      </w:r>
    </w:p>
    <w:bookmarkEnd w:id="457"/>
    <w:bookmarkEnd w:id="458"/>
    <w:bookmarkEnd w:id="459"/>
    <w:bookmarkEnd w:id="460"/>
    <w:bookmarkEnd w:id="461"/>
    <w:bookmarkEnd w:id="462"/>
    <w:p w14:paraId="2678712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发包人和承包人同意以下情形视为异常恶劣的气候条件：</w:t>
      </w:r>
    </w:p>
    <w:p w14:paraId="086F62CB">
      <w:pPr>
        <w:spacing w:line="360" w:lineRule="exact"/>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（1）六级及其以上台风,合同约定的不可抗力除外。</w:t>
      </w:r>
    </w:p>
    <w:p w14:paraId="109C29CB">
      <w:pPr>
        <w:widowControl/>
        <w:snapToGrid w:val="0"/>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（2）异常恶劣的气候条件引起的工程延误，由监理工程师根据承包人提交的证明予以评定，异常气候在每月对工程进度影响的评定，应在整个合同内予以累计。</w:t>
      </w:r>
    </w:p>
    <w:p w14:paraId="3CF7BFCD">
      <w:pPr>
        <w:autoSpaceDE w:val="0"/>
        <w:autoSpaceDN w:val="0"/>
        <w:adjustRightInd w:val="0"/>
        <w:spacing w:line="360" w:lineRule="exact"/>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（3）承包人应采取克服异常恶劣的气候条件的合理措施继续施工，并在发生后48小时内及时通知发包人和监理人。监理人应在接到通知后48小时内报发包人同意后应当及时发出指示，指示构成变更的，按</w:t>
      </w:r>
      <w:r>
        <w:rPr>
          <w:rFonts w:hint="eastAsia" w:ascii="宋体" w:hAnsi="宋体"/>
          <w:snapToGrid w:val="0"/>
          <w:color w:val="000000" w:themeColor="text1"/>
          <w:kern w:val="0"/>
          <w:szCs w:val="21"/>
          <w:highlight w:val="none"/>
          <w:u w:val="single"/>
          <w14:textFill>
            <w14:solidFill>
              <w14:schemeClr w14:val="tx1"/>
            </w14:solidFill>
          </w14:textFill>
        </w:rPr>
        <w:t>专用合同条款</w:t>
      </w:r>
      <w:r>
        <w:rPr>
          <w:rFonts w:hint="eastAsia" w:ascii="宋体" w:hAnsi="宋体"/>
          <w:color w:val="000000" w:themeColor="text1"/>
          <w:szCs w:val="21"/>
          <w:highlight w:val="none"/>
          <w:u w:val="single"/>
          <w14:textFill>
            <w14:solidFill>
              <w14:schemeClr w14:val="tx1"/>
            </w14:solidFill>
          </w14:textFill>
        </w:rPr>
        <w:t>第10条〔变更〕约定办理。承包人因采取合理措施而延误的工期由发包人承担，但发包人不承担增加的费用。</w:t>
      </w:r>
    </w:p>
    <w:p w14:paraId="30D75802">
      <w:pPr>
        <w:spacing w:line="360" w:lineRule="auto"/>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 提前竣工的奖励</w:t>
      </w:r>
    </w:p>
    <w:p w14:paraId="75247DC7">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.2提前竣工的奖励：</w:t>
      </w:r>
      <w:r>
        <w:rPr>
          <w:rFonts w:hint="eastAsia"/>
          <w:color w:val="000000" w:themeColor="text1"/>
          <w:szCs w:val="21"/>
          <w:highlight w:val="none"/>
          <w:u w:val="single"/>
          <w14:textFill>
            <w14:solidFill>
              <w14:schemeClr w14:val="tx1"/>
            </w14:solidFill>
          </w14:textFill>
        </w:rPr>
        <w:t>无</w:t>
      </w:r>
      <w:r>
        <w:rPr>
          <w:rFonts w:hAnsi="宋体"/>
          <w:color w:val="000000" w:themeColor="text1"/>
          <w:szCs w:val="21"/>
          <w:highlight w:val="none"/>
          <w14:textFill>
            <w14:solidFill>
              <w14:schemeClr w14:val="tx1"/>
            </w14:solidFill>
          </w14:textFill>
        </w:rPr>
        <w:t>。</w:t>
      </w:r>
    </w:p>
    <w:p w14:paraId="38C0C2E7">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463" w:name="_Toc351203640"/>
      <w:r>
        <w:rPr>
          <w:rFonts w:ascii="宋体" w:hAnsi="宋体" w:eastAsia="黑体"/>
          <w:b/>
          <w:color w:val="000000" w:themeColor="text1"/>
          <w:kern w:val="0"/>
          <w:sz w:val="28"/>
          <w:szCs w:val="21"/>
          <w:highlight w:val="none"/>
          <w14:textFill>
            <w14:solidFill>
              <w14:schemeClr w14:val="tx1"/>
            </w14:solidFill>
          </w14:textFill>
        </w:rPr>
        <w:t>8. 材料与设备</w:t>
      </w:r>
      <w:bookmarkEnd w:id="463"/>
    </w:p>
    <w:bookmarkEnd w:id="398"/>
    <w:bookmarkEnd w:id="399"/>
    <w:bookmarkEnd w:id="400"/>
    <w:bookmarkEnd w:id="401"/>
    <w:bookmarkEnd w:id="402"/>
    <w:bookmarkEnd w:id="403"/>
    <w:bookmarkEnd w:id="404"/>
    <w:bookmarkEnd w:id="405"/>
    <w:bookmarkEnd w:id="406"/>
    <w:bookmarkEnd w:id="407"/>
    <w:p w14:paraId="7DD8008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bookmarkStart w:id="464" w:name="_Toc303539136"/>
      <w:bookmarkStart w:id="465" w:name="_Toc297123527"/>
      <w:bookmarkStart w:id="466" w:name="_Toc296944506"/>
      <w:bookmarkStart w:id="467" w:name="_Toc296891207"/>
      <w:bookmarkStart w:id="468" w:name="_Toc297048353"/>
      <w:bookmarkStart w:id="469" w:name="_Toc297120467"/>
      <w:bookmarkStart w:id="470" w:name="_Toc304295556"/>
      <w:bookmarkStart w:id="471" w:name="_Toc280868654"/>
      <w:bookmarkStart w:id="472" w:name="_Toc296503167"/>
      <w:bookmarkStart w:id="473" w:name="_Toc312678019"/>
      <w:bookmarkStart w:id="474" w:name="_Toc296346668"/>
      <w:bookmarkStart w:id="475" w:name="_Toc297216186"/>
      <w:bookmarkStart w:id="476" w:name="_Toc292559877"/>
      <w:bookmarkStart w:id="477" w:name="_Toc312677493"/>
      <w:bookmarkStart w:id="478" w:name="_Toc296890995"/>
      <w:bookmarkStart w:id="479" w:name="_Toc300934979"/>
      <w:bookmarkStart w:id="480" w:name="_Toc296347166"/>
      <w:bookmarkStart w:id="481" w:name="_Toc292559372"/>
      <w:bookmarkStart w:id="482" w:name="_Toc280868655"/>
      <w:bookmarkStart w:id="483" w:name="_Toc280868656"/>
      <w:bookmarkStart w:id="484" w:name="_Toc267251424"/>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材料与工程设备的保管与使用</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4739093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bookmarkStart w:id="485" w:name="_Toc292559373"/>
      <w:bookmarkStart w:id="486" w:name="_Toc292559878"/>
      <w:bookmarkStart w:id="487" w:name="_Toc297123528"/>
      <w:bookmarkStart w:id="488" w:name="_Toc303539137"/>
      <w:bookmarkStart w:id="489" w:name="_Toc296503168"/>
      <w:bookmarkStart w:id="490" w:name="_Toc297216187"/>
      <w:bookmarkStart w:id="491" w:name="_Toc312677494"/>
      <w:bookmarkStart w:id="492" w:name="_Toc296346669"/>
      <w:bookmarkStart w:id="493" w:name="_Toc318581173"/>
      <w:bookmarkStart w:id="494" w:name="_Toc304295557"/>
      <w:bookmarkStart w:id="495" w:name="_Toc297048354"/>
      <w:bookmarkStart w:id="496" w:name="_Toc296890996"/>
      <w:bookmarkStart w:id="497" w:name="_Toc297120468"/>
      <w:bookmarkStart w:id="498" w:name="_Toc296944507"/>
      <w:bookmarkStart w:id="499" w:name="_Toc296347167"/>
      <w:bookmarkStart w:id="500" w:name="_Toc312678020"/>
      <w:bookmarkStart w:id="501" w:name="_Toc300934980"/>
      <w:bookmarkStart w:id="502" w:name="_Toc296891208"/>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.1发包人供应的材料设备的保管费用的承担：。</w:t>
      </w:r>
      <w:bookmarkEnd w:id="485"/>
      <w:bookmarkEnd w:id="486"/>
    </w:p>
    <w:p w14:paraId="499134CB">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样品</w:t>
      </w:r>
    </w:p>
    <w:p w14:paraId="5EF18835">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样品的报送</w:t>
      </w:r>
      <w:r>
        <w:rPr>
          <w:rFonts w:hint="eastAsia" w:ascii="宋体" w:hAnsi="宋体"/>
          <w:color w:val="000000" w:themeColor="text1"/>
          <w:kern w:val="0"/>
          <w:szCs w:val="21"/>
          <w:highlight w:val="none"/>
          <w14:textFill>
            <w14:solidFill>
              <w14:schemeClr w14:val="tx1"/>
            </w14:solidFill>
          </w14:textFill>
        </w:rPr>
        <w:t>与封存</w:t>
      </w:r>
    </w:p>
    <w:p w14:paraId="57473674">
      <w:pPr>
        <w:autoSpaceDE w:val="0"/>
        <w:autoSpaceDN w:val="0"/>
        <w:adjustRightInd w:val="0"/>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需要承包人报送样品的材料或工程设备，样品的种类、名称、规格、数量要求：</w:t>
      </w:r>
      <w:r>
        <w:rPr>
          <w:rFonts w:hint="eastAsia" w:ascii="宋体" w:hAnsi="宋体"/>
          <w:color w:val="000000" w:themeColor="text1"/>
          <w:szCs w:val="21"/>
          <w:highlight w:val="none"/>
          <w:u w:val="single"/>
          <w14:textFill>
            <w14:solidFill>
              <w14:schemeClr w14:val="tx1"/>
            </w14:solidFill>
          </w14:textFill>
        </w:rPr>
        <w:t>主要材料涉及品种、款式、颜色等方面内容的，承包人应提交准备合格的材料样品送发包人选定。</w:t>
      </w:r>
    </w:p>
    <w:p w14:paraId="6634AB14">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施工设备和临时设施</w:t>
      </w:r>
    </w:p>
    <w:p w14:paraId="07BB3361">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 承包人提供的施工设备和临时设施</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w:t>
      </w:r>
    </w:p>
    <w:p w14:paraId="3C6F7A34">
      <w:pPr>
        <w:autoSpaceDE w:val="0"/>
        <w:autoSpaceDN w:val="0"/>
        <w:adjustRightInd w:val="0"/>
        <w:spacing w:line="440" w:lineRule="exact"/>
        <w:ind w:firstLine="420" w:firstLineChars="200"/>
        <w:jc w:val="left"/>
        <w:rPr>
          <w:rFonts w:ascii="宋体" w:hAnsi="宋体"/>
          <w:b/>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关于修建临时设施费用承担的约定：</w:t>
      </w:r>
      <w:r>
        <w:rPr>
          <w:rFonts w:hint="eastAsia" w:ascii="宋体" w:hAnsi="宋体"/>
          <w:b/>
          <w:color w:val="000000" w:themeColor="text1"/>
          <w:szCs w:val="21"/>
          <w:highlight w:val="none"/>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①承包人的临时用地（含项目部驻地等）租用费（含拆迁补偿）、临时用地的环保、恢复、临时用地的青苗补偿及地面附着物拆除等费用均由承包人负责，以上费用在竞标报价中综合考虑。</w:t>
      </w:r>
    </w:p>
    <w:p w14:paraId="64B6E247">
      <w:pPr>
        <w:autoSpaceDE w:val="0"/>
        <w:autoSpaceDN w:val="0"/>
        <w:adjustRightInd w:val="0"/>
        <w:spacing w:line="440" w:lineRule="exact"/>
        <w:ind w:firstLine="422" w:firstLineChars="200"/>
        <w:jc w:val="left"/>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②承包人负责合同实施期间其合同段内临时交通道路（含场内外连接公共交通道路）和交通设施的修建、维修、养护和交通管理工作，并承担一切费用。</w:t>
      </w:r>
    </w:p>
    <w:p w14:paraId="6B28A6D4">
      <w:pPr>
        <w:autoSpaceDE w:val="0"/>
        <w:autoSpaceDN w:val="0"/>
        <w:adjustRightInd w:val="0"/>
        <w:spacing w:line="440" w:lineRule="exact"/>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244A3474">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503" w:name="_Toc351203641"/>
      <w:r>
        <w:rPr>
          <w:rFonts w:ascii="宋体" w:hAnsi="宋体" w:eastAsia="黑体"/>
          <w:b/>
          <w:color w:val="000000" w:themeColor="text1"/>
          <w:kern w:val="0"/>
          <w:sz w:val="28"/>
          <w:szCs w:val="21"/>
          <w:highlight w:val="none"/>
          <w14:textFill>
            <w14:solidFill>
              <w14:schemeClr w14:val="tx1"/>
            </w14:solidFill>
          </w14:textFill>
        </w:rPr>
        <w:t>9</w:t>
      </w:r>
      <w:bookmarkEnd w:id="482"/>
      <w:bookmarkEnd w:id="483"/>
      <w:bookmarkEnd w:id="484"/>
      <w:bookmarkStart w:id="504" w:name="_Toc312678021"/>
      <w:bookmarkStart w:id="505" w:name="_Toc297123533"/>
      <w:bookmarkStart w:id="506" w:name="_Toc304295559"/>
      <w:bookmarkStart w:id="507" w:name="_Toc297216192"/>
      <w:bookmarkStart w:id="508" w:name="_Toc303539139"/>
      <w:bookmarkStart w:id="509" w:name="_Toc312677495"/>
      <w:bookmarkStart w:id="510" w:name="_Toc300934982"/>
      <w:bookmarkStart w:id="511" w:name="_Toc296346674"/>
      <w:bookmarkStart w:id="512" w:name="_Toc296347172"/>
      <w:bookmarkStart w:id="513" w:name="_Toc297048359"/>
      <w:bookmarkStart w:id="514" w:name="_Toc267251428"/>
      <w:bookmarkStart w:id="515" w:name="_Toc267251427"/>
      <w:bookmarkStart w:id="516" w:name="_Toc296891213"/>
      <w:bookmarkStart w:id="517" w:name="_Toc297120473"/>
      <w:bookmarkStart w:id="518" w:name="_Toc296503173"/>
      <w:bookmarkStart w:id="519" w:name="_Toc292559883"/>
      <w:bookmarkStart w:id="520" w:name="_Toc296944512"/>
      <w:bookmarkStart w:id="521" w:name="_Toc292559378"/>
      <w:bookmarkStart w:id="522" w:name="_Toc296891001"/>
      <w:r>
        <w:rPr>
          <w:rFonts w:ascii="宋体" w:hAnsi="宋体" w:eastAsia="黑体"/>
          <w:b/>
          <w:color w:val="000000" w:themeColor="text1"/>
          <w:kern w:val="0"/>
          <w:sz w:val="28"/>
          <w:szCs w:val="21"/>
          <w:highlight w:val="none"/>
          <w14:textFill>
            <w14:solidFill>
              <w14:schemeClr w14:val="tx1"/>
            </w14:solidFill>
          </w14:textFill>
        </w:rPr>
        <w:t>. 试验与检验</w:t>
      </w:r>
      <w:bookmarkEnd w:id="503"/>
    </w:p>
    <w:bookmarkEnd w:id="504"/>
    <w:bookmarkEnd w:id="505"/>
    <w:bookmarkEnd w:id="506"/>
    <w:bookmarkEnd w:id="507"/>
    <w:bookmarkEnd w:id="508"/>
    <w:bookmarkEnd w:id="509"/>
    <w:bookmarkEnd w:id="510"/>
    <w:p w14:paraId="1C646180">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523" w:name="_Toc373478384"/>
      <w:bookmarkStart w:id="524" w:name="_Toc373227737"/>
      <w:bookmarkStart w:id="525" w:name="_Toc389065303"/>
      <w:bookmarkStart w:id="526" w:name="_Toc465114896"/>
      <w:bookmarkStart w:id="527" w:name="_Toc351203642"/>
      <w:r>
        <w:rPr>
          <w:rFonts w:ascii="宋体" w:hAnsi="宋体"/>
          <w:b/>
          <w:bCs/>
          <w:color w:val="000000" w:themeColor="text1"/>
          <w:kern w:val="0"/>
          <w:sz w:val="24"/>
          <w:szCs w:val="32"/>
          <w:highlight w:val="none"/>
          <w14:textFill>
            <w14:solidFill>
              <w14:schemeClr w14:val="tx1"/>
            </w14:solidFill>
          </w14:textFill>
        </w:rPr>
        <w:t>9</w:t>
      </w:r>
      <w:bookmarkStart w:id="528" w:name="_Toc312677496"/>
      <w:bookmarkStart w:id="529" w:name="_Toc300934983"/>
      <w:bookmarkStart w:id="530" w:name="_Toc312678022"/>
      <w:bookmarkStart w:id="531" w:name="_Toc304295560"/>
      <w:bookmarkStart w:id="532" w:name="_Toc297123534"/>
      <w:bookmarkStart w:id="533" w:name="_Toc303539140"/>
      <w:bookmarkStart w:id="534" w:name="_Toc297216193"/>
      <w:r>
        <w:rPr>
          <w:rFonts w:ascii="宋体" w:hAnsi="宋体"/>
          <w:b/>
          <w:bCs/>
          <w:color w:val="000000" w:themeColor="text1"/>
          <w:kern w:val="0"/>
          <w:sz w:val="24"/>
          <w:szCs w:val="32"/>
          <w:highlight w:val="none"/>
          <w14:textFill>
            <w14:solidFill>
              <w14:schemeClr w14:val="tx1"/>
            </w14:solidFill>
          </w14:textFill>
        </w:rPr>
        <w:t>.1 试验设备与试验人员</w:t>
      </w:r>
      <w:bookmarkEnd w:id="523"/>
      <w:bookmarkEnd w:id="524"/>
      <w:bookmarkEnd w:id="525"/>
      <w:bookmarkEnd w:id="526"/>
    </w:p>
    <w:bookmarkEnd w:id="528"/>
    <w:bookmarkEnd w:id="529"/>
    <w:bookmarkEnd w:id="530"/>
    <w:bookmarkEnd w:id="531"/>
    <w:bookmarkEnd w:id="532"/>
    <w:bookmarkEnd w:id="533"/>
    <w:bookmarkEnd w:id="534"/>
    <w:p w14:paraId="1BC78035">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bookmarkStart w:id="535" w:name="_Toc297216194"/>
      <w:bookmarkStart w:id="536" w:name="_Toc312678023"/>
      <w:bookmarkStart w:id="537" w:name="_Toc300934984"/>
      <w:bookmarkStart w:id="538" w:name="_Toc304295561"/>
      <w:bookmarkStart w:id="539" w:name="_Toc303539141"/>
      <w:bookmarkStart w:id="540" w:name="_Toc297123535"/>
      <w:bookmarkStart w:id="541" w:name="_Toc312677497"/>
      <w:bookmarkStart w:id="542" w:name="_Toc318581174"/>
      <w:r>
        <w:rPr>
          <w:color w:val="000000" w:themeColor="text1"/>
          <w:szCs w:val="21"/>
          <w:highlight w:val="none"/>
          <w14:textFill>
            <w14:solidFill>
              <w14:schemeClr w14:val="tx1"/>
            </w14:solidFill>
          </w14:textFill>
        </w:rPr>
        <w:t xml:space="preserve">.1.2 </w:t>
      </w:r>
      <w:r>
        <w:rPr>
          <w:rFonts w:hAnsi="宋体"/>
          <w:color w:val="000000" w:themeColor="text1"/>
          <w:szCs w:val="21"/>
          <w:highlight w:val="none"/>
          <w14:textFill>
            <w14:solidFill>
              <w14:schemeClr w14:val="tx1"/>
            </w14:solidFill>
          </w14:textFill>
        </w:rPr>
        <w:t>试验设备</w:t>
      </w:r>
    </w:p>
    <w:bookmarkEnd w:id="535"/>
    <w:bookmarkEnd w:id="536"/>
    <w:bookmarkEnd w:id="537"/>
    <w:bookmarkEnd w:id="538"/>
    <w:bookmarkEnd w:id="539"/>
    <w:bookmarkEnd w:id="540"/>
    <w:bookmarkEnd w:id="541"/>
    <w:p w14:paraId="7FE676DC">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543" w:name="_Toc373478385"/>
      <w:bookmarkStart w:id="544" w:name="_Toc373227738"/>
      <w:bookmarkStart w:id="545" w:name="_Toc389065304"/>
      <w:bookmarkStart w:id="546" w:name="_Toc465114897"/>
      <w:bookmarkStart w:id="547" w:name="_Toc312677498"/>
      <w:bookmarkStart w:id="548" w:name="_Toc312678024"/>
      <w:bookmarkStart w:id="549" w:name="_Toc303539142"/>
      <w:bookmarkStart w:id="550" w:name="_Toc297216195"/>
      <w:bookmarkStart w:id="551" w:name="_Toc304295562"/>
      <w:bookmarkStart w:id="552" w:name="_Toc300934985"/>
      <w:bookmarkStart w:id="553" w:name="_Toc297123536"/>
      <w:r>
        <w:rPr>
          <w:rFonts w:hint="eastAsia" w:ascii="宋体" w:hAnsi="宋体"/>
          <w:color w:val="000000" w:themeColor="text1"/>
          <w:szCs w:val="21"/>
          <w:highlight w:val="none"/>
          <w14:textFill>
            <w14:solidFill>
              <w14:schemeClr w14:val="tx1"/>
            </w14:solidFill>
          </w14:textFill>
        </w:rPr>
        <w:t>施工现场需要配置的试验场所：</w:t>
      </w:r>
      <w:r>
        <w:rPr>
          <w:rFonts w:hint="eastAsia" w:ascii="宋体" w:hAnsi="宋体"/>
          <w:color w:val="000000" w:themeColor="text1"/>
          <w:szCs w:val="21"/>
          <w:highlight w:val="none"/>
          <w:u w:val="single"/>
          <w14:textFill>
            <w14:solidFill>
              <w14:schemeClr w14:val="tx1"/>
            </w14:solidFill>
          </w14:textFill>
        </w:rPr>
        <w:t xml:space="preserve">  满足自检需要</w:t>
      </w:r>
      <w:r>
        <w:rPr>
          <w:rFonts w:hint="eastAsia" w:ascii="宋体" w:hAnsi="宋体"/>
          <w:color w:val="000000" w:themeColor="text1"/>
          <w:szCs w:val="21"/>
          <w:highlight w:val="none"/>
          <w14:textFill>
            <w14:solidFill>
              <w14:schemeClr w14:val="tx1"/>
            </w14:solidFill>
          </w14:textFill>
        </w:rPr>
        <w:t xml:space="preserve">。 </w:t>
      </w:r>
    </w:p>
    <w:p w14:paraId="7D1860D2">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施工现场需要配备的试验设备：</w:t>
      </w:r>
      <w:r>
        <w:rPr>
          <w:rFonts w:hint="eastAsia" w:ascii="宋体" w:hAnsi="宋体"/>
          <w:color w:val="000000" w:themeColor="text1"/>
          <w:szCs w:val="21"/>
          <w:highlight w:val="none"/>
          <w:u w:val="single"/>
          <w14:textFill>
            <w14:solidFill>
              <w14:schemeClr w14:val="tx1"/>
            </w14:solidFill>
          </w14:textFill>
        </w:rPr>
        <w:t xml:space="preserve">   满足自检需要  </w:t>
      </w:r>
      <w:r>
        <w:rPr>
          <w:rFonts w:hint="eastAsia" w:ascii="宋体" w:hAnsi="宋体"/>
          <w:color w:val="000000" w:themeColor="text1"/>
          <w:szCs w:val="21"/>
          <w:highlight w:val="none"/>
          <w14:textFill>
            <w14:solidFill>
              <w14:schemeClr w14:val="tx1"/>
            </w14:solidFill>
          </w14:textFill>
        </w:rPr>
        <w:t>。</w:t>
      </w:r>
    </w:p>
    <w:p w14:paraId="452FF730">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施工现场需要具备的其他试验条件：</w:t>
      </w:r>
      <w:r>
        <w:rPr>
          <w:rFonts w:hint="eastAsia" w:ascii="宋体" w:hAnsi="宋体"/>
          <w:color w:val="000000" w:themeColor="text1"/>
          <w:szCs w:val="21"/>
          <w:highlight w:val="none"/>
          <w:u w:val="single"/>
          <w14:textFill>
            <w14:solidFill>
              <w14:schemeClr w14:val="tx1"/>
            </w14:solidFill>
          </w14:textFill>
        </w:rPr>
        <w:t xml:space="preserve">  满足自检需要  </w:t>
      </w:r>
      <w:r>
        <w:rPr>
          <w:rFonts w:hint="eastAsia" w:ascii="宋体" w:hAnsi="宋体"/>
          <w:color w:val="000000" w:themeColor="text1"/>
          <w:szCs w:val="21"/>
          <w:highlight w:val="none"/>
          <w14:textFill>
            <w14:solidFill>
              <w14:schemeClr w14:val="tx1"/>
            </w14:solidFill>
          </w14:textFill>
        </w:rPr>
        <w:t>。</w:t>
      </w:r>
    </w:p>
    <w:p w14:paraId="50ADA4AE">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r>
        <w:rPr>
          <w:rFonts w:ascii="宋体" w:hAnsi="宋体"/>
          <w:b/>
          <w:bCs/>
          <w:color w:val="000000" w:themeColor="text1"/>
          <w:kern w:val="0"/>
          <w:sz w:val="24"/>
          <w:szCs w:val="32"/>
          <w:highlight w:val="none"/>
          <w14:textFill>
            <w14:solidFill>
              <w14:schemeClr w14:val="tx1"/>
            </w14:solidFill>
          </w14:textFill>
        </w:rPr>
        <w:t>9.4 现场工艺试验</w:t>
      </w:r>
      <w:bookmarkEnd w:id="543"/>
      <w:bookmarkEnd w:id="544"/>
      <w:bookmarkEnd w:id="545"/>
      <w:bookmarkEnd w:id="546"/>
    </w:p>
    <w:p w14:paraId="14C9DC41">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554" w:name="_Toc465114898"/>
      <w:bookmarkStart w:id="555" w:name="OLE_LINK1"/>
      <w:r>
        <w:rPr>
          <w:rFonts w:hint="eastAsia" w:ascii="宋体" w:hAnsi="宋体"/>
          <w:color w:val="000000" w:themeColor="text1"/>
          <w:szCs w:val="21"/>
          <w:highlight w:val="none"/>
          <w14:textFill>
            <w14:solidFill>
              <w14:schemeClr w14:val="tx1"/>
            </w14:solidFill>
          </w14:textFill>
        </w:rPr>
        <w:t>现场工艺试验的有关约定：</w:t>
      </w:r>
      <w:r>
        <w:rPr>
          <w:rFonts w:hint="eastAsia" w:ascii="宋体" w:hAnsi="宋体"/>
          <w:color w:val="000000" w:themeColor="text1"/>
          <w:szCs w:val="21"/>
          <w:highlight w:val="none"/>
          <w:u w:val="single"/>
          <w14:textFill>
            <w14:solidFill>
              <w14:schemeClr w14:val="tx1"/>
            </w14:solidFill>
          </w14:textFill>
        </w:rPr>
        <w:t xml:space="preserve">  满足自检需要</w:t>
      </w:r>
      <w:r>
        <w:rPr>
          <w:rFonts w:hint="eastAsia" w:ascii="宋体" w:hAnsi="宋体"/>
          <w:color w:val="000000" w:themeColor="text1"/>
          <w:szCs w:val="21"/>
          <w:highlight w:val="none"/>
          <w14:textFill>
            <w14:solidFill>
              <w14:schemeClr w14:val="tx1"/>
            </w14:solidFill>
          </w14:textFill>
        </w:rPr>
        <w:t>。</w:t>
      </w:r>
    </w:p>
    <w:p w14:paraId="1D048BB3">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r>
        <w:rPr>
          <w:rFonts w:ascii="宋体" w:hAnsi="宋体"/>
          <w:b/>
          <w:bCs/>
          <w:color w:val="000000" w:themeColor="text1"/>
          <w:kern w:val="0"/>
          <w:sz w:val="24"/>
          <w:szCs w:val="32"/>
          <w:highlight w:val="none"/>
          <w14:textFill>
            <w14:solidFill>
              <w14:schemeClr w14:val="tx1"/>
            </w14:solidFill>
          </w14:textFill>
        </w:rPr>
        <w:t>9.5 检验费用</w:t>
      </w:r>
      <w:bookmarkEnd w:id="554"/>
    </w:p>
    <w:p w14:paraId="6DCB9575">
      <w:pPr>
        <w:spacing w:line="360" w:lineRule="auto"/>
        <w:ind w:firstLine="411" w:firstLineChars="196"/>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根据</w:t>
      </w:r>
      <w:r>
        <w:rPr>
          <w:rFonts w:hAnsi="宋体"/>
          <w:bCs/>
          <w:color w:val="000000" w:themeColor="text1"/>
          <w:szCs w:val="21"/>
          <w:highlight w:val="none"/>
          <w14:textFill>
            <w14:solidFill>
              <w14:schemeClr w14:val="tx1"/>
            </w14:solidFill>
          </w14:textFill>
        </w:rPr>
        <w:t>《广西壮族自治区建设工程质量检测管理规定》</w:t>
      </w:r>
      <w:r>
        <w:rPr>
          <w:rFonts w:hint="eastAsia"/>
          <w:bCs/>
          <w:color w:val="000000" w:themeColor="text1"/>
          <w:szCs w:val="21"/>
          <w:highlight w:val="none"/>
          <w14:textFill>
            <w14:solidFill>
              <w14:schemeClr w14:val="tx1"/>
            </w14:solidFill>
          </w14:textFill>
        </w:rPr>
        <w:t>（</w:t>
      </w:r>
      <w:r>
        <w:rPr>
          <w:rFonts w:hAnsi="宋体"/>
          <w:bCs/>
          <w:color w:val="000000" w:themeColor="text1"/>
          <w:szCs w:val="21"/>
          <w:highlight w:val="none"/>
          <w14:textFill>
            <w14:solidFill>
              <w14:schemeClr w14:val="tx1"/>
            </w14:solidFill>
          </w14:textFill>
        </w:rPr>
        <w:t>桂建管</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2013</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11</w:t>
      </w:r>
      <w:r>
        <w:rPr>
          <w:rFonts w:hAnsi="宋体"/>
          <w:bCs/>
          <w:color w:val="000000" w:themeColor="text1"/>
          <w:szCs w:val="21"/>
          <w:highlight w:val="none"/>
          <w14:textFill>
            <w14:solidFill>
              <w14:schemeClr w14:val="tx1"/>
            </w14:solidFill>
          </w14:textFill>
        </w:rPr>
        <w:t>号</w:t>
      </w:r>
      <w:r>
        <w:rPr>
          <w:rFonts w:hint="eastAsia"/>
          <w:bCs/>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规定，工程质量检测业务由</w:t>
      </w:r>
      <w:r>
        <w:rPr>
          <w:rFonts w:hint="eastAsia" w:hAnsi="宋体"/>
          <w:color w:val="000000" w:themeColor="text1"/>
          <w:szCs w:val="21"/>
          <w:highlight w:val="none"/>
          <w14:textFill>
            <w14:solidFill>
              <w14:schemeClr w14:val="tx1"/>
            </w14:solidFill>
          </w14:textFill>
        </w:rPr>
        <w:t>发包人</w:t>
      </w:r>
      <w:r>
        <w:rPr>
          <w:rFonts w:hAnsi="宋体"/>
          <w:color w:val="000000" w:themeColor="text1"/>
          <w:szCs w:val="21"/>
          <w:highlight w:val="none"/>
          <w14:textFill>
            <w14:solidFill>
              <w14:schemeClr w14:val="tx1"/>
            </w14:solidFill>
          </w14:textFill>
        </w:rPr>
        <w:t>委托有相应资质的检测机构检测。费用</w:t>
      </w:r>
      <w:r>
        <w:rPr>
          <w:rFonts w:hint="eastAsia" w:hAnsi="宋体"/>
          <w:color w:val="000000" w:themeColor="text1"/>
          <w:szCs w:val="21"/>
          <w:highlight w:val="none"/>
          <w14:textFill>
            <w14:solidFill>
              <w14:schemeClr w14:val="tx1"/>
            </w14:solidFill>
          </w14:textFill>
        </w:rPr>
        <w:t>由发包人</w:t>
      </w:r>
      <w:r>
        <w:rPr>
          <w:rFonts w:hAnsi="宋体"/>
          <w:color w:val="000000" w:themeColor="text1"/>
          <w:szCs w:val="21"/>
          <w:highlight w:val="none"/>
          <w14:textFill>
            <w14:solidFill>
              <w14:schemeClr w14:val="tx1"/>
            </w14:solidFill>
          </w14:textFill>
        </w:rPr>
        <w:t>直接支付给检测机构，不计入合同价款内。</w:t>
      </w:r>
      <w:r>
        <w:rPr>
          <w:rFonts w:hint="eastAsia" w:hAnsi="宋体"/>
          <w:color w:val="000000" w:themeColor="text1"/>
          <w:szCs w:val="21"/>
          <w:highlight w:val="none"/>
          <w14:textFill>
            <w14:solidFill>
              <w14:schemeClr w14:val="tx1"/>
            </w14:solidFill>
          </w14:textFill>
        </w:rPr>
        <w:t>检验试验配合费按费用定额规定计取，计入本合同价款内。</w:t>
      </w:r>
    </w:p>
    <w:bookmarkEnd w:id="542"/>
    <w:bookmarkEnd w:id="547"/>
    <w:bookmarkEnd w:id="548"/>
    <w:bookmarkEnd w:id="549"/>
    <w:bookmarkEnd w:id="550"/>
    <w:bookmarkEnd w:id="551"/>
    <w:bookmarkEnd w:id="552"/>
    <w:bookmarkEnd w:id="553"/>
    <w:bookmarkEnd w:id="555"/>
    <w:p w14:paraId="5A5DBAE8">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1</w:t>
      </w:r>
      <w:bookmarkEnd w:id="511"/>
      <w:bookmarkEnd w:id="512"/>
      <w:bookmarkEnd w:id="513"/>
      <w:bookmarkEnd w:id="514"/>
      <w:bookmarkEnd w:id="515"/>
      <w:bookmarkEnd w:id="516"/>
      <w:bookmarkEnd w:id="517"/>
      <w:bookmarkEnd w:id="518"/>
      <w:bookmarkEnd w:id="519"/>
      <w:bookmarkEnd w:id="520"/>
      <w:bookmarkEnd w:id="521"/>
      <w:bookmarkEnd w:id="522"/>
      <w:bookmarkStart w:id="556" w:name="_Toc296347192"/>
      <w:bookmarkStart w:id="557" w:name="_Toc303539146"/>
      <w:bookmarkStart w:id="558" w:name="_Toc297216199"/>
      <w:bookmarkStart w:id="559" w:name="_Toc296503193"/>
      <w:bookmarkStart w:id="560" w:name="_Toc300934989"/>
      <w:bookmarkStart w:id="561" w:name="_Toc297048379"/>
      <w:bookmarkStart w:id="562" w:name="_Toc296891233"/>
      <w:bookmarkStart w:id="563" w:name="_Toc297120493"/>
      <w:bookmarkStart w:id="564" w:name="_Toc296891021"/>
      <w:bookmarkStart w:id="565" w:name="_Toc296944532"/>
      <w:bookmarkStart w:id="566" w:name="_Toc292559398"/>
      <w:bookmarkStart w:id="567" w:name="_Toc296346694"/>
      <w:bookmarkStart w:id="568" w:name="_Toc292559903"/>
      <w:bookmarkStart w:id="569" w:name="_Toc297123540"/>
      <w:bookmarkStart w:id="570" w:name="_Toc304295566"/>
      <w:bookmarkStart w:id="571" w:name="_Toc312678025"/>
      <w:bookmarkStart w:id="572" w:name="_Toc312677499"/>
      <w:bookmarkStart w:id="573" w:name="_Toc267251440"/>
      <w:bookmarkStart w:id="574" w:name="_Toc267251437"/>
      <w:bookmarkStart w:id="575" w:name="_Toc267251433"/>
      <w:bookmarkStart w:id="576" w:name="_Toc267251435"/>
      <w:bookmarkStart w:id="577" w:name="_Toc267251439"/>
      <w:bookmarkStart w:id="578" w:name="_Toc267251441"/>
      <w:bookmarkStart w:id="579" w:name="_Toc267251442"/>
      <w:r>
        <w:rPr>
          <w:rFonts w:ascii="宋体" w:hAnsi="宋体" w:eastAsia="黑体"/>
          <w:b/>
          <w:color w:val="000000" w:themeColor="text1"/>
          <w:kern w:val="0"/>
          <w:sz w:val="28"/>
          <w:szCs w:val="21"/>
          <w:highlight w:val="none"/>
          <w14:textFill>
            <w14:solidFill>
              <w14:schemeClr w14:val="tx1"/>
            </w14:solidFill>
          </w14:textFill>
        </w:rPr>
        <w:t>0. 变更</w:t>
      </w:r>
      <w:bookmarkEnd w:id="52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bookmarkEnd w:id="571"/>
    <w:bookmarkEnd w:id="572"/>
    <w:p w14:paraId="68262A6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580" w:name="_Toc296891022"/>
      <w:bookmarkStart w:id="581" w:name="_Toc300934990"/>
      <w:bookmarkStart w:id="582" w:name="_Toc296346695"/>
      <w:bookmarkStart w:id="583" w:name="_Toc312678026"/>
      <w:bookmarkStart w:id="584" w:name="_Toc292559904"/>
      <w:bookmarkStart w:id="585" w:name="_Toc297048380"/>
      <w:bookmarkStart w:id="586" w:name="_Toc296944533"/>
      <w:bookmarkStart w:id="587" w:name="_Toc303539147"/>
      <w:bookmarkStart w:id="588" w:name="_Toc292559399"/>
      <w:bookmarkStart w:id="589" w:name="_Toc296503194"/>
      <w:bookmarkStart w:id="590" w:name="_Toc297123541"/>
      <w:bookmarkStart w:id="591" w:name="_Toc304295567"/>
      <w:bookmarkStart w:id="592" w:name="_Toc297216200"/>
      <w:bookmarkStart w:id="593" w:name="_Toc312677500"/>
      <w:bookmarkStart w:id="594" w:name="_Toc297120494"/>
      <w:bookmarkStart w:id="595" w:name="_Toc296891234"/>
      <w:bookmarkStart w:id="596" w:name="_Toc296347193"/>
      <w:r>
        <w:rPr>
          <w:rFonts w:ascii="宋体" w:hAnsi="宋体"/>
          <w:color w:val="000000" w:themeColor="text1"/>
          <w:szCs w:val="21"/>
          <w:highlight w:val="none"/>
          <w14:textFill>
            <w14:solidFill>
              <w14:schemeClr w14:val="tx1"/>
            </w14:solidFill>
          </w14:textFill>
        </w:rPr>
        <w:t>0.1变更的范围</w:t>
      </w:r>
    </w:p>
    <w:p w14:paraId="4DD00B4C">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关于变更的范围的约定：</w:t>
      </w:r>
      <w:r>
        <w:rPr>
          <w:rFonts w:hint="eastAsia" w:ascii="宋体" w:hAnsi="宋体"/>
          <w:color w:val="000000" w:themeColor="text1"/>
          <w:szCs w:val="21"/>
          <w:highlight w:val="none"/>
          <w:u w:val="single"/>
          <w14:textFill>
            <w14:solidFill>
              <w14:schemeClr w14:val="tx1"/>
            </w14:solidFill>
          </w14:textFill>
        </w:rPr>
        <w:t>在实施项目过程中，若发生隐蔽工程或工程量发生增减变动，必须经建设单位、监理单位、与施工单位等有关单位现场签字确认方可作为工程结算依据。</w:t>
      </w:r>
    </w:p>
    <w:p w14:paraId="00199EC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在实施项目过程中,若发生单价变动,由建设单位、监理单位、与施工单位共同商定并签字确认。</w:t>
      </w:r>
    </w:p>
    <w:p w14:paraId="4F0B0DF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变更估价</w:t>
      </w:r>
    </w:p>
    <w:p w14:paraId="42B979A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10.2.1 变更估价原则</w:t>
      </w:r>
    </w:p>
    <w:p w14:paraId="6E93A6C6">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关于变更估价的约定:</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因设计变更引起工程项目、工程量变化的，工程量清单报价表中有相同细目的按竞标人竞标时的中标单价进行结算，工程量清单报价表中有类似细目的参考类似成交单价结算</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新增项目有定额的套定额计算，其中材料价格有信息的按信息价，无信息的按市场价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新增项目无定额可套的，由发包人、承包人根据市场价格协商决定</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新增项目的单价应经有政府审计中心审定。</w:t>
      </w:r>
    </w:p>
    <w:p w14:paraId="003E460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 xml:space="preserve">国家和自治区政策性调整有关费用标准的，按文件规定执行。  </w:t>
      </w:r>
    </w:p>
    <w:p w14:paraId="2CAC2D26">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Start w:id="597" w:name="_Toc303539150"/>
      <w:bookmarkStart w:id="598" w:name="_Toc297123544"/>
      <w:bookmarkStart w:id="599" w:name="_Toc296347196"/>
      <w:bookmarkStart w:id="600" w:name="_Toc296503197"/>
      <w:bookmarkStart w:id="601" w:name="_Toc292559907"/>
      <w:bookmarkStart w:id="602" w:name="_Toc296944536"/>
      <w:bookmarkStart w:id="603" w:name="_Toc297216203"/>
      <w:bookmarkStart w:id="604" w:name="_Toc296891025"/>
      <w:bookmarkStart w:id="605" w:name="_Toc296891237"/>
      <w:bookmarkStart w:id="606" w:name="_Toc297120497"/>
      <w:bookmarkStart w:id="607" w:name="_Toc297048383"/>
      <w:bookmarkStart w:id="608" w:name="_Toc300934993"/>
      <w:bookmarkStart w:id="609" w:name="_Toc292559402"/>
      <w:bookmarkStart w:id="610" w:name="_Toc296346698"/>
      <w:bookmarkStart w:id="611" w:name="_Toc312678029"/>
      <w:bookmarkStart w:id="612" w:name="_Toc312677503"/>
      <w:bookmarkStart w:id="613" w:name="_Toc304295570"/>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承</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Start w:id="614" w:name="_Toc300934994"/>
      <w:bookmarkStart w:id="615" w:name="_Toc296891031"/>
      <w:bookmarkStart w:id="616" w:name="_Toc296346704"/>
      <w:bookmarkStart w:id="617" w:name="_Toc292559913"/>
      <w:bookmarkStart w:id="618" w:name="_Toc297123545"/>
      <w:bookmarkStart w:id="619" w:name="_Toc297048389"/>
      <w:bookmarkStart w:id="620" w:name="_Toc296944542"/>
      <w:bookmarkStart w:id="621" w:name="_Toc296503203"/>
      <w:bookmarkStart w:id="622" w:name="_Toc297216204"/>
      <w:bookmarkStart w:id="623" w:name="_Toc297120503"/>
      <w:bookmarkStart w:id="624" w:name="_Toc292559408"/>
      <w:bookmarkStart w:id="625" w:name="_Toc296347202"/>
      <w:bookmarkStart w:id="626" w:name="_Toc296891243"/>
      <w:bookmarkStart w:id="627" w:name="_Toc303539151"/>
      <w:r>
        <w:rPr>
          <w:rFonts w:ascii="宋体" w:hAnsi="宋体"/>
          <w:color w:val="000000" w:themeColor="text1"/>
          <w:szCs w:val="21"/>
          <w:highlight w:val="none"/>
          <w14:textFill>
            <w14:solidFill>
              <w14:schemeClr w14:val="tx1"/>
            </w14:solidFill>
          </w14:textFill>
        </w:rPr>
        <w:t>包人的合理化建议</w:t>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7D053FBC">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监理人审查承包人合理化建议的期限：</w:t>
      </w:r>
      <w:r>
        <w:rPr>
          <w:rFonts w:hint="eastAsia" w:ascii="宋体" w:hAnsi="宋体"/>
          <w:color w:val="000000" w:themeColor="text1"/>
          <w:szCs w:val="21"/>
          <w:highlight w:val="none"/>
          <w:u w:val="single"/>
          <w14:textFill>
            <w14:solidFill>
              <w14:schemeClr w14:val="tx1"/>
            </w14:solidFill>
          </w14:textFill>
        </w:rPr>
        <w:t>在收到承包人提交的合理化建议后 7天内。</w:t>
      </w:r>
    </w:p>
    <w:p w14:paraId="57F10E1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发包人审批承包人合理化建议的期限：</w:t>
      </w:r>
      <w:r>
        <w:rPr>
          <w:rFonts w:hint="eastAsia" w:ascii="宋体" w:hAnsi="宋体"/>
          <w:color w:val="000000" w:themeColor="text1"/>
          <w:szCs w:val="21"/>
          <w:highlight w:val="none"/>
          <w:u w:val="single"/>
          <w14:textFill>
            <w14:solidFill>
              <w14:schemeClr w14:val="tx1"/>
            </w14:solidFill>
          </w14:textFill>
        </w:rPr>
        <w:t>在收到监理人报送的合理化建议后 7天内。</w:t>
      </w:r>
    </w:p>
    <w:p w14:paraId="368CAB98">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承</w:t>
      </w:r>
      <w:bookmarkStart w:id="628" w:name="_Toc297048390"/>
      <w:bookmarkStart w:id="629" w:name="_Toc312677504"/>
      <w:bookmarkStart w:id="630" w:name="_Toc297123546"/>
      <w:bookmarkStart w:id="631" w:name="_Toc297120504"/>
      <w:bookmarkStart w:id="632" w:name="_Toc296891244"/>
      <w:bookmarkStart w:id="633" w:name="_Toc292559914"/>
      <w:bookmarkStart w:id="634" w:name="_Toc296346705"/>
      <w:bookmarkStart w:id="635" w:name="_Toc297216205"/>
      <w:bookmarkStart w:id="636" w:name="_Toc296347203"/>
      <w:bookmarkStart w:id="637" w:name="_Toc296944543"/>
      <w:bookmarkStart w:id="638" w:name="_Toc312678030"/>
      <w:bookmarkStart w:id="639" w:name="_Toc292559409"/>
      <w:bookmarkStart w:id="640" w:name="_Toc296503204"/>
      <w:bookmarkStart w:id="641" w:name="_Toc303539152"/>
      <w:bookmarkStart w:id="642" w:name="_Toc300934995"/>
      <w:bookmarkStart w:id="643" w:name="_Toc318581175"/>
      <w:bookmarkStart w:id="644" w:name="_Toc296891032"/>
      <w:bookmarkStart w:id="645" w:name="_Toc304295571"/>
      <w:r>
        <w:rPr>
          <w:rFonts w:ascii="宋体" w:hAnsi="宋体"/>
          <w:color w:val="000000" w:themeColor="text1"/>
          <w:szCs w:val="21"/>
          <w:highlight w:val="none"/>
          <w14:textFill>
            <w14:solidFill>
              <w14:schemeClr w14:val="tx1"/>
            </w14:solidFill>
          </w14:textFill>
        </w:rPr>
        <w:t>包人提出的合理化建议降低了合同价格或者提高了工程经济效益的奖励的方法和金额为：。</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71ECF868">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646" w:name="_Toc312677507"/>
      <w:bookmarkStart w:id="647" w:name="_Toc300934997"/>
      <w:bookmarkStart w:id="648" w:name="_Toc303539154"/>
      <w:bookmarkStart w:id="649" w:name="_Toc296346700"/>
      <w:bookmarkStart w:id="650" w:name="_Toc292559909"/>
      <w:bookmarkStart w:id="651" w:name="_Toc297123548"/>
      <w:bookmarkStart w:id="652" w:name="_Toc296891239"/>
      <w:bookmarkStart w:id="653" w:name="_Toc304295574"/>
      <w:bookmarkStart w:id="654" w:name="_Toc296503199"/>
      <w:bookmarkStart w:id="655" w:name="_Toc297120499"/>
      <w:bookmarkStart w:id="656" w:name="_Toc296944538"/>
      <w:bookmarkStart w:id="657" w:name="_Toc296891027"/>
      <w:bookmarkStart w:id="658" w:name="_Toc296347198"/>
      <w:bookmarkStart w:id="659" w:name="_Toc297216207"/>
      <w:bookmarkStart w:id="660" w:name="_Toc297048385"/>
      <w:bookmarkStart w:id="661" w:name="_Toc312678033"/>
      <w:bookmarkStart w:id="662" w:name="_Toc292559404"/>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暂估价</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6F88C09B">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10.4.1 </w:t>
      </w:r>
      <w:r>
        <w:rPr>
          <w:rFonts w:hAnsi="宋体"/>
          <w:color w:val="000000" w:themeColor="text1"/>
          <w:szCs w:val="21"/>
          <w:highlight w:val="none"/>
          <w14:textFill>
            <w14:solidFill>
              <w14:schemeClr w14:val="tx1"/>
            </w14:solidFill>
          </w14:textFill>
        </w:rPr>
        <w:t>变更估价原则</w:t>
      </w:r>
    </w:p>
    <w:p w14:paraId="6BFD4A1C">
      <w:pPr>
        <w:spacing w:line="360" w:lineRule="auto"/>
        <w:ind w:firstLine="420" w:firstLineChars="200"/>
        <w:jc w:val="left"/>
        <w:rPr>
          <w:rFonts w:hAnsi="宋体"/>
          <w:bCs/>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关于变更估价的约定</w:t>
      </w:r>
      <w:r>
        <w:rPr>
          <w:color w:val="000000" w:themeColor="text1"/>
          <w:szCs w:val="21"/>
          <w:highlight w:val="none"/>
          <w14:textFill>
            <w14:solidFill>
              <w14:schemeClr w14:val="tx1"/>
            </w14:solidFill>
          </w14:textFill>
        </w:rPr>
        <w:t xml:space="preserve">: </w:t>
      </w:r>
      <w:bookmarkStart w:id="663" w:name="_Toc251051742"/>
      <w:r>
        <w:rPr>
          <w:rFonts w:hint="eastAsia" w:hAnsi="宋体"/>
          <w:bCs/>
          <w:color w:val="000000" w:themeColor="text1"/>
          <w:szCs w:val="21"/>
          <w:highlight w:val="none"/>
          <w:u w:val="single"/>
          <w14:textFill>
            <w14:solidFill>
              <w14:schemeClr w14:val="tx1"/>
            </w14:solidFill>
          </w14:textFill>
        </w:rPr>
        <w:t>工程</w:t>
      </w:r>
      <w:r>
        <w:rPr>
          <w:rFonts w:hAnsi="宋体"/>
          <w:bCs/>
          <w:color w:val="000000" w:themeColor="text1"/>
          <w:szCs w:val="21"/>
          <w:highlight w:val="none"/>
          <w:u w:val="single"/>
          <w14:textFill>
            <w14:solidFill>
              <w14:schemeClr w14:val="tx1"/>
            </w14:solidFill>
          </w14:textFill>
        </w:rPr>
        <w:t>变更合同价款按下列方法进行：（</w:t>
      </w:r>
      <w:r>
        <w:rPr>
          <w:bCs/>
          <w:color w:val="000000" w:themeColor="text1"/>
          <w:szCs w:val="21"/>
          <w:highlight w:val="none"/>
          <w:u w:val="single"/>
          <w14:textFill>
            <w14:solidFill>
              <w14:schemeClr w14:val="tx1"/>
            </w14:solidFill>
          </w14:textFill>
        </w:rPr>
        <w:t>1</w:t>
      </w:r>
      <w:r>
        <w:rPr>
          <w:rFonts w:hAnsi="宋体"/>
          <w:bCs/>
          <w:color w:val="000000" w:themeColor="text1"/>
          <w:szCs w:val="21"/>
          <w:highlight w:val="none"/>
          <w:u w:val="single"/>
          <w14:textFill>
            <w14:solidFill>
              <w14:schemeClr w14:val="tx1"/>
            </w14:solidFill>
          </w14:textFill>
        </w:rPr>
        <w:t>）合同中已有相同清单项目的，按合同该清单项目价格进行计算</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w:t>
      </w:r>
      <w:r>
        <w:rPr>
          <w:bCs/>
          <w:color w:val="000000" w:themeColor="text1"/>
          <w:szCs w:val="21"/>
          <w:highlight w:val="none"/>
          <w:u w:val="single"/>
          <w14:textFill>
            <w14:solidFill>
              <w14:schemeClr w14:val="tx1"/>
            </w14:solidFill>
          </w14:textFill>
        </w:rPr>
        <w:t>2</w:t>
      </w:r>
      <w:r>
        <w:rPr>
          <w:rFonts w:hAnsi="宋体"/>
          <w:bCs/>
          <w:color w:val="000000" w:themeColor="text1"/>
          <w:szCs w:val="21"/>
          <w:highlight w:val="none"/>
          <w:u w:val="single"/>
          <w14:textFill>
            <w14:solidFill>
              <w14:schemeClr w14:val="tx1"/>
            </w14:solidFill>
          </w14:textFill>
        </w:rPr>
        <w:t>）合同中只有类似清单项目的，参照该类似清单项目价格进行计算</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w:t>
      </w:r>
      <w:r>
        <w:rPr>
          <w:bCs/>
          <w:color w:val="000000" w:themeColor="text1"/>
          <w:szCs w:val="21"/>
          <w:highlight w:val="none"/>
          <w:u w:val="single"/>
          <w14:textFill>
            <w14:solidFill>
              <w14:schemeClr w14:val="tx1"/>
            </w14:solidFill>
          </w14:textFill>
        </w:rPr>
        <w:t>3</w:t>
      </w:r>
      <w:r>
        <w:rPr>
          <w:rFonts w:hAnsi="宋体"/>
          <w:bCs/>
          <w:color w:val="000000" w:themeColor="text1"/>
          <w:szCs w:val="21"/>
          <w:highlight w:val="none"/>
          <w:u w:val="single"/>
          <w14:textFill>
            <w14:solidFill>
              <w14:schemeClr w14:val="tx1"/>
            </w14:solidFill>
          </w14:textFill>
        </w:rPr>
        <w:t>）合同中没有适用或类似清单项目的价格计算方法：有定额的套定额，并乘以</w:t>
      </w:r>
      <w:r>
        <w:rPr>
          <w:rFonts w:hint="eastAsia" w:hAnsi="宋体"/>
          <w:bCs/>
          <w:color w:val="000000" w:themeColor="text1"/>
          <w:szCs w:val="21"/>
          <w:highlight w:val="none"/>
          <w:u w:val="single"/>
          <w14:textFill>
            <w14:solidFill>
              <w14:schemeClr w14:val="tx1"/>
            </w14:solidFill>
          </w14:textFill>
        </w:rPr>
        <w:t>（竞标价/采购</w:t>
      </w:r>
      <w:r>
        <w:rPr>
          <w:rFonts w:hAnsi="宋体"/>
          <w:bCs/>
          <w:color w:val="000000" w:themeColor="text1"/>
          <w:szCs w:val="21"/>
          <w:highlight w:val="none"/>
          <w:u w:val="single"/>
          <w14:textFill>
            <w14:solidFill>
              <w14:schemeClr w14:val="tx1"/>
            </w14:solidFill>
          </w14:textFill>
        </w:rPr>
        <w:t>控制价</w:t>
      </w:r>
      <w:r>
        <w:rPr>
          <w:rFonts w:hint="eastAsia" w:hAnsi="宋体"/>
          <w:bCs/>
          <w:color w:val="000000" w:themeColor="text1"/>
          <w:szCs w:val="21"/>
          <w:highlight w:val="none"/>
          <w:u w:val="single"/>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系数计算，其中材料价格按施工期间的《</w:t>
      </w:r>
      <w:r>
        <w:rPr>
          <w:rFonts w:hint="eastAsia"/>
          <w:bCs/>
          <w:color w:val="000000" w:themeColor="text1"/>
          <w:szCs w:val="21"/>
          <w:highlight w:val="none"/>
          <w:u w:val="single"/>
          <w14:textFill>
            <w14:solidFill>
              <w14:schemeClr w14:val="tx1"/>
            </w14:solidFill>
          </w14:textFill>
        </w:rPr>
        <w:t>钦州</w:t>
      </w:r>
      <w:r>
        <w:rPr>
          <w:rFonts w:hAnsi="宋体"/>
          <w:bCs/>
          <w:color w:val="000000" w:themeColor="text1"/>
          <w:szCs w:val="21"/>
          <w:highlight w:val="none"/>
          <w:u w:val="single"/>
          <w14:textFill>
            <w14:solidFill>
              <w14:schemeClr w14:val="tx1"/>
            </w14:solidFill>
          </w14:textFill>
        </w:rPr>
        <w:t>市建设工程造价信息》相应价格信息进行计算</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w:t>
      </w:r>
      <w:r>
        <w:rPr>
          <w:rFonts w:hint="eastAsia"/>
          <w:bCs/>
          <w:color w:val="000000" w:themeColor="text1"/>
          <w:szCs w:val="21"/>
          <w:highlight w:val="none"/>
          <w:u w:val="single"/>
          <w14:textFill>
            <w14:solidFill>
              <w14:schemeClr w14:val="tx1"/>
            </w14:solidFill>
          </w14:textFill>
        </w:rPr>
        <w:t>钦州</w:t>
      </w:r>
      <w:r>
        <w:rPr>
          <w:rFonts w:hAnsi="宋体"/>
          <w:bCs/>
          <w:color w:val="000000" w:themeColor="text1"/>
          <w:szCs w:val="21"/>
          <w:highlight w:val="none"/>
          <w:u w:val="single"/>
          <w14:textFill>
            <w14:solidFill>
              <w14:schemeClr w14:val="tx1"/>
            </w14:solidFill>
          </w14:textFill>
        </w:rPr>
        <w:t>市建设工程造价信息》没有相应价格信息的</w:t>
      </w:r>
      <w:r>
        <w:rPr>
          <w:rFonts w:hint="eastAsia" w:hAnsi="宋体"/>
          <w:bCs/>
          <w:color w:val="000000" w:themeColor="text1"/>
          <w:szCs w:val="21"/>
          <w:highlight w:val="none"/>
          <w:u w:val="single"/>
          <w14:textFill>
            <w14:solidFill>
              <w14:schemeClr w14:val="tx1"/>
            </w14:solidFill>
          </w14:textFill>
        </w:rPr>
        <w:t>可</w:t>
      </w:r>
      <w:r>
        <w:rPr>
          <w:rFonts w:hAnsi="宋体"/>
          <w:bCs/>
          <w:color w:val="000000" w:themeColor="text1"/>
          <w:szCs w:val="21"/>
          <w:highlight w:val="none"/>
          <w:u w:val="single"/>
          <w14:textFill>
            <w14:solidFill>
              <w14:schemeClr w14:val="tx1"/>
            </w14:solidFill>
          </w14:textFill>
        </w:rPr>
        <w:t>参照</w:t>
      </w:r>
      <w:r>
        <w:rPr>
          <w:rFonts w:hint="eastAsia" w:hAnsi="宋体"/>
          <w:bCs/>
          <w:color w:val="000000" w:themeColor="text1"/>
          <w:szCs w:val="21"/>
          <w:highlight w:val="none"/>
          <w:u w:val="single"/>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南宁市</w:t>
      </w:r>
      <w:r>
        <w:rPr>
          <w:rFonts w:hint="eastAsia" w:hAnsi="宋体"/>
          <w:bCs/>
          <w:color w:val="000000" w:themeColor="text1"/>
          <w:szCs w:val="21"/>
          <w:highlight w:val="none"/>
          <w:u w:val="single"/>
          <w14:textFill>
            <w14:solidFill>
              <w14:schemeClr w14:val="tx1"/>
            </w14:solidFill>
          </w14:textFill>
        </w:rPr>
        <w:t>建设工程</w:t>
      </w:r>
      <w:r>
        <w:rPr>
          <w:rFonts w:hAnsi="宋体"/>
          <w:bCs/>
          <w:color w:val="000000" w:themeColor="text1"/>
          <w:szCs w:val="21"/>
          <w:highlight w:val="none"/>
          <w:u w:val="single"/>
          <w14:textFill>
            <w14:solidFill>
              <w14:schemeClr w14:val="tx1"/>
            </w14:solidFill>
          </w14:textFill>
        </w:rPr>
        <w:t>信息价</w:t>
      </w:r>
      <w:r>
        <w:rPr>
          <w:rFonts w:hint="eastAsia" w:hAnsi="宋体"/>
          <w:bCs/>
          <w:color w:val="000000" w:themeColor="text1"/>
          <w:szCs w:val="21"/>
          <w:highlight w:val="none"/>
          <w:u w:val="single"/>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或</w:t>
      </w:r>
      <w:r>
        <w:rPr>
          <w:rFonts w:hint="eastAsia" w:hAnsi="宋体"/>
          <w:bCs/>
          <w:color w:val="000000" w:themeColor="text1"/>
          <w:szCs w:val="21"/>
          <w:highlight w:val="none"/>
          <w:u w:val="single"/>
          <w14:textFill>
            <w14:solidFill>
              <w14:schemeClr w14:val="tx1"/>
            </w14:solidFill>
          </w14:textFill>
        </w:rPr>
        <w:t>广西</w:t>
      </w:r>
      <w:r>
        <w:rPr>
          <w:rFonts w:hAnsi="宋体"/>
          <w:bCs/>
          <w:color w:val="000000" w:themeColor="text1"/>
          <w:szCs w:val="21"/>
          <w:highlight w:val="none"/>
          <w:u w:val="single"/>
          <w14:textFill>
            <w14:solidFill>
              <w14:schemeClr w14:val="tx1"/>
            </w14:solidFill>
          </w14:textFill>
        </w:rPr>
        <w:t>区内其他城市信息价</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无定额可套的，根据</w:t>
      </w:r>
      <w:r>
        <w:rPr>
          <w:rFonts w:hint="eastAsia" w:hAnsi="宋体"/>
          <w:bCs/>
          <w:color w:val="000000" w:themeColor="text1"/>
          <w:szCs w:val="21"/>
          <w:highlight w:val="none"/>
          <w:u w:val="single"/>
          <w14:textFill>
            <w14:solidFill>
              <w14:schemeClr w14:val="tx1"/>
            </w14:solidFill>
          </w14:textFill>
        </w:rPr>
        <w:t>经</w:t>
      </w:r>
      <w:r>
        <w:rPr>
          <w:rFonts w:hAnsi="宋体"/>
          <w:bCs/>
          <w:color w:val="000000" w:themeColor="text1"/>
          <w:szCs w:val="21"/>
          <w:highlight w:val="none"/>
          <w:u w:val="single"/>
          <w14:textFill>
            <w14:solidFill>
              <w14:schemeClr w14:val="tx1"/>
            </w14:solidFill>
          </w14:textFill>
        </w:rPr>
        <w:t>市场</w:t>
      </w:r>
      <w:r>
        <w:rPr>
          <w:rFonts w:hint="eastAsia" w:hAnsi="宋体"/>
          <w:bCs/>
          <w:color w:val="000000" w:themeColor="text1"/>
          <w:szCs w:val="21"/>
          <w:highlight w:val="none"/>
          <w:u w:val="single"/>
          <w14:textFill>
            <w14:solidFill>
              <w14:schemeClr w14:val="tx1"/>
            </w14:solidFill>
          </w14:textFill>
        </w:rPr>
        <w:t>询价</w:t>
      </w:r>
      <w:r>
        <w:rPr>
          <w:rFonts w:hAnsi="宋体"/>
          <w:bCs/>
          <w:color w:val="000000" w:themeColor="text1"/>
          <w:szCs w:val="21"/>
          <w:highlight w:val="none"/>
          <w:u w:val="single"/>
          <w14:textFill>
            <w14:solidFill>
              <w14:schemeClr w14:val="tx1"/>
            </w14:solidFill>
          </w14:textFill>
        </w:rPr>
        <w:t>协商确定综合价格</w:t>
      </w:r>
      <w:r>
        <w:rPr>
          <w:rFonts w:hint="eastAsia" w:hAnsi="宋体"/>
          <w:bCs/>
          <w:color w:val="000000" w:themeColor="text1"/>
          <w:szCs w:val="21"/>
          <w:highlight w:val="none"/>
          <w:u w:val="single"/>
          <w14:textFill>
            <w14:solidFill>
              <w14:schemeClr w14:val="tx1"/>
            </w14:solidFill>
          </w14:textFill>
        </w:rPr>
        <w:t>或经</w:t>
      </w:r>
      <w:r>
        <w:rPr>
          <w:rFonts w:hAnsi="宋体"/>
          <w:bCs/>
          <w:color w:val="000000" w:themeColor="text1"/>
          <w:szCs w:val="21"/>
          <w:highlight w:val="none"/>
          <w:u w:val="single"/>
          <w14:textFill>
            <w14:solidFill>
              <w14:schemeClr w14:val="tx1"/>
            </w14:solidFill>
          </w14:textFill>
        </w:rPr>
        <w:t>采购</w:t>
      </w:r>
      <w:r>
        <w:rPr>
          <w:rFonts w:hint="eastAsia" w:hAnsi="宋体"/>
          <w:bCs/>
          <w:color w:val="000000" w:themeColor="text1"/>
          <w:szCs w:val="21"/>
          <w:highlight w:val="none"/>
          <w:u w:val="single"/>
          <w14:textFill>
            <w14:solidFill>
              <w14:schemeClr w14:val="tx1"/>
            </w14:solidFill>
          </w14:textFill>
        </w:rPr>
        <w:t>采购</w:t>
      </w:r>
      <w:r>
        <w:rPr>
          <w:rFonts w:hAnsi="宋体"/>
          <w:bCs/>
          <w:color w:val="000000" w:themeColor="text1"/>
          <w:szCs w:val="21"/>
          <w:highlight w:val="none"/>
          <w:u w:val="single"/>
          <w14:textFill>
            <w14:solidFill>
              <w14:schemeClr w14:val="tx1"/>
            </w14:solidFill>
          </w14:textFill>
        </w:rPr>
        <w:t>确定材料</w:t>
      </w:r>
      <w:r>
        <w:rPr>
          <w:rFonts w:hint="eastAsia" w:hAnsi="宋体"/>
          <w:bCs/>
          <w:color w:val="000000" w:themeColor="text1"/>
          <w:szCs w:val="21"/>
          <w:highlight w:val="none"/>
          <w:u w:val="single"/>
          <w14:textFill>
            <w14:solidFill>
              <w14:schemeClr w14:val="tx1"/>
            </w14:solidFill>
          </w14:textFill>
        </w:rPr>
        <w:t>单价</w:t>
      </w:r>
      <w:bookmarkEnd w:id="663"/>
      <w:r>
        <w:rPr>
          <w:rFonts w:hint="eastAsia" w:hAnsi="宋体"/>
          <w:bCs/>
          <w:color w:val="000000" w:themeColor="text1"/>
          <w:szCs w:val="21"/>
          <w:highlight w:val="none"/>
          <w:u w:val="single"/>
          <w14:textFill>
            <w14:solidFill>
              <w14:schemeClr w14:val="tx1"/>
            </w14:solidFill>
          </w14:textFill>
        </w:rPr>
        <w:t>。</w:t>
      </w:r>
    </w:p>
    <w:p w14:paraId="1654A375">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工程变更导致实际完成的变更工程量与已标价清单或预算书中列明的该项目工程量有偏差时，其综合单价的确定按专用条款“1.13工程量清单错误的修正”执行。</w:t>
      </w:r>
    </w:p>
    <w:p w14:paraId="6E7CF14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暂列金额</w:t>
      </w:r>
    </w:p>
    <w:p w14:paraId="4E64C763">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合同当事人关于暂列金额使用的约定：</w:t>
      </w:r>
      <w:r>
        <w:rPr>
          <w:rFonts w:hAnsi="宋体"/>
          <w:color w:val="000000" w:themeColor="text1"/>
          <w:kern w:val="0"/>
          <w:szCs w:val="21"/>
          <w:highlight w:val="none"/>
          <w14:textFill>
            <w14:solidFill>
              <w14:schemeClr w14:val="tx1"/>
            </w14:solidFill>
          </w14:textFill>
        </w:rPr>
        <w:t>暂</w:t>
      </w:r>
      <w:bookmarkStart w:id="664" w:name="_Toc312677508"/>
      <w:bookmarkStart w:id="665" w:name="_Toc318581176"/>
      <w:bookmarkStart w:id="666" w:name="_Toc312678034"/>
      <w:r>
        <w:rPr>
          <w:rFonts w:hAnsi="宋体"/>
          <w:color w:val="000000" w:themeColor="text1"/>
          <w:kern w:val="0"/>
          <w:szCs w:val="21"/>
          <w:highlight w:val="none"/>
          <w14:textFill>
            <w14:solidFill>
              <w14:schemeClr w14:val="tx1"/>
            </w14:solidFill>
          </w14:textFill>
        </w:rPr>
        <w:t>估价材料和工程设备的明细详见</w:t>
      </w:r>
      <w:r>
        <w:rPr>
          <w:rFonts w:hint="eastAsia" w:hAnsi="宋体"/>
          <w:color w:val="000000" w:themeColor="text1"/>
          <w:kern w:val="0"/>
          <w:szCs w:val="21"/>
          <w:highlight w:val="none"/>
          <w14:textFill>
            <w14:solidFill>
              <w14:schemeClr w14:val="tx1"/>
            </w14:solidFill>
          </w14:textFill>
        </w:rPr>
        <w:t>已标价工程量清单《</w:t>
      </w:r>
      <w:r>
        <w:rPr>
          <w:color w:val="000000" w:themeColor="text1"/>
          <w:szCs w:val="21"/>
          <w:highlight w:val="none"/>
          <w14:textFill>
            <w14:solidFill>
              <w14:schemeClr w14:val="tx1"/>
            </w14:solidFill>
          </w14:textFill>
        </w:rPr>
        <w:t>材料（工程设备）暂估价格及调整表</w:t>
      </w:r>
      <w:r>
        <w:rPr>
          <w:rFonts w:hint="eastAsia"/>
          <w:color w:val="000000" w:themeColor="text1"/>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（表12-2）和《</w:t>
      </w:r>
      <w:r>
        <w:rPr>
          <w:color w:val="000000" w:themeColor="text1"/>
          <w:szCs w:val="21"/>
          <w:highlight w:val="none"/>
          <w14:textFill>
            <w14:solidFill>
              <w14:schemeClr w14:val="tx1"/>
            </w14:solidFill>
          </w14:textFill>
        </w:rPr>
        <w:t>专业工程暂估价表</w:t>
      </w:r>
      <w:r>
        <w:rPr>
          <w:rFonts w:hint="eastAsia"/>
          <w:color w:val="000000" w:themeColor="text1"/>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表12-3）</w:t>
      </w:r>
      <w:r>
        <w:rPr>
          <w:rFonts w:hAnsi="宋体"/>
          <w:color w:val="000000" w:themeColor="text1"/>
          <w:kern w:val="0"/>
          <w:szCs w:val="21"/>
          <w:highlight w:val="none"/>
          <w14:textFill>
            <w14:solidFill>
              <w14:schemeClr w14:val="tx1"/>
            </w14:solidFill>
          </w14:textFill>
        </w:rPr>
        <w:t>。</w:t>
      </w:r>
    </w:p>
    <w:p w14:paraId="2C9F5725">
      <w:pPr>
        <w:autoSpaceDE w:val="0"/>
        <w:autoSpaceDN w:val="0"/>
        <w:adjustRightInd w:val="0"/>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合同当事人关于暂列金额使用的约定：</w:t>
      </w:r>
      <w:r>
        <w:rPr>
          <w:rFonts w:hint="eastAsia"/>
          <w:color w:val="000000" w:themeColor="text1"/>
          <w:szCs w:val="21"/>
          <w:highlight w:val="none"/>
          <w:u w:val="single"/>
          <w14:textFill>
            <w14:solidFill>
              <w14:schemeClr w14:val="tx1"/>
            </w14:solidFill>
          </w14:textFill>
        </w:rPr>
        <w:t>暂列金额应由监理人报发包人批准后指令全部或部分地使用，或者根本不予动用。承包人有权得到的暂列金额应限于监理人根据本条约定决定动用暂列金额的工程、供应或不可预见费用方面的金额。监理人应将根据本款做出的每项决定报发包人批准并通知承包人。</w:t>
      </w:r>
    </w:p>
    <w:bookmarkEnd w:id="664"/>
    <w:bookmarkEnd w:id="665"/>
    <w:bookmarkEnd w:id="666"/>
    <w:p w14:paraId="37122D71">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667" w:name="_Toc351203643"/>
      <w:r>
        <w:rPr>
          <w:rFonts w:ascii="宋体" w:hAnsi="宋体" w:eastAsia="黑体"/>
          <w:b/>
          <w:color w:val="000000" w:themeColor="text1"/>
          <w:kern w:val="0"/>
          <w:sz w:val="28"/>
          <w:szCs w:val="21"/>
          <w:highlight w:val="none"/>
          <w14:textFill>
            <w14:solidFill>
              <w14:schemeClr w14:val="tx1"/>
            </w14:solidFill>
          </w14:textFill>
        </w:rPr>
        <w:t>11. 价格调整</w:t>
      </w:r>
      <w:bookmarkEnd w:id="667"/>
    </w:p>
    <w:p w14:paraId="33971637">
      <w:pPr>
        <w:spacing w:after="120" w:line="440" w:lineRule="exact"/>
        <w:ind w:firstLine="420" w:firstLineChars="200"/>
        <w:rPr>
          <w:rFonts w:ascii="宋体" w:hAnsi="宋体"/>
          <w:color w:val="000000" w:themeColor="text1"/>
          <w:szCs w:val="21"/>
          <w:highlight w:val="none"/>
          <w14:textFill>
            <w14:solidFill>
              <w14:schemeClr w14:val="tx1"/>
            </w14:solidFill>
          </w14:textFill>
        </w:rPr>
      </w:pPr>
      <w:bookmarkStart w:id="668" w:name="_Toc300935000"/>
      <w:bookmarkStart w:id="669" w:name="_Toc292559406"/>
      <w:bookmarkStart w:id="670" w:name="_Toc297048387"/>
      <w:bookmarkStart w:id="671" w:name="_Toc303539157"/>
      <w:bookmarkStart w:id="672" w:name="_Toc297123550"/>
      <w:bookmarkStart w:id="673" w:name="_Toc296503201"/>
      <w:bookmarkStart w:id="674" w:name="_Toc296944540"/>
      <w:bookmarkStart w:id="675" w:name="_Toc296891029"/>
      <w:bookmarkStart w:id="676" w:name="_Toc312678039"/>
      <w:bookmarkStart w:id="677" w:name="_Toc297120501"/>
      <w:bookmarkStart w:id="678" w:name="_Toc296346702"/>
      <w:bookmarkStart w:id="679" w:name="_Toc297216209"/>
      <w:bookmarkStart w:id="680" w:name="_Toc296891241"/>
      <w:bookmarkStart w:id="681" w:name="_Toc296347200"/>
      <w:bookmarkStart w:id="682" w:name="_Toc304295577"/>
      <w:bookmarkStart w:id="683" w:name="_Toc292559911"/>
      <w:r>
        <w:rPr>
          <w:rFonts w:ascii="宋体" w:hAnsi="宋体"/>
          <w:color w:val="000000" w:themeColor="text1"/>
          <w:szCs w:val="21"/>
          <w:highlight w:val="none"/>
          <w14:textFill>
            <w14:solidFill>
              <w14:schemeClr w14:val="tx1"/>
            </w14:solidFill>
          </w14:textFill>
        </w:rPr>
        <w:t>11.1 市场价格波动引起的调整</w:t>
      </w:r>
    </w:p>
    <w:bookmarkEnd w:id="573"/>
    <w:bookmarkEnd w:id="574"/>
    <w:bookmarkEnd w:id="575"/>
    <w:bookmarkEnd w:id="576"/>
    <w:bookmarkEnd w:id="577"/>
    <w:bookmarkEnd w:id="578"/>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14:paraId="76DE97A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bookmarkStart w:id="684" w:name="_Toc292559410"/>
      <w:bookmarkStart w:id="685" w:name="_Toc297120505"/>
      <w:bookmarkStart w:id="686" w:name="_Toc296503205"/>
      <w:bookmarkStart w:id="687" w:name="_Toc296347204"/>
      <w:bookmarkStart w:id="688" w:name="_Toc296891245"/>
      <w:bookmarkStart w:id="689" w:name="_Toc296346706"/>
      <w:bookmarkStart w:id="690" w:name="_Toc296891033"/>
      <w:bookmarkStart w:id="691" w:name="_Toc297048391"/>
      <w:bookmarkStart w:id="692" w:name="_Toc296944544"/>
      <w:bookmarkStart w:id="693" w:name="_Toc292559915"/>
      <w:bookmarkStart w:id="694" w:name="_Toc351203644"/>
      <w:bookmarkStart w:id="695" w:name="_Toc312678040"/>
      <w:bookmarkStart w:id="696" w:name="_Toc300935002"/>
      <w:bookmarkStart w:id="697" w:name="_Toc297123552"/>
      <w:bookmarkStart w:id="698" w:name="_Toc303539159"/>
      <w:bookmarkStart w:id="699" w:name="_Toc304295579"/>
      <w:bookmarkStart w:id="700" w:name="_Toc297216211"/>
      <w:r>
        <w:rPr>
          <w:rFonts w:hint="eastAsia" w:ascii="宋体" w:hAnsi="宋体"/>
          <w:color w:val="000000" w:themeColor="text1"/>
          <w:szCs w:val="21"/>
          <w:highlight w:val="none"/>
          <w14:textFill>
            <w14:solidFill>
              <w14:schemeClr w14:val="tx1"/>
            </w14:solidFill>
          </w14:textFill>
        </w:rPr>
        <w:t>市场价格波动是否调整合同价格的约定：</w:t>
      </w:r>
      <w:r>
        <w:rPr>
          <w:rFonts w:hint="eastAsia" w:ascii="宋体" w:hAnsi="宋体"/>
          <w:color w:val="000000" w:themeColor="text1"/>
          <w:szCs w:val="21"/>
          <w:highlight w:val="none"/>
          <w:u w:val="single"/>
          <w14:textFill>
            <w14:solidFill>
              <w14:schemeClr w14:val="tx1"/>
            </w14:solidFill>
          </w14:textFill>
        </w:rPr>
        <w:t>可调整</w:t>
      </w:r>
      <w:r>
        <w:rPr>
          <w:rFonts w:hint="eastAsia" w:ascii="宋体" w:hAnsi="宋体"/>
          <w:color w:val="000000" w:themeColor="text1"/>
          <w:szCs w:val="21"/>
          <w:highlight w:val="none"/>
          <w14:textFill>
            <w14:solidFill>
              <w14:schemeClr w14:val="tx1"/>
            </w14:solidFill>
          </w14:textFill>
        </w:rPr>
        <w:t>。</w:t>
      </w:r>
    </w:p>
    <w:p w14:paraId="52D8F1A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因市场价格波动调整合同价格，采用以下第</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种方式对合同价格进行调整：</w:t>
      </w:r>
    </w:p>
    <w:p w14:paraId="1972A66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种方式：采用价格指数进行价格调整。</w:t>
      </w:r>
    </w:p>
    <w:p w14:paraId="1EA42ED4">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关于各可调因子、定值和变值权重，以及基本价格指数及其来源的约定：</w:t>
      </w:r>
      <w:r>
        <w:rPr>
          <w:rFonts w:hint="eastAsia" w:ascii="宋体" w:hAnsi="宋体"/>
          <w:color w:val="000000" w:themeColor="text1"/>
          <w:szCs w:val="21"/>
          <w:highlight w:val="none"/>
          <w:lang w:eastAsia="zh-CN"/>
          <w14:textFill>
            <w14:solidFill>
              <w14:schemeClr w14:val="tx1"/>
            </w14:solidFill>
          </w14:textFill>
        </w:rPr>
        <w:t>；</w:t>
      </w:r>
    </w:p>
    <w:p w14:paraId="4E97A7FE">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第2种方式：根据《关于加强建筑材料价格风险控制的指导意见》（钦州市住房和城乡建设委员会2010年9月21日文件）规定采用造价信息按算术平均差价进行价格调整。</w:t>
      </w:r>
    </w:p>
    <w:p w14:paraId="6651523A">
      <w:pPr>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（2）关于基准价格的约定：</w:t>
      </w:r>
      <w:r>
        <w:rPr>
          <w:rFonts w:hint="eastAsia" w:ascii="宋体" w:hAnsi="宋体"/>
          <w:color w:val="000000" w:themeColor="text1"/>
          <w:szCs w:val="21"/>
          <w:highlight w:val="none"/>
          <w:u w:val="single"/>
          <w14:textFill>
            <w14:solidFill>
              <w14:schemeClr w14:val="tx1"/>
            </w14:solidFill>
          </w14:textFill>
        </w:rPr>
        <w:t>1、采购发包的工程，材料基准价格为采购当期《钦州市建设工程造价信息》发布的材料信息价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采购当期《钦州市建设工程造价信息》没有发布信息价的材料，其基准价为经评审的采购控制价中的材料价格</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2、直接发包的工程，主要材料按签订合同当期的《钦州市建设工程造价信息》发布的材料价格为基准价格。签订合同当期没有发布信息价的材料，其基准价为经评审的工程预算书中的材料价格。  </w:t>
      </w:r>
    </w:p>
    <w:p w14:paraId="2C38B88D">
      <w:pPr>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合同履行期间经审核材料单价涨跌幅以基准单价为基础，超过±5%时，其超过±5 %部分据实调整（具体调整办法按钦州市住房和城乡建设委员会文件《关于加强建筑材料价格风险控制的指导意见》[2010年9月21日]的规定执行）。</w:t>
      </w:r>
    </w:p>
    <w:p w14:paraId="5837509E">
      <w:pPr>
        <w:spacing w:line="360" w:lineRule="auto"/>
        <w:ind w:firstLine="525" w:firstLineChars="2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第3种方式：其他价格调整方式：</w:t>
      </w:r>
      <w:r>
        <w:rPr>
          <w:rFonts w:hint="eastAsia" w:ascii="宋体" w:hAnsi="宋体"/>
          <w:color w:val="000000" w:themeColor="text1"/>
          <w:szCs w:val="21"/>
          <w:highlight w:val="none"/>
          <w:u w:val="single"/>
          <w14:textFill>
            <w14:solidFill>
              <w14:schemeClr w14:val="tx1"/>
            </w14:solidFill>
          </w14:textFill>
        </w:rPr>
        <w:t xml:space="preserve">  无  </w:t>
      </w:r>
      <w:r>
        <w:rPr>
          <w:rFonts w:hint="eastAsia" w:ascii="宋体" w:hAnsi="宋体"/>
          <w:color w:val="000000" w:themeColor="text1"/>
          <w:szCs w:val="21"/>
          <w:highlight w:val="none"/>
          <w14:textFill>
            <w14:solidFill>
              <w14:schemeClr w14:val="tx1"/>
            </w14:solidFill>
          </w14:textFill>
        </w:rPr>
        <w:t>。</w:t>
      </w:r>
    </w:p>
    <w:p w14:paraId="00F29E46">
      <w:pPr>
        <w:adjustRightInd w:val="0"/>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u w:val="single"/>
          <w14:textFill>
            <w14:solidFill>
              <w14:schemeClr w14:val="tx1"/>
            </w14:solidFill>
          </w14:textFill>
        </w:rPr>
        <w:t>合同履行期间，除专用合同条款第11.3 款约定的增减以外，其他条件引起的综合单价变动均不调整。</w:t>
      </w:r>
    </w:p>
    <w:p w14:paraId="7E036EE8">
      <w:pPr>
        <w:adjustRightInd w:val="0"/>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综合单价调整：</w:t>
      </w:r>
    </w:p>
    <w:p w14:paraId="05AA1E45">
      <w:pPr>
        <w:spacing w:line="360" w:lineRule="auto"/>
        <w:ind w:firstLine="48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（1）由于工程量清单项目漏项（指图纸有而清单无的漏项清单项目），其综合单价，依据2013年《</w:t>
      </w:r>
      <w:r>
        <w:rPr>
          <w:rFonts w:hint="eastAsia"/>
          <w:color w:val="000000" w:themeColor="text1"/>
          <w:highlight w:val="none"/>
          <w:u w:val="single"/>
          <w14:textFill>
            <w14:solidFill>
              <w14:schemeClr w14:val="tx1"/>
            </w14:solidFill>
          </w14:textFill>
        </w:rPr>
        <w:t>广西壮族自治区建筑装饰工程消耗量定额</w:t>
      </w:r>
      <w:r>
        <w:rPr>
          <w:rFonts w:hint="eastAsia" w:ascii="宋体" w:hAnsi="宋体"/>
          <w:color w:val="000000" w:themeColor="text1"/>
          <w:szCs w:val="21"/>
          <w:highlight w:val="none"/>
          <w:u w:val="single"/>
          <w14:textFill>
            <w14:solidFill>
              <w14:schemeClr w14:val="tx1"/>
            </w14:solidFill>
          </w14:textFill>
        </w:rPr>
        <w:t>》、2014版《广西壮族自治区市政工程消耗量定额》</w:t>
      </w:r>
      <w:r>
        <w:rPr>
          <w:rFonts w:hint="eastAsia"/>
          <w:color w:val="000000" w:themeColor="text1"/>
          <w:szCs w:val="2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2015</w:t>
      </w:r>
      <w:r>
        <w:rPr>
          <w:rFonts w:hint="eastAsia"/>
          <w:color w:val="000000" w:themeColor="text1"/>
          <w:highlight w:val="none"/>
          <w:u w:val="single"/>
          <w14:textFill>
            <w14:solidFill>
              <w14:schemeClr w14:val="tx1"/>
            </w14:solidFill>
          </w14:textFill>
        </w:rPr>
        <w:t>版《广西壮族自治区安装工程消耗量定额》、</w:t>
      </w:r>
      <w:r>
        <w:rPr>
          <w:rFonts w:hint="eastAsia"/>
          <w:color w:val="000000" w:themeColor="text1"/>
          <w:szCs w:val="21"/>
          <w:highlight w:val="none"/>
          <w:u w:val="single"/>
          <w14:textFill>
            <w14:solidFill>
              <w14:schemeClr w14:val="tx1"/>
            </w14:solidFill>
          </w14:textFill>
        </w:rPr>
        <w:t>2016年《广西壮族自治区建设工程费用定额》</w:t>
      </w:r>
      <w:r>
        <w:rPr>
          <w:rFonts w:hint="eastAsia" w:ascii="宋体" w:hAnsi="宋体"/>
          <w:color w:val="000000" w:themeColor="text1"/>
          <w:szCs w:val="21"/>
          <w:highlight w:val="none"/>
          <w:u w:val="single"/>
          <w14:textFill>
            <w14:solidFill>
              <w14:schemeClr w14:val="tx1"/>
            </w14:solidFill>
          </w14:textFill>
        </w:rPr>
        <w:t>及承包人的竞标材料单价（新增材料按施工期间的钦州市信息中钦州价格或经发包人、承包人、监理及有关监督部门共同认可的实际购买价）计算出综合单价后，乘以承包人的中标价与工程采购控制价比较得出的系数，确定新的综合单价。</w:t>
      </w:r>
    </w:p>
    <w:p w14:paraId="5F518DCA">
      <w:pPr>
        <w:widowControl/>
        <w:adjustRightInd w:val="0"/>
        <w:snapToGrid w:val="0"/>
        <w:spacing w:line="360" w:lineRule="auto"/>
        <w:ind w:firstLine="420" w:firstLineChars="200"/>
        <w:outlineLvl w:val="2"/>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 由于设计变更或工程量清单数量有误引起的工程量增减（指原有清单项目），执行原有的综合单价。</w:t>
      </w:r>
    </w:p>
    <w:p w14:paraId="252F0561">
      <w:pPr>
        <w:keepNext/>
        <w:keepLines/>
        <w:spacing w:before="120" w:after="120" w:line="360" w:lineRule="auto"/>
        <w:ind w:firstLine="420" w:firstLineChars="20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(3) 材料价格调整：按专用合同条款第11.1项的规定执行。</w:t>
      </w:r>
    </w:p>
    <w:p w14:paraId="0D28C553">
      <w:pPr>
        <w:keepNext/>
        <w:keepLines/>
        <w:spacing w:before="120" w:after="120" w:line="360" w:lineRule="auto"/>
        <w:ind w:firstLine="420" w:firstLineChars="20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(4) 由于设计变更引起新的工程量清单项目，按本款第（1）项的办法，确定新的综合单价。</w:t>
      </w:r>
    </w:p>
    <w:p w14:paraId="057C90C7">
      <w:pPr>
        <w:keepNext/>
        <w:keepLines/>
        <w:spacing w:before="120" w:after="120" w:line="360" w:lineRule="auto"/>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 xml:space="preserve">    (5) 工程量清单中已有的项目，材料的品种（含颜色、规格等）因发包人的原因发生变更的，只调整该种材料的差价部分及相应税金（发包人采购控制价中的材料价格与经认可的实际购买价差），其他费用不变。</w:t>
      </w:r>
    </w:p>
    <w:p w14:paraId="689CFC39">
      <w:pPr>
        <w:keepNext/>
        <w:keepLines/>
        <w:spacing w:before="120" w:after="120" w:line="360" w:lineRule="auto"/>
        <w:ind w:firstLine="420" w:firstLineChars="20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(6) 工程量清单中只有类似于变更工程的综合单价，可以参照类似的综合单价变更合同价款。即其他项目特征、施工方法不变，仅是设计配合化的变更，材料色彩的变更，材料出产地的变更，材料等级的变更，材料规格的变更等，只调整设计配合比及材料的差价部分及相应税金，其他费用不变。</w:t>
      </w:r>
    </w:p>
    <w:p w14:paraId="02F16A39">
      <w:pPr>
        <w:keepNext/>
        <w:keepLines/>
        <w:spacing w:before="120" w:after="120" w:line="360" w:lineRule="auto"/>
        <w:ind w:firstLine="315" w:firstLineChars="15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（7）按桂建标[2015]5号、桂建标[2016]16号、桂建标[2016]17号文件规定进行调整，如专用合同条款合同履行期间计价依据有调整的，按调整文件规定执行。</w:t>
      </w:r>
    </w:p>
    <w:p w14:paraId="16ECA382">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color w:val="000000" w:themeColor="text1"/>
          <w:kern w:val="0"/>
          <w:sz w:val="28"/>
          <w:szCs w:val="21"/>
          <w:highlight w:val="none"/>
          <w14:textFill>
            <w14:solidFill>
              <w14:schemeClr w14:val="tx1"/>
            </w14:solidFill>
          </w14:textFill>
        </w:rPr>
        <w:t>1</w:t>
      </w:r>
      <w:r>
        <w:rPr>
          <w:rFonts w:ascii="宋体" w:hAnsi="宋体" w:eastAsia="黑体"/>
          <w:b/>
          <w:color w:val="000000" w:themeColor="text1"/>
          <w:kern w:val="0"/>
          <w:sz w:val="28"/>
          <w:szCs w:val="21"/>
          <w:highlight w:val="none"/>
          <w14:textFill>
            <w14:solidFill>
              <w14:schemeClr w14:val="tx1"/>
            </w14:solidFill>
          </w14:textFill>
        </w:rPr>
        <w:t xml:space="preserve">2. </w:t>
      </w:r>
      <w:bookmarkEnd w:id="684"/>
      <w:bookmarkEnd w:id="685"/>
      <w:bookmarkEnd w:id="686"/>
      <w:bookmarkEnd w:id="687"/>
      <w:bookmarkEnd w:id="688"/>
      <w:bookmarkEnd w:id="689"/>
      <w:bookmarkEnd w:id="690"/>
      <w:bookmarkEnd w:id="691"/>
      <w:bookmarkEnd w:id="692"/>
      <w:bookmarkEnd w:id="693"/>
      <w:r>
        <w:rPr>
          <w:rFonts w:ascii="宋体" w:hAnsi="宋体" w:eastAsia="黑体"/>
          <w:b/>
          <w:color w:val="000000" w:themeColor="text1"/>
          <w:kern w:val="0"/>
          <w:sz w:val="28"/>
          <w:szCs w:val="21"/>
          <w:highlight w:val="none"/>
          <w14:textFill>
            <w14:solidFill>
              <w14:schemeClr w14:val="tx1"/>
            </w14:solidFill>
          </w14:textFill>
        </w:rPr>
        <w:t>合同价格、计量与支付</w:t>
      </w:r>
      <w:bookmarkEnd w:id="694"/>
    </w:p>
    <w:bookmarkEnd w:id="695"/>
    <w:bookmarkEnd w:id="696"/>
    <w:bookmarkEnd w:id="697"/>
    <w:bookmarkEnd w:id="698"/>
    <w:bookmarkEnd w:id="699"/>
    <w:bookmarkEnd w:id="700"/>
    <w:p w14:paraId="26C07981">
      <w:pPr>
        <w:spacing w:after="120" w:line="440" w:lineRule="exact"/>
        <w:ind w:firstLine="420" w:firstLineChars="200"/>
        <w:rPr>
          <w:rFonts w:ascii="宋体" w:hAnsi="宋体"/>
          <w:color w:val="000000" w:themeColor="text1"/>
          <w:szCs w:val="21"/>
          <w:highlight w:val="none"/>
          <w14:textFill>
            <w14:solidFill>
              <w14:schemeClr w14:val="tx1"/>
            </w14:solidFill>
          </w14:textFill>
        </w:rPr>
      </w:pPr>
      <w:bookmarkStart w:id="701" w:name="_Toc292559916"/>
      <w:bookmarkStart w:id="702" w:name="_Toc267251461"/>
      <w:bookmarkStart w:id="703" w:name="_Toc292559411"/>
      <w:bookmarkStart w:id="704" w:name="_Toc296891246"/>
      <w:bookmarkStart w:id="705" w:name="_Toc296944545"/>
      <w:bookmarkStart w:id="706" w:name="_Toc297048392"/>
      <w:bookmarkStart w:id="707" w:name="_Toc296891034"/>
      <w:bookmarkStart w:id="708" w:name="_Toc296503206"/>
      <w:bookmarkStart w:id="709" w:name="_Toc296346707"/>
      <w:bookmarkStart w:id="710" w:name="_Toc297120506"/>
      <w:bookmarkStart w:id="711" w:name="_Toc296347205"/>
      <w:bookmarkStart w:id="712" w:name="_Toc300935003"/>
      <w:bookmarkStart w:id="713" w:name="_Toc312678041"/>
      <w:bookmarkStart w:id="714" w:name="_Toc303539160"/>
      <w:bookmarkStart w:id="715" w:name="_Toc297123553"/>
      <w:bookmarkStart w:id="716" w:name="_Toc297216212"/>
      <w:bookmarkStart w:id="717" w:name="_Toc304295580"/>
      <w:r>
        <w:rPr>
          <w:rFonts w:ascii="宋体" w:hAnsi="宋体"/>
          <w:color w:val="000000" w:themeColor="text1"/>
          <w:szCs w:val="21"/>
          <w:highlight w:val="none"/>
          <w14:textFill>
            <w14:solidFill>
              <w14:schemeClr w14:val="tx1"/>
            </w14:solidFill>
          </w14:textFill>
        </w:rPr>
        <w:t>12.1 合</w:t>
      </w:r>
      <w:bookmarkEnd w:id="701"/>
      <w:bookmarkEnd w:id="702"/>
      <w:bookmarkEnd w:id="703"/>
      <w:r>
        <w:rPr>
          <w:rFonts w:ascii="宋体" w:hAnsi="宋体"/>
          <w:color w:val="000000" w:themeColor="text1"/>
          <w:szCs w:val="21"/>
          <w:highlight w:val="none"/>
          <w14:textFill>
            <w14:solidFill>
              <w14:schemeClr w14:val="tx1"/>
            </w14:solidFill>
          </w14:textFill>
        </w:rPr>
        <w:t>同价</w:t>
      </w:r>
      <w:bookmarkEnd w:id="704"/>
      <w:bookmarkEnd w:id="705"/>
      <w:bookmarkEnd w:id="706"/>
      <w:bookmarkEnd w:id="707"/>
      <w:bookmarkEnd w:id="708"/>
      <w:bookmarkEnd w:id="709"/>
      <w:bookmarkEnd w:id="710"/>
      <w:bookmarkEnd w:id="711"/>
      <w:r>
        <w:rPr>
          <w:rFonts w:ascii="宋体" w:hAnsi="宋体"/>
          <w:color w:val="000000" w:themeColor="text1"/>
          <w:szCs w:val="21"/>
          <w:highlight w:val="none"/>
          <w14:textFill>
            <w14:solidFill>
              <w14:schemeClr w14:val="tx1"/>
            </w14:solidFill>
          </w14:textFill>
        </w:rPr>
        <w:t>格形式</w:t>
      </w:r>
    </w:p>
    <w:bookmarkEnd w:id="712"/>
    <w:bookmarkEnd w:id="713"/>
    <w:bookmarkEnd w:id="714"/>
    <w:bookmarkEnd w:id="715"/>
    <w:bookmarkEnd w:id="716"/>
    <w:bookmarkEnd w:id="717"/>
    <w:p w14:paraId="0EB09C7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单价合同。</w:t>
      </w:r>
    </w:p>
    <w:p w14:paraId="7D920E4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综合单价包含的风险范围：。</w:t>
      </w:r>
    </w:p>
    <w:p w14:paraId="1AA43FB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风险费用的计算方法：。</w:t>
      </w:r>
    </w:p>
    <w:p w14:paraId="752C5F0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风险范围以外合同价格的调整方法：</w:t>
      </w:r>
    </w:p>
    <w:p w14:paraId="549D60F2">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因设计变更引起工程项目、工程量变化的，工程量清单报价表中有相同细目的按竞标人竞标时的中标单价进行结算，工程量清单报价表中有类似细目的参考类似成交单价结算</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新增项目有定额的套定额计算，其中材料价格有信息的按信息价，无信息的按市场价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新增项目无定额可套的，由发包人、承包人根据市场价格协商决定</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新增项目的单价应经有政府审计中心审定。</w:t>
      </w:r>
    </w:p>
    <w:p w14:paraId="36227F32">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国家和自治区政策性调整有关费用标准的，按文件规定执行。</w:t>
      </w:r>
    </w:p>
    <w:p w14:paraId="376DC4D6">
      <w:pPr>
        <w:spacing w:after="120" w:line="440" w:lineRule="exact"/>
        <w:ind w:firstLine="420" w:firstLineChars="200"/>
        <w:rPr>
          <w:rFonts w:ascii="宋体" w:hAnsi="宋体"/>
          <w:color w:val="000000" w:themeColor="text1"/>
          <w:szCs w:val="21"/>
          <w:highlight w:val="none"/>
          <w14:textFill>
            <w14:solidFill>
              <w14:schemeClr w14:val="tx1"/>
            </w14:solidFill>
          </w14:textFill>
        </w:rPr>
      </w:pPr>
      <w:bookmarkStart w:id="718" w:name="_Toc296346708"/>
      <w:bookmarkStart w:id="719" w:name="_Toc296891035"/>
      <w:bookmarkStart w:id="720" w:name="_Toc312678042"/>
      <w:bookmarkStart w:id="721" w:name="_Toc300935004"/>
      <w:bookmarkStart w:id="722" w:name="_Toc292559412"/>
      <w:bookmarkStart w:id="723" w:name="_Toc297048393"/>
      <w:bookmarkStart w:id="724" w:name="_Toc296944546"/>
      <w:bookmarkStart w:id="725" w:name="_Toc296503207"/>
      <w:bookmarkStart w:id="726" w:name="_Toc292559917"/>
      <w:bookmarkStart w:id="727" w:name="_Toc297120507"/>
      <w:bookmarkStart w:id="728" w:name="_Toc296347206"/>
      <w:bookmarkStart w:id="729" w:name="_Toc297216213"/>
      <w:bookmarkStart w:id="730" w:name="_Toc303539161"/>
      <w:bookmarkStart w:id="731" w:name="_Toc297123554"/>
      <w:bookmarkStart w:id="732" w:name="_Toc296891247"/>
      <w:bookmarkStart w:id="733" w:name="_Toc304295581"/>
      <w:r>
        <w:rPr>
          <w:rFonts w:ascii="宋体" w:hAnsi="宋体"/>
          <w:color w:val="000000" w:themeColor="text1"/>
          <w:szCs w:val="21"/>
          <w:highlight w:val="none"/>
          <w14:textFill>
            <w14:solidFill>
              <w14:schemeClr w14:val="tx1"/>
            </w14:solidFill>
          </w14:textFill>
        </w:rPr>
        <w:t>12.2 预付款</w:t>
      </w:r>
    </w:p>
    <w:bookmarkEnd w:id="579"/>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0744E6B1">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bookmarkStart w:id="734" w:name="_Toc351203646"/>
      <w:bookmarkStart w:id="735" w:name="_Toc267251472"/>
      <w:bookmarkStart w:id="736" w:name="_Toc267251470"/>
      <w:bookmarkStart w:id="737" w:name="_Toc267251471"/>
      <w:bookmarkStart w:id="738" w:name="_Toc280868709"/>
      <w:bookmarkStart w:id="739" w:name="_Toc267251474"/>
      <w:bookmarkStart w:id="740" w:name="_Toc267251475"/>
      <w:bookmarkStart w:id="741" w:name="_Toc267251473"/>
      <w:bookmarkStart w:id="742" w:name="_Toc267251476"/>
      <w:r>
        <w:rPr>
          <w:rFonts w:ascii="宋体" w:hAnsi="宋体"/>
          <w:color w:val="000000" w:themeColor="text1"/>
          <w:szCs w:val="21"/>
          <w:highlight w:val="none"/>
          <w14:textFill>
            <w14:solidFill>
              <w14:schemeClr w14:val="tx1"/>
            </w14:solidFill>
          </w14:textFill>
        </w:rPr>
        <w:t>12.2.1 预付款的支付</w:t>
      </w:r>
    </w:p>
    <w:p w14:paraId="2DCDDAA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预付款支付比例或金额：</w:t>
      </w:r>
      <w:r>
        <w:rPr>
          <w:rFonts w:hint="eastAsia" w:ascii="宋体" w:hAnsi="宋体"/>
          <w:color w:val="000000" w:themeColor="text1"/>
          <w:szCs w:val="21"/>
          <w:highlight w:val="none"/>
          <w:u w:val="single"/>
          <w:lang w:val="en-US" w:eastAsia="zh-CN"/>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22AB332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预付款支付期限：</w:t>
      </w:r>
      <w:r>
        <w:rPr>
          <w:rFonts w:hint="eastAsia"/>
          <w:color w:val="000000" w:themeColor="text1"/>
          <w:szCs w:val="21"/>
          <w:highlight w:val="none"/>
          <w:u w:val="single"/>
          <w14:textFill>
            <w14:solidFill>
              <w14:schemeClr w14:val="tx1"/>
            </w14:solidFill>
          </w14:textFill>
        </w:rPr>
        <w:t>合同签订后5个工作日内</w:t>
      </w:r>
      <w:r>
        <w:rPr>
          <w:rFonts w:ascii="宋体" w:hAnsi="宋体"/>
          <w:color w:val="000000" w:themeColor="text1"/>
          <w:szCs w:val="21"/>
          <w:highlight w:val="none"/>
          <w14:textFill>
            <w14:solidFill>
              <w14:schemeClr w14:val="tx1"/>
            </w14:solidFill>
          </w14:textFill>
        </w:rPr>
        <w:t>。</w:t>
      </w:r>
    </w:p>
    <w:p w14:paraId="13EEB054">
      <w:pPr>
        <w:spacing w:line="360" w:lineRule="auto"/>
        <w:ind w:firstLine="420" w:firstLineChars="200"/>
        <w:jc w:val="left"/>
        <w:rPr>
          <w:rFonts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预付款扣回的方式：</w:t>
      </w:r>
      <w:r>
        <w:rPr>
          <w:rFonts w:hint="eastAsia"/>
          <w:color w:val="000000" w:themeColor="text1"/>
          <w:szCs w:val="21"/>
          <w:highlight w:val="none"/>
          <w:u w:val="single"/>
          <w:lang w:val="en-US" w:eastAsia="zh-CN"/>
          <w14:textFill>
            <w14:solidFill>
              <w14:schemeClr w14:val="tx1"/>
            </w14:solidFill>
          </w14:textFill>
        </w:rPr>
        <w:t>/</w:t>
      </w:r>
      <w:r>
        <w:rPr>
          <w:rFonts w:hAnsi="宋体"/>
          <w:color w:val="000000" w:themeColor="text1"/>
          <w:szCs w:val="21"/>
          <w:highlight w:val="none"/>
          <w:u w:val="single"/>
          <w14:textFill>
            <w14:solidFill>
              <w14:schemeClr w14:val="tx1"/>
            </w14:solidFill>
          </w14:textFill>
        </w:rPr>
        <w:t>。</w:t>
      </w:r>
    </w:p>
    <w:p w14:paraId="43C3DB2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12.2.2 预付款担保</w:t>
      </w:r>
    </w:p>
    <w:p w14:paraId="278A216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承包人提交预付款担保的期限：</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754B053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预付款担保的形式为：</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177CA81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 计量</w:t>
      </w:r>
    </w:p>
    <w:p w14:paraId="475F940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12.3.1 计量原则</w:t>
      </w:r>
    </w:p>
    <w:p w14:paraId="40A36B5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工程量计算规则：</w:t>
      </w:r>
      <w:r>
        <w:rPr>
          <w:b/>
          <w:color w:val="000000" w:themeColor="text1"/>
          <w:szCs w:val="21"/>
          <w:highlight w:val="none"/>
          <w:u w:val="single"/>
          <w14:textFill>
            <w14:solidFill>
              <w14:schemeClr w14:val="tx1"/>
            </w14:solidFill>
          </w14:textFill>
        </w:rPr>
        <w:t>工程的计量均以国家标准《建设工程工程量</w:t>
      </w:r>
      <w:r>
        <w:rPr>
          <w:rFonts w:hint="eastAsia"/>
          <w:b/>
          <w:color w:val="000000" w:themeColor="text1"/>
          <w:szCs w:val="21"/>
          <w:highlight w:val="none"/>
          <w:u w:val="single"/>
          <w14:textFill>
            <w14:solidFill>
              <w14:schemeClr w14:val="tx1"/>
            </w14:solidFill>
          </w14:textFill>
        </w:rPr>
        <w:t>计算</w:t>
      </w:r>
      <w:r>
        <w:rPr>
          <w:b/>
          <w:color w:val="000000" w:themeColor="text1"/>
          <w:szCs w:val="21"/>
          <w:highlight w:val="none"/>
          <w:u w:val="single"/>
          <w14:textFill>
            <w14:solidFill>
              <w14:schemeClr w14:val="tx1"/>
            </w14:solidFill>
          </w14:textFill>
        </w:rPr>
        <w:t>规范》（GB50</w:t>
      </w:r>
      <w:r>
        <w:rPr>
          <w:rFonts w:hint="eastAsia"/>
          <w:b/>
          <w:color w:val="000000" w:themeColor="text1"/>
          <w:szCs w:val="21"/>
          <w:highlight w:val="none"/>
          <w:u w:val="single"/>
          <w14:textFill>
            <w14:solidFill>
              <w14:schemeClr w14:val="tx1"/>
            </w14:solidFill>
          </w14:textFill>
        </w:rPr>
        <w:t>854～50862</w:t>
      </w:r>
      <w:r>
        <w:rPr>
          <w:b/>
          <w:color w:val="000000" w:themeColor="text1"/>
          <w:szCs w:val="21"/>
          <w:highlight w:val="none"/>
          <w:u w:val="single"/>
          <w14:textFill>
            <w14:solidFill>
              <w14:schemeClr w14:val="tx1"/>
            </w14:solidFill>
          </w14:textFill>
        </w:rPr>
        <w:t>－20</w:t>
      </w:r>
      <w:r>
        <w:rPr>
          <w:rFonts w:hint="eastAsia"/>
          <w:b/>
          <w:color w:val="000000" w:themeColor="text1"/>
          <w:szCs w:val="21"/>
          <w:highlight w:val="none"/>
          <w:u w:val="single"/>
          <w14:textFill>
            <w14:solidFill>
              <w14:schemeClr w14:val="tx1"/>
            </w14:solidFill>
          </w14:textFill>
        </w:rPr>
        <w:t>13</w:t>
      </w:r>
      <w:r>
        <w:rPr>
          <w:b/>
          <w:color w:val="000000" w:themeColor="text1"/>
          <w:szCs w:val="21"/>
          <w:highlight w:val="none"/>
          <w:u w:val="single"/>
          <w14:textFill>
            <w14:solidFill>
              <w14:schemeClr w14:val="tx1"/>
            </w14:solidFill>
          </w14:textFill>
        </w:rPr>
        <w:t>）和</w:t>
      </w:r>
      <w:r>
        <w:rPr>
          <w:rFonts w:hint="eastAsia"/>
          <w:b/>
          <w:color w:val="000000" w:themeColor="text1"/>
          <w:szCs w:val="21"/>
          <w:highlight w:val="none"/>
          <w:u w:val="single"/>
          <w14:textFill>
            <w14:solidFill>
              <w14:schemeClr w14:val="tx1"/>
            </w14:solidFill>
          </w14:textFill>
        </w:rPr>
        <w:t>《建设工程工程量计算规范（GB50854～50862-2013）广西壮族自治区实施细则》</w:t>
      </w:r>
      <w:r>
        <w:rPr>
          <w:b/>
          <w:color w:val="000000" w:themeColor="text1"/>
          <w:szCs w:val="21"/>
          <w:highlight w:val="none"/>
          <w:u w:val="single"/>
          <w14:textFill>
            <w14:solidFill>
              <w14:schemeClr w14:val="tx1"/>
            </w14:solidFill>
          </w14:textFill>
        </w:rPr>
        <w:t>计算的净值为准，如有不明之处，应以监理工程师或造价管理部门指定的计量方法为准</w:t>
      </w:r>
      <w:r>
        <w:rPr>
          <w:rFonts w:ascii="宋体" w:hAnsi="宋体"/>
          <w:color w:val="000000" w:themeColor="text1"/>
          <w:szCs w:val="21"/>
          <w:highlight w:val="none"/>
          <w14:textFill>
            <w14:solidFill>
              <w14:schemeClr w14:val="tx1"/>
            </w14:solidFill>
          </w14:textFill>
        </w:rPr>
        <w:t>。</w:t>
      </w:r>
    </w:p>
    <w:p w14:paraId="0F991DD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12.3.2 计量周期</w:t>
      </w:r>
    </w:p>
    <w:p w14:paraId="052B732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关于计量周期的约定：</w:t>
      </w:r>
      <w:r>
        <w:rPr>
          <w:rFonts w:hint="eastAsia" w:ascii="宋体" w:hAnsi="宋体"/>
          <w:b/>
          <w:color w:val="000000" w:themeColor="text1"/>
          <w:szCs w:val="21"/>
          <w:highlight w:val="none"/>
          <w:u w:val="single"/>
          <w14:textFill>
            <w14:solidFill>
              <w14:schemeClr w14:val="tx1"/>
            </w14:solidFill>
          </w14:textFill>
        </w:rPr>
        <w:t>按实际完成工程量计量</w:t>
      </w:r>
      <w:r>
        <w:rPr>
          <w:rFonts w:ascii="宋体" w:hAnsi="宋体"/>
          <w:color w:val="000000" w:themeColor="text1"/>
          <w:szCs w:val="21"/>
          <w:highlight w:val="none"/>
          <w14:textFill>
            <w14:solidFill>
              <w14:schemeClr w14:val="tx1"/>
            </w14:solidFill>
          </w14:textFill>
        </w:rPr>
        <w:t>。</w:t>
      </w:r>
    </w:p>
    <w:p w14:paraId="6764D9D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12.3.3 单价合同的计量</w:t>
      </w:r>
    </w:p>
    <w:p w14:paraId="35AE5FE6">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关于单价合同计量的约定：</w:t>
      </w:r>
      <w:r>
        <w:rPr>
          <w:rFonts w:hint="eastAsia" w:ascii="宋体" w:hAnsi="宋体"/>
          <w:b/>
          <w:color w:val="000000" w:themeColor="text1"/>
          <w:szCs w:val="21"/>
          <w:highlight w:val="none"/>
          <w:u w:val="single"/>
          <w14:textFill>
            <w14:solidFill>
              <w14:schemeClr w14:val="tx1"/>
            </w14:solidFill>
          </w14:textFill>
        </w:rPr>
        <w:t xml:space="preserve">(1) </w:t>
      </w:r>
      <w:r>
        <w:rPr>
          <w:rFonts w:ascii="宋体" w:hAnsi="宋体"/>
          <w:b/>
          <w:color w:val="000000" w:themeColor="text1"/>
          <w:szCs w:val="21"/>
          <w:highlight w:val="none"/>
          <w:u w:val="single"/>
          <w14:textFill>
            <w14:solidFill>
              <w14:schemeClr w14:val="tx1"/>
            </w14:solidFill>
          </w14:textFill>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b/>
          <w:color w:val="000000" w:themeColor="text1"/>
          <w:szCs w:val="21"/>
          <w:highlight w:val="none"/>
          <w:u w:val="single"/>
          <w14:textFill>
            <w14:solidFill>
              <w14:schemeClr w14:val="tx1"/>
            </w14:solidFill>
          </w14:textFill>
        </w:rPr>
        <w:t>(2)</w:t>
      </w:r>
      <w:r>
        <w:rPr>
          <w:rFonts w:ascii="宋体" w:hAnsi="宋体"/>
          <w:b/>
          <w:color w:val="000000" w:themeColor="text1"/>
          <w:szCs w:val="21"/>
          <w:highlight w:val="none"/>
          <w:u w:val="single"/>
          <w14:textFill>
            <w14:solidFill>
              <w14:schemeClr w14:val="tx1"/>
            </w14:solidFill>
          </w14:textFill>
        </w:rPr>
        <w:t xml:space="preserve"> 除另有规定外，工程师应按照合同通过计量来核实确定已完成的工程量和价值，承包人应得到该价值扣除保留金后的价款。当工程师要对已完工的工程量进行计量时，应适时地通知承包人参加。</w:t>
      </w:r>
    </w:p>
    <w:p w14:paraId="55CFB712">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12.3.4 总价合同的计量</w:t>
      </w:r>
    </w:p>
    <w:p w14:paraId="0E8BC5E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关于总价合同计量的约定：。</w:t>
      </w:r>
    </w:p>
    <w:p w14:paraId="41674A3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12.3.5总价合同采用支付分解表计量支付的，是否适用第</w:t>
      </w:r>
      <w:r>
        <w:rPr>
          <w:rFonts w:ascii="宋体" w:hAnsi="宋体"/>
          <w:color w:val="000000" w:themeColor="text1"/>
          <w:kern w:val="0"/>
          <w:szCs w:val="21"/>
          <w:highlight w:val="none"/>
          <w14:textFill>
            <w14:solidFill>
              <w14:schemeClr w14:val="tx1"/>
            </w14:solidFill>
          </w14:textFill>
        </w:rPr>
        <w:t xml:space="preserve">12.3.4 </w:t>
      </w:r>
      <w:r>
        <w:rPr>
          <w:rFonts w:ascii="宋体" w:hAnsi="宋体"/>
          <w:color w:val="000000" w:themeColor="text1"/>
          <w:szCs w:val="21"/>
          <w:highlight w:val="none"/>
          <w14:textFill>
            <w14:solidFill>
              <w14:schemeClr w14:val="tx1"/>
            </w14:solidFill>
          </w14:textFill>
        </w:rPr>
        <w:t>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总价合同的计量</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约定</w:t>
      </w:r>
      <w:r>
        <w:rPr>
          <w:rFonts w:hint="eastAsia" w:ascii="宋体" w:hAnsi="宋体"/>
          <w:color w:val="000000" w:themeColor="text1"/>
          <w:szCs w:val="21"/>
          <w:highlight w:val="none"/>
          <w14:textFill>
            <w14:solidFill>
              <w14:schemeClr w14:val="tx1"/>
            </w14:solidFill>
          </w14:textFill>
        </w:rPr>
        <w:t>进行计量：</w:t>
      </w:r>
      <w:r>
        <w:rPr>
          <w:rFonts w:ascii="宋体" w:hAnsi="宋体"/>
          <w:color w:val="000000" w:themeColor="text1"/>
          <w:szCs w:val="21"/>
          <w:highlight w:val="none"/>
          <w14:textFill>
            <w14:solidFill>
              <w14:schemeClr w14:val="tx1"/>
            </w14:solidFill>
          </w14:textFill>
        </w:rPr>
        <w:t>。</w:t>
      </w:r>
    </w:p>
    <w:p w14:paraId="207DFF51">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12.3.6 其他价格形式合同的计量</w:t>
      </w:r>
    </w:p>
    <w:p w14:paraId="13DC473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其他价格形式的计量方式和程序：。</w:t>
      </w:r>
    </w:p>
    <w:p w14:paraId="53BDF66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 工程进度款支付</w:t>
      </w:r>
    </w:p>
    <w:p w14:paraId="16C7C1FF">
      <w:pPr>
        <w:spacing w:line="360" w:lineRule="auto"/>
        <w:ind w:firstLine="420" w:firstLineChars="200"/>
        <w:jc w:val="left"/>
        <w:rPr>
          <w:rFonts w:hint="eastAsia" w:hAnsi="宋体"/>
          <w:bCs/>
          <w:color w:val="000000" w:themeColor="text1"/>
          <w:szCs w:val="21"/>
          <w:highlight w:val="none"/>
          <w:u w:val="single"/>
          <w14:textFill>
            <w14:solidFill>
              <w14:schemeClr w14:val="tx1"/>
            </w14:solidFill>
          </w14:textFill>
        </w:rPr>
      </w:pPr>
      <w:bookmarkStart w:id="743" w:name="_Toc292559921"/>
      <w:bookmarkStart w:id="744" w:name="_Toc297216215"/>
      <w:bookmarkStart w:id="745" w:name="_Toc296347210"/>
      <w:bookmarkStart w:id="746" w:name="_Toc300935006"/>
      <w:bookmarkStart w:id="747" w:name="_Toc297123556"/>
      <w:bookmarkStart w:id="748" w:name="_Toc297048397"/>
      <w:bookmarkStart w:id="749" w:name="_Toc296891039"/>
      <w:bookmarkStart w:id="750" w:name="_Toc296891251"/>
      <w:bookmarkStart w:id="751" w:name="_Toc303539163"/>
      <w:bookmarkStart w:id="752" w:name="_Toc296346712"/>
      <w:bookmarkStart w:id="753" w:name="_Toc297120511"/>
      <w:bookmarkStart w:id="754" w:name="_Toc296503211"/>
      <w:bookmarkStart w:id="755" w:name="_Toc296944550"/>
      <w:bookmarkStart w:id="756" w:name="_Toc292559416"/>
      <w:r>
        <w:rPr>
          <w:rFonts w:ascii="宋体" w:hAnsi="宋体"/>
          <w:color w:val="000000" w:themeColor="text1"/>
          <w:szCs w:val="21"/>
          <w:highlight w:val="none"/>
          <w14:textFill>
            <w14:solidFill>
              <w14:schemeClr w14:val="tx1"/>
            </w14:solidFill>
          </w14:textFill>
        </w:rPr>
        <w:t>12.4.1</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Fonts w:hint="eastAsia" w:ascii="宋体" w:hAnsi="宋体"/>
          <w:b/>
          <w:color w:val="000000" w:themeColor="text1"/>
          <w:szCs w:val="21"/>
          <w:highlight w:val="none"/>
          <w14:textFill>
            <w14:solidFill>
              <w14:schemeClr w14:val="tx1"/>
            </w14:solidFill>
          </w14:textFill>
        </w:rPr>
        <w:t>双方约定工程款的支付方式和时间</w:t>
      </w:r>
      <w:r>
        <w:rPr>
          <w:rFonts w:hint="eastAsia" w:ascii="宋体" w:hAnsi="宋体"/>
          <w:color w:val="000000" w:themeColor="text1"/>
          <w:szCs w:val="21"/>
          <w:highlight w:val="none"/>
          <w14:textFill>
            <w14:solidFill>
              <w14:schemeClr w14:val="tx1"/>
            </w14:solidFill>
          </w14:textFill>
        </w:rPr>
        <w:t>：</w:t>
      </w:r>
      <w:bookmarkStart w:id="757" w:name="_Toc351203645"/>
      <w:bookmarkStart w:id="758" w:name="_Toc303539172"/>
      <w:bookmarkStart w:id="759" w:name="_Toc292559424"/>
      <w:bookmarkStart w:id="760" w:name="_Toc297123564"/>
      <w:bookmarkStart w:id="761" w:name="_Toc296503219"/>
      <w:bookmarkStart w:id="762" w:name="_Toc297048405"/>
      <w:bookmarkStart w:id="763" w:name="_Toc300935015"/>
      <w:bookmarkStart w:id="764" w:name="_Toc292559929"/>
      <w:bookmarkStart w:id="765" w:name="_Toc297120519"/>
      <w:bookmarkStart w:id="766" w:name="_Toc296346720"/>
      <w:bookmarkStart w:id="767" w:name="_Toc296891259"/>
      <w:bookmarkStart w:id="768" w:name="_Toc297216223"/>
      <w:bookmarkStart w:id="769" w:name="_Toc296944558"/>
      <w:bookmarkStart w:id="770" w:name="_Toc304295593"/>
      <w:bookmarkStart w:id="771" w:name="_Toc296891047"/>
      <w:bookmarkStart w:id="772" w:name="_Toc296347218"/>
      <w:bookmarkStart w:id="773" w:name="_Toc312678053"/>
      <w:r>
        <w:rPr>
          <w:rFonts w:hint="eastAsia" w:hAnsi="宋体"/>
          <w:bCs/>
          <w:color w:val="000000" w:themeColor="text1"/>
          <w:szCs w:val="21"/>
          <w:highlight w:val="none"/>
          <w:u w:val="single"/>
          <w14:textFill>
            <w14:solidFill>
              <w14:schemeClr w14:val="tx1"/>
            </w14:solidFill>
          </w14:textFill>
        </w:rPr>
        <w:t>工程进度完成工程量的30%支付至合同总价款的30%；工程竣工验收合格后20个工作日内，工程进度款支付至完成合同总价款的80%；竣工结算经审计部门审计后，工程款支付至项目审定结算价款的97%，预留结算总价的3%作为质量保证金，待工程缺陷责任期满后由成交供应商申请退还，采购人一次性无息返还。采购人每次付款前，成交供应商应向采购人开具同等金额的增值税专用发票，否则，采购人有权顺延付款。成交供应商知晓采购人的费用来源于财政拨付及支付项目款项流程，如因财政拨付的原因导致延迟支付，成交供应商承诺不因进度款延迟支付而停工，承诺放弃向采购人主张违约金或赔偿款之请求。</w:t>
      </w:r>
    </w:p>
    <w:p w14:paraId="340E2439">
      <w:pPr>
        <w:spacing w:line="440" w:lineRule="exact"/>
        <w:ind w:firstLine="422" w:firstLineChars="20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13.验收和工程试车</w:t>
      </w:r>
      <w:bookmarkEnd w:id="757"/>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CC8C9BC">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 分部分项工程验收</w:t>
      </w:r>
    </w:p>
    <w:p w14:paraId="1B2D117A">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13.1.2监理人不能按时进行验收时，应提前小时提交书面延期要求。</w:t>
      </w:r>
    </w:p>
    <w:p w14:paraId="58CBC622">
      <w:pPr>
        <w:spacing w:line="400" w:lineRule="exact"/>
        <w:ind w:firstLine="420" w:firstLineChars="200"/>
        <w:jc w:val="left"/>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关于延期最长不得超过：小时。</w:t>
      </w:r>
    </w:p>
    <w:p w14:paraId="29864919">
      <w:pPr>
        <w:spacing w:after="120" w:line="400" w:lineRule="exact"/>
        <w:ind w:firstLine="420" w:firstLineChars="200"/>
        <w:rPr>
          <w:rFonts w:ascii="宋体" w:hAnsi="宋体"/>
          <w:color w:val="000000" w:themeColor="text1"/>
          <w:szCs w:val="21"/>
          <w:highlight w:val="none"/>
          <w14:textFill>
            <w14:solidFill>
              <w14:schemeClr w14:val="tx1"/>
            </w14:solidFill>
          </w14:textFill>
        </w:rPr>
      </w:pPr>
      <w:bookmarkStart w:id="774" w:name="_Toc296944562"/>
      <w:bookmarkStart w:id="775" w:name="_Toc292559933"/>
      <w:bookmarkStart w:id="776" w:name="_Toc296891051"/>
      <w:bookmarkStart w:id="777" w:name="_Toc297048409"/>
      <w:bookmarkStart w:id="778" w:name="_Toc296503223"/>
      <w:bookmarkStart w:id="779" w:name="_Toc297216224"/>
      <w:bookmarkStart w:id="780" w:name="_Toc300935016"/>
      <w:bookmarkStart w:id="781" w:name="_Toc297120523"/>
      <w:bookmarkStart w:id="782" w:name="_Toc292559428"/>
      <w:bookmarkStart w:id="783" w:name="_Toc312678056"/>
      <w:bookmarkStart w:id="784" w:name="_Toc296891263"/>
      <w:bookmarkStart w:id="785" w:name="_Toc304295596"/>
      <w:bookmarkStart w:id="786" w:name="_Toc296346724"/>
      <w:bookmarkStart w:id="787" w:name="_Toc303539173"/>
      <w:bookmarkStart w:id="788" w:name="_Toc296347222"/>
      <w:bookmarkStart w:id="789" w:name="_Toc297123565"/>
      <w:r>
        <w:rPr>
          <w:rFonts w:ascii="宋体" w:hAnsi="宋体"/>
          <w:color w:val="000000" w:themeColor="text1"/>
          <w:szCs w:val="21"/>
          <w:highlight w:val="none"/>
          <w14:textFill>
            <w14:solidFill>
              <w14:schemeClr w14:val="tx1"/>
            </w14:solidFill>
          </w14:textFill>
        </w:rPr>
        <w:t>13.2 竣工验收</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3C765445">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790" w:name="_Toc280868704"/>
      <w:bookmarkStart w:id="791" w:name="_Toc280868705"/>
      <w:bookmarkStart w:id="792" w:name="_Toc280868706"/>
      <w:bookmarkStart w:id="793" w:name="_Toc280868707"/>
      <w:bookmarkStart w:id="794" w:name="_Toc280868708"/>
      <w:r>
        <w:rPr>
          <w:rFonts w:ascii="宋体" w:hAnsi="宋体"/>
          <w:color w:val="000000" w:themeColor="text1"/>
          <w:szCs w:val="21"/>
          <w:highlight w:val="none"/>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竣工验收程序</w:t>
      </w:r>
    </w:p>
    <w:bookmarkEnd w:id="790"/>
    <w:p w14:paraId="7E7EBB76">
      <w:pPr>
        <w:spacing w:line="400" w:lineRule="exact"/>
        <w:ind w:left="4376" w:leftChars="284" w:hanging="3780" w:hangingChars="18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关于竣工验收程序的约定：</w:t>
      </w:r>
      <w:r>
        <w:rPr>
          <w:rFonts w:hint="eastAsia" w:ascii="宋体" w:hAnsi="宋体"/>
          <w:color w:val="000000" w:themeColor="text1"/>
          <w:kern w:val="0"/>
          <w:szCs w:val="21"/>
          <w:highlight w:val="none"/>
          <w:u w:val="single"/>
          <w14:textFill>
            <w14:solidFill>
              <w14:schemeClr w14:val="tx1"/>
            </w14:solidFill>
          </w14:textFill>
        </w:rPr>
        <w:t>按《通用合同条款》执行</w:t>
      </w:r>
      <w:r>
        <w:rPr>
          <w:rFonts w:ascii="宋体" w:hAnsi="宋体"/>
          <w:color w:val="000000" w:themeColor="text1"/>
          <w:szCs w:val="21"/>
          <w:highlight w:val="none"/>
          <w14:textFill>
            <w14:solidFill>
              <w14:schemeClr w14:val="tx1"/>
            </w14:solidFill>
          </w14:textFill>
        </w:rPr>
        <w:t>。</w:t>
      </w:r>
    </w:p>
    <w:p w14:paraId="69B2C5BC">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发包人不按照本项约定组织竣工验收、颁发工程接收证书的违约金的计算方法：</w:t>
      </w:r>
      <w:r>
        <w:rPr>
          <w:rFonts w:ascii="宋体" w:hAnsi="宋体"/>
          <w:color w:val="000000" w:themeColor="text1"/>
          <w:szCs w:val="21"/>
          <w:highlight w:val="none"/>
          <w14:textFill>
            <w14:solidFill>
              <w14:schemeClr w14:val="tx1"/>
            </w14:solidFill>
          </w14:textFill>
        </w:rPr>
        <w:t>。</w:t>
      </w:r>
    </w:p>
    <w:bookmarkEnd w:id="791"/>
    <w:p w14:paraId="071BA47E">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移交、接收全部与部分工程</w:t>
      </w:r>
    </w:p>
    <w:bookmarkEnd w:id="792"/>
    <w:p w14:paraId="05F85522">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承包人向发包人移交工程的期限：</w:t>
      </w:r>
      <w:r>
        <w:rPr>
          <w:rFonts w:hint="eastAsia" w:ascii="宋体" w:hAnsi="宋体"/>
          <w:color w:val="000000" w:themeColor="text1"/>
          <w:kern w:val="0"/>
          <w:szCs w:val="21"/>
          <w:highlight w:val="none"/>
          <w:u w:val="single"/>
          <w14:textFill>
            <w14:solidFill>
              <w14:schemeClr w14:val="tx1"/>
            </w14:solidFill>
          </w14:textFill>
        </w:rPr>
        <w:t>按《通用合同条款》执行</w:t>
      </w:r>
      <w:r>
        <w:rPr>
          <w:rFonts w:hint="eastAsia" w:ascii="宋体" w:hAnsi="宋体"/>
          <w:color w:val="000000" w:themeColor="text1"/>
          <w:szCs w:val="21"/>
          <w:highlight w:val="none"/>
          <w14:textFill>
            <w14:solidFill>
              <w14:schemeClr w14:val="tx1"/>
            </w14:solidFill>
          </w14:textFill>
        </w:rPr>
        <w:t>。</w:t>
      </w:r>
    </w:p>
    <w:p w14:paraId="3E6A6D3B">
      <w:pPr>
        <w:spacing w:line="360" w:lineRule="auto"/>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发包人未按本合同约定接收全部或部分工程的，违约金的计算方法为：</w:t>
      </w:r>
      <w:r>
        <w:rPr>
          <w:rFonts w:hint="eastAsia"/>
          <w:color w:val="000000" w:themeColor="text1"/>
          <w:szCs w:val="21"/>
          <w:highlight w:val="none"/>
          <w:u w:val="single"/>
          <w14:textFill>
            <w14:solidFill>
              <w14:schemeClr w14:val="tx1"/>
            </w14:solidFill>
          </w14:textFill>
        </w:rPr>
        <w:t>承担承包人</w:t>
      </w:r>
      <w:r>
        <w:rPr>
          <w:color w:val="000000" w:themeColor="text1"/>
          <w:szCs w:val="21"/>
          <w:highlight w:val="none"/>
          <w:u w:val="single"/>
          <w14:textFill>
            <w14:solidFill>
              <w14:schemeClr w14:val="tx1"/>
            </w14:solidFill>
          </w14:textFill>
        </w:rPr>
        <w:t>未能</w:t>
      </w:r>
      <w:r>
        <w:rPr>
          <w:rFonts w:hint="eastAsia"/>
          <w:color w:val="000000" w:themeColor="text1"/>
          <w:szCs w:val="21"/>
          <w:highlight w:val="none"/>
          <w:u w:val="single"/>
          <w14:textFill>
            <w14:solidFill>
              <w14:schemeClr w14:val="tx1"/>
            </w14:solidFill>
          </w14:textFill>
        </w:rPr>
        <w:t>按约定</w:t>
      </w:r>
      <w:r>
        <w:rPr>
          <w:color w:val="000000" w:themeColor="text1"/>
          <w:szCs w:val="21"/>
          <w:highlight w:val="none"/>
          <w:u w:val="single"/>
          <w14:textFill>
            <w14:solidFill>
              <w14:schemeClr w14:val="tx1"/>
            </w14:solidFill>
          </w14:textFill>
        </w:rPr>
        <w:t>退场造成</w:t>
      </w:r>
      <w:r>
        <w:rPr>
          <w:rFonts w:hint="eastAsia"/>
          <w:color w:val="000000" w:themeColor="text1"/>
          <w:szCs w:val="21"/>
          <w:highlight w:val="none"/>
          <w:u w:val="single"/>
          <w14:textFill>
            <w14:solidFill>
              <w14:schemeClr w14:val="tx1"/>
            </w14:solidFill>
          </w14:textFill>
        </w:rPr>
        <w:t>的</w:t>
      </w:r>
      <w:r>
        <w:rPr>
          <w:color w:val="000000" w:themeColor="text1"/>
          <w:szCs w:val="21"/>
          <w:highlight w:val="none"/>
          <w:u w:val="single"/>
          <w14:textFill>
            <w14:solidFill>
              <w14:schemeClr w14:val="tx1"/>
            </w14:solidFill>
          </w14:textFill>
        </w:rPr>
        <w:t xml:space="preserve">全部损失  </w:t>
      </w:r>
      <w:r>
        <w:rPr>
          <w:rFonts w:ascii="宋体" w:hAnsi="宋体"/>
          <w:color w:val="000000" w:themeColor="text1"/>
          <w:szCs w:val="21"/>
          <w:highlight w:val="none"/>
          <w14:textFill>
            <w14:solidFill>
              <w14:schemeClr w14:val="tx1"/>
            </w14:solidFill>
          </w14:textFill>
        </w:rPr>
        <w:t>。</w:t>
      </w:r>
    </w:p>
    <w:bookmarkEnd w:id="793"/>
    <w:p w14:paraId="0BD29AA0">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承包人未按时移交工程的，违约金的计算方法为：</w:t>
      </w:r>
      <w:r>
        <w:rPr>
          <w:rFonts w:hint="eastAsia" w:ascii="宋体" w:hAnsi="宋体"/>
          <w:color w:val="000000" w:themeColor="text1"/>
          <w:szCs w:val="21"/>
          <w:highlight w:val="none"/>
          <w:u w:val="single"/>
          <w14:textFill>
            <w14:solidFill>
              <w14:schemeClr w14:val="tx1"/>
            </w14:solidFill>
          </w14:textFill>
        </w:rPr>
        <w:t>承担发包人不能按接收期投入使用所造成全部的损失。</w:t>
      </w:r>
    </w:p>
    <w:p w14:paraId="2F906E68">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13.3 工程试车</w:t>
      </w:r>
    </w:p>
    <w:bookmarkEnd w:id="794"/>
    <w:p w14:paraId="1F18F5F5">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13.3.1 试车程序</w:t>
      </w:r>
    </w:p>
    <w:p w14:paraId="095CB2BA">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工程试车内容：</w:t>
      </w:r>
      <w:r>
        <w:rPr>
          <w:rFonts w:hint="eastAsia" w:ascii="宋体" w:hAnsi="宋体"/>
          <w:color w:val="000000" w:themeColor="text1"/>
          <w:szCs w:val="21"/>
          <w:highlight w:val="none"/>
          <w:u w:val="single"/>
          <w14:textFill>
            <w14:solidFill>
              <w14:schemeClr w14:val="tx1"/>
            </w14:solidFill>
          </w14:textFill>
        </w:rPr>
        <w:t>按《通用合同条款》执行</w:t>
      </w:r>
      <w:r>
        <w:rPr>
          <w:rFonts w:ascii="宋体" w:hAnsi="宋体"/>
          <w:color w:val="000000" w:themeColor="text1"/>
          <w:szCs w:val="21"/>
          <w:highlight w:val="none"/>
          <w14:textFill>
            <w14:solidFill>
              <w14:schemeClr w14:val="tx1"/>
            </w14:solidFill>
          </w14:textFill>
        </w:rPr>
        <w:t>。</w:t>
      </w:r>
    </w:p>
    <w:p w14:paraId="2B1B3462">
      <w:pPr>
        <w:spacing w:line="40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（1）单机无负荷试车费用由</w:t>
      </w:r>
      <w:r>
        <w:rPr>
          <w:rFonts w:hint="eastAsia"/>
          <w:color w:val="000000" w:themeColor="text1"/>
          <w:szCs w:val="21"/>
          <w:highlight w:val="none"/>
          <w:u w:val="single"/>
          <w14:textFill>
            <w14:solidFill>
              <w14:schemeClr w14:val="tx1"/>
            </w14:solidFill>
          </w14:textFill>
        </w:rPr>
        <w:t>承包人</w:t>
      </w:r>
      <w:r>
        <w:rPr>
          <w:rFonts w:ascii="宋体" w:hAnsi="宋体"/>
          <w:color w:val="000000" w:themeColor="text1"/>
          <w:kern w:val="0"/>
          <w:szCs w:val="21"/>
          <w:highlight w:val="none"/>
          <w14:textFill>
            <w14:solidFill>
              <w14:schemeClr w14:val="tx1"/>
            </w14:solidFill>
          </w14:textFill>
        </w:rPr>
        <w:t>承担</w:t>
      </w:r>
      <w:r>
        <w:rPr>
          <w:rFonts w:hint="eastAsia" w:ascii="宋体" w:hAnsi="宋体"/>
          <w:color w:val="000000" w:themeColor="text1"/>
          <w:kern w:val="0"/>
          <w:szCs w:val="21"/>
          <w:highlight w:val="none"/>
          <w:lang w:eastAsia="zh-CN"/>
          <w14:textFill>
            <w14:solidFill>
              <w14:schemeClr w14:val="tx1"/>
            </w14:solidFill>
          </w14:textFill>
        </w:rPr>
        <w:t>；</w:t>
      </w:r>
    </w:p>
    <w:p w14:paraId="66914F5A">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（2）无负荷联动试车费用由</w:t>
      </w:r>
      <w:r>
        <w:rPr>
          <w:rFonts w:hint="eastAsia"/>
          <w:color w:val="000000" w:themeColor="text1"/>
          <w:szCs w:val="21"/>
          <w:highlight w:val="none"/>
          <w:u w:val="single"/>
          <w14:textFill>
            <w14:solidFill>
              <w14:schemeClr w14:val="tx1"/>
            </w14:solidFill>
          </w14:textFill>
        </w:rPr>
        <w:t>承包人</w:t>
      </w:r>
      <w:r>
        <w:rPr>
          <w:rFonts w:ascii="宋体" w:hAnsi="宋体"/>
          <w:color w:val="000000" w:themeColor="text1"/>
          <w:kern w:val="0"/>
          <w:szCs w:val="21"/>
          <w:highlight w:val="none"/>
          <w14:textFill>
            <w14:solidFill>
              <w14:schemeClr w14:val="tx1"/>
            </w14:solidFill>
          </w14:textFill>
        </w:rPr>
        <w:t>承担。</w:t>
      </w:r>
    </w:p>
    <w:p w14:paraId="6918C298">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投料试车</w:t>
      </w:r>
    </w:p>
    <w:p w14:paraId="490AE103">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关于投料试车相关事项的约定：</w:t>
      </w:r>
      <w:r>
        <w:rPr>
          <w:rFonts w:ascii="宋体" w:hAnsi="宋体"/>
          <w:color w:val="000000" w:themeColor="text1"/>
          <w:szCs w:val="21"/>
          <w:highlight w:val="none"/>
          <w14:textFill>
            <w14:solidFill>
              <w14:schemeClr w14:val="tx1"/>
            </w14:solidFill>
          </w14:textFill>
        </w:rPr>
        <w:t>。</w:t>
      </w:r>
    </w:p>
    <w:p w14:paraId="38537B44">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竣工退场</w:t>
      </w:r>
    </w:p>
    <w:p w14:paraId="0F12BD63">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w:t>
      </w: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竣工退场</w:t>
      </w:r>
    </w:p>
    <w:p w14:paraId="59E34B4C">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承包人完成竣工退场的期限：</w:t>
      </w:r>
      <w:r>
        <w:rPr>
          <w:rFonts w:hint="eastAsia" w:ascii="宋体" w:hAnsi="宋体"/>
          <w:color w:val="000000" w:themeColor="text1"/>
          <w:szCs w:val="21"/>
          <w:highlight w:val="none"/>
          <w:u w:val="single"/>
          <w14:textFill>
            <w14:solidFill>
              <w14:schemeClr w14:val="tx1"/>
            </w14:solidFill>
          </w14:textFill>
        </w:rPr>
        <w:t xml:space="preserve"> 20天  </w:t>
      </w:r>
      <w:r>
        <w:rPr>
          <w:rFonts w:ascii="宋体" w:hAnsi="宋体"/>
          <w:color w:val="000000" w:themeColor="text1"/>
          <w:kern w:val="0"/>
          <w:szCs w:val="21"/>
          <w:highlight w:val="none"/>
          <w14:textFill>
            <w14:solidFill>
              <w14:schemeClr w14:val="tx1"/>
            </w14:solidFill>
          </w14:textFill>
        </w:rPr>
        <w:t>。</w:t>
      </w:r>
    </w:p>
    <w:p w14:paraId="2884350D">
      <w:pPr>
        <w:keepNext/>
        <w:keepLines/>
        <w:widowControl/>
        <w:spacing w:before="120" w:after="120" w:line="40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14. 竣工结算</w:t>
      </w:r>
      <w:bookmarkEnd w:id="734"/>
    </w:p>
    <w:p w14:paraId="16CD669A">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14.1 竣工付款申请</w:t>
      </w:r>
    </w:p>
    <w:p w14:paraId="20C597D1">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承包人提交竣工付款申请单的期限：</w:t>
      </w:r>
      <w:r>
        <w:rPr>
          <w:rFonts w:hint="eastAsia" w:ascii="宋体" w:hAnsi="宋体"/>
          <w:color w:val="000000" w:themeColor="text1"/>
          <w:szCs w:val="21"/>
          <w:highlight w:val="none"/>
          <w:u w:val="single"/>
          <w14:textFill>
            <w14:solidFill>
              <w14:schemeClr w14:val="tx1"/>
            </w14:solidFill>
          </w14:textFill>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给造价咨询审核结算部门审核，由此产生的责任由承包人自负</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除此之外，承包人还应就延迟提交工程竣工结算资料向发包人支付违约金。</w:t>
      </w:r>
    </w:p>
    <w:p w14:paraId="535EFCF5">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竣工付款申请单应包括的内容：</w:t>
      </w:r>
      <w:r>
        <w:rPr>
          <w:rFonts w:hint="eastAsia" w:ascii="宋体" w:hAnsi="宋体"/>
          <w:color w:val="000000" w:themeColor="text1"/>
          <w:szCs w:val="21"/>
          <w:highlight w:val="none"/>
          <w:u w:val="single"/>
          <w14:textFill>
            <w14:solidFill>
              <w14:schemeClr w14:val="tx1"/>
            </w14:solidFill>
          </w14:textFill>
        </w:rPr>
        <w:t>竣工结算合同价格、发包人已支付承包人的工程价款、应扣留的质量保证金、应支付的竣工付款金额</w:t>
      </w:r>
      <w:r>
        <w:rPr>
          <w:rFonts w:ascii="宋体" w:hAnsi="宋体"/>
          <w:color w:val="000000" w:themeColor="text1"/>
          <w:szCs w:val="21"/>
          <w:highlight w:val="none"/>
          <w14:textFill>
            <w14:solidFill>
              <w14:schemeClr w14:val="tx1"/>
            </w14:solidFill>
          </w14:textFill>
        </w:rPr>
        <w:t xml:space="preserve"> 。</w:t>
      </w:r>
    </w:p>
    <w:p w14:paraId="083F96D1">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 竣工结算审核</w:t>
      </w:r>
    </w:p>
    <w:p w14:paraId="5896DC70">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竣工付款申请单的期限：</w:t>
      </w:r>
      <w:r>
        <w:rPr>
          <w:rFonts w:hint="eastAsia" w:ascii="宋体" w:hAnsi="宋体"/>
          <w:color w:val="000000" w:themeColor="text1"/>
          <w:szCs w:val="21"/>
          <w:highlight w:val="none"/>
          <w:u w:val="single"/>
          <w14:textFill>
            <w14:solidFill>
              <w14:schemeClr w14:val="tx1"/>
            </w14:solidFill>
          </w14:textFill>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审计部门或第三方有资质的审计机构出具审核报告后，由此产生的责任由承包人自负</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除此之外，承包人还应就延迟提交工程竣工结算资料向发包人支付违约金。</w:t>
      </w:r>
    </w:p>
    <w:p w14:paraId="6BEE4CE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发包人完成竣工付款的期限：</w:t>
      </w:r>
      <w:r>
        <w:rPr>
          <w:rFonts w:ascii="宋体" w:hAnsi="宋体" w:cs="楷体_GB2312"/>
          <w:color w:val="000000" w:themeColor="text1"/>
          <w:szCs w:val="21"/>
          <w:highlight w:val="none"/>
          <w:u w:val="single"/>
          <w14:textFill>
            <w14:solidFill>
              <w14:schemeClr w14:val="tx1"/>
            </w14:solidFill>
          </w14:textFill>
        </w:rPr>
        <w:t>56</w:t>
      </w:r>
      <w:r>
        <w:rPr>
          <w:rFonts w:hint="eastAsia" w:ascii="宋体" w:hAnsi="宋体" w:cs="楷体_GB2312"/>
          <w:color w:val="000000" w:themeColor="text1"/>
          <w:szCs w:val="21"/>
          <w:highlight w:val="none"/>
          <w:u w:val="single"/>
          <w14:textFill>
            <w14:solidFill>
              <w14:schemeClr w14:val="tx1"/>
            </w14:solidFill>
          </w14:textFill>
        </w:rPr>
        <w:t>天（超过</w:t>
      </w:r>
      <w:r>
        <w:rPr>
          <w:rFonts w:ascii="宋体" w:hAnsi="宋体" w:cs="楷体_GB2312"/>
          <w:color w:val="000000" w:themeColor="text1"/>
          <w:szCs w:val="21"/>
          <w:highlight w:val="none"/>
          <w:u w:val="single"/>
          <w14:textFill>
            <w14:solidFill>
              <w14:schemeClr w14:val="tx1"/>
            </w14:solidFill>
          </w14:textFill>
        </w:rPr>
        <w:t>56天</w:t>
      </w:r>
      <w:r>
        <w:rPr>
          <w:rFonts w:hint="eastAsia" w:ascii="宋体" w:hAnsi="宋体" w:cs="楷体_GB2312"/>
          <w:color w:val="000000" w:themeColor="text1"/>
          <w:szCs w:val="21"/>
          <w:highlight w:val="none"/>
          <w:u w:val="single"/>
          <w14:textFill>
            <w14:solidFill>
              <w14:schemeClr w14:val="tx1"/>
            </w14:solidFill>
          </w14:textFill>
        </w:rPr>
        <w:t>以上按中国人民银行同期贷款基准利率计算）</w:t>
      </w:r>
      <w:r>
        <w:rPr>
          <w:rFonts w:hint="eastAsia" w:hAnsi="宋体"/>
          <w:color w:val="000000" w:themeColor="text1"/>
          <w:szCs w:val="21"/>
          <w:highlight w:val="none"/>
          <w14:textFill>
            <w14:solidFill>
              <w14:schemeClr w14:val="tx1"/>
            </w14:solidFill>
          </w14:textFill>
        </w:rPr>
        <w:t>。</w:t>
      </w:r>
    </w:p>
    <w:p w14:paraId="2DF4F97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关于竣工付款证书异议部分复核的方式和程序：</w:t>
      </w:r>
      <w:r>
        <w:rPr>
          <w:rFonts w:hint="eastAsia" w:ascii="宋体" w:hAnsi="宋体"/>
          <w:color w:val="000000" w:themeColor="text1"/>
          <w:szCs w:val="21"/>
          <w:highlight w:val="none"/>
          <w:u w:val="single"/>
          <w14:textFill>
            <w14:solidFill>
              <w14:schemeClr w14:val="tx1"/>
            </w14:solidFill>
          </w14:textFill>
        </w:rPr>
        <w:t>按《通用合同条款》</w:t>
      </w:r>
      <w:r>
        <w:rPr>
          <w:rFonts w:ascii="宋体" w:hAnsi="宋体"/>
          <w:color w:val="000000" w:themeColor="text1"/>
          <w:szCs w:val="21"/>
          <w:highlight w:val="none"/>
          <w14:textFill>
            <w14:solidFill>
              <w14:schemeClr w14:val="tx1"/>
            </w14:solidFill>
          </w14:textFill>
        </w:rPr>
        <w:t>。</w:t>
      </w:r>
    </w:p>
    <w:p w14:paraId="121F135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最终结清</w:t>
      </w:r>
    </w:p>
    <w:p w14:paraId="6192CC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 最终结清申请单</w:t>
      </w:r>
    </w:p>
    <w:p w14:paraId="12B6D56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承包人提交最终结清申请单的份数：</w:t>
      </w:r>
      <w:r>
        <w:rPr>
          <w:rFonts w:hint="eastAsia" w:ascii="宋体" w:hAnsi="宋体"/>
          <w:color w:val="000000" w:themeColor="text1"/>
          <w:szCs w:val="21"/>
          <w:highlight w:val="none"/>
          <w:u w:val="single"/>
          <w14:textFill>
            <w14:solidFill>
              <w14:schemeClr w14:val="tx1"/>
            </w14:solidFill>
          </w14:textFill>
        </w:rPr>
        <w:t>提交最终结清申请书一式五份</w:t>
      </w:r>
      <w:r>
        <w:rPr>
          <w:rFonts w:ascii="宋体" w:hAnsi="宋体"/>
          <w:color w:val="000000" w:themeColor="text1"/>
          <w:szCs w:val="21"/>
          <w:highlight w:val="none"/>
          <w14:textFill>
            <w14:solidFill>
              <w14:schemeClr w14:val="tx1"/>
            </w14:solidFill>
          </w14:textFill>
        </w:rPr>
        <w:t>。</w:t>
      </w:r>
    </w:p>
    <w:p w14:paraId="663B087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承包人提交最终结算申请单的期限：</w:t>
      </w:r>
      <w:r>
        <w:rPr>
          <w:rFonts w:hint="eastAsia" w:ascii="宋体" w:hAnsi="宋体"/>
          <w:color w:val="000000" w:themeColor="text1"/>
          <w:szCs w:val="21"/>
          <w:highlight w:val="none"/>
          <w:u w:val="single"/>
          <w14:textFill>
            <w14:solidFill>
              <w14:schemeClr w14:val="tx1"/>
            </w14:solidFill>
          </w14:textFill>
        </w:rPr>
        <w:t>缺陷责任期终止证书签发后56天</w:t>
      </w:r>
      <w:r>
        <w:rPr>
          <w:rFonts w:ascii="宋体" w:hAnsi="宋体"/>
          <w:color w:val="000000" w:themeColor="text1"/>
          <w:szCs w:val="21"/>
          <w:highlight w:val="none"/>
          <w:u w:val="single"/>
          <w14:textFill>
            <w14:solidFill>
              <w14:schemeClr w14:val="tx1"/>
            </w14:solidFill>
          </w14:textFill>
        </w:rPr>
        <w:t>内</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w:t>
      </w:r>
    </w:p>
    <w:p w14:paraId="251CE8B8">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.2 最终结清证书和支付</w:t>
      </w:r>
    </w:p>
    <w:p w14:paraId="3078C2D4">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（1）发包人完成最终结清申请单的</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并颁发最终结清证书的期限：</w:t>
      </w:r>
      <w:r>
        <w:rPr>
          <w:color w:val="000000" w:themeColor="text1"/>
          <w:szCs w:val="21"/>
          <w:highlight w:val="none"/>
          <w:u w:val="single"/>
          <w14:textFill>
            <w14:solidFill>
              <w14:schemeClr w14:val="tx1"/>
            </w14:solidFill>
          </w14:textFill>
        </w:rPr>
        <w:t>28</w:t>
      </w:r>
      <w:r>
        <w:rPr>
          <w:rFonts w:hint="eastAsia"/>
          <w:color w:val="000000" w:themeColor="text1"/>
          <w:szCs w:val="21"/>
          <w:highlight w:val="none"/>
          <w:u w:val="single"/>
          <w14:textFill>
            <w14:solidFill>
              <w14:schemeClr w14:val="tx1"/>
            </w14:solidFill>
          </w14:textFill>
        </w:rPr>
        <w:t>天</w:t>
      </w:r>
      <w:r>
        <w:rPr>
          <w:rFonts w:ascii="宋体" w:hAnsi="宋体"/>
          <w:color w:val="000000" w:themeColor="text1"/>
          <w:szCs w:val="21"/>
          <w:highlight w:val="none"/>
          <w14:textFill>
            <w14:solidFill>
              <w14:schemeClr w14:val="tx1"/>
            </w14:solidFill>
          </w14:textFill>
        </w:rPr>
        <w:t xml:space="preserve"> 。</w:t>
      </w:r>
    </w:p>
    <w:p w14:paraId="770F162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（2）发包人完成支付的期限：</w:t>
      </w:r>
      <w:r>
        <w:rPr>
          <w:color w:val="000000" w:themeColor="text1"/>
          <w:szCs w:val="21"/>
          <w:highlight w:val="none"/>
          <w:u w:val="single"/>
          <w14:textFill>
            <w14:solidFill>
              <w14:schemeClr w14:val="tx1"/>
            </w14:solidFill>
          </w14:textFill>
        </w:rPr>
        <w:t>28</w:t>
      </w:r>
      <w:r>
        <w:rPr>
          <w:rFonts w:hint="eastAsia"/>
          <w:color w:val="000000" w:themeColor="text1"/>
          <w:szCs w:val="21"/>
          <w:highlight w:val="none"/>
          <w:u w:val="single"/>
          <w14:textFill>
            <w14:solidFill>
              <w14:schemeClr w14:val="tx1"/>
            </w14:solidFill>
          </w14:textFill>
        </w:rPr>
        <w:t>天</w:t>
      </w:r>
      <w:r>
        <w:rPr>
          <w:rFonts w:hint="eastAsia" w:hAnsi="宋体"/>
          <w:color w:val="000000" w:themeColor="text1"/>
          <w:szCs w:val="21"/>
          <w:highlight w:val="none"/>
          <w14:textFill>
            <w14:solidFill>
              <w14:schemeClr w14:val="tx1"/>
            </w14:solidFill>
          </w14:textFill>
        </w:rPr>
        <w:t>。</w:t>
      </w:r>
    </w:p>
    <w:bookmarkEnd w:id="735"/>
    <w:bookmarkEnd w:id="736"/>
    <w:bookmarkEnd w:id="737"/>
    <w:bookmarkEnd w:id="738"/>
    <w:bookmarkEnd w:id="739"/>
    <w:bookmarkEnd w:id="740"/>
    <w:bookmarkEnd w:id="741"/>
    <w:bookmarkEnd w:id="742"/>
    <w:p w14:paraId="2C89E297">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795" w:name="_Toc351203647"/>
      <w:bookmarkStart w:id="796" w:name="_Toc267251483"/>
      <w:bookmarkStart w:id="797" w:name="_Toc267251482"/>
      <w:bookmarkStart w:id="798" w:name="_Toc267251484"/>
      <w:bookmarkStart w:id="799" w:name="_Toc267251485"/>
      <w:bookmarkStart w:id="800" w:name="_Toc267251490"/>
      <w:bookmarkStart w:id="801" w:name="_Toc267251486"/>
      <w:bookmarkStart w:id="802" w:name="_Toc267251489"/>
      <w:bookmarkStart w:id="803" w:name="_Toc267251488"/>
      <w:bookmarkStart w:id="804" w:name="_Toc267251497"/>
      <w:bookmarkStart w:id="805" w:name="_Toc267251492"/>
      <w:bookmarkStart w:id="806" w:name="_Toc267251496"/>
      <w:bookmarkStart w:id="807" w:name="_Toc267251491"/>
      <w:bookmarkStart w:id="808" w:name="_Toc267251501"/>
      <w:bookmarkStart w:id="809" w:name="_Toc267251494"/>
      <w:bookmarkStart w:id="810" w:name="_Toc267251499"/>
      <w:bookmarkStart w:id="811" w:name="_Toc267251493"/>
      <w:bookmarkStart w:id="812" w:name="_Toc267251502"/>
      <w:bookmarkStart w:id="813" w:name="_Toc267251503"/>
      <w:bookmarkStart w:id="814" w:name="_Toc267251495"/>
      <w:bookmarkStart w:id="815" w:name="_Toc267251498"/>
      <w:bookmarkStart w:id="816" w:name="_Toc267251506"/>
      <w:bookmarkStart w:id="817" w:name="_Toc267251504"/>
      <w:bookmarkStart w:id="818" w:name="_Toc267251507"/>
      <w:bookmarkStart w:id="819" w:name="_Toc267251508"/>
      <w:bookmarkStart w:id="820" w:name="_Toc267251513"/>
      <w:bookmarkStart w:id="821" w:name="_Toc267251515"/>
      <w:bookmarkStart w:id="822" w:name="_Toc267251511"/>
      <w:bookmarkStart w:id="823" w:name="_Toc267251514"/>
      <w:bookmarkStart w:id="824" w:name="_Toc267251509"/>
      <w:bookmarkStart w:id="825" w:name="_Toc267251510"/>
      <w:r>
        <w:rPr>
          <w:rFonts w:ascii="宋体" w:hAnsi="宋体" w:eastAsia="黑体"/>
          <w:b/>
          <w:color w:val="000000" w:themeColor="text1"/>
          <w:kern w:val="0"/>
          <w:sz w:val="28"/>
          <w:szCs w:val="21"/>
          <w:highlight w:val="none"/>
          <w14:textFill>
            <w14:solidFill>
              <w14:schemeClr w14:val="tx1"/>
            </w14:solidFill>
          </w14:textFill>
        </w:rPr>
        <w:t>15. 缺陷责任期与保修</w:t>
      </w:r>
      <w:bookmarkEnd w:id="795"/>
    </w:p>
    <w:p w14:paraId="104D5F6E">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缺陷责任期</w:t>
      </w:r>
      <w:bookmarkEnd w:id="796"/>
    </w:p>
    <w:p w14:paraId="26536D7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缺陷责任期的具体期限：</w:t>
      </w:r>
      <w:r>
        <w:rPr>
          <w:rFonts w:hint="eastAsia" w:ascii="宋体" w:hAnsi="宋体"/>
          <w:color w:val="000000" w:themeColor="text1"/>
          <w:szCs w:val="21"/>
          <w:highlight w:val="none"/>
          <w14:textFill>
            <w14:solidFill>
              <w14:schemeClr w14:val="tx1"/>
            </w14:solidFill>
          </w14:textFill>
        </w:rPr>
        <w:t>12个月</w:t>
      </w:r>
      <w:r>
        <w:rPr>
          <w:rFonts w:ascii="宋体" w:hAnsi="宋体"/>
          <w:color w:val="000000" w:themeColor="text1"/>
          <w:szCs w:val="21"/>
          <w:highlight w:val="none"/>
          <w14:textFill>
            <w14:solidFill>
              <w14:schemeClr w14:val="tx1"/>
            </w14:solidFill>
          </w14:textFill>
        </w:rPr>
        <w:t>。</w:t>
      </w:r>
    </w:p>
    <w:p w14:paraId="306F71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质量保证金</w:t>
      </w:r>
    </w:p>
    <w:p w14:paraId="05B7EB1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关于质量保证金的约定：预留结算总价的3%作为质量保证金</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A9A22C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承包人提供</w:t>
      </w:r>
      <w:r>
        <w:rPr>
          <w:rFonts w:ascii="宋体" w:hAnsi="宋体"/>
          <w:color w:val="000000" w:themeColor="text1"/>
          <w:szCs w:val="21"/>
          <w:highlight w:val="none"/>
          <w14:textFill>
            <w14:solidFill>
              <w14:schemeClr w14:val="tx1"/>
            </w14:solidFill>
          </w14:textFill>
        </w:rPr>
        <w:t>质量保证金的</w:t>
      </w:r>
      <w:r>
        <w:rPr>
          <w:rFonts w:hint="eastAsia" w:ascii="宋体" w:hAnsi="宋体"/>
          <w:color w:val="000000" w:themeColor="text1"/>
          <w:szCs w:val="21"/>
          <w:highlight w:val="none"/>
          <w14:textFill>
            <w14:solidFill>
              <w14:schemeClr w14:val="tx1"/>
            </w14:solidFill>
          </w14:textFill>
        </w:rPr>
        <w:t>方</w:t>
      </w:r>
      <w:r>
        <w:rPr>
          <w:rFonts w:ascii="宋体" w:hAnsi="宋体"/>
          <w:color w:val="000000" w:themeColor="text1"/>
          <w:szCs w:val="21"/>
          <w:highlight w:val="none"/>
          <w14:textFill>
            <w14:solidFill>
              <w14:schemeClr w14:val="tx1"/>
            </w14:solidFill>
          </w14:textFill>
        </w:rPr>
        <w:t>式</w:t>
      </w:r>
    </w:p>
    <w:p w14:paraId="1845BD3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质量保证金采用以下第</w:t>
      </w:r>
      <w:r>
        <w:rPr>
          <w:rFonts w:hint="eastAsia" w:ascii="宋体" w:hAnsi="宋体"/>
          <w:color w:val="000000" w:themeColor="text1"/>
          <w:szCs w:val="21"/>
          <w:highlight w:val="none"/>
          <w:u w:val="singl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种方式：</w:t>
      </w:r>
    </w:p>
    <w:p w14:paraId="0CDBE05D">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（1）质量保证金保函，保证金额为： </w:t>
      </w:r>
    </w:p>
    <w:p w14:paraId="0F15BA96">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预留</w:t>
      </w:r>
      <w:r>
        <w:rPr>
          <w:rFonts w:hAnsi="宋体"/>
          <w:bCs/>
          <w:color w:val="000000" w:themeColor="text1"/>
          <w:szCs w:val="21"/>
          <w:highlight w:val="none"/>
          <w14:textFill>
            <w14:solidFill>
              <w14:schemeClr w14:val="tx1"/>
            </w14:solidFill>
          </w14:textFill>
        </w:rPr>
        <w:t>结算总价</w:t>
      </w:r>
      <w:r>
        <w:rPr>
          <w:rFonts w:hint="eastAsia" w:hAnsi="宋体"/>
          <w:bCs/>
          <w:color w:val="000000" w:themeColor="text1"/>
          <w:szCs w:val="21"/>
          <w:highlight w:val="none"/>
          <w14:textFill>
            <w14:solidFill>
              <w14:schemeClr w14:val="tx1"/>
            </w14:solidFill>
          </w14:textFill>
        </w:rPr>
        <w:t>的</w:t>
      </w:r>
      <w:r>
        <w:rPr>
          <w:rFonts w:hint="eastAsia"/>
          <w:bCs/>
          <w:color w:val="000000" w:themeColor="text1"/>
          <w:szCs w:val="21"/>
          <w:highlight w:val="none"/>
          <w14:textFill>
            <w14:solidFill>
              <w14:schemeClr w14:val="tx1"/>
            </w14:solidFill>
          </w14:textFill>
        </w:rPr>
        <w:t>3%作为质量</w:t>
      </w:r>
      <w:r>
        <w:rPr>
          <w:rFonts w:hint="eastAsia" w:hAnsi="宋体"/>
          <w:bCs/>
          <w:color w:val="000000" w:themeColor="text1"/>
          <w:szCs w:val="21"/>
          <w:highlight w:val="none"/>
          <w14:textFill>
            <w14:solidFill>
              <w14:schemeClr w14:val="tx1"/>
            </w14:solidFill>
          </w14:textFill>
        </w:rPr>
        <w:t>保证金</w:t>
      </w:r>
      <w:r>
        <w:rPr>
          <w:rFonts w:hint="eastAsia" w:ascii="宋体" w:hAnsi="宋体"/>
          <w:color w:val="000000" w:themeColor="text1"/>
          <w:kern w:val="0"/>
          <w:szCs w:val="21"/>
          <w:highlight w:val="none"/>
          <w:lang w:eastAsia="zh-CN"/>
          <w14:textFill>
            <w14:solidFill>
              <w14:schemeClr w14:val="tx1"/>
            </w14:solidFill>
          </w14:textFill>
        </w:rPr>
        <w:t>；</w:t>
      </w:r>
    </w:p>
    <w:p w14:paraId="0772EABF">
      <w:pPr>
        <w:autoSpaceDE w:val="0"/>
        <w:autoSpaceDN w:val="0"/>
        <w:adjustRightInd w:val="0"/>
        <w:spacing w:line="440" w:lineRule="exact"/>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其他</w:t>
      </w:r>
      <w:r>
        <w:rPr>
          <w:rFonts w:hint="eastAsia" w:ascii="宋体" w:hAnsi="宋体"/>
          <w:color w:val="000000" w:themeColor="text1"/>
          <w:kern w:val="0"/>
          <w:szCs w:val="21"/>
          <w:highlight w:val="none"/>
          <w14:textFill>
            <w14:solidFill>
              <w14:schemeClr w14:val="tx1"/>
            </w14:solidFill>
          </w14:textFill>
        </w:rPr>
        <w:t>方</w:t>
      </w:r>
      <w:r>
        <w:rPr>
          <w:rFonts w:ascii="宋体" w:hAnsi="宋体"/>
          <w:color w:val="000000" w:themeColor="text1"/>
          <w:kern w:val="0"/>
          <w:szCs w:val="21"/>
          <w:highlight w:val="none"/>
          <w14:textFill>
            <w14:solidFill>
              <w14:schemeClr w14:val="tx1"/>
            </w14:solidFill>
          </w14:textFill>
        </w:rPr>
        <w:t>式:</w:t>
      </w:r>
      <w:r>
        <w:rPr>
          <w:rFonts w:hint="eastAsia" w:ascii="宋体" w:hAnsi="宋体"/>
          <w:bCs/>
          <w:color w:val="000000" w:themeColor="text1"/>
          <w:kern w:val="0"/>
          <w:szCs w:val="21"/>
          <w:highlight w:val="none"/>
          <w:u w:val="single"/>
          <w14:textFill>
            <w14:solidFill>
              <w14:schemeClr w14:val="tx1"/>
            </w14:solidFill>
          </w14:textFill>
        </w:rPr>
        <w:t>待工程质量</w:t>
      </w:r>
      <w:r>
        <w:rPr>
          <w:rFonts w:ascii="宋体" w:hAnsi="宋体"/>
          <w:color w:val="000000" w:themeColor="text1"/>
          <w:szCs w:val="21"/>
          <w:highlight w:val="none"/>
          <w:u w:val="single"/>
          <w14:textFill>
            <w14:solidFill>
              <w14:schemeClr w14:val="tx1"/>
            </w14:solidFill>
          </w14:textFill>
        </w:rPr>
        <w:t>缺陷责任期</w:t>
      </w:r>
      <w:r>
        <w:rPr>
          <w:rFonts w:hint="eastAsia" w:ascii="宋体" w:hAnsi="宋体"/>
          <w:bCs/>
          <w:color w:val="000000" w:themeColor="text1"/>
          <w:kern w:val="0"/>
          <w:szCs w:val="21"/>
          <w:highlight w:val="none"/>
          <w:u w:val="single"/>
          <w14:textFill>
            <w14:solidFill>
              <w14:schemeClr w14:val="tx1"/>
            </w14:solidFill>
          </w14:textFill>
        </w:rPr>
        <w:t>满后返还。</w:t>
      </w:r>
    </w:p>
    <w:p w14:paraId="2C12D01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.2 质量保证金的扣留 </w:t>
      </w:r>
    </w:p>
    <w:p w14:paraId="5597CBC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质量保证金的扣留采取以下第</w:t>
      </w:r>
      <w:r>
        <w:rPr>
          <w:rFonts w:hint="eastAsia" w:ascii="宋体" w:hAnsi="宋体"/>
          <w:color w:val="000000" w:themeColor="text1"/>
          <w:szCs w:val="21"/>
          <w:highlight w:val="none"/>
          <w:u w:val="single"/>
          <w14:textFill>
            <w14:solidFill>
              <w14:schemeClr w14:val="tx1"/>
            </w14:solidFill>
          </w14:textFill>
        </w:rPr>
        <w:t xml:space="preserve"> 2</w:t>
      </w:r>
      <w:r>
        <w:rPr>
          <w:rFonts w:ascii="宋体" w:hAnsi="宋体"/>
          <w:color w:val="000000" w:themeColor="text1"/>
          <w:szCs w:val="21"/>
          <w:highlight w:val="none"/>
          <w14:textFill>
            <w14:solidFill>
              <w14:schemeClr w14:val="tx1"/>
            </w14:solidFill>
          </w14:textFill>
        </w:rPr>
        <w:t>种方式：</w:t>
      </w:r>
    </w:p>
    <w:p w14:paraId="5651ACC5">
      <w:pPr>
        <w:autoSpaceDE w:val="0"/>
        <w:autoSpaceDN w:val="0"/>
        <w:adjustRightInd w:val="0"/>
        <w:spacing w:line="44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（1）在支付工程进度款时逐次扣留，在此情形下，质量保证金的计算基数不包括预付款的支付、扣回以及价格调整的金额</w:t>
      </w:r>
      <w:r>
        <w:rPr>
          <w:rFonts w:hint="eastAsia" w:ascii="宋体" w:hAnsi="宋体"/>
          <w:color w:val="000000" w:themeColor="text1"/>
          <w:kern w:val="0"/>
          <w:szCs w:val="21"/>
          <w:highlight w:val="none"/>
          <w:lang w:eastAsia="zh-CN"/>
          <w14:textFill>
            <w14:solidFill>
              <w14:schemeClr w14:val="tx1"/>
            </w14:solidFill>
          </w14:textFill>
        </w:rPr>
        <w:t>；</w:t>
      </w:r>
    </w:p>
    <w:p w14:paraId="0749F74F">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预留</w:t>
      </w:r>
      <w:r>
        <w:rPr>
          <w:rFonts w:hAnsi="宋体"/>
          <w:bCs/>
          <w:color w:val="000000" w:themeColor="text1"/>
          <w:szCs w:val="21"/>
          <w:highlight w:val="none"/>
          <w14:textFill>
            <w14:solidFill>
              <w14:schemeClr w14:val="tx1"/>
            </w14:solidFill>
          </w14:textFill>
        </w:rPr>
        <w:t>结算总价</w:t>
      </w:r>
      <w:r>
        <w:rPr>
          <w:rFonts w:hint="eastAsia" w:hAnsi="宋体"/>
          <w:bCs/>
          <w:color w:val="000000" w:themeColor="text1"/>
          <w:szCs w:val="21"/>
          <w:highlight w:val="none"/>
          <w14:textFill>
            <w14:solidFill>
              <w14:schemeClr w14:val="tx1"/>
            </w14:solidFill>
          </w14:textFill>
        </w:rPr>
        <w:t>的</w:t>
      </w:r>
      <w:r>
        <w:rPr>
          <w:rFonts w:hint="eastAsia"/>
          <w:bCs/>
          <w:color w:val="000000" w:themeColor="text1"/>
          <w:szCs w:val="21"/>
          <w:highlight w:val="none"/>
          <w14:textFill>
            <w14:solidFill>
              <w14:schemeClr w14:val="tx1"/>
            </w14:solidFill>
          </w14:textFill>
        </w:rPr>
        <w:t>3%作为质量</w:t>
      </w:r>
      <w:r>
        <w:rPr>
          <w:rFonts w:hint="eastAsia" w:hAnsi="宋体"/>
          <w:bCs/>
          <w:color w:val="000000" w:themeColor="text1"/>
          <w:szCs w:val="21"/>
          <w:highlight w:val="none"/>
          <w14:textFill>
            <w14:solidFill>
              <w14:schemeClr w14:val="tx1"/>
            </w14:solidFill>
          </w14:textFill>
        </w:rPr>
        <w:t>保证金</w:t>
      </w:r>
      <w:r>
        <w:rPr>
          <w:rFonts w:hint="eastAsia" w:ascii="宋体" w:hAnsi="宋体"/>
          <w:color w:val="000000" w:themeColor="text1"/>
          <w:kern w:val="0"/>
          <w:szCs w:val="21"/>
          <w:highlight w:val="none"/>
          <w14:textFill>
            <w14:solidFill>
              <w14:schemeClr w14:val="tx1"/>
            </w14:solidFill>
          </w14:textFill>
        </w:rPr>
        <w:t>。</w:t>
      </w:r>
    </w:p>
    <w:p w14:paraId="22D6B60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关于质量保证金的补充约定：</w:t>
      </w:r>
      <w:r>
        <w:rPr>
          <w:rFonts w:ascii="宋体" w:hAnsi="宋体"/>
          <w:color w:val="000000" w:themeColor="text1"/>
          <w:kern w:val="0"/>
          <w:szCs w:val="21"/>
          <w:highlight w:val="none"/>
          <w14:textFill>
            <w14:solidFill>
              <w14:schemeClr w14:val="tx1"/>
            </w14:solidFill>
          </w14:textFill>
        </w:rPr>
        <w:t>。</w:t>
      </w:r>
    </w:p>
    <w:bookmarkEnd w:id="797"/>
    <w:bookmarkEnd w:id="798"/>
    <w:p w14:paraId="4C1E7B6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保修</w:t>
      </w:r>
    </w:p>
    <w:bookmarkEnd w:id="799"/>
    <w:p w14:paraId="77A08AB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质量保修期从工程实际竣工之日算起。分单项竣工验收的工程，按单项工程分别计算质量保修期。</w:t>
      </w:r>
    </w:p>
    <w:p w14:paraId="284CF3E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双方根据国家有关规定，结合具体工程约定质量保修期如下：</w:t>
      </w:r>
    </w:p>
    <w:p w14:paraId="10B5CE5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(1)地基基础工程、主体结构工程为设计文件规定的合理使用年限;</w:t>
      </w:r>
    </w:p>
    <w:p w14:paraId="58BD025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(2)屋面防水工程、有防水要求的卫生间、房间和外墙面的防渗漏：</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p>
    <w:p w14:paraId="7859EFDA">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(3)供热及供冷系统为 </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个采暖期及供冷期</w:t>
      </w:r>
      <w:r>
        <w:rPr>
          <w:rFonts w:hint="eastAsia" w:ascii="宋体" w:hAnsi="宋体"/>
          <w:color w:val="000000" w:themeColor="text1"/>
          <w:szCs w:val="21"/>
          <w:highlight w:val="none"/>
          <w:lang w:eastAsia="zh-CN"/>
          <w14:textFill>
            <w14:solidFill>
              <w14:schemeClr w14:val="tx1"/>
            </w14:solidFill>
          </w14:textFill>
        </w:rPr>
        <w:t>；</w:t>
      </w:r>
    </w:p>
    <w:p w14:paraId="73ADAE44">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(4)电气管线、给排水管道、设备安装为</w:t>
      </w:r>
      <w:r>
        <w:rPr>
          <w:rFonts w:hint="eastAsia" w:ascii="宋体" w:hAnsi="宋体"/>
          <w:color w:val="000000" w:themeColor="text1"/>
          <w:szCs w:val="21"/>
          <w:highlight w:val="none"/>
          <w:u w:val="single"/>
          <w14:textFill>
            <w14:solidFill>
              <w14:schemeClr w14:val="tx1"/>
            </w14:solidFill>
          </w14:textFill>
        </w:rPr>
        <w:t xml:space="preserve"> 2</w:t>
      </w:r>
      <w:r>
        <w:rPr>
          <w:rFonts w:hint="eastAsia" w:ascii="宋体" w:hAnsi="宋体"/>
          <w:color w:val="000000" w:themeColor="text1"/>
          <w:szCs w:val="21"/>
          <w:highlight w:val="none"/>
          <w14:textFill>
            <w14:solidFill>
              <w14:schemeClr w14:val="tx1"/>
            </w14:solidFill>
          </w14:textFill>
        </w:rPr>
        <w:t xml:space="preserve"> 年</w:t>
      </w:r>
      <w:r>
        <w:rPr>
          <w:rFonts w:hint="eastAsia" w:ascii="宋体" w:hAnsi="宋体"/>
          <w:color w:val="000000" w:themeColor="text1"/>
          <w:szCs w:val="21"/>
          <w:highlight w:val="none"/>
          <w:lang w:eastAsia="zh-CN"/>
          <w14:textFill>
            <w14:solidFill>
              <w14:schemeClr w14:val="tx1"/>
            </w14:solidFill>
          </w14:textFill>
        </w:rPr>
        <w:t>；</w:t>
      </w:r>
    </w:p>
    <w:p w14:paraId="2781DF27">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(5)装修工程为 </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eastAsia="zh-CN"/>
          <w14:textFill>
            <w14:solidFill>
              <w14:schemeClr w14:val="tx1"/>
            </w14:solidFill>
          </w14:textFill>
        </w:rPr>
        <w:t>；</w:t>
      </w:r>
    </w:p>
    <w:p w14:paraId="0BD99C16">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(6)室外的上下水和小区道路等市政公用工程为 </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 xml:space="preserve"> 年</w:t>
      </w:r>
      <w:r>
        <w:rPr>
          <w:rFonts w:hint="eastAsia" w:ascii="宋体" w:hAnsi="宋体"/>
          <w:color w:val="000000" w:themeColor="text1"/>
          <w:szCs w:val="21"/>
          <w:highlight w:val="none"/>
          <w:lang w:eastAsia="zh-CN"/>
          <w14:textFill>
            <w14:solidFill>
              <w14:schemeClr w14:val="tx1"/>
            </w14:solidFill>
          </w14:textFill>
        </w:rPr>
        <w:t>；</w:t>
      </w:r>
    </w:p>
    <w:p w14:paraId="63789B4B">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(7)在没有明文规定下，参照建设工程质量保修条例，双方协商为设计文件规定的该工程的合理使用年限内保修</w:t>
      </w:r>
      <w:r>
        <w:rPr>
          <w:rFonts w:hint="eastAsia" w:ascii="宋体" w:hAnsi="宋体"/>
          <w:color w:val="000000" w:themeColor="text1"/>
          <w:szCs w:val="21"/>
          <w:highlight w:val="none"/>
          <w:lang w:eastAsia="zh-CN"/>
          <w14:textFill>
            <w14:solidFill>
              <w14:schemeClr w14:val="tx1"/>
            </w14:solidFill>
          </w14:textFill>
        </w:rPr>
        <w:t>；</w:t>
      </w:r>
    </w:p>
    <w:p w14:paraId="2EEF38F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w:t>
      </w:r>
    </w:p>
    <w:bookmarkEnd w:id="800"/>
    <w:bookmarkEnd w:id="801"/>
    <w:bookmarkEnd w:id="802"/>
    <w:bookmarkEnd w:id="803"/>
    <w:p w14:paraId="1CCC8208">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826" w:name="_Toc351203648"/>
      <w:bookmarkStart w:id="827" w:name="_Toc280868717"/>
      <w:bookmarkStart w:id="828" w:name="_Toc280868718"/>
      <w:r>
        <w:rPr>
          <w:rFonts w:ascii="宋体" w:hAnsi="宋体" w:eastAsia="黑体"/>
          <w:b/>
          <w:color w:val="000000" w:themeColor="text1"/>
          <w:kern w:val="0"/>
          <w:sz w:val="28"/>
          <w:szCs w:val="21"/>
          <w:highlight w:val="none"/>
          <w14:textFill>
            <w14:solidFill>
              <w14:schemeClr w14:val="tx1"/>
            </w14:solidFill>
          </w14:textFill>
        </w:rPr>
        <w:t>16. 违约</w:t>
      </w:r>
      <w:bookmarkEnd w:id="826"/>
    </w:p>
    <w:p w14:paraId="25539E5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 发包人违约</w:t>
      </w:r>
    </w:p>
    <w:p w14:paraId="546D1A5C">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829" w:name="_Toc389065332"/>
      <w:bookmarkStart w:id="830" w:name="_Toc373227767"/>
      <w:bookmarkStart w:id="831" w:name="_Toc373478414"/>
      <w:bookmarkStart w:id="832" w:name="_Toc465114927"/>
      <w:bookmarkStart w:id="833" w:name="_Toc351203649"/>
      <w:r>
        <w:rPr>
          <w:rFonts w:ascii="宋体" w:hAnsi="宋体"/>
          <w:b/>
          <w:bCs/>
          <w:color w:val="000000" w:themeColor="text1"/>
          <w:kern w:val="0"/>
          <w:sz w:val="24"/>
          <w:szCs w:val="32"/>
          <w:highlight w:val="none"/>
          <w14:textFill>
            <w14:solidFill>
              <w14:schemeClr w14:val="tx1"/>
            </w14:solidFill>
          </w14:textFill>
        </w:rPr>
        <w:t>16.1 发包人违约</w:t>
      </w:r>
      <w:bookmarkEnd w:id="829"/>
      <w:bookmarkEnd w:id="830"/>
      <w:bookmarkEnd w:id="831"/>
      <w:bookmarkEnd w:id="832"/>
    </w:p>
    <w:p w14:paraId="6C9E3A98">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16.1.1</w:t>
      </w:r>
      <w:r>
        <w:rPr>
          <w:rFonts w:hAnsi="宋体"/>
          <w:color w:val="000000" w:themeColor="text1"/>
          <w:szCs w:val="21"/>
          <w:highlight w:val="none"/>
          <w14:textFill>
            <w14:solidFill>
              <w14:schemeClr w14:val="tx1"/>
            </w14:solidFill>
          </w14:textFill>
        </w:rPr>
        <w:t>发包人违约的情形</w:t>
      </w:r>
    </w:p>
    <w:p w14:paraId="43EB5B3A">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发包人违约的其他情形：</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20877FE8">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16.1.2 </w:t>
      </w:r>
      <w:r>
        <w:rPr>
          <w:rFonts w:hAnsi="宋体"/>
          <w:color w:val="000000" w:themeColor="text1"/>
          <w:kern w:val="0"/>
          <w:szCs w:val="21"/>
          <w:highlight w:val="none"/>
          <w14:textFill>
            <w14:solidFill>
              <w14:schemeClr w14:val="tx1"/>
            </w14:solidFill>
          </w14:textFill>
        </w:rPr>
        <w:t>发包人违约的责任</w:t>
      </w:r>
    </w:p>
    <w:p w14:paraId="4B2AB31C">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发包人违约责任的承担方式和计算方法：</w:t>
      </w:r>
    </w:p>
    <w:p w14:paraId="06C0DCF2">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）因发包人原因未能在计划开工日期前</w:t>
      </w:r>
      <w:r>
        <w:rPr>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天内下达开工通知的违约责任：</w:t>
      </w:r>
      <w:r>
        <w:rPr>
          <w:rFonts w:hint="eastAsia" w:ascii="宋体" w:hAnsi="宋体"/>
          <w:color w:val="000000" w:themeColor="text1"/>
          <w:kern w:val="0"/>
          <w:szCs w:val="21"/>
          <w:highlight w:val="none"/>
          <w14:textFill>
            <w14:solidFill>
              <w14:schemeClr w14:val="tx1"/>
            </w14:solidFill>
          </w14:textFill>
        </w:rPr>
        <w:t>开工时间相应顺延 。</w:t>
      </w:r>
    </w:p>
    <w:p w14:paraId="6E3C0F2E">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）因发包人原因未能按合同约定支付合同价款的违约责任：</w:t>
      </w:r>
      <w:r>
        <w:rPr>
          <w:rFonts w:hint="eastAsia" w:ascii="宋体" w:hAnsi="宋体"/>
          <w:color w:val="000000" w:themeColor="text1"/>
          <w:kern w:val="0"/>
          <w:szCs w:val="21"/>
          <w:highlight w:val="none"/>
          <w14:textFill>
            <w14:solidFill>
              <w14:schemeClr w14:val="tx1"/>
            </w14:solidFill>
          </w14:textFill>
        </w:rPr>
        <w:t>每逾期一天，发包人应以逾期付款额为基数，按中国人民银行发布的同期同类贷款基准利率支付违约金</w:t>
      </w:r>
      <w:r>
        <w:rPr>
          <w:rFonts w:hAnsi="宋体"/>
          <w:color w:val="000000" w:themeColor="text1"/>
          <w:kern w:val="0"/>
          <w:szCs w:val="21"/>
          <w:highlight w:val="none"/>
          <w14:textFill>
            <w14:solidFill>
              <w14:schemeClr w14:val="tx1"/>
            </w14:solidFill>
          </w14:textFill>
        </w:rPr>
        <w:t>。</w:t>
      </w:r>
    </w:p>
    <w:p w14:paraId="0FE72E1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）发包人违反第</w:t>
      </w:r>
      <w:r>
        <w:rPr>
          <w:color w:val="000000" w:themeColor="text1"/>
          <w:kern w:val="0"/>
          <w:szCs w:val="21"/>
          <w:highlight w:val="none"/>
          <w14:textFill>
            <w14:solidFill>
              <w14:schemeClr w14:val="tx1"/>
            </w14:solidFill>
          </w14:textFill>
        </w:rPr>
        <w:t>10.1</w:t>
      </w:r>
      <w:r>
        <w:rPr>
          <w:rFonts w:hAnsi="宋体"/>
          <w:color w:val="000000" w:themeColor="text1"/>
          <w:kern w:val="0"/>
          <w:szCs w:val="21"/>
          <w:highlight w:val="none"/>
          <w14:textFill>
            <w14:solidFill>
              <w14:schemeClr w14:val="tx1"/>
            </w14:solidFill>
          </w14:textFill>
        </w:rPr>
        <w:t>款〔变更的范围〕第（</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）项约定，自行实施被取消的工作或转由他人实施的违约责任：</w:t>
      </w:r>
      <w:r>
        <w:rPr>
          <w:rFonts w:hint="eastAsia"/>
          <w:color w:val="000000" w:themeColor="text1"/>
          <w:kern w:val="0"/>
          <w:szCs w:val="21"/>
          <w:highlight w:val="none"/>
          <w14:textFill>
            <w14:solidFill>
              <w14:schemeClr w14:val="tx1"/>
            </w14:solidFill>
          </w14:textFill>
        </w:rPr>
        <w:t>双</w:t>
      </w:r>
      <w:r>
        <w:rPr>
          <w:rFonts w:hint="eastAsia" w:ascii="宋体" w:hAnsi="宋体"/>
          <w:color w:val="000000" w:themeColor="text1"/>
          <w:kern w:val="0"/>
          <w:szCs w:val="21"/>
          <w:highlight w:val="none"/>
          <w14:textFill>
            <w14:solidFill>
              <w14:schemeClr w14:val="tx1"/>
            </w14:solidFill>
          </w14:textFill>
        </w:rPr>
        <w:t>方另行商定，如承包人不同意实施的除外。</w:t>
      </w:r>
    </w:p>
    <w:p w14:paraId="08A0E278">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4</w:t>
      </w:r>
      <w:r>
        <w:rPr>
          <w:rFonts w:hAnsi="宋体"/>
          <w:color w:val="000000" w:themeColor="text1"/>
          <w:kern w:val="0"/>
          <w:szCs w:val="21"/>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ascii="宋体" w:hAnsi="宋体"/>
          <w:color w:val="000000" w:themeColor="text1"/>
          <w:kern w:val="0"/>
          <w:szCs w:val="21"/>
          <w:highlight w:val="none"/>
          <w14:textFill>
            <w14:solidFill>
              <w14:schemeClr w14:val="tx1"/>
            </w14:solidFill>
          </w14:textFill>
        </w:rPr>
        <w:t>发包人提供的材料、工程设备的规格、数量或质量不符合合同约定，如影响工期的，工期相应顺延由发包人负责</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如造成承包人返工的，发包人应负责承担返工费用。</w:t>
      </w:r>
    </w:p>
    <w:p w14:paraId="2A02D984">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5</w:t>
      </w:r>
      <w:r>
        <w:rPr>
          <w:rFonts w:hAnsi="宋体"/>
          <w:color w:val="000000" w:themeColor="text1"/>
          <w:kern w:val="0"/>
          <w:szCs w:val="21"/>
          <w:highlight w:val="none"/>
          <w14:textFill>
            <w14:solidFill>
              <w14:schemeClr w14:val="tx1"/>
            </w14:solidFill>
          </w14:textFill>
        </w:rPr>
        <w:t>）因发包人违反合同约定造成暂停施工的违约责任：</w:t>
      </w:r>
      <w:r>
        <w:rPr>
          <w:rFonts w:hint="eastAsia"/>
          <w:color w:val="000000" w:themeColor="text1"/>
          <w:kern w:val="0"/>
          <w:szCs w:val="21"/>
          <w:highlight w:val="none"/>
          <w14:textFill>
            <w14:solidFill>
              <w14:schemeClr w14:val="tx1"/>
            </w14:solidFill>
          </w14:textFill>
        </w:rPr>
        <w:t>工期顺延</w:t>
      </w:r>
      <w:r>
        <w:rPr>
          <w:rFonts w:hAnsi="宋体"/>
          <w:color w:val="000000" w:themeColor="text1"/>
          <w:kern w:val="0"/>
          <w:szCs w:val="21"/>
          <w:highlight w:val="none"/>
          <w14:textFill>
            <w14:solidFill>
              <w14:schemeClr w14:val="tx1"/>
            </w14:solidFill>
          </w14:textFill>
        </w:rPr>
        <w:t>。</w:t>
      </w:r>
    </w:p>
    <w:p w14:paraId="07AC95AA">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）发包人无正当理由没有在约定期限内发出复工指示，导致承包人无法复工的违约责任：</w:t>
      </w:r>
      <w:r>
        <w:rPr>
          <w:rFonts w:hint="eastAsia"/>
          <w:color w:val="000000" w:themeColor="text1"/>
          <w:kern w:val="0"/>
          <w:szCs w:val="21"/>
          <w:highlight w:val="none"/>
          <w:u w:val="single"/>
          <w14:textFill>
            <w14:solidFill>
              <w14:schemeClr w14:val="tx1"/>
            </w14:solidFill>
          </w14:textFill>
        </w:rPr>
        <w:t>工期顺延</w:t>
      </w:r>
      <w:r>
        <w:rPr>
          <w:rFonts w:hAnsi="宋体"/>
          <w:color w:val="000000" w:themeColor="text1"/>
          <w:kern w:val="0"/>
          <w:szCs w:val="21"/>
          <w:highlight w:val="none"/>
          <w14:textFill>
            <w14:solidFill>
              <w14:schemeClr w14:val="tx1"/>
            </w14:solidFill>
          </w14:textFill>
        </w:rPr>
        <w:t>。</w:t>
      </w:r>
    </w:p>
    <w:p w14:paraId="40F5368D">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）其他：</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43D954C7">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16.1.3 </w:t>
      </w:r>
      <w:r>
        <w:rPr>
          <w:rFonts w:hAnsi="宋体"/>
          <w:color w:val="000000" w:themeColor="text1"/>
          <w:szCs w:val="21"/>
          <w:highlight w:val="none"/>
          <w14:textFill>
            <w14:solidFill>
              <w14:schemeClr w14:val="tx1"/>
            </w14:solidFill>
          </w14:textFill>
        </w:rPr>
        <w:t>因发包人违约解除合同</w:t>
      </w:r>
    </w:p>
    <w:p w14:paraId="046CF84A">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承包人按</w:t>
      </w:r>
      <w:r>
        <w:rPr>
          <w:color w:val="000000" w:themeColor="text1"/>
          <w:kern w:val="0"/>
          <w:szCs w:val="21"/>
          <w:highlight w:val="none"/>
          <w14:textFill>
            <w14:solidFill>
              <w14:schemeClr w14:val="tx1"/>
            </w14:solidFill>
          </w14:textFill>
        </w:rPr>
        <w:t>16.1.1</w:t>
      </w:r>
      <w:r>
        <w:rPr>
          <w:rFonts w:hAnsi="宋体"/>
          <w:color w:val="000000" w:themeColor="text1"/>
          <w:kern w:val="0"/>
          <w:szCs w:val="21"/>
          <w:highlight w:val="none"/>
          <w14:textFill>
            <w14:solidFill>
              <w14:schemeClr w14:val="tx1"/>
            </w14:solidFill>
          </w14:textFill>
        </w:rPr>
        <w:t>项〔发包人违约的情形〕约定暂停施工满</w:t>
      </w:r>
      <w:r>
        <w:rPr>
          <w:color w:val="000000" w:themeColor="text1"/>
          <w:kern w:val="0"/>
          <w:szCs w:val="21"/>
          <w:highlight w:val="none"/>
          <w:u w:val="single"/>
          <w14:textFill>
            <w14:solidFill>
              <w14:schemeClr w14:val="tx1"/>
            </w14:solidFill>
          </w14:textFill>
        </w:rPr>
        <w:t xml:space="preserve"> 90 </w:t>
      </w:r>
      <w:r>
        <w:rPr>
          <w:rFonts w:hAnsi="宋体"/>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2B2A0DC0">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834" w:name="_Toc373478415"/>
      <w:bookmarkStart w:id="835" w:name="_Toc373227768"/>
      <w:bookmarkStart w:id="836" w:name="_Toc389065333"/>
      <w:bookmarkStart w:id="837" w:name="_Toc465114928"/>
      <w:r>
        <w:rPr>
          <w:rFonts w:ascii="宋体" w:hAnsi="宋体"/>
          <w:b/>
          <w:bCs/>
          <w:color w:val="000000" w:themeColor="text1"/>
          <w:kern w:val="0"/>
          <w:sz w:val="24"/>
          <w:szCs w:val="32"/>
          <w:highlight w:val="none"/>
          <w14:textFill>
            <w14:solidFill>
              <w14:schemeClr w14:val="tx1"/>
            </w14:solidFill>
          </w14:textFill>
        </w:rPr>
        <w:t>16.2 承包人违约</w:t>
      </w:r>
      <w:bookmarkEnd w:id="834"/>
      <w:bookmarkEnd w:id="835"/>
      <w:bookmarkEnd w:id="836"/>
      <w:bookmarkEnd w:id="837"/>
    </w:p>
    <w:p w14:paraId="7E7EDB01">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16.2.1 </w:t>
      </w:r>
      <w:r>
        <w:rPr>
          <w:rFonts w:hAnsi="宋体"/>
          <w:color w:val="000000" w:themeColor="text1"/>
          <w:kern w:val="0"/>
          <w:szCs w:val="21"/>
          <w:highlight w:val="none"/>
          <w14:textFill>
            <w14:solidFill>
              <w14:schemeClr w14:val="tx1"/>
            </w14:solidFill>
          </w14:textFill>
        </w:rPr>
        <w:t>承包人违约的情形</w:t>
      </w:r>
    </w:p>
    <w:p w14:paraId="3EF4B18D">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承包人违约的其他情形：</w:t>
      </w:r>
      <w:r>
        <w:rPr>
          <w:rFonts w:hint="eastAsia"/>
          <w:color w:val="000000" w:themeColor="text1"/>
          <w:kern w:val="0"/>
          <w:szCs w:val="21"/>
          <w:highlight w:val="none"/>
          <w:u w:val="single"/>
          <w14:textFill>
            <w14:solidFill>
              <w14:schemeClr w14:val="tx1"/>
            </w14:solidFill>
          </w14:textFill>
        </w:rPr>
        <w:t>承包人未在约定的时间内提供完整的工程竣工结算资料，经发包人书面催促后28天内仍未提交。</w:t>
      </w:r>
    </w:p>
    <w:p w14:paraId="023B02CF">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16.2.2</w:t>
      </w:r>
      <w:r>
        <w:rPr>
          <w:rFonts w:hAnsi="宋体"/>
          <w:color w:val="000000" w:themeColor="text1"/>
          <w:kern w:val="0"/>
          <w:szCs w:val="21"/>
          <w:highlight w:val="none"/>
          <w14:textFill>
            <w14:solidFill>
              <w14:schemeClr w14:val="tx1"/>
            </w14:solidFill>
          </w14:textFill>
        </w:rPr>
        <w:t>承包人违约的责任</w:t>
      </w:r>
    </w:p>
    <w:p w14:paraId="3612580D">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承包人违约责任的承担方式和计算方法：</w:t>
      </w:r>
    </w:p>
    <w:p w14:paraId="12970CC0">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）承包人未按本合同通用条款第</w:t>
      </w: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）条内容完成的，承包人无条件返工处理，修复至工程质量要求并承担相关费用，并在发包人规定的时间内完成返工，否则发包人有权扣罚该分项工程</w:t>
      </w:r>
      <w:r>
        <w:rPr>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的工程款作为处罚。</w:t>
      </w:r>
    </w:p>
    <w:p w14:paraId="1221546C">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）承包人有本合同通用条款第</w:t>
      </w: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）条情形的，或经监理人检验认为修复质量不合格而承包人拒绝再进行修补的，发包人将扣除承包人全部质量保修金。</w:t>
      </w:r>
    </w:p>
    <w:p w14:paraId="5BA6A7CD">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）承包人有本专用合同条款</w:t>
      </w:r>
      <w:r>
        <w:rPr>
          <w:color w:val="000000" w:themeColor="text1"/>
          <w:kern w:val="0"/>
          <w:szCs w:val="21"/>
          <w:highlight w:val="none"/>
          <w14:textFill>
            <w14:solidFill>
              <w14:schemeClr w14:val="tx1"/>
            </w14:solidFill>
          </w14:textFill>
        </w:rPr>
        <w:t>3.2</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3.3</w:t>
      </w:r>
      <w:r>
        <w:rPr>
          <w:rFonts w:hAnsi="宋体"/>
          <w:color w:val="000000" w:themeColor="text1"/>
          <w:kern w:val="0"/>
          <w:szCs w:val="21"/>
          <w:highlight w:val="none"/>
          <w14:textFill>
            <w14:solidFill>
              <w14:schemeClr w14:val="tx1"/>
            </w14:solidFill>
          </w14:textFill>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2B16A39">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16.2.3 </w:t>
      </w:r>
      <w:r>
        <w:rPr>
          <w:rFonts w:hAnsi="宋体"/>
          <w:color w:val="000000" w:themeColor="text1"/>
          <w:szCs w:val="21"/>
          <w:highlight w:val="none"/>
          <w14:textFill>
            <w14:solidFill>
              <w14:schemeClr w14:val="tx1"/>
            </w14:solidFill>
          </w14:textFill>
        </w:rPr>
        <w:t>因承包人违约解除合同</w:t>
      </w:r>
    </w:p>
    <w:p w14:paraId="398FB611">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关于承包人违约解除合同的特别约定：</w:t>
      </w:r>
      <w:r>
        <w:rPr>
          <w:rFonts w:hAnsi="宋体"/>
          <w:color w:val="000000" w:themeColor="text1"/>
          <w:kern w:val="0"/>
          <w:szCs w:val="21"/>
          <w:highlight w:val="none"/>
          <w:u w:val="single"/>
          <w14:textFill>
            <w14:solidFill>
              <w14:schemeClr w14:val="tx1"/>
            </w14:solidFill>
          </w14:textFill>
        </w:rPr>
        <w:t>承包人有违反以下情况之一的，发包人有权解除合同</w:t>
      </w:r>
      <w:r>
        <w:rPr>
          <w:rFonts w:hAnsi="宋体"/>
          <w:color w:val="000000" w:themeColor="text1"/>
          <w:kern w:val="0"/>
          <w:szCs w:val="21"/>
          <w:highlight w:val="none"/>
          <w14:textFill>
            <w14:solidFill>
              <w14:schemeClr w14:val="tx1"/>
            </w14:solidFill>
          </w14:textFill>
        </w:rPr>
        <w:t>。</w:t>
      </w:r>
    </w:p>
    <w:p w14:paraId="69197C89">
      <w:pPr>
        <w:spacing w:line="360" w:lineRule="auto"/>
        <w:ind w:firstLine="420" w:firstLineChars="200"/>
        <w:jc w:val="left"/>
        <w:rPr>
          <w:rFonts w:hint="eastAsia" w:hAnsi="宋体"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承包人无正当理由不按开工通知的要求及时进场组织施工和不按签订协议书时商</w:t>
      </w:r>
      <w:r>
        <w:rPr>
          <w:rFonts w:hint="eastAsia" w:hAnsi="宋体"/>
          <w:color w:val="000000" w:themeColor="text1"/>
          <w:kern w:val="0"/>
          <w:szCs w:val="21"/>
          <w:highlight w:val="none"/>
          <w14:textFill>
            <w14:solidFill>
              <w14:schemeClr w14:val="tx1"/>
            </w14:solidFill>
          </w14:textFill>
        </w:rPr>
        <w:t>定</w:t>
      </w:r>
      <w:r>
        <w:rPr>
          <w:rFonts w:hAnsi="宋体"/>
          <w:color w:val="000000" w:themeColor="text1"/>
          <w:kern w:val="0"/>
          <w:szCs w:val="21"/>
          <w:highlight w:val="none"/>
          <w14:textFill>
            <w14:solidFill>
              <w14:schemeClr w14:val="tx1"/>
            </w14:solidFill>
          </w14:textFill>
        </w:rPr>
        <w:t>的进度计划有效地开展施工准备，造成工期延误的</w:t>
      </w:r>
      <w:r>
        <w:rPr>
          <w:rFonts w:hint="eastAsia" w:hAnsi="宋体"/>
          <w:color w:val="000000" w:themeColor="text1"/>
          <w:kern w:val="0"/>
          <w:szCs w:val="21"/>
          <w:highlight w:val="none"/>
          <w:lang w:eastAsia="zh-CN"/>
          <w14:textFill>
            <w14:solidFill>
              <w14:schemeClr w14:val="tx1"/>
            </w14:solidFill>
          </w14:textFill>
        </w:rPr>
        <w:t>；</w:t>
      </w:r>
    </w:p>
    <w:p w14:paraId="38F04102">
      <w:pPr>
        <w:spacing w:line="360" w:lineRule="auto"/>
        <w:ind w:firstLine="420" w:firstLineChars="200"/>
        <w:jc w:val="left"/>
        <w:rPr>
          <w:rFonts w:hint="eastAsia" w:hAnsi="宋体"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承包人违反本合同通用条款第</w:t>
      </w:r>
      <w:r>
        <w:rPr>
          <w:color w:val="000000" w:themeColor="text1"/>
          <w:kern w:val="0"/>
          <w:szCs w:val="21"/>
          <w:highlight w:val="none"/>
          <w14:textFill>
            <w14:solidFill>
              <w14:schemeClr w14:val="tx1"/>
            </w14:solidFill>
          </w14:textFill>
        </w:rPr>
        <w:t>3.5</w:t>
      </w:r>
      <w:r>
        <w:rPr>
          <w:rFonts w:hAnsi="宋体"/>
          <w:color w:val="000000" w:themeColor="text1"/>
          <w:kern w:val="0"/>
          <w:szCs w:val="21"/>
          <w:highlight w:val="none"/>
          <w14:textFill>
            <w14:solidFill>
              <w14:schemeClr w14:val="tx1"/>
            </w14:solidFill>
          </w14:textFill>
        </w:rPr>
        <w:t>条规定私自将合同或合同的任何部分或任何权利转让给其他人，或私自将工程或工程的一部分分包出去的</w:t>
      </w:r>
      <w:r>
        <w:rPr>
          <w:rFonts w:hint="eastAsia" w:hAnsi="宋体"/>
          <w:color w:val="000000" w:themeColor="text1"/>
          <w:kern w:val="0"/>
          <w:szCs w:val="21"/>
          <w:highlight w:val="none"/>
          <w:lang w:eastAsia="zh-CN"/>
          <w14:textFill>
            <w14:solidFill>
              <w14:schemeClr w14:val="tx1"/>
            </w14:solidFill>
          </w14:textFill>
        </w:rPr>
        <w:t>；</w:t>
      </w:r>
    </w:p>
    <w:p w14:paraId="13EE9B81">
      <w:pPr>
        <w:spacing w:line="360" w:lineRule="auto"/>
        <w:ind w:firstLine="420" w:firstLineChars="200"/>
        <w:jc w:val="left"/>
        <w:rPr>
          <w:rFonts w:hint="eastAsia" w:hAnsi="宋体"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未经监理人批准，承包人私自将已按</w:t>
      </w:r>
      <w:r>
        <w:rPr>
          <w:rFonts w:hint="eastAsia" w:hAnsi="宋体"/>
          <w:color w:val="000000" w:themeColor="text1"/>
          <w:kern w:val="0"/>
          <w:szCs w:val="21"/>
          <w:highlight w:val="none"/>
          <w14:textFill>
            <w14:solidFill>
              <w14:schemeClr w14:val="tx1"/>
            </w14:solidFill>
          </w14:textFill>
        </w:rPr>
        <w:t>竞标</w:t>
      </w:r>
      <w:r>
        <w:rPr>
          <w:rFonts w:hAnsi="宋体"/>
          <w:color w:val="000000" w:themeColor="text1"/>
          <w:kern w:val="0"/>
          <w:szCs w:val="21"/>
          <w:highlight w:val="none"/>
          <w14:textFill>
            <w14:solidFill>
              <w14:schemeClr w14:val="tx1"/>
            </w14:solidFill>
          </w14:textFill>
        </w:rPr>
        <w:t>文件承诺进入工地的工程设备、施工设备、临时工程或材料撤离工地的</w:t>
      </w:r>
      <w:r>
        <w:rPr>
          <w:rFonts w:hint="eastAsia" w:hAnsi="宋体"/>
          <w:color w:val="000000" w:themeColor="text1"/>
          <w:kern w:val="0"/>
          <w:szCs w:val="21"/>
          <w:highlight w:val="none"/>
          <w:lang w:eastAsia="zh-CN"/>
          <w14:textFill>
            <w14:solidFill>
              <w14:schemeClr w14:val="tx1"/>
            </w14:solidFill>
          </w14:textFill>
        </w:rPr>
        <w:t>；</w:t>
      </w:r>
    </w:p>
    <w:p w14:paraId="1AA8A600">
      <w:pPr>
        <w:spacing w:line="360" w:lineRule="auto"/>
        <w:ind w:firstLine="420" w:firstLineChars="200"/>
        <w:jc w:val="left"/>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(4)</w:t>
      </w:r>
      <w:r>
        <w:rPr>
          <w:rFonts w:hAnsi="宋体"/>
          <w:color w:val="000000" w:themeColor="text1"/>
          <w:kern w:val="0"/>
          <w:szCs w:val="21"/>
          <w:highlight w:val="none"/>
          <w14:textFill>
            <w14:solidFill>
              <w14:schemeClr w14:val="tx1"/>
            </w14:solidFill>
          </w14:textFill>
        </w:rPr>
        <w:t>由于承包人原因拒绝按合同进度计划及时完成合同规定的工程，而又未采取有效措施赶上进度，造成工期</w:t>
      </w:r>
      <w:r>
        <w:rPr>
          <w:rFonts w:hint="eastAsia" w:hAnsi="宋体"/>
          <w:color w:val="000000" w:themeColor="text1"/>
          <w:kern w:val="0"/>
          <w:szCs w:val="21"/>
          <w:highlight w:val="none"/>
          <w14:textFill>
            <w14:solidFill>
              <w14:schemeClr w14:val="tx1"/>
            </w14:solidFill>
          </w14:textFill>
        </w:rPr>
        <w:t>严重</w:t>
      </w:r>
      <w:r>
        <w:rPr>
          <w:rFonts w:hAnsi="宋体"/>
          <w:color w:val="000000" w:themeColor="text1"/>
          <w:kern w:val="0"/>
          <w:szCs w:val="21"/>
          <w:highlight w:val="none"/>
          <w14:textFill>
            <w14:solidFill>
              <w14:schemeClr w14:val="tx1"/>
            </w14:solidFill>
          </w14:textFill>
        </w:rPr>
        <w:t>延误的</w:t>
      </w:r>
      <w:r>
        <w:rPr>
          <w:rFonts w:hint="eastAsia" w:hAnsi="宋体"/>
          <w:color w:val="000000" w:themeColor="text1"/>
          <w:kern w:val="0"/>
          <w:szCs w:val="21"/>
          <w:highlight w:val="none"/>
          <w:lang w:eastAsia="zh-CN"/>
          <w14:textFill>
            <w14:solidFill>
              <w14:schemeClr w14:val="tx1"/>
            </w14:solidFill>
          </w14:textFill>
        </w:rPr>
        <w:t>；</w:t>
      </w:r>
    </w:p>
    <w:p w14:paraId="51623B16">
      <w:pPr>
        <w:spacing w:line="360" w:lineRule="auto"/>
        <w:ind w:firstLine="420" w:firstLineChars="200"/>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(5)</w:t>
      </w:r>
      <w:r>
        <w:rPr>
          <w:rFonts w:hAnsi="宋体"/>
          <w:color w:val="000000" w:themeColor="text1"/>
          <w:kern w:val="0"/>
          <w:szCs w:val="21"/>
          <w:highlight w:val="none"/>
          <w14:textFill>
            <w14:solidFill>
              <w14:schemeClr w14:val="tx1"/>
            </w14:solidFill>
          </w14:textFill>
        </w:rPr>
        <w:t>承包人否认合同有效或拒绝履行合同规定的承包人义务，或由于法律、财务等原因导致承包人无法继续履行或实质上已停止履行合同的义务的</w:t>
      </w:r>
      <w:r>
        <w:rPr>
          <w:rFonts w:hint="eastAsia" w:hAnsi="宋体"/>
          <w:color w:val="000000" w:themeColor="text1"/>
          <w:kern w:val="0"/>
          <w:szCs w:val="21"/>
          <w:highlight w:val="none"/>
          <w:lang w:eastAsia="zh-CN"/>
          <w14:textFill>
            <w14:solidFill>
              <w14:schemeClr w14:val="tx1"/>
            </w14:solidFill>
          </w14:textFill>
        </w:rPr>
        <w:t>；</w:t>
      </w:r>
    </w:p>
    <w:p w14:paraId="152C6552">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合同签订之日起十五日内，承包人无法按合同规定及</w:t>
      </w:r>
      <w:r>
        <w:rPr>
          <w:rFonts w:hint="eastAsia" w:hAnsi="宋体"/>
          <w:color w:val="000000" w:themeColor="text1"/>
          <w:kern w:val="0"/>
          <w:szCs w:val="21"/>
          <w:highlight w:val="none"/>
          <w14:textFill>
            <w14:solidFill>
              <w14:schemeClr w14:val="tx1"/>
            </w14:solidFill>
          </w14:textFill>
        </w:rPr>
        <w:t>竞标</w:t>
      </w:r>
      <w:r>
        <w:rPr>
          <w:rFonts w:hAnsi="宋体"/>
          <w:color w:val="000000" w:themeColor="text1"/>
          <w:kern w:val="0"/>
          <w:szCs w:val="21"/>
          <w:highlight w:val="none"/>
          <w14:textFill>
            <w14:solidFill>
              <w14:schemeClr w14:val="tx1"/>
            </w14:solidFill>
          </w14:textFill>
        </w:rPr>
        <w:t>文件的承诺进场经监理工程师认可的全部人员和机械的。</w:t>
      </w:r>
    </w:p>
    <w:p w14:paraId="6B36DDC8">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kern w:val="0"/>
          <w:szCs w:val="21"/>
          <w:highlight w:val="none"/>
          <w14:textFill>
            <w14:solidFill>
              <w14:schemeClr w14:val="tx1"/>
            </w14:solidFill>
          </w14:textFill>
        </w:rPr>
        <w:t>发包人应支付相应的费用</w:t>
      </w:r>
      <w:r>
        <w:rPr>
          <w:rFonts w:hAnsi="宋体"/>
          <w:color w:val="000000" w:themeColor="text1"/>
          <w:kern w:val="0"/>
          <w:szCs w:val="21"/>
          <w:highlight w:val="none"/>
          <w14:textFill>
            <w14:solidFill>
              <w14:schemeClr w14:val="tx1"/>
            </w14:solidFill>
          </w14:textFill>
        </w:rPr>
        <w:t>。</w:t>
      </w:r>
    </w:p>
    <w:p w14:paraId="7F442207">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17. 不可抗力</w:t>
      </w:r>
      <w:bookmarkEnd w:id="827"/>
      <w:bookmarkEnd w:id="833"/>
    </w:p>
    <w:p w14:paraId="4FA16A75">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17.1 不可抗力的确认</w:t>
      </w:r>
    </w:p>
    <w:p w14:paraId="7D7608F0">
      <w:pPr>
        <w:spacing w:line="440" w:lineRule="exact"/>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除通用合同条款约定的不可抗力事件之外，视为不可抗力的其他情形： </w:t>
      </w:r>
      <w:r>
        <w:rPr>
          <w:rFonts w:ascii="宋体" w:hAnsi="宋体"/>
          <w:color w:val="000000" w:themeColor="text1"/>
          <w:kern w:val="0"/>
          <w:szCs w:val="21"/>
          <w:highlight w:val="none"/>
          <w14:textFill>
            <w14:solidFill>
              <w14:schemeClr w14:val="tx1"/>
            </w14:solidFill>
          </w14:textFill>
        </w:rPr>
        <w:t>。</w:t>
      </w:r>
    </w:p>
    <w:p w14:paraId="5042F1C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因不可抗力解除合同</w:t>
      </w:r>
    </w:p>
    <w:p w14:paraId="492D603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合同解除后，发包人应在商定或确定发包人应支付款项后天内完成款项的支付。</w:t>
      </w:r>
    </w:p>
    <w:p w14:paraId="4C9E8622">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838" w:name="_Toc351203650"/>
      <w:r>
        <w:rPr>
          <w:rFonts w:ascii="宋体" w:hAnsi="宋体" w:eastAsia="黑体"/>
          <w:b/>
          <w:color w:val="000000" w:themeColor="text1"/>
          <w:kern w:val="0"/>
          <w:sz w:val="28"/>
          <w:szCs w:val="21"/>
          <w:highlight w:val="none"/>
          <w14:textFill>
            <w14:solidFill>
              <w14:schemeClr w14:val="tx1"/>
            </w14:solidFill>
          </w14:textFill>
        </w:rPr>
        <w:t>18. 保险</w:t>
      </w:r>
      <w:bookmarkEnd w:id="838"/>
    </w:p>
    <w:bookmarkEnd w:id="828"/>
    <w:p w14:paraId="15468E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18.1 工程保险</w:t>
      </w:r>
    </w:p>
    <w:p w14:paraId="29CBCC12">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关于其他保险的约定：</w:t>
      </w:r>
      <w:r>
        <w:rPr>
          <w:rFonts w:ascii="宋体" w:hAnsi="宋体"/>
          <w:b/>
          <w:bCs/>
          <w:color w:val="000000" w:themeColor="text1"/>
          <w:szCs w:val="21"/>
          <w:highlight w:val="none"/>
          <w:u w:val="single"/>
          <w14:textFill>
            <w14:solidFill>
              <w14:schemeClr w14:val="tx1"/>
            </w14:solidFill>
          </w14:textFill>
        </w:rPr>
        <w:t>承包人必须为施工现场从事施工的所有作业人员和管理人员办理意外伤害保险，</w:t>
      </w:r>
      <w:r>
        <w:rPr>
          <w:rFonts w:hint="eastAsia" w:ascii="宋体" w:hAnsi="宋体"/>
          <w:b/>
          <w:bCs/>
          <w:color w:val="000000" w:themeColor="text1"/>
          <w:szCs w:val="21"/>
          <w:highlight w:val="none"/>
          <w:u w:val="single"/>
          <w14:textFill>
            <w14:solidFill>
              <w14:schemeClr w14:val="tx1"/>
            </w14:solidFill>
          </w14:textFill>
        </w:rPr>
        <w:t>并</w:t>
      </w:r>
      <w:r>
        <w:rPr>
          <w:rFonts w:ascii="宋体" w:hAnsi="宋体"/>
          <w:b/>
          <w:bCs/>
          <w:color w:val="000000" w:themeColor="text1"/>
          <w:szCs w:val="21"/>
          <w:highlight w:val="none"/>
          <w:u w:val="single"/>
          <w14:textFill>
            <w14:solidFill>
              <w14:schemeClr w14:val="tx1"/>
            </w14:solidFill>
          </w14:textFill>
        </w:rPr>
        <w:t>支付保险费。</w:t>
      </w:r>
    </w:p>
    <w:p w14:paraId="4F98661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其他保险</w:t>
      </w:r>
    </w:p>
    <w:p w14:paraId="72B31FA1">
      <w:pPr>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关于其他保险的约定：</w:t>
      </w:r>
      <w:r>
        <w:rPr>
          <w:rFonts w:ascii="宋体" w:hAnsi="宋体"/>
          <w:color w:val="000000" w:themeColor="text1"/>
          <w:kern w:val="0"/>
          <w:szCs w:val="21"/>
          <w:highlight w:val="none"/>
          <w14:textFill>
            <w14:solidFill>
              <w14:schemeClr w14:val="tx1"/>
            </w14:solidFill>
          </w14:textFill>
        </w:rPr>
        <w:t>。</w:t>
      </w:r>
    </w:p>
    <w:p w14:paraId="67871434">
      <w:pPr>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承包人是否应为其施工设备等办理财产保险：。</w:t>
      </w:r>
    </w:p>
    <w:p w14:paraId="180D8B31">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通知义务</w:t>
      </w:r>
    </w:p>
    <w:p w14:paraId="6B97A0F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关于变更保险合同时的通知义务的约定：</w:t>
      </w:r>
      <w:r>
        <w:rPr>
          <w:rFonts w:ascii="宋体" w:hAnsi="宋体"/>
          <w:color w:val="000000" w:themeColor="text1"/>
          <w:szCs w:val="21"/>
          <w:highlight w:val="none"/>
          <w14:textFill>
            <w14:solidFill>
              <w14:schemeClr w14:val="tx1"/>
            </w14:solidFill>
          </w14:textFill>
        </w:rPr>
        <w:t>。</w:t>
      </w:r>
    </w:p>
    <w:bookmarkEnd w:id="804"/>
    <w:bookmarkEnd w:id="805"/>
    <w:bookmarkEnd w:id="806"/>
    <w:bookmarkEnd w:id="807"/>
    <w:bookmarkEnd w:id="808"/>
    <w:bookmarkEnd w:id="809"/>
    <w:bookmarkEnd w:id="810"/>
    <w:bookmarkEnd w:id="811"/>
    <w:bookmarkEnd w:id="812"/>
    <w:bookmarkEnd w:id="813"/>
    <w:bookmarkEnd w:id="814"/>
    <w:bookmarkEnd w:id="815"/>
    <w:p w14:paraId="227529A4">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839" w:name="_Toc351203651"/>
      <w:r>
        <w:rPr>
          <w:rFonts w:hint="eastAsia" w:ascii="宋体" w:hAnsi="宋体" w:eastAsia="黑体"/>
          <w:b/>
          <w:color w:val="000000" w:themeColor="text1"/>
          <w:kern w:val="0"/>
          <w:sz w:val="28"/>
          <w:szCs w:val="21"/>
          <w:highlight w:val="none"/>
          <w14:textFill>
            <w14:solidFill>
              <w14:schemeClr w14:val="tx1"/>
            </w14:solidFill>
          </w14:textFill>
        </w:rPr>
        <w:t>19</w:t>
      </w:r>
      <w:r>
        <w:rPr>
          <w:rFonts w:ascii="宋体" w:hAnsi="宋体" w:eastAsia="黑体"/>
          <w:b/>
          <w:color w:val="000000" w:themeColor="text1"/>
          <w:kern w:val="0"/>
          <w:sz w:val="28"/>
          <w:szCs w:val="21"/>
          <w:highlight w:val="none"/>
          <w14:textFill>
            <w14:solidFill>
              <w14:schemeClr w14:val="tx1"/>
            </w14:solidFill>
          </w14:textFill>
        </w:rPr>
        <w:t>. 争议解决</w:t>
      </w:r>
      <w:bookmarkEnd w:id="839"/>
    </w:p>
    <w:bookmarkEnd w:id="816"/>
    <w:bookmarkEnd w:id="817"/>
    <w:p w14:paraId="0F88354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w:t>
      </w:r>
      <w:r>
        <w:rPr>
          <w:rFonts w:ascii="宋体" w:hAnsi="宋体"/>
          <w:color w:val="000000" w:themeColor="text1"/>
          <w:szCs w:val="21"/>
          <w:highlight w:val="none"/>
          <w14:textFill>
            <w14:solidFill>
              <w14:schemeClr w14:val="tx1"/>
            </w14:solidFill>
          </w14:textFill>
        </w:rPr>
        <w:t xml:space="preserve"> 争</w:t>
      </w:r>
      <w:bookmarkEnd w:id="818"/>
      <w:r>
        <w:rPr>
          <w:rFonts w:ascii="宋体" w:hAnsi="宋体"/>
          <w:color w:val="000000" w:themeColor="text1"/>
          <w:szCs w:val="21"/>
          <w:highlight w:val="none"/>
          <w14:textFill>
            <w14:solidFill>
              <w14:schemeClr w14:val="tx1"/>
            </w14:solidFill>
          </w14:textFill>
        </w:rPr>
        <w:t>议评审</w:t>
      </w:r>
    </w:p>
    <w:p w14:paraId="42C3EEC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合同当事人是否同意将工程争议提交争议评审小组决</w:t>
      </w:r>
      <w:r>
        <w:rPr>
          <w:rFonts w:hint="eastAsia" w:ascii="宋体" w:hAnsi="宋体"/>
          <w:color w:val="000000" w:themeColor="text1"/>
          <w:szCs w:val="21"/>
          <w:highlight w:val="none"/>
          <w14:textFill>
            <w14:solidFill>
              <w14:schemeClr w14:val="tx1"/>
            </w14:solidFill>
          </w14:textFill>
        </w:rPr>
        <w:t xml:space="preserve">定：。  </w:t>
      </w:r>
    </w:p>
    <w:p w14:paraId="3C3810D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19.1.1</w:t>
      </w:r>
      <w:r>
        <w:rPr>
          <w:rFonts w:ascii="宋体" w:hAnsi="宋体"/>
          <w:color w:val="000000" w:themeColor="text1"/>
          <w:szCs w:val="21"/>
          <w:highlight w:val="none"/>
          <w14:textFill>
            <w14:solidFill>
              <w14:schemeClr w14:val="tx1"/>
            </w14:solidFill>
          </w14:textFill>
        </w:rPr>
        <w:t xml:space="preserve"> 争议评审小组的确定</w:t>
      </w:r>
    </w:p>
    <w:p w14:paraId="18B53402">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争议评审小组成员的确定：。</w:t>
      </w:r>
    </w:p>
    <w:p w14:paraId="5F5BD76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选定争议评审员的期限：。</w:t>
      </w:r>
    </w:p>
    <w:p w14:paraId="6B8A403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争议评审小组成员的报酬承担方式：。</w:t>
      </w:r>
    </w:p>
    <w:p w14:paraId="340189D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其他事项的约定：。</w:t>
      </w:r>
    </w:p>
    <w:p w14:paraId="62EEC45F">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19.1.2</w:t>
      </w:r>
      <w:r>
        <w:rPr>
          <w:rFonts w:ascii="宋体" w:hAnsi="宋体"/>
          <w:color w:val="000000" w:themeColor="text1"/>
          <w:kern w:val="0"/>
          <w:szCs w:val="21"/>
          <w:highlight w:val="none"/>
          <w14:textFill>
            <w14:solidFill>
              <w14:schemeClr w14:val="tx1"/>
            </w14:solidFill>
          </w14:textFill>
        </w:rPr>
        <w:t xml:space="preserve"> 争议评审小组的决定</w:t>
      </w:r>
    </w:p>
    <w:p w14:paraId="6DA9D1F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合同当事人关于本项的约定：。</w:t>
      </w:r>
    </w:p>
    <w:p w14:paraId="73A03A0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仲裁或诉讼</w:t>
      </w:r>
      <w:bookmarkEnd w:id="819"/>
    </w:p>
    <w:p w14:paraId="6463319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因合同及合同有关事项发生的争议，按下列第</w:t>
      </w:r>
      <w:r>
        <w:rPr>
          <w:rFonts w:hint="eastAsia" w:ascii="宋体" w:hAnsi="宋体"/>
          <w:color w:val="000000" w:themeColor="text1"/>
          <w:szCs w:val="21"/>
          <w:highlight w:val="none"/>
          <w:u w:val="singl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种方式</w:t>
      </w:r>
      <w:r>
        <w:rPr>
          <w:rFonts w:hint="eastAsia" w:ascii="宋体" w:hAnsi="宋体"/>
          <w:color w:val="000000" w:themeColor="text1"/>
          <w:szCs w:val="21"/>
          <w:highlight w:val="none"/>
          <w14:textFill>
            <w14:solidFill>
              <w14:schemeClr w14:val="tx1"/>
            </w14:solidFill>
          </w14:textFill>
        </w:rPr>
        <w:t>解</w:t>
      </w:r>
      <w:r>
        <w:rPr>
          <w:rFonts w:ascii="宋体" w:hAnsi="宋体"/>
          <w:color w:val="000000" w:themeColor="text1"/>
          <w:szCs w:val="21"/>
          <w:highlight w:val="none"/>
          <w14:textFill>
            <w14:solidFill>
              <w14:schemeClr w14:val="tx1"/>
            </w14:solidFill>
          </w14:textFill>
        </w:rPr>
        <w:t>决：</w:t>
      </w:r>
    </w:p>
    <w:p w14:paraId="2B21638F">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广西钦州市</w:t>
      </w:r>
      <w:r>
        <w:rPr>
          <w:rFonts w:ascii="宋体" w:hAnsi="宋体"/>
          <w:color w:val="000000" w:themeColor="text1"/>
          <w:szCs w:val="21"/>
          <w:highlight w:val="none"/>
          <w14:textFill>
            <w14:solidFill>
              <w14:schemeClr w14:val="tx1"/>
            </w14:solidFill>
          </w14:textFill>
        </w:rPr>
        <w:t>仲裁委员会申请仲裁</w:t>
      </w:r>
      <w:r>
        <w:rPr>
          <w:rFonts w:hint="eastAsia" w:ascii="宋体" w:hAnsi="宋体"/>
          <w:color w:val="000000" w:themeColor="text1"/>
          <w:szCs w:val="21"/>
          <w:highlight w:val="none"/>
          <w:lang w:eastAsia="zh-CN"/>
          <w14:textFill>
            <w14:solidFill>
              <w14:schemeClr w14:val="tx1"/>
            </w14:solidFill>
          </w14:textFill>
        </w:rPr>
        <w:t>；</w:t>
      </w:r>
    </w:p>
    <w:p w14:paraId="44125E9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bookmarkEnd w:id="820"/>
      <w:bookmarkEnd w:id="821"/>
      <w:bookmarkEnd w:id="822"/>
      <w:bookmarkEnd w:id="823"/>
      <w:bookmarkEnd w:id="824"/>
      <w:bookmarkEnd w:id="825"/>
      <w:r>
        <w:rPr>
          <w:rFonts w:ascii="宋体" w:hAnsi="宋体"/>
          <w:color w:val="000000" w:themeColor="text1"/>
          <w:szCs w:val="21"/>
          <w:highlight w:val="none"/>
          <w14:textFill>
            <w14:solidFill>
              <w14:schemeClr w14:val="tx1"/>
            </w14:solidFill>
          </w14:textFill>
        </w:rPr>
        <w:t>向</w:t>
      </w:r>
      <w:r>
        <w:rPr>
          <w:rFonts w:hint="eastAsia" w:ascii="宋体" w:hAnsi="宋体"/>
          <w:color w:val="000000" w:themeColor="text1"/>
          <w:szCs w:val="21"/>
          <w:highlight w:val="none"/>
          <w14:textFill>
            <w14:solidFill>
              <w14:schemeClr w14:val="tx1"/>
            </w14:solidFill>
          </w14:textFill>
        </w:rPr>
        <w:t>工程所在地钦州市钦北区</w:t>
      </w:r>
      <w:r>
        <w:rPr>
          <w:rFonts w:ascii="宋体" w:hAnsi="宋体"/>
          <w:color w:val="000000" w:themeColor="text1"/>
          <w:szCs w:val="21"/>
          <w:highlight w:val="none"/>
          <w14:textFill>
            <w14:solidFill>
              <w14:schemeClr w14:val="tx1"/>
            </w14:solidFill>
          </w14:textFill>
        </w:rPr>
        <w:t>人民法院起诉。</w:t>
      </w:r>
    </w:p>
    <w:p w14:paraId="2222934C">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hint="eastAsia" w:ascii="宋体" w:hAnsi="宋体" w:eastAsia="黑体"/>
          <w:b/>
          <w:color w:val="000000" w:themeColor="text1"/>
          <w:kern w:val="0"/>
          <w:sz w:val="28"/>
          <w:szCs w:val="21"/>
          <w:highlight w:val="none"/>
          <w14:textFill>
            <w14:solidFill>
              <w14:schemeClr w14:val="tx1"/>
            </w14:solidFill>
          </w14:textFill>
        </w:rPr>
        <w:t>20</w:t>
      </w:r>
      <w:r>
        <w:rPr>
          <w:rFonts w:ascii="宋体" w:hAnsi="宋体" w:eastAsia="黑体"/>
          <w:b/>
          <w:color w:val="000000" w:themeColor="text1"/>
          <w:kern w:val="0"/>
          <w:sz w:val="28"/>
          <w:szCs w:val="21"/>
          <w:highlight w:val="none"/>
          <w14:textFill>
            <w14:solidFill>
              <w14:schemeClr w14:val="tx1"/>
            </w14:solidFill>
          </w14:textFill>
        </w:rPr>
        <w:t>.</w:t>
      </w:r>
      <w:r>
        <w:rPr>
          <w:rFonts w:hint="eastAsia" w:ascii="宋体" w:hAnsi="宋体" w:eastAsia="黑体"/>
          <w:b/>
          <w:color w:val="000000" w:themeColor="text1"/>
          <w:kern w:val="0"/>
          <w:sz w:val="28"/>
          <w:szCs w:val="21"/>
          <w:highlight w:val="none"/>
          <w14:textFill>
            <w14:solidFill>
              <w14:schemeClr w14:val="tx1"/>
            </w14:solidFill>
          </w14:textFill>
        </w:rPr>
        <w:t>补充条款</w:t>
      </w:r>
    </w:p>
    <w:p w14:paraId="640C4C8F">
      <w:pPr>
        <w:keepNext/>
        <w:keepLines/>
        <w:widowControl/>
        <w:spacing w:before="260" w:after="260" w:line="360" w:lineRule="auto"/>
        <w:jc w:val="center"/>
        <w:outlineLvl w:val="1"/>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20.1实行农民工工资保障制度，承包人应按《不拖欠农民工工资保障金承诺书》履行，承包人向发包人保证不拖欠农民工工资。并按有关规定交纳农民工工资保证金，否则发包人有权解除合同。</w:t>
      </w:r>
    </w:p>
    <w:p w14:paraId="71A8375C">
      <w:pPr>
        <w:keepNext/>
        <w:keepLines/>
        <w:widowControl/>
        <w:spacing w:before="260" w:after="260" w:line="360" w:lineRule="auto"/>
        <w:jc w:val="left"/>
        <w:outlineLvl w:val="1"/>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20.2承包人应根据钦州市建管规定【2017】49号文以及《钦州市建设领域农民工工资支付监管暂行办法》等相关规定，设立农民工工资支付专用账户，并遵照规定做好农民工工资支付管理及劳动用工管理工资，并接受监理工程师、发包人及相关职能部门的监督检查。发包人在支付工程进度款时，将工人工资从进度款中单独分开拨付到承包人开设的农民工工资专用账户，其中拨付的工程进度款中工人工资所占的比例为工程进度款应付金额的20%。承包人必须通过农民工工资支付账户，已发按时足额将农民工工资支付明细报发包人和当地劳动保障检查部门备案。</w:t>
      </w:r>
    </w:p>
    <w:p w14:paraId="7C321DB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20.3承包人应据实编制工程项目结算资料，承包人报送工程结算价超过发包人送钦州市公共投资审计中心或委托有资质的造价咨询机构最终审定的结果正负11%的，构成承包人违约，承包人应向发包人支付违约金。违约金按本工程结算审核委托造价咨询机构产生的审核费用（包括发包人直接委托或审计部门委托产生的费用）全部由承包人承担，并由发包人在支付承包人的工程款中代扣支付给造价咨询机构。</w:t>
      </w:r>
    </w:p>
    <w:p w14:paraId="5326E14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0</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凡进入本工程工作的妇女应持有计生证、否则不准安排工作，禁止使用童工。</w:t>
      </w:r>
    </w:p>
    <w:p w14:paraId="4C3D4D5D">
      <w:pPr>
        <w:widowControl/>
        <w:jc w:val="left"/>
        <w:rPr>
          <w:rFonts w:hAnsi="宋体" w:cs="宋体"/>
          <w:color w:val="000000" w:themeColor="text1"/>
          <w:sz w:val="30"/>
          <w:szCs w:val="30"/>
          <w:highlight w:val="none"/>
          <w14:textFill>
            <w14:solidFill>
              <w14:schemeClr w14:val="tx1"/>
            </w14:solidFill>
          </w14:textFill>
        </w:rPr>
      </w:pPr>
      <w:r>
        <w:rPr>
          <w:rFonts w:hAnsi="宋体" w:cs="宋体"/>
          <w:color w:val="000000" w:themeColor="text1"/>
          <w:sz w:val="30"/>
          <w:szCs w:val="30"/>
          <w:highlight w:val="none"/>
          <w14:textFill>
            <w14:solidFill>
              <w14:schemeClr w14:val="tx1"/>
            </w14:solidFill>
          </w14:textFill>
        </w:rPr>
        <w:br w:type="page"/>
      </w:r>
    </w:p>
    <w:p w14:paraId="0A51399C">
      <w:pPr>
        <w:spacing w:line="440" w:lineRule="exact"/>
        <w:rPr>
          <w:color w:val="000000" w:themeColor="text1"/>
          <w:sz w:val="30"/>
          <w:szCs w:val="30"/>
          <w:highlight w:val="none"/>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附件1：</w:t>
      </w:r>
    </w:p>
    <w:p w14:paraId="0ECD033D">
      <w:pPr>
        <w:spacing w:beforeLines="50" w:afterLines="50" w:line="440" w:lineRule="exact"/>
        <w:jc w:val="center"/>
        <w:rPr>
          <w:rFonts w:ascii="黑体" w:eastAsia="黑体"/>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工程质量保修书（房屋建筑工程）</w:t>
      </w:r>
    </w:p>
    <w:p w14:paraId="1D999848">
      <w:pPr>
        <w:spacing w:line="44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发包人（全称）：</w:t>
      </w:r>
    </w:p>
    <w:p w14:paraId="0DC772F1">
      <w:pPr>
        <w:spacing w:line="44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承包人（全称）：</w:t>
      </w:r>
    </w:p>
    <w:p w14:paraId="3A557029">
      <w:pPr>
        <w:spacing w:line="440" w:lineRule="exact"/>
        <w:rPr>
          <w:color w:val="000000" w:themeColor="text1"/>
          <w:highlight w:val="none"/>
          <w14:textFill>
            <w14:solidFill>
              <w14:schemeClr w14:val="tx1"/>
            </w14:solidFill>
          </w14:textFill>
        </w:rPr>
      </w:pPr>
    </w:p>
    <w:p w14:paraId="50AB1078">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发包人和承包人根据《中华人民共和国建筑法》和《建设工程质量管理条例》，经协商一致就（工程全称）签订工程质量保修书。</w:t>
      </w:r>
    </w:p>
    <w:p w14:paraId="120F28E3">
      <w:pPr>
        <w:spacing w:line="360" w:lineRule="auto"/>
        <w:ind w:firstLine="420" w:firstLineChars="200"/>
        <w:rPr>
          <w:rFonts w:ascii="黑体" w:hAnsi="宋体" w:eastAsia="黑体"/>
          <w:color w:val="000000" w:themeColor="text1"/>
          <w:highlight w:val="none"/>
          <w14:textFill>
            <w14:solidFill>
              <w14:schemeClr w14:val="tx1"/>
            </w14:solidFill>
          </w14:textFill>
        </w:rPr>
      </w:pPr>
      <w:r>
        <w:rPr>
          <w:rFonts w:hint="eastAsia" w:ascii="黑体" w:hAnsi="宋体" w:eastAsia="黑体" w:cs="黑体"/>
          <w:color w:val="000000" w:themeColor="text1"/>
          <w:highlight w:val="none"/>
          <w14:textFill>
            <w14:solidFill>
              <w14:schemeClr w14:val="tx1"/>
            </w14:solidFill>
          </w14:textFill>
        </w:rPr>
        <w:t>一、工程质量保修范围和内容</w:t>
      </w:r>
    </w:p>
    <w:p w14:paraId="0460F445">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承包人在质量保修期内，按照有关法律规定和合同约定，承担工程质量保修责任。</w:t>
      </w:r>
    </w:p>
    <w:p w14:paraId="57288F46">
      <w:pPr>
        <w:spacing w:line="360" w:lineRule="auto"/>
        <w:ind w:firstLine="42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5409A75">
      <w:pPr>
        <w:spacing w:line="360" w:lineRule="auto"/>
        <w:ind w:firstLine="420"/>
        <w:rPr>
          <w:rFonts w:ascii="黑体" w:hAnsi="宋体" w:eastAsia="黑体"/>
          <w:color w:val="000000" w:themeColor="text1"/>
          <w:highlight w:val="none"/>
          <w14:textFill>
            <w14:solidFill>
              <w14:schemeClr w14:val="tx1"/>
            </w14:solidFill>
          </w14:textFill>
        </w:rPr>
      </w:pPr>
      <w:r>
        <w:rPr>
          <w:rFonts w:hint="eastAsia" w:ascii="黑体" w:hAnsi="宋体" w:eastAsia="黑体" w:cs="黑体"/>
          <w:color w:val="000000" w:themeColor="text1"/>
          <w:highlight w:val="none"/>
          <w14:textFill>
            <w14:solidFill>
              <w14:schemeClr w14:val="tx1"/>
            </w14:solidFill>
          </w14:textFill>
        </w:rPr>
        <w:t>二、质量保修期</w:t>
      </w:r>
    </w:p>
    <w:p w14:paraId="00505135">
      <w:pPr>
        <w:spacing w:line="360" w:lineRule="auto"/>
        <w:ind w:firstLine="42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根据《建设工程质量管理条例》及有关规定，工程的质量保修期如下：</w:t>
      </w:r>
    </w:p>
    <w:p w14:paraId="6C0268E5">
      <w:pPr>
        <w:wordWrap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保修期限约定如下：</w:t>
      </w:r>
      <w:r>
        <w:rPr>
          <w:rFonts w:hint="eastAsia" w:ascii="宋体" w:hAnsi="宋体" w:cs="宋体"/>
          <w:color w:val="000000" w:themeColor="text1"/>
          <w:szCs w:val="21"/>
          <w:highlight w:val="none"/>
          <w:u w:val="single"/>
          <w14:textFill>
            <w14:solidFill>
              <w14:schemeClr w14:val="tx1"/>
            </w14:solidFill>
          </w14:textFill>
        </w:rPr>
        <w:t>2年。</w:t>
      </w:r>
    </w:p>
    <w:p w14:paraId="6EC2C59E">
      <w:pPr>
        <w:spacing w:line="360" w:lineRule="auto"/>
        <w:ind w:firstLine="42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质量保修期自工程竣工验收合格之日起计算。</w:t>
      </w:r>
    </w:p>
    <w:p w14:paraId="2F12C29E">
      <w:pPr>
        <w:spacing w:line="360" w:lineRule="auto"/>
        <w:ind w:firstLine="420"/>
        <w:rPr>
          <w:rFonts w:ascii="黑体" w:hAnsi="宋体" w:eastAsia="黑体"/>
          <w:color w:val="000000" w:themeColor="text1"/>
          <w:highlight w:val="none"/>
          <w14:textFill>
            <w14:solidFill>
              <w14:schemeClr w14:val="tx1"/>
            </w14:solidFill>
          </w14:textFill>
        </w:rPr>
      </w:pPr>
      <w:r>
        <w:rPr>
          <w:rFonts w:hint="eastAsia" w:ascii="黑体" w:hAnsi="宋体" w:eastAsia="黑体" w:cs="黑体"/>
          <w:color w:val="000000" w:themeColor="text1"/>
          <w:highlight w:val="none"/>
          <w14:textFill>
            <w14:solidFill>
              <w14:schemeClr w14:val="tx1"/>
            </w14:solidFill>
          </w14:textFill>
        </w:rPr>
        <w:t>三、缺陷责任期</w:t>
      </w:r>
    </w:p>
    <w:p w14:paraId="354271CB">
      <w:pPr>
        <w:spacing w:line="360" w:lineRule="auto"/>
        <w:ind w:firstLine="42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工程缺陷责任期为</w:t>
      </w:r>
      <w:r>
        <w:rPr>
          <w:rFonts w:hint="eastAsia" w:hAnsi="宋体" w:cs="宋体"/>
          <w:color w:val="000000" w:themeColor="text1"/>
          <w:highlight w:val="none"/>
          <w:lang w:val="en-US" w:eastAsia="zh-CN"/>
          <w14:textFill>
            <w14:solidFill>
              <w14:schemeClr w14:val="tx1"/>
            </w14:solidFill>
          </w14:textFill>
        </w:rPr>
        <w:t>24</w:t>
      </w:r>
      <w:r>
        <w:rPr>
          <w:rFonts w:hint="eastAsia" w:hAnsi="宋体" w:cs="宋体"/>
          <w:color w:val="000000" w:themeColor="text1"/>
          <w:highlight w:val="none"/>
          <w14:textFill>
            <w14:solidFill>
              <w14:schemeClr w14:val="tx1"/>
            </w14:solidFill>
          </w14:textFill>
        </w:rPr>
        <w:t>个月（最长不超过</w:t>
      </w:r>
      <w:r>
        <w:rPr>
          <w:rFonts w:hAnsi="宋体"/>
          <w:color w:val="000000" w:themeColor="text1"/>
          <w:highlight w:val="none"/>
          <w14:textFill>
            <w14:solidFill>
              <w14:schemeClr w14:val="tx1"/>
            </w14:solidFill>
          </w14:textFill>
        </w:rPr>
        <w:t>24</w:t>
      </w:r>
      <w:r>
        <w:rPr>
          <w:rFonts w:hint="eastAsia" w:hAnsi="宋体" w:cs="宋体"/>
          <w:color w:val="000000" w:themeColor="text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08EE51EA">
      <w:pPr>
        <w:spacing w:line="360" w:lineRule="auto"/>
        <w:ind w:firstLine="42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缺陷责任期</w:t>
      </w:r>
      <w:r>
        <w:rPr>
          <w:rFonts w:hint="eastAsia" w:hAnsi="宋体" w:cs="宋体"/>
          <w:color w:val="000000" w:themeColor="text1"/>
          <w:highlight w:val="none"/>
          <w:u w:val="single"/>
          <w14:textFill>
            <w14:solidFill>
              <w14:schemeClr w14:val="tx1"/>
            </w14:solidFill>
          </w14:textFill>
        </w:rPr>
        <w:t>满</w:t>
      </w:r>
      <w:r>
        <w:rPr>
          <w:rFonts w:hint="eastAsia" w:ascii="仿宋_GB2312" w:hAnsi="宋体"/>
          <w:color w:val="000000" w:themeColor="text1"/>
          <w:highlight w:val="none"/>
          <w14:textFill>
            <w14:solidFill>
              <w14:schemeClr w14:val="tx1"/>
            </w14:solidFill>
          </w14:textFill>
        </w:rPr>
        <w:t>之日起天</w:t>
      </w:r>
      <w:r>
        <w:rPr>
          <w:rFonts w:hint="eastAsia" w:hAnsi="宋体" w:cs="宋体"/>
          <w:color w:val="000000" w:themeColor="text1"/>
          <w:highlight w:val="none"/>
          <w:u w:val="single"/>
          <w14:textFill>
            <w14:solidFill>
              <w14:schemeClr w14:val="tx1"/>
            </w14:solidFill>
          </w14:textFill>
        </w:rPr>
        <w:t>（按</w:t>
      </w:r>
      <w:r>
        <w:rPr>
          <w:rFonts w:hAnsi="宋体" w:cs="宋体"/>
          <w:color w:val="000000" w:themeColor="text1"/>
          <w:highlight w:val="none"/>
          <w:u w:val="single"/>
          <w14:textFill>
            <w14:solidFill>
              <w14:schemeClr w14:val="tx1"/>
            </w14:solidFill>
          </w14:textFill>
        </w:rPr>
        <w:t>合同约定期限）</w:t>
      </w:r>
      <w:r>
        <w:rPr>
          <w:rFonts w:hint="eastAsia" w:hAnsi="宋体" w:cs="宋体"/>
          <w:color w:val="000000" w:themeColor="text1"/>
          <w:highlight w:val="none"/>
          <w:u w:val="single"/>
          <w14:textFill>
            <w14:solidFill>
              <w14:schemeClr w14:val="tx1"/>
            </w14:solidFill>
          </w14:textFill>
        </w:rPr>
        <w:t>，</w:t>
      </w:r>
      <w:r>
        <w:rPr>
          <w:rFonts w:hint="eastAsia" w:hAnsi="宋体" w:cs="宋体"/>
          <w:color w:val="000000" w:themeColor="text1"/>
          <w:highlight w:val="none"/>
          <w14:textFill>
            <w14:solidFill>
              <w14:schemeClr w14:val="tx1"/>
            </w14:solidFill>
          </w14:textFill>
        </w:rPr>
        <w:t>发包人应退还剩余的质量保证金。</w:t>
      </w:r>
    </w:p>
    <w:p w14:paraId="477E9B00">
      <w:pPr>
        <w:spacing w:line="360" w:lineRule="auto"/>
        <w:ind w:firstLine="420"/>
        <w:rPr>
          <w:rFonts w:ascii="黑体" w:hAnsi="宋体" w:eastAsia="黑体"/>
          <w:color w:val="000000" w:themeColor="text1"/>
          <w:highlight w:val="none"/>
          <w14:textFill>
            <w14:solidFill>
              <w14:schemeClr w14:val="tx1"/>
            </w14:solidFill>
          </w14:textFill>
        </w:rPr>
      </w:pPr>
      <w:r>
        <w:rPr>
          <w:rFonts w:hint="eastAsia" w:ascii="黑体" w:hAnsi="宋体" w:eastAsia="黑体" w:cs="黑体"/>
          <w:color w:val="000000" w:themeColor="text1"/>
          <w:highlight w:val="none"/>
          <w14:textFill>
            <w14:solidFill>
              <w14:schemeClr w14:val="tx1"/>
            </w14:solidFill>
          </w14:textFill>
        </w:rPr>
        <w:t>四、质量保修责任</w:t>
      </w:r>
    </w:p>
    <w:p w14:paraId="0223B26A">
      <w:pPr>
        <w:spacing w:line="360" w:lineRule="auto"/>
        <w:ind w:left="105" w:leftChars="50" w:firstLine="430" w:firstLineChars="205"/>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．属于保修范围、内容的项目，承包人应当在接到保修通知之日起</w:t>
      </w:r>
      <w:r>
        <w:rPr>
          <w:rFonts w:hint="eastAsia"/>
          <w:color w:val="000000" w:themeColor="text1"/>
          <w:highlight w:val="none"/>
          <w:u w:val="single"/>
          <w14:textFill>
            <w14:solidFill>
              <w14:schemeClr w14:val="tx1"/>
            </w14:solidFill>
          </w14:textFill>
        </w:rPr>
        <w:t>5</w:t>
      </w:r>
      <w:r>
        <w:rPr>
          <w:rFonts w:hint="eastAsia" w:hAnsi="宋体" w:cs="宋体"/>
          <w:color w:val="000000" w:themeColor="text1"/>
          <w:highlight w:val="none"/>
          <w14:textFill>
            <w14:solidFill>
              <w14:schemeClr w14:val="tx1"/>
            </w14:solidFill>
          </w14:textFill>
        </w:rPr>
        <w:t>天内派人保修。承包人不在约定期限内派人保修的，发包人可以委托他人修理，修理费用从质量保证金内扣除。</w:t>
      </w:r>
    </w:p>
    <w:p w14:paraId="1CEA8483">
      <w:pPr>
        <w:spacing w:line="360" w:lineRule="auto"/>
        <w:ind w:firstLine="42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．发生紧急事故需抢修的，承包人在接到事故通知后，应当立即到达事故现场抢修。</w:t>
      </w:r>
    </w:p>
    <w:p w14:paraId="29070DEB">
      <w:pPr>
        <w:spacing w:line="360" w:lineRule="auto"/>
        <w:ind w:firstLine="42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27E359">
      <w:pPr>
        <w:spacing w:line="360" w:lineRule="auto"/>
        <w:ind w:firstLine="42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hAnsi="宋体" w:cs="宋体"/>
          <w:color w:val="000000" w:themeColor="text1"/>
          <w:highlight w:val="none"/>
          <w14:textFill>
            <w14:solidFill>
              <w14:schemeClr w14:val="tx1"/>
            </w14:solidFill>
          </w14:textFill>
        </w:rPr>
        <w:t>．质量保修完成后，由发包人组织验收。</w:t>
      </w:r>
    </w:p>
    <w:p w14:paraId="75403E05">
      <w:pPr>
        <w:spacing w:line="360" w:lineRule="auto"/>
        <w:ind w:firstLine="420"/>
        <w:rPr>
          <w:rFonts w:ascii="黑体" w:hAnsi="宋体" w:eastAsia="黑体"/>
          <w:color w:val="000000" w:themeColor="text1"/>
          <w:highlight w:val="none"/>
          <w14:textFill>
            <w14:solidFill>
              <w14:schemeClr w14:val="tx1"/>
            </w14:solidFill>
          </w14:textFill>
        </w:rPr>
      </w:pPr>
      <w:r>
        <w:rPr>
          <w:rFonts w:hint="eastAsia" w:ascii="黑体" w:hAnsi="宋体" w:eastAsia="黑体" w:cs="黑体"/>
          <w:color w:val="000000" w:themeColor="text1"/>
          <w:highlight w:val="none"/>
          <w14:textFill>
            <w14:solidFill>
              <w14:schemeClr w14:val="tx1"/>
            </w14:solidFill>
          </w14:textFill>
        </w:rPr>
        <w:t>五、保修费用</w:t>
      </w:r>
    </w:p>
    <w:p w14:paraId="5C628A36">
      <w:pPr>
        <w:tabs>
          <w:tab w:val="left" w:pos="7380"/>
        </w:tabs>
        <w:spacing w:line="360" w:lineRule="auto"/>
        <w:ind w:firstLine="42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保修费用由造成质量缺陷的责任方承担。</w:t>
      </w:r>
    </w:p>
    <w:p w14:paraId="5607FECA">
      <w:pPr>
        <w:spacing w:line="360" w:lineRule="auto"/>
        <w:ind w:firstLine="420"/>
        <w:rPr>
          <w:color w:val="000000" w:themeColor="text1"/>
          <w:highlight w:val="none"/>
          <w14:textFill>
            <w14:solidFill>
              <w14:schemeClr w14:val="tx1"/>
            </w14:solidFill>
          </w14:textFill>
        </w:rPr>
      </w:pPr>
      <w:r>
        <w:rPr>
          <w:rFonts w:hint="eastAsia" w:ascii="黑体" w:hAnsi="宋体" w:eastAsia="黑体" w:cs="黑体"/>
          <w:color w:val="000000" w:themeColor="text1"/>
          <w:highlight w:val="none"/>
          <w14:textFill>
            <w14:solidFill>
              <w14:schemeClr w14:val="tx1"/>
            </w14:solidFill>
          </w14:textFill>
        </w:rPr>
        <w:t>六、双方约定的其他工程质量保修事项：</w:t>
      </w:r>
      <w:r>
        <w:rPr>
          <w:rFonts w:hint="eastAsia" w:hAnsi="宋体" w:cs="宋体"/>
          <w:color w:val="000000" w:themeColor="text1"/>
          <w:highlight w:val="none"/>
          <w14:textFill>
            <w14:solidFill>
              <w14:schemeClr w14:val="tx1"/>
            </w14:solidFill>
          </w14:textFill>
        </w:rPr>
        <w:t>。</w:t>
      </w:r>
    </w:p>
    <w:p w14:paraId="4E79D735">
      <w:pPr>
        <w:spacing w:line="360" w:lineRule="auto"/>
        <w:ind w:firstLine="399" w:firstLineChars="19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工程质量保修书由发包人、承包人在工程竣工验收前共同签署，作为施工合同附件，其有效期限至保修期满。</w:t>
      </w:r>
    </w:p>
    <w:p w14:paraId="309B07D4">
      <w:pPr>
        <w:spacing w:line="360" w:lineRule="auto"/>
        <w:ind w:firstLine="420"/>
        <w:rPr>
          <w:color w:val="000000" w:themeColor="text1"/>
          <w:highlight w:val="none"/>
          <w14:textFill>
            <w14:solidFill>
              <w14:schemeClr w14:val="tx1"/>
            </w14:solidFill>
          </w14:textFill>
        </w:rPr>
      </w:pPr>
    </w:p>
    <w:p w14:paraId="198D5E38">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发包人</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公章</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承包人</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公章</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p>
    <w:p w14:paraId="575DC66C">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地址：</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地址：</w:t>
      </w:r>
      <w:r>
        <w:rPr>
          <w:rFonts w:ascii="宋体" w:hAnsi="宋体"/>
          <w:color w:val="000000" w:themeColor="text1"/>
          <w:highlight w:val="none"/>
          <w:u w:val="single"/>
          <w14:textFill>
            <w14:solidFill>
              <w14:schemeClr w14:val="tx1"/>
            </w14:solidFill>
          </w14:textFill>
        </w:rPr>
        <w:t></w:t>
      </w:r>
    </w:p>
    <w:p w14:paraId="05F78D37">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签字</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签字</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p>
    <w:p w14:paraId="0DC60333">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委托代理人</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签字</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委托代理人</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签字</w:t>
      </w:r>
      <w:r>
        <w:rPr>
          <w:rFonts w:hint="eastAsia"/>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p>
    <w:p w14:paraId="173A3688">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电话：</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电话：</w:t>
      </w:r>
      <w:r>
        <w:rPr>
          <w:rFonts w:ascii="宋体" w:hAnsi="宋体"/>
          <w:color w:val="000000" w:themeColor="text1"/>
          <w:highlight w:val="none"/>
          <w:u w:val="single"/>
          <w14:textFill>
            <w14:solidFill>
              <w14:schemeClr w14:val="tx1"/>
            </w14:solidFill>
          </w14:textFill>
        </w:rPr>
        <w:t></w:t>
      </w:r>
    </w:p>
    <w:p w14:paraId="515038F5">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传真：</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传真：</w:t>
      </w:r>
      <w:r>
        <w:rPr>
          <w:rFonts w:ascii="宋体" w:hAnsi="宋体"/>
          <w:color w:val="000000" w:themeColor="text1"/>
          <w:highlight w:val="none"/>
          <w:u w:val="single"/>
          <w14:textFill>
            <w14:solidFill>
              <w14:schemeClr w14:val="tx1"/>
            </w14:solidFill>
          </w14:textFill>
        </w:rPr>
        <w:t></w:t>
      </w:r>
    </w:p>
    <w:p w14:paraId="06E09CA1">
      <w:pPr>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开户银行：</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开户银行：</w:t>
      </w:r>
      <w:r>
        <w:rPr>
          <w:rFonts w:ascii="宋体" w:hAnsi="宋体"/>
          <w:color w:val="000000" w:themeColor="text1"/>
          <w:highlight w:val="none"/>
          <w:u w:val="single"/>
          <w14:textFill>
            <w14:solidFill>
              <w14:schemeClr w14:val="tx1"/>
            </w14:solidFill>
          </w14:textFill>
        </w:rPr>
        <w:t></w:t>
      </w:r>
    </w:p>
    <w:p w14:paraId="5E3E16D2">
      <w:pPr>
        <w:tabs>
          <w:tab w:val="left" w:pos="2880"/>
          <w:tab w:val="left" w:pos="3060"/>
          <w:tab w:val="left" w:pos="4500"/>
        </w:tabs>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账号：</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账号：</w:t>
      </w:r>
      <w:r>
        <w:rPr>
          <w:rFonts w:ascii="宋体" w:hAnsi="宋体"/>
          <w:color w:val="000000" w:themeColor="text1"/>
          <w:highlight w:val="none"/>
          <w:u w:val="single"/>
          <w14:textFill>
            <w14:solidFill>
              <w14:schemeClr w14:val="tx1"/>
            </w14:solidFill>
          </w14:textFill>
        </w:rPr>
        <w:t></w:t>
      </w:r>
    </w:p>
    <w:p w14:paraId="69D60F3F">
      <w:pPr>
        <w:tabs>
          <w:tab w:val="left" w:pos="7200"/>
          <w:tab w:val="left" w:pos="7380"/>
          <w:tab w:val="left" w:pos="7560"/>
        </w:tabs>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邮政编码：</w:t>
      </w:r>
      <w:r>
        <w:rPr>
          <w:rFonts w:ascii="宋体"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邮政编码：</w:t>
      </w:r>
      <w:r>
        <w:rPr>
          <w:rFonts w:ascii="宋体" w:hAnsi="宋体"/>
          <w:color w:val="000000" w:themeColor="text1"/>
          <w:highlight w:val="none"/>
          <w:u w:val="single"/>
          <w14:textFill>
            <w14:solidFill>
              <w14:schemeClr w14:val="tx1"/>
            </w14:solidFill>
          </w14:textFill>
        </w:rPr>
        <w:t></w:t>
      </w:r>
    </w:p>
    <w:p w14:paraId="2BE36A33">
      <w:pPr>
        <w:spacing w:beforeLines="5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5F58751D">
      <w:pPr>
        <w:spacing w:beforeLines="50" w:afterLines="50" w:line="440" w:lineRule="exact"/>
        <w:jc w:val="center"/>
        <w:rPr>
          <w:rFonts w:ascii="黑体" w:hAnsi="宋体" w:eastAsia="黑体"/>
          <w:color w:val="000000" w:themeColor="text1"/>
          <w:sz w:val="32"/>
          <w:szCs w:val="32"/>
          <w:highlight w:val="none"/>
          <w14:textFill>
            <w14:solidFill>
              <w14:schemeClr w14:val="tx1"/>
            </w14:solidFill>
          </w14:textFill>
        </w:rPr>
      </w:pPr>
      <w:r>
        <w:rPr>
          <w:rFonts w:ascii="黑体" w:hAnsi="宋体" w:eastAsia="黑体"/>
          <w:color w:val="000000" w:themeColor="text1"/>
          <w:sz w:val="32"/>
          <w:szCs w:val="32"/>
          <w:highlight w:val="none"/>
          <w14:textFill>
            <w14:solidFill>
              <w14:schemeClr w14:val="tx1"/>
            </w14:solidFill>
          </w14:textFill>
        </w:rPr>
        <w:br w:type="page"/>
      </w:r>
    </w:p>
    <w:p w14:paraId="738D641B">
      <w:pPr>
        <w:widowControl/>
        <w:jc w:val="left"/>
        <w:rPr>
          <w:rFonts w:hAnsi="宋体" w:cs="宋体"/>
          <w:color w:val="000000" w:themeColor="text1"/>
          <w:sz w:val="30"/>
          <w:szCs w:val="30"/>
          <w:highlight w:val="none"/>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附件2：</w:t>
      </w:r>
    </w:p>
    <w:p w14:paraId="3EC7E695">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履约保函示范文本</w:t>
      </w:r>
    </w:p>
    <w:p w14:paraId="526420C0">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（独立保函）</w:t>
      </w:r>
    </w:p>
    <w:p w14:paraId="1FA1D53A">
      <w:pPr>
        <w:wordWrap w:val="0"/>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编号：           </w:t>
      </w:r>
    </w:p>
    <w:p w14:paraId="21D5A2B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申请人：</w:t>
      </w:r>
    </w:p>
    <w:p w14:paraId="77119E3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p>
    <w:p w14:paraId="0244408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受益人：</w:t>
      </w:r>
    </w:p>
    <w:p w14:paraId="39C06C3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p>
    <w:p w14:paraId="442FFFA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开立人：</w:t>
      </w:r>
    </w:p>
    <w:p w14:paraId="2DAED6E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p>
    <w:p w14:paraId="1FFEC457">
      <w:pPr>
        <w:spacing w:line="360" w:lineRule="auto"/>
        <w:rPr>
          <w:rFonts w:ascii="宋体" w:hAnsi="宋体"/>
          <w:color w:val="000000" w:themeColor="text1"/>
          <w:sz w:val="24"/>
          <w:highlight w:val="none"/>
          <w14:textFill>
            <w14:solidFill>
              <w14:schemeClr w14:val="tx1"/>
            </w14:solidFill>
          </w14:textFill>
        </w:rPr>
      </w:pPr>
    </w:p>
    <w:p w14:paraId="5758A73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（受益人名称）： </w:t>
      </w:r>
    </w:p>
    <w:p w14:paraId="6F819CA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鉴于（以下简称“受益人”）与（以下简称“申请人”）于年月日就工程（以下简称“本工程”）施工和有关事项协商一致共同签订</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5E30A78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一、本保函担保范围：承包人未按照基础合同的约定履行义务，应当向贵方承担的违约责任和赔偿因此造成的损失、利息、律师费、诉讼费用等实现债权的费用。</w:t>
      </w:r>
    </w:p>
    <w:p w14:paraId="0B667B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二、本保函担保金额最高不超过人民币（大写）元（¥）。 </w:t>
      </w:r>
    </w:p>
    <w:p w14:paraId="35C9C84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三、本保函有效期自开立之日起至基础合同约定的缺陷责任期后日止，最迟不超过年月日。 </w:t>
      </w:r>
    </w:p>
    <w:p w14:paraId="5997E9E6">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四、我方承诺，在收到受益人发来的书面付款通知后的日内无条件支付，前述书面付款通知即为付款要求之单据，且应满足以下要求：</w:t>
      </w:r>
    </w:p>
    <w:p w14:paraId="7C3073F3">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（1）付款通知到达的日期在本保函的有效期内</w:t>
      </w:r>
      <w:r>
        <w:rPr>
          <w:rFonts w:hint="eastAsia" w:ascii="宋体" w:hAnsi="宋体"/>
          <w:color w:val="000000" w:themeColor="text1"/>
          <w:sz w:val="24"/>
          <w:highlight w:val="none"/>
          <w:lang w:eastAsia="zh-CN"/>
          <w14:textFill>
            <w14:solidFill>
              <w14:schemeClr w14:val="tx1"/>
            </w14:solidFill>
          </w14:textFill>
        </w:rPr>
        <w:t>；</w:t>
      </w:r>
    </w:p>
    <w:p w14:paraId="65921F86">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（2）载明要求支付的金额</w:t>
      </w:r>
      <w:r>
        <w:rPr>
          <w:rFonts w:hint="eastAsia" w:ascii="宋体" w:hAnsi="宋体"/>
          <w:color w:val="000000" w:themeColor="text1"/>
          <w:sz w:val="24"/>
          <w:highlight w:val="none"/>
          <w:lang w:eastAsia="zh-CN"/>
          <w14:textFill>
            <w14:solidFill>
              <w14:schemeClr w14:val="tx1"/>
            </w14:solidFill>
          </w14:textFill>
        </w:rPr>
        <w:t>；</w:t>
      </w:r>
    </w:p>
    <w:p w14:paraId="760DB4E8">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（3）载明申请人违反合同义务的条款和内容</w:t>
      </w:r>
      <w:r>
        <w:rPr>
          <w:rFonts w:hint="eastAsia" w:ascii="宋体" w:hAnsi="宋体"/>
          <w:color w:val="000000" w:themeColor="text1"/>
          <w:sz w:val="24"/>
          <w:highlight w:val="none"/>
          <w:lang w:eastAsia="zh-CN"/>
          <w14:textFill>
            <w14:solidFill>
              <w14:schemeClr w14:val="tx1"/>
            </w14:solidFill>
          </w14:textFill>
        </w:rPr>
        <w:t>；</w:t>
      </w:r>
    </w:p>
    <w:p w14:paraId="20DD50F0">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（4）声明不存在合同文件约定或我国法律规定免除申请人或开立人支付责任的情形</w:t>
      </w:r>
      <w:r>
        <w:rPr>
          <w:rFonts w:hint="eastAsia" w:ascii="宋体" w:hAnsi="宋体"/>
          <w:color w:val="000000" w:themeColor="text1"/>
          <w:sz w:val="24"/>
          <w:highlight w:val="none"/>
          <w:lang w:eastAsia="zh-CN"/>
          <w14:textFill>
            <w14:solidFill>
              <w14:schemeClr w14:val="tx1"/>
            </w14:solidFill>
          </w14:textFill>
        </w:rPr>
        <w:t>；</w:t>
      </w:r>
    </w:p>
    <w:p w14:paraId="6F21A37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（5）付款通知应在本保函有效期内到达的地址是：。</w:t>
      </w:r>
    </w:p>
    <w:p w14:paraId="312BA5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受益人发出的书面付款通知应由其为鉴明受益人法定代表人（负责人）或授权代理人签字并加盖公章。</w:t>
      </w:r>
    </w:p>
    <w:p w14:paraId="337A936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54965BB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六、与本保函有关的基础合同不成立、不生效、无效、被撤销、被解除，不影响本保函的独立有效。 </w:t>
      </w:r>
    </w:p>
    <w:p w14:paraId="09EB4A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508A82F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八、本保函适用的法律为中华人民共和国法律，争议裁判管辖地为中华人民共和国。 </w:t>
      </w:r>
    </w:p>
    <w:p w14:paraId="7CE7A2A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九、本保函自我方法定代表人或授权代表签字并加盖公章之日起生效。 </w:t>
      </w:r>
    </w:p>
    <w:p w14:paraId="153BEB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 立 人：                              （公章） </w:t>
      </w:r>
    </w:p>
    <w:p w14:paraId="4DAB5BD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               （签字） </w:t>
      </w:r>
    </w:p>
    <w:p w14:paraId="7975FC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p>
    <w:p w14:paraId="20654E9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p>
    <w:p w14:paraId="2087575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14:paraId="57663F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传    真：                 </w:t>
      </w:r>
    </w:p>
    <w:p w14:paraId="0CB8C462">
      <w:pPr>
        <w:spacing w:line="360" w:lineRule="auto"/>
        <w:ind w:firstLine="480" w:firstLineChars="200"/>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开立时间：      年      月    </w:t>
      </w:r>
    </w:p>
    <w:p w14:paraId="412DA924">
      <w:pPr>
        <w:spacing w:line="360" w:lineRule="auto"/>
        <w:jc w:val="left"/>
        <w:rPr>
          <w:rFonts w:eastAsia="仿宋_GB2312"/>
          <w:color w:val="000000" w:themeColor="text1"/>
          <w:sz w:val="30"/>
          <w:szCs w:val="30"/>
          <w:highlight w:val="none"/>
          <w14:textFill>
            <w14:solidFill>
              <w14:schemeClr w14:val="tx1"/>
            </w14:solidFill>
          </w14:textFill>
        </w:rPr>
      </w:pPr>
    </w:p>
    <w:p w14:paraId="2B94535E">
      <w:pPr>
        <w:spacing w:line="360" w:lineRule="auto"/>
        <w:rPr>
          <w:rFonts w:ascii="宋体" w:hAnsi="宋体"/>
          <w:b/>
          <w:bCs/>
          <w:color w:val="000000" w:themeColor="text1"/>
          <w:sz w:val="32"/>
          <w:szCs w:val="32"/>
          <w:highlight w:val="none"/>
          <w14:textFill>
            <w14:solidFill>
              <w14:schemeClr w14:val="tx1"/>
            </w14:solidFill>
          </w14:textFill>
        </w:rPr>
      </w:pPr>
    </w:p>
    <w:p w14:paraId="22C466C8">
      <w:pPr>
        <w:spacing w:line="36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履约保函示范文本</w:t>
      </w:r>
    </w:p>
    <w:p w14:paraId="421F64E2">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（非独立保函）</w:t>
      </w:r>
    </w:p>
    <w:p w14:paraId="38768A65">
      <w:pPr>
        <w:spacing w:line="360" w:lineRule="auto"/>
        <w:jc w:val="center"/>
        <w:rPr>
          <w:rFonts w:ascii="宋体" w:hAnsi="宋体"/>
          <w:b/>
          <w:bCs/>
          <w:color w:val="000000" w:themeColor="text1"/>
          <w:sz w:val="32"/>
          <w:szCs w:val="32"/>
          <w:highlight w:val="none"/>
          <w14:textFill>
            <w14:solidFill>
              <w14:schemeClr w14:val="tx1"/>
            </w14:solidFill>
          </w14:textFill>
        </w:rPr>
      </w:pPr>
    </w:p>
    <w:p w14:paraId="47AA7BF7">
      <w:pPr>
        <w:wordWrap w:val="0"/>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编号：           </w:t>
      </w:r>
    </w:p>
    <w:p w14:paraId="09ABAD1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w:t>
      </w:r>
    </w:p>
    <w:p w14:paraId="00D4038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4FC219F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担保权人/发包人： </w:t>
      </w:r>
    </w:p>
    <w:p w14:paraId="48AF7C2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12D7150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保证人：</w:t>
      </w:r>
    </w:p>
    <w:p w14:paraId="51E5471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37652E8A">
      <w:pPr>
        <w:spacing w:line="360" w:lineRule="auto"/>
        <w:rPr>
          <w:rFonts w:ascii="宋体" w:hAnsi="宋体"/>
          <w:color w:val="000000" w:themeColor="text1"/>
          <w:sz w:val="24"/>
          <w:highlight w:val="none"/>
          <w14:textFill>
            <w14:solidFill>
              <w14:schemeClr w14:val="tx1"/>
            </w14:solidFill>
          </w14:textFill>
        </w:rPr>
      </w:pPr>
    </w:p>
    <w:p w14:paraId="3B7EF4E7">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（发包人名称）： </w:t>
      </w:r>
    </w:p>
    <w:p w14:paraId="1D6C8C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鉴于（以下简称“发包人”）与（以下简称“承包人”）于年月日就工程（以下简称“本工程”）施工和有关事项协商一致共同签订</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 xml:space="preserve">（以下简称“主合同”），我方即保证人基于承包人的请求，同意就承包人履行与贵方签订的主合同项下的义务，向贵方提供如下保证担保（以下简称“本保证担保”）。 </w:t>
      </w:r>
    </w:p>
    <w:p w14:paraId="59F95BC6">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一、保证担保的范围及保证担保金额</w:t>
      </w:r>
    </w:p>
    <w:p w14:paraId="1A4664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1.保证担保范围：承包人未按照主合同的约定履行义务，应当向贵方承担的违约责任和赔偿因此造成的损失、利息、律师费、诉讼费用等实现债权的费用。</w:t>
      </w:r>
    </w:p>
    <w:p w14:paraId="1B15728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2.保证担保金额最高不超过人民币（大写）元（¥）。 </w:t>
      </w:r>
    </w:p>
    <w:p w14:paraId="27BE27B7">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二、保证担保的方式及保证期间 </w:t>
      </w:r>
    </w:p>
    <w:p w14:paraId="147DD4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1.保证担保方式：连带责任保证。</w:t>
      </w:r>
    </w:p>
    <w:p w14:paraId="126F1A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2.保证期间：自出具之日起至主合同约定的缺陷责任期后日止，最迟不超过年月日。 </w:t>
      </w:r>
    </w:p>
    <w:p w14:paraId="6197A931">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三、承担保证担保责任的形式</w:t>
      </w:r>
    </w:p>
    <w:p w14:paraId="57752F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我方按照贵方的要求以下列方式之一承担保证担保责任： </w:t>
      </w:r>
    </w:p>
    <w:p w14:paraId="771643F2">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1.向承包人资金、设备或者技术援助，使其能继续履行合同义务</w:t>
      </w:r>
      <w:r>
        <w:rPr>
          <w:rFonts w:hint="eastAsia" w:ascii="宋体" w:hAnsi="宋体"/>
          <w:color w:val="000000" w:themeColor="text1"/>
          <w:sz w:val="24"/>
          <w:highlight w:val="none"/>
          <w:lang w:eastAsia="zh-CN"/>
          <w14:textFill>
            <w14:solidFill>
              <w14:schemeClr w14:val="tx1"/>
            </w14:solidFill>
          </w14:textFill>
        </w:rPr>
        <w:t>；</w:t>
      </w:r>
    </w:p>
    <w:p w14:paraId="097A4069">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2.直接接管该项工程或者委托经贵方同意的其他承包商，继续履行合同义务</w:t>
      </w:r>
      <w:r>
        <w:rPr>
          <w:rFonts w:hint="eastAsia" w:ascii="宋体" w:hAnsi="宋体"/>
          <w:color w:val="000000" w:themeColor="text1"/>
          <w:sz w:val="24"/>
          <w:highlight w:val="none"/>
          <w:lang w:eastAsia="zh-CN"/>
          <w14:textFill>
            <w14:solidFill>
              <w14:schemeClr w14:val="tx1"/>
            </w14:solidFill>
          </w14:textFill>
        </w:rPr>
        <w:t>；</w:t>
      </w:r>
    </w:p>
    <w:p w14:paraId="2D31338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3.在保证担保金额最高限额内，按照合同约定，向贵方承担违约责任和赔偿因此造成的损失，以及利息和律师费、诉讼费用等实现债权的费用。</w:t>
      </w:r>
    </w:p>
    <w:p w14:paraId="4B5828E2">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四、代偿的安排 </w:t>
      </w:r>
    </w:p>
    <w:p w14:paraId="4CB4DC9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3EC286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2.贵方以工程质量不符合主合同约定标准为由，向我方提出违约索赔的，还需同时提供符合相应条件要求的工程质量检测部门出具的质量说明材料。</w:t>
      </w:r>
    </w:p>
    <w:p w14:paraId="4F50D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3.我方收到贵方的书面索赔通知及相应证明材料后，在工作日内进行核定后按照本保函的承诺承担保证责任。</w:t>
      </w:r>
    </w:p>
    <w:p w14:paraId="6C3365A7">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五、保证担保责任的解除 </w:t>
      </w:r>
    </w:p>
    <w:p w14:paraId="141575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1.保证期间届满贵方未向我方书面主张保证责任的，自保证期间届满次日起，我方解除保证责任。 </w:t>
      </w:r>
    </w:p>
    <w:p w14:paraId="4113187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2.我方按照本保证担保向贵方履行了保证担保责任后，自我方向贵方支付的金额达到最高保证担保金额之日起，保证担保责任解除。 </w:t>
      </w:r>
    </w:p>
    <w:p w14:paraId="2392B4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3.按照法律法规的规定应解除我方保证担保责任的其它情形的，我方在本保证担保项下的保证担保责任亦解除。 </w:t>
      </w:r>
    </w:p>
    <w:p w14:paraId="108722E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5022F4EE">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六、免责条款 </w:t>
      </w:r>
    </w:p>
    <w:p w14:paraId="14CDC06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1.因贵方原因致使承包人未按照主合同约定履行义务的，我方不承担保证担保责任。 </w:t>
      </w:r>
    </w:p>
    <w:p w14:paraId="5EEBE41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2.依照法律规定或贵方与发包人的另行约定，免除承包人部分或全部义务的，我方亦免除其相应的保证担保责任。 </w:t>
      </w:r>
    </w:p>
    <w:p w14:paraId="50F7A24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3.因不可抗力造成承包人未按照主合同约定履行义务的，我方不承担保证担保责任。</w:t>
      </w:r>
    </w:p>
    <w:p w14:paraId="60424563">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七、其他</w:t>
      </w:r>
    </w:p>
    <w:p w14:paraId="4D20CBD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1.本保证担保项下的权利不得转让，不得设定担保。贵方未经我方书面同意转让本保证担保或其项下任何权利，对我方不发生法律效力。 </w:t>
      </w:r>
    </w:p>
    <w:p w14:paraId="6DCAF5D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2.本保证担保适用的法律为中华人民共和国法律，争议裁判管辖地为中华人民共和国。 </w:t>
      </w:r>
    </w:p>
    <w:p w14:paraId="1330DA9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3.本保证担保自我方法定代表人或授权代表签字并加盖公章之日起生效。 </w:t>
      </w:r>
    </w:p>
    <w:p w14:paraId="211DA93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F98719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保 证 人：                              （公章） </w:t>
      </w:r>
    </w:p>
    <w:p w14:paraId="716E40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               （签字） </w:t>
      </w:r>
    </w:p>
    <w:p w14:paraId="18FB78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p>
    <w:p w14:paraId="3FB7C41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p>
    <w:p w14:paraId="1CB3BC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14:paraId="415B2B2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传    真：                 </w:t>
      </w:r>
    </w:p>
    <w:p w14:paraId="21146AC4">
      <w:pPr>
        <w:widowControl/>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    间：      年      月        日</w:t>
      </w:r>
    </w:p>
    <w:p w14:paraId="393937B5">
      <w:pPr>
        <w:spacing w:line="360" w:lineRule="auto"/>
        <w:ind w:left="2940" w:leftChars="1400"/>
        <w:rPr>
          <w:rFonts w:ascii="宋体" w:hAnsi="宋体" w:cs="宋体"/>
          <w:color w:val="000000" w:themeColor="text1"/>
          <w:sz w:val="24"/>
          <w:highlight w:val="none"/>
          <w14:textFill>
            <w14:solidFill>
              <w14:schemeClr w14:val="tx1"/>
            </w14:solidFill>
          </w14:textFill>
        </w:rPr>
      </w:pPr>
    </w:p>
    <w:p w14:paraId="4221DCC5">
      <w:pPr>
        <w:rPr>
          <w:color w:val="000000" w:themeColor="text1"/>
          <w:highlight w:val="none"/>
          <w14:textFill>
            <w14:solidFill>
              <w14:schemeClr w14:val="tx1"/>
            </w14:solidFill>
          </w14:textFill>
        </w:rPr>
      </w:pPr>
    </w:p>
    <w:p w14:paraId="1A1AC223">
      <w:pPr>
        <w:rPr>
          <w:color w:val="000000" w:themeColor="text1"/>
          <w:highlight w:val="none"/>
          <w14:textFill>
            <w14:solidFill>
              <w14:schemeClr w14:val="tx1"/>
            </w14:solidFill>
          </w14:textFill>
        </w:rPr>
      </w:pPr>
    </w:p>
    <w:p w14:paraId="12D64825">
      <w:pPr>
        <w:rPr>
          <w:color w:val="000000" w:themeColor="text1"/>
          <w:highlight w:val="none"/>
          <w14:textFill>
            <w14:solidFill>
              <w14:schemeClr w14:val="tx1"/>
            </w14:solidFill>
          </w14:textFill>
        </w:rPr>
      </w:pPr>
    </w:p>
    <w:p w14:paraId="5D857EDF">
      <w:pPr>
        <w:rPr>
          <w:color w:val="000000" w:themeColor="text1"/>
          <w:highlight w:val="none"/>
          <w14:textFill>
            <w14:solidFill>
              <w14:schemeClr w14:val="tx1"/>
            </w14:solidFill>
          </w14:textFill>
        </w:rPr>
      </w:pPr>
    </w:p>
    <w:p w14:paraId="33114ABC">
      <w:pPr>
        <w:rPr>
          <w:color w:val="000000" w:themeColor="text1"/>
          <w:highlight w:val="none"/>
          <w14:textFill>
            <w14:solidFill>
              <w14:schemeClr w14:val="tx1"/>
            </w14:solidFill>
          </w14:textFill>
        </w:rPr>
      </w:pPr>
    </w:p>
    <w:p w14:paraId="5CFEF111">
      <w:pPr>
        <w:rPr>
          <w:color w:val="000000" w:themeColor="text1"/>
          <w:highlight w:val="none"/>
          <w14:textFill>
            <w14:solidFill>
              <w14:schemeClr w14:val="tx1"/>
            </w14:solidFill>
          </w14:textFill>
        </w:rPr>
      </w:pPr>
    </w:p>
    <w:p w14:paraId="74E98436">
      <w:pPr>
        <w:rPr>
          <w:color w:val="000000" w:themeColor="text1"/>
          <w:highlight w:val="none"/>
          <w14:textFill>
            <w14:solidFill>
              <w14:schemeClr w14:val="tx1"/>
            </w14:solidFill>
          </w14:textFill>
        </w:rPr>
      </w:pPr>
    </w:p>
    <w:p w14:paraId="3614E117">
      <w:pPr>
        <w:rPr>
          <w:color w:val="000000" w:themeColor="text1"/>
          <w:highlight w:val="none"/>
          <w14:textFill>
            <w14:solidFill>
              <w14:schemeClr w14:val="tx1"/>
            </w14:solidFill>
          </w14:textFill>
        </w:rPr>
      </w:pPr>
    </w:p>
    <w:p w14:paraId="7EA2697C">
      <w:pPr>
        <w:rPr>
          <w:color w:val="000000" w:themeColor="text1"/>
          <w:highlight w:val="none"/>
          <w14:textFill>
            <w14:solidFill>
              <w14:schemeClr w14:val="tx1"/>
            </w14:solidFill>
          </w14:textFill>
        </w:rPr>
      </w:pPr>
    </w:p>
    <w:p w14:paraId="7E9A2BCC">
      <w:pPr>
        <w:rPr>
          <w:color w:val="000000" w:themeColor="text1"/>
          <w:highlight w:val="none"/>
          <w14:textFill>
            <w14:solidFill>
              <w14:schemeClr w14:val="tx1"/>
            </w14:solidFill>
          </w14:textFill>
        </w:rPr>
      </w:pPr>
    </w:p>
    <w:p w14:paraId="1B8CC914">
      <w:pPr>
        <w:rPr>
          <w:color w:val="000000" w:themeColor="text1"/>
          <w:highlight w:val="none"/>
          <w14:textFill>
            <w14:solidFill>
              <w14:schemeClr w14:val="tx1"/>
            </w14:solidFill>
          </w14:textFill>
        </w:rPr>
      </w:pPr>
    </w:p>
    <w:p w14:paraId="10AD82C1">
      <w:pPr>
        <w:rPr>
          <w:color w:val="000000" w:themeColor="text1"/>
          <w:highlight w:val="none"/>
          <w14:textFill>
            <w14:solidFill>
              <w14:schemeClr w14:val="tx1"/>
            </w14:solidFill>
          </w14:textFill>
        </w:rPr>
      </w:pPr>
    </w:p>
    <w:p w14:paraId="4BCCC233">
      <w:pPr>
        <w:rPr>
          <w:color w:val="000000" w:themeColor="text1"/>
          <w:highlight w:val="none"/>
          <w14:textFill>
            <w14:solidFill>
              <w14:schemeClr w14:val="tx1"/>
            </w14:solidFill>
          </w14:textFill>
        </w:rPr>
      </w:pPr>
    </w:p>
    <w:p w14:paraId="2A02ACEC">
      <w:pPr>
        <w:rPr>
          <w:color w:val="000000" w:themeColor="text1"/>
          <w:highlight w:val="none"/>
          <w14:textFill>
            <w14:solidFill>
              <w14:schemeClr w14:val="tx1"/>
            </w14:solidFill>
          </w14:textFill>
        </w:rPr>
      </w:pPr>
    </w:p>
    <w:p w14:paraId="28E7982D">
      <w:pPr>
        <w:rPr>
          <w:color w:val="000000" w:themeColor="text1"/>
          <w:highlight w:val="none"/>
          <w14:textFill>
            <w14:solidFill>
              <w14:schemeClr w14:val="tx1"/>
            </w14:solidFill>
          </w14:textFill>
        </w:rPr>
      </w:pPr>
    </w:p>
    <w:p w14:paraId="50DFE31A">
      <w:pPr>
        <w:rPr>
          <w:color w:val="000000" w:themeColor="text1"/>
          <w:highlight w:val="none"/>
          <w14:textFill>
            <w14:solidFill>
              <w14:schemeClr w14:val="tx1"/>
            </w14:solidFill>
          </w14:textFill>
        </w:rPr>
      </w:pPr>
    </w:p>
    <w:p w14:paraId="68EFADFA">
      <w:pPr>
        <w:rPr>
          <w:color w:val="000000" w:themeColor="text1"/>
          <w:highlight w:val="none"/>
          <w14:textFill>
            <w14:solidFill>
              <w14:schemeClr w14:val="tx1"/>
            </w14:solidFill>
          </w14:textFill>
        </w:rPr>
      </w:pPr>
    </w:p>
    <w:p w14:paraId="55EB0B51">
      <w:pPr>
        <w:rPr>
          <w:color w:val="000000" w:themeColor="text1"/>
          <w:highlight w:val="none"/>
          <w14:textFill>
            <w14:solidFill>
              <w14:schemeClr w14:val="tx1"/>
            </w14:solidFill>
          </w14:textFill>
        </w:rPr>
      </w:pPr>
    </w:p>
    <w:p w14:paraId="4194344D">
      <w:pPr>
        <w:rPr>
          <w:color w:val="000000" w:themeColor="text1"/>
          <w:highlight w:val="none"/>
          <w14:textFill>
            <w14:solidFill>
              <w14:schemeClr w14:val="tx1"/>
            </w14:solidFill>
          </w14:textFill>
        </w:rPr>
      </w:pPr>
    </w:p>
    <w:p w14:paraId="11BA4EDB">
      <w:pPr>
        <w:rPr>
          <w:color w:val="000000" w:themeColor="text1"/>
          <w:highlight w:val="none"/>
          <w14:textFill>
            <w14:solidFill>
              <w14:schemeClr w14:val="tx1"/>
            </w14:solidFill>
          </w14:textFill>
        </w:rPr>
      </w:pPr>
    </w:p>
    <w:p w14:paraId="4C1A3407">
      <w:pPr>
        <w:rPr>
          <w:color w:val="000000" w:themeColor="text1"/>
          <w:highlight w:val="none"/>
          <w14:textFill>
            <w14:solidFill>
              <w14:schemeClr w14:val="tx1"/>
            </w14:solidFill>
          </w14:textFill>
        </w:rPr>
      </w:pPr>
    </w:p>
    <w:p w14:paraId="410B1683">
      <w:pPr>
        <w:rPr>
          <w:color w:val="000000" w:themeColor="text1"/>
          <w:highlight w:val="none"/>
          <w14:textFill>
            <w14:solidFill>
              <w14:schemeClr w14:val="tx1"/>
            </w14:solidFill>
          </w14:textFill>
        </w:rPr>
      </w:pPr>
    </w:p>
    <w:p w14:paraId="79B742F6">
      <w:pPr>
        <w:rPr>
          <w:color w:val="000000" w:themeColor="text1"/>
          <w:highlight w:val="none"/>
          <w14:textFill>
            <w14:solidFill>
              <w14:schemeClr w14:val="tx1"/>
            </w14:solidFill>
          </w14:textFill>
        </w:rPr>
      </w:pPr>
    </w:p>
    <w:p w14:paraId="0617879E">
      <w:pPr>
        <w:rPr>
          <w:color w:val="000000" w:themeColor="text1"/>
          <w:highlight w:val="none"/>
          <w14:textFill>
            <w14:solidFill>
              <w14:schemeClr w14:val="tx1"/>
            </w14:solidFill>
          </w14:textFill>
        </w:rPr>
      </w:pPr>
    </w:p>
    <w:sectPr>
      <w:footerReference r:id="rId9" w:type="first"/>
      <w:headerReference r:id="rId7" w:type="defaul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B0D1">
    <w:pPr>
      <w:pStyle w:val="30"/>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34CB41">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1734CB4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E63F595">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5F65">
    <w:pPr>
      <w:pStyle w:val="3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6AA1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2CB6AA1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49A8">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C697B3">
                          <w:pPr>
                            <w:pStyle w:val="30"/>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41C697B3">
                    <w:pPr>
                      <w:pStyle w:val="30"/>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10324C8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27D3">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582AFD">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31582AF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B6D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38E6">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F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592E"/>
    <w:multiLevelType w:val="singleLevel"/>
    <w:tmpl w:val="DFFF592E"/>
    <w:lvl w:ilvl="0" w:tentative="0">
      <w:start w:val="1"/>
      <w:numFmt w:val="decimal"/>
      <w:suff w:val="nothing"/>
      <w:lvlText w:val="%1）"/>
      <w:lvlJc w:val="left"/>
    </w:lvl>
  </w:abstractNum>
  <w:abstractNum w:abstractNumId="1">
    <w:nsid w:val="3B1B6F0F"/>
    <w:multiLevelType w:val="singleLevel"/>
    <w:tmpl w:val="3B1B6F0F"/>
    <w:lvl w:ilvl="0" w:tentative="0">
      <w:start w:val="1"/>
      <w:numFmt w:val="decimal"/>
      <w:lvlText w:val="%1."/>
      <w:lvlJc w:val="left"/>
      <w:pPr>
        <w:tabs>
          <w:tab w:val="left" w:pos="312"/>
        </w:tabs>
      </w:pPr>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5111"/>
    <w:rsid w:val="00015B63"/>
    <w:rsid w:val="0001657F"/>
    <w:rsid w:val="00016ABC"/>
    <w:rsid w:val="000177DB"/>
    <w:rsid w:val="000179C9"/>
    <w:rsid w:val="00017CCC"/>
    <w:rsid w:val="00020227"/>
    <w:rsid w:val="00020263"/>
    <w:rsid w:val="00020455"/>
    <w:rsid w:val="00020813"/>
    <w:rsid w:val="00020E11"/>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1DD0"/>
    <w:rsid w:val="00032633"/>
    <w:rsid w:val="000326A2"/>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57F"/>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88D"/>
    <w:rsid w:val="000929EF"/>
    <w:rsid w:val="00092C26"/>
    <w:rsid w:val="000933BE"/>
    <w:rsid w:val="00094428"/>
    <w:rsid w:val="000944FC"/>
    <w:rsid w:val="0009560F"/>
    <w:rsid w:val="0009588E"/>
    <w:rsid w:val="000959EE"/>
    <w:rsid w:val="00096C2E"/>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15BE"/>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25AA"/>
    <w:rsid w:val="00152A87"/>
    <w:rsid w:val="00152AC1"/>
    <w:rsid w:val="00153A84"/>
    <w:rsid w:val="00153BB5"/>
    <w:rsid w:val="00154518"/>
    <w:rsid w:val="00154D26"/>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6F35"/>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308A"/>
    <w:rsid w:val="001E38EC"/>
    <w:rsid w:val="001E3B63"/>
    <w:rsid w:val="001E57B2"/>
    <w:rsid w:val="001E5A94"/>
    <w:rsid w:val="001E5CBB"/>
    <w:rsid w:val="001E5CDC"/>
    <w:rsid w:val="001E6CE9"/>
    <w:rsid w:val="001E7416"/>
    <w:rsid w:val="001F13FD"/>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4DB"/>
    <w:rsid w:val="0020150B"/>
    <w:rsid w:val="00201E12"/>
    <w:rsid w:val="00202295"/>
    <w:rsid w:val="00202977"/>
    <w:rsid w:val="002033B5"/>
    <w:rsid w:val="0020382C"/>
    <w:rsid w:val="002042E9"/>
    <w:rsid w:val="0020437A"/>
    <w:rsid w:val="0020454C"/>
    <w:rsid w:val="00204740"/>
    <w:rsid w:val="00205129"/>
    <w:rsid w:val="0020521F"/>
    <w:rsid w:val="0020532C"/>
    <w:rsid w:val="00206AE8"/>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34A"/>
    <w:rsid w:val="0022755B"/>
    <w:rsid w:val="00227C56"/>
    <w:rsid w:val="00227F2D"/>
    <w:rsid w:val="00227F52"/>
    <w:rsid w:val="00231851"/>
    <w:rsid w:val="002319FB"/>
    <w:rsid w:val="00231B89"/>
    <w:rsid w:val="00231F11"/>
    <w:rsid w:val="00231F5E"/>
    <w:rsid w:val="00233395"/>
    <w:rsid w:val="002346B4"/>
    <w:rsid w:val="00234F6E"/>
    <w:rsid w:val="002351FA"/>
    <w:rsid w:val="002355BE"/>
    <w:rsid w:val="002358EA"/>
    <w:rsid w:val="0023609B"/>
    <w:rsid w:val="00236578"/>
    <w:rsid w:val="00236A10"/>
    <w:rsid w:val="00236DE9"/>
    <w:rsid w:val="00237342"/>
    <w:rsid w:val="002373D4"/>
    <w:rsid w:val="00237D5A"/>
    <w:rsid w:val="00237E0F"/>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D3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A28"/>
    <w:rsid w:val="00286FB5"/>
    <w:rsid w:val="00287763"/>
    <w:rsid w:val="00290606"/>
    <w:rsid w:val="002908D0"/>
    <w:rsid w:val="002909B2"/>
    <w:rsid w:val="00291D6D"/>
    <w:rsid w:val="00291FF1"/>
    <w:rsid w:val="00292AA2"/>
    <w:rsid w:val="00293361"/>
    <w:rsid w:val="00293B4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03E"/>
    <w:rsid w:val="002A23B7"/>
    <w:rsid w:val="002A3950"/>
    <w:rsid w:val="002A3A57"/>
    <w:rsid w:val="002A4320"/>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FD0"/>
    <w:rsid w:val="002F16DD"/>
    <w:rsid w:val="002F199D"/>
    <w:rsid w:val="002F213C"/>
    <w:rsid w:val="002F2453"/>
    <w:rsid w:val="002F2607"/>
    <w:rsid w:val="002F30BD"/>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23E"/>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42D"/>
    <w:rsid w:val="0033364C"/>
    <w:rsid w:val="00334415"/>
    <w:rsid w:val="0033469E"/>
    <w:rsid w:val="0033481F"/>
    <w:rsid w:val="00335EA1"/>
    <w:rsid w:val="0033691E"/>
    <w:rsid w:val="00336A6A"/>
    <w:rsid w:val="00336CCB"/>
    <w:rsid w:val="003411D1"/>
    <w:rsid w:val="003416BA"/>
    <w:rsid w:val="00342148"/>
    <w:rsid w:val="00342658"/>
    <w:rsid w:val="003427BE"/>
    <w:rsid w:val="003429F5"/>
    <w:rsid w:val="00342F99"/>
    <w:rsid w:val="00343AEA"/>
    <w:rsid w:val="00344D99"/>
    <w:rsid w:val="0034575A"/>
    <w:rsid w:val="00345F1D"/>
    <w:rsid w:val="00345F57"/>
    <w:rsid w:val="0034698A"/>
    <w:rsid w:val="00350458"/>
    <w:rsid w:val="00350E6C"/>
    <w:rsid w:val="0035153C"/>
    <w:rsid w:val="003518A6"/>
    <w:rsid w:val="00351E7F"/>
    <w:rsid w:val="00352953"/>
    <w:rsid w:val="00353D91"/>
    <w:rsid w:val="00354062"/>
    <w:rsid w:val="0035459E"/>
    <w:rsid w:val="00354AE9"/>
    <w:rsid w:val="00355527"/>
    <w:rsid w:val="00355C0D"/>
    <w:rsid w:val="003560A6"/>
    <w:rsid w:val="0035657D"/>
    <w:rsid w:val="003566A9"/>
    <w:rsid w:val="00356988"/>
    <w:rsid w:val="003569D3"/>
    <w:rsid w:val="00356CE9"/>
    <w:rsid w:val="00356D82"/>
    <w:rsid w:val="003570BB"/>
    <w:rsid w:val="00357128"/>
    <w:rsid w:val="0035755E"/>
    <w:rsid w:val="00357A80"/>
    <w:rsid w:val="00360116"/>
    <w:rsid w:val="00361441"/>
    <w:rsid w:val="00361B8B"/>
    <w:rsid w:val="00363F39"/>
    <w:rsid w:val="003640FC"/>
    <w:rsid w:val="0036445C"/>
    <w:rsid w:val="00364627"/>
    <w:rsid w:val="00364AB0"/>
    <w:rsid w:val="00364D71"/>
    <w:rsid w:val="0036601A"/>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5101"/>
    <w:rsid w:val="003A51BE"/>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68A3"/>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511"/>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B57"/>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4AB7"/>
    <w:rsid w:val="00465DE5"/>
    <w:rsid w:val="00466103"/>
    <w:rsid w:val="00467A83"/>
    <w:rsid w:val="00467EF8"/>
    <w:rsid w:val="00470006"/>
    <w:rsid w:val="00470611"/>
    <w:rsid w:val="00470848"/>
    <w:rsid w:val="00471AC3"/>
    <w:rsid w:val="00472429"/>
    <w:rsid w:val="0047253E"/>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15FA"/>
    <w:rsid w:val="00491FA1"/>
    <w:rsid w:val="00492A25"/>
    <w:rsid w:val="004938A3"/>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093"/>
    <w:rsid w:val="004C3940"/>
    <w:rsid w:val="004C51FD"/>
    <w:rsid w:val="004C5ED7"/>
    <w:rsid w:val="004C65A8"/>
    <w:rsid w:val="004C6689"/>
    <w:rsid w:val="004C6BF3"/>
    <w:rsid w:val="004C7408"/>
    <w:rsid w:val="004C7850"/>
    <w:rsid w:val="004D107E"/>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6D3"/>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38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C43"/>
    <w:rsid w:val="00554F78"/>
    <w:rsid w:val="00555C46"/>
    <w:rsid w:val="00555DA1"/>
    <w:rsid w:val="005562FB"/>
    <w:rsid w:val="00556731"/>
    <w:rsid w:val="00556BF7"/>
    <w:rsid w:val="00556E53"/>
    <w:rsid w:val="00557F60"/>
    <w:rsid w:val="00560D81"/>
    <w:rsid w:val="00561730"/>
    <w:rsid w:val="00561B97"/>
    <w:rsid w:val="00562149"/>
    <w:rsid w:val="0056248C"/>
    <w:rsid w:val="0056362D"/>
    <w:rsid w:val="005640EB"/>
    <w:rsid w:val="00565559"/>
    <w:rsid w:val="005666A4"/>
    <w:rsid w:val="00567B5D"/>
    <w:rsid w:val="00570593"/>
    <w:rsid w:val="00570757"/>
    <w:rsid w:val="0057257D"/>
    <w:rsid w:val="00573293"/>
    <w:rsid w:val="00573733"/>
    <w:rsid w:val="00573E08"/>
    <w:rsid w:val="00573F8B"/>
    <w:rsid w:val="005743E0"/>
    <w:rsid w:val="00574554"/>
    <w:rsid w:val="00574862"/>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E"/>
    <w:rsid w:val="00595D90"/>
    <w:rsid w:val="00596A6F"/>
    <w:rsid w:val="00596D11"/>
    <w:rsid w:val="00596FCE"/>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66"/>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C77D5"/>
    <w:rsid w:val="005D02E3"/>
    <w:rsid w:val="005D1F34"/>
    <w:rsid w:val="005D2C1F"/>
    <w:rsid w:val="005D34B2"/>
    <w:rsid w:val="005D3587"/>
    <w:rsid w:val="005D3B54"/>
    <w:rsid w:val="005D3E28"/>
    <w:rsid w:val="005D40CD"/>
    <w:rsid w:val="005D4C6F"/>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2"/>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5E8A"/>
    <w:rsid w:val="006364D7"/>
    <w:rsid w:val="00636554"/>
    <w:rsid w:val="006365AE"/>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AE0"/>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126"/>
    <w:rsid w:val="006F3231"/>
    <w:rsid w:val="006F3BEF"/>
    <w:rsid w:val="006F3DE3"/>
    <w:rsid w:val="006F4787"/>
    <w:rsid w:val="006F57E6"/>
    <w:rsid w:val="006F61D8"/>
    <w:rsid w:val="006F62B7"/>
    <w:rsid w:val="006F63E7"/>
    <w:rsid w:val="006F70BC"/>
    <w:rsid w:val="006F726C"/>
    <w:rsid w:val="006F7A22"/>
    <w:rsid w:val="006F7E7C"/>
    <w:rsid w:val="00700FF4"/>
    <w:rsid w:val="0070174E"/>
    <w:rsid w:val="007018DB"/>
    <w:rsid w:val="00701DE6"/>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E35"/>
    <w:rsid w:val="007230F8"/>
    <w:rsid w:val="007233F4"/>
    <w:rsid w:val="007235E3"/>
    <w:rsid w:val="0072381D"/>
    <w:rsid w:val="00723A10"/>
    <w:rsid w:val="00724044"/>
    <w:rsid w:val="00724120"/>
    <w:rsid w:val="007243F2"/>
    <w:rsid w:val="007248D3"/>
    <w:rsid w:val="00724DF8"/>
    <w:rsid w:val="00725137"/>
    <w:rsid w:val="00725378"/>
    <w:rsid w:val="00725C31"/>
    <w:rsid w:val="00727408"/>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87"/>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6FA"/>
    <w:rsid w:val="007648AD"/>
    <w:rsid w:val="0076504E"/>
    <w:rsid w:val="0076721D"/>
    <w:rsid w:val="0076767E"/>
    <w:rsid w:val="00767BFD"/>
    <w:rsid w:val="00767EA0"/>
    <w:rsid w:val="0077068F"/>
    <w:rsid w:val="00771EDF"/>
    <w:rsid w:val="00772530"/>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57E7"/>
    <w:rsid w:val="00796C05"/>
    <w:rsid w:val="00796F65"/>
    <w:rsid w:val="007A11C2"/>
    <w:rsid w:val="007A1781"/>
    <w:rsid w:val="007A18BB"/>
    <w:rsid w:val="007A2489"/>
    <w:rsid w:val="007A27DD"/>
    <w:rsid w:val="007A41BF"/>
    <w:rsid w:val="007A490A"/>
    <w:rsid w:val="007A5820"/>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47DBB"/>
    <w:rsid w:val="00850272"/>
    <w:rsid w:val="008506B9"/>
    <w:rsid w:val="0085086F"/>
    <w:rsid w:val="00850B42"/>
    <w:rsid w:val="00851822"/>
    <w:rsid w:val="00851C16"/>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59A"/>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5ECC"/>
    <w:rsid w:val="00876EAE"/>
    <w:rsid w:val="00877305"/>
    <w:rsid w:val="00877983"/>
    <w:rsid w:val="00880106"/>
    <w:rsid w:val="00880F95"/>
    <w:rsid w:val="00881EC0"/>
    <w:rsid w:val="00881EE2"/>
    <w:rsid w:val="00882910"/>
    <w:rsid w:val="00882B44"/>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623"/>
    <w:rsid w:val="00902A67"/>
    <w:rsid w:val="00902C5E"/>
    <w:rsid w:val="0090303D"/>
    <w:rsid w:val="00904BE4"/>
    <w:rsid w:val="0090504A"/>
    <w:rsid w:val="009051F5"/>
    <w:rsid w:val="00905221"/>
    <w:rsid w:val="0090530B"/>
    <w:rsid w:val="00905664"/>
    <w:rsid w:val="00905A7C"/>
    <w:rsid w:val="00905D7E"/>
    <w:rsid w:val="00907037"/>
    <w:rsid w:val="00907259"/>
    <w:rsid w:val="00907929"/>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A4"/>
    <w:rsid w:val="00921792"/>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24C9"/>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6D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CBC"/>
    <w:rsid w:val="00A75EF9"/>
    <w:rsid w:val="00A7642C"/>
    <w:rsid w:val="00A7657C"/>
    <w:rsid w:val="00A76B5E"/>
    <w:rsid w:val="00A76E4E"/>
    <w:rsid w:val="00A80A5D"/>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C06"/>
    <w:rsid w:val="00AB3147"/>
    <w:rsid w:val="00AB38CB"/>
    <w:rsid w:val="00AB3BEC"/>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69F0"/>
    <w:rsid w:val="00AD7127"/>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9C1"/>
    <w:rsid w:val="00AE4A3E"/>
    <w:rsid w:val="00AE4CCE"/>
    <w:rsid w:val="00AE5C6A"/>
    <w:rsid w:val="00AE7058"/>
    <w:rsid w:val="00AE7280"/>
    <w:rsid w:val="00AE7B5F"/>
    <w:rsid w:val="00AF01FA"/>
    <w:rsid w:val="00AF033A"/>
    <w:rsid w:val="00AF0516"/>
    <w:rsid w:val="00AF118E"/>
    <w:rsid w:val="00AF1658"/>
    <w:rsid w:val="00AF1699"/>
    <w:rsid w:val="00AF18D1"/>
    <w:rsid w:val="00AF1BA4"/>
    <w:rsid w:val="00AF1FD3"/>
    <w:rsid w:val="00AF2775"/>
    <w:rsid w:val="00AF2910"/>
    <w:rsid w:val="00AF34B8"/>
    <w:rsid w:val="00AF3896"/>
    <w:rsid w:val="00AF39C9"/>
    <w:rsid w:val="00AF3F97"/>
    <w:rsid w:val="00AF3FC2"/>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02D6"/>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5646"/>
    <w:rsid w:val="00B662FF"/>
    <w:rsid w:val="00B665B8"/>
    <w:rsid w:val="00B665F6"/>
    <w:rsid w:val="00B66679"/>
    <w:rsid w:val="00B70145"/>
    <w:rsid w:val="00B701C9"/>
    <w:rsid w:val="00B710AD"/>
    <w:rsid w:val="00B71288"/>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B9C"/>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0BC1"/>
    <w:rsid w:val="00B91146"/>
    <w:rsid w:val="00B913E4"/>
    <w:rsid w:val="00B91DB9"/>
    <w:rsid w:val="00B91FF3"/>
    <w:rsid w:val="00B925F8"/>
    <w:rsid w:val="00B9330A"/>
    <w:rsid w:val="00B93EFE"/>
    <w:rsid w:val="00B944B9"/>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554E"/>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2FF7"/>
    <w:rsid w:val="00C74035"/>
    <w:rsid w:val="00C748EA"/>
    <w:rsid w:val="00C76FB0"/>
    <w:rsid w:val="00C77818"/>
    <w:rsid w:val="00C8063F"/>
    <w:rsid w:val="00C81282"/>
    <w:rsid w:val="00C8155F"/>
    <w:rsid w:val="00C8198D"/>
    <w:rsid w:val="00C82167"/>
    <w:rsid w:val="00C827B4"/>
    <w:rsid w:val="00C831FE"/>
    <w:rsid w:val="00C83214"/>
    <w:rsid w:val="00C8329F"/>
    <w:rsid w:val="00C84E65"/>
    <w:rsid w:val="00C84F8A"/>
    <w:rsid w:val="00C85BA4"/>
    <w:rsid w:val="00C8618F"/>
    <w:rsid w:val="00C8625D"/>
    <w:rsid w:val="00C865AD"/>
    <w:rsid w:val="00C86612"/>
    <w:rsid w:val="00C87402"/>
    <w:rsid w:val="00C90372"/>
    <w:rsid w:val="00C9041F"/>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81A"/>
    <w:rsid w:val="00CE7B08"/>
    <w:rsid w:val="00CE7B7A"/>
    <w:rsid w:val="00CE7D52"/>
    <w:rsid w:val="00CF0AAA"/>
    <w:rsid w:val="00CF0AB7"/>
    <w:rsid w:val="00CF1D74"/>
    <w:rsid w:val="00CF26A3"/>
    <w:rsid w:val="00CF2BE2"/>
    <w:rsid w:val="00CF371A"/>
    <w:rsid w:val="00CF3791"/>
    <w:rsid w:val="00CF37C2"/>
    <w:rsid w:val="00CF3DE4"/>
    <w:rsid w:val="00CF3DEB"/>
    <w:rsid w:val="00CF55F9"/>
    <w:rsid w:val="00CF578D"/>
    <w:rsid w:val="00CF7074"/>
    <w:rsid w:val="00CF7495"/>
    <w:rsid w:val="00CF76D6"/>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08F"/>
    <w:rsid w:val="00D2015B"/>
    <w:rsid w:val="00D207E7"/>
    <w:rsid w:val="00D20B44"/>
    <w:rsid w:val="00D21168"/>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191"/>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4C"/>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B0C"/>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7A3C"/>
    <w:rsid w:val="00DB145E"/>
    <w:rsid w:val="00DB1A94"/>
    <w:rsid w:val="00DB1BE8"/>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22F5"/>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B9A"/>
    <w:rsid w:val="00E01C9C"/>
    <w:rsid w:val="00E01FF4"/>
    <w:rsid w:val="00E0219D"/>
    <w:rsid w:val="00E032D9"/>
    <w:rsid w:val="00E04482"/>
    <w:rsid w:val="00E04C0F"/>
    <w:rsid w:val="00E05510"/>
    <w:rsid w:val="00E0570B"/>
    <w:rsid w:val="00E05B1D"/>
    <w:rsid w:val="00E05B91"/>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2F39"/>
    <w:rsid w:val="00E24071"/>
    <w:rsid w:val="00E24142"/>
    <w:rsid w:val="00E24DCA"/>
    <w:rsid w:val="00E24EBC"/>
    <w:rsid w:val="00E2522C"/>
    <w:rsid w:val="00E2552F"/>
    <w:rsid w:val="00E2599B"/>
    <w:rsid w:val="00E2710C"/>
    <w:rsid w:val="00E272BD"/>
    <w:rsid w:val="00E27428"/>
    <w:rsid w:val="00E27E58"/>
    <w:rsid w:val="00E305B4"/>
    <w:rsid w:val="00E314CB"/>
    <w:rsid w:val="00E31AFA"/>
    <w:rsid w:val="00E31CB7"/>
    <w:rsid w:val="00E324EE"/>
    <w:rsid w:val="00E3367B"/>
    <w:rsid w:val="00E34DB1"/>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6F5F"/>
    <w:rsid w:val="00E67BFA"/>
    <w:rsid w:val="00E7004F"/>
    <w:rsid w:val="00E70615"/>
    <w:rsid w:val="00E7159E"/>
    <w:rsid w:val="00E7161E"/>
    <w:rsid w:val="00E71AAB"/>
    <w:rsid w:val="00E71BE3"/>
    <w:rsid w:val="00E72004"/>
    <w:rsid w:val="00E7207B"/>
    <w:rsid w:val="00E722CF"/>
    <w:rsid w:val="00E72880"/>
    <w:rsid w:val="00E7347A"/>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900DA"/>
    <w:rsid w:val="00E90496"/>
    <w:rsid w:val="00E91044"/>
    <w:rsid w:val="00E910D3"/>
    <w:rsid w:val="00E91CBA"/>
    <w:rsid w:val="00E92097"/>
    <w:rsid w:val="00E92154"/>
    <w:rsid w:val="00E923CF"/>
    <w:rsid w:val="00E93685"/>
    <w:rsid w:val="00E93B65"/>
    <w:rsid w:val="00E93C8C"/>
    <w:rsid w:val="00E95111"/>
    <w:rsid w:val="00E95FDF"/>
    <w:rsid w:val="00E960AD"/>
    <w:rsid w:val="00E9677F"/>
    <w:rsid w:val="00E96898"/>
    <w:rsid w:val="00E97043"/>
    <w:rsid w:val="00EA0185"/>
    <w:rsid w:val="00EA05B6"/>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2AF"/>
    <w:rsid w:val="00EB05D0"/>
    <w:rsid w:val="00EB1151"/>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424"/>
    <w:rsid w:val="00ED5F23"/>
    <w:rsid w:val="00ED6DC0"/>
    <w:rsid w:val="00ED7272"/>
    <w:rsid w:val="00ED7A7A"/>
    <w:rsid w:val="00EE0327"/>
    <w:rsid w:val="00EE038C"/>
    <w:rsid w:val="00EE064D"/>
    <w:rsid w:val="00EE105A"/>
    <w:rsid w:val="00EE1D00"/>
    <w:rsid w:val="00EE259E"/>
    <w:rsid w:val="00EE25C8"/>
    <w:rsid w:val="00EE28C5"/>
    <w:rsid w:val="00EE2F09"/>
    <w:rsid w:val="00EE47C5"/>
    <w:rsid w:val="00EE490C"/>
    <w:rsid w:val="00EE4E57"/>
    <w:rsid w:val="00EE5738"/>
    <w:rsid w:val="00EE58BD"/>
    <w:rsid w:val="00EE5DDB"/>
    <w:rsid w:val="00EE5E59"/>
    <w:rsid w:val="00EE5FA9"/>
    <w:rsid w:val="00EE73D0"/>
    <w:rsid w:val="00EE7CB0"/>
    <w:rsid w:val="00EE7CD1"/>
    <w:rsid w:val="00EF08A8"/>
    <w:rsid w:val="00EF167B"/>
    <w:rsid w:val="00EF1C90"/>
    <w:rsid w:val="00EF2496"/>
    <w:rsid w:val="00EF3BFF"/>
    <w:rsid w:val="00EF41A8"/>
    <w:rsid w:val="00EF44FB"/>
    <w:rsid w:val="00EF5122"/>
    <w:rsid w:val="00EF5554"/>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1BD"/>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B43"/>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E96"/>
    <w:rsid w:val="00FA5A92"/>
    <w:rsid w:val="00FA681F"/>
    <w:rsid w:val="00FB0261"/>
    <w:rsid w:val="00FB0CBF"/>
    <w:rsid w:val="00FB18F6"/>
    <w:rsid w:val="00FB2A52"/>
    <w:rsid w:val="00FB3961"/>
    <w:rsid w:val="00FB39E0"/>
    <w:rsid w:val="00FB3F92"/>
    <w:rsid w:val="00FB52C7"/>
    <w:rsid w:val="00FB57DC"/>
    <w:rsid w:val="00FB5915"/>
    <w:rsid w:val="00FB6E19"/>
    <w:rsid w:val="00FB71F6"/>
    <w:rsid w:val="00FB74F1"/>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3EA"/>
    <w:rsid w:val="00FD374D"/>
    <w:rsid w:val="00FD4D2A"/>
    <w:rsid w:val="00FD6071"/>
    <w:rsid w:val="00FD633B"/>
    <w:rsid w:val="00FD66ED"/>
    <w:rsid w:val="00FD6ABA"/>
    <w:rsid w:val="00FE0794"/>
    <w:rsid w:val="00FE1041"/>
    <w:rsid w:val="00FE1614"/>
    <w:rsid w:val="00FE24CB"/>
    <w:rsid w:val="00FE25B1"/>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149"/>
    <w:rsid w:val="00FF78E5"/>
    <w:rsid w:val="012C5FAF"/>
    <w:rsid w:val="01AF3D99"/>
    <w:rsid w:val="02511F9D"/>
    <w:rsid w:val="03A314B8"/>
    <w:rsid w:val="03D82B98"/>
    <w:rsid w:val="03F83E8B"/>
    <w:rsid w:val="04FE20AB"/>
    <w:rsid w:val="05B74B23"/>
    <w:rsid w:val="05C56868"/>
    <w:rsid w:val="07A539BD"/>
    <w:rsid w:val="07B72767"/>
    <w:rsid w:val="08077E72"/>
    <w:rsid w:val="08882DD0"/>
    <w:rsid w:val="091D4D2D"/>
    <w:rsid w:val="09CC2AAC"/>
    <w:rsid w:val="0A652D3E"/>
    <w:rsid w:val="0B326F2A"/>
    <w:rsid w:val="0BA7CADB"/>
    <w:rsid w:val="0C1E2888"/>
    <w:rsid w:val="0C6A432F"/>
    <w:rsid w:val="0C92213C"/>
    <w:rsid w:val="0CC2027E"/>
    <w:rsid w:val="0D84032B"/>
    <w:rsid w:val="0F2A74C4"/>
    <w:rsid w:val="10A27F31"/>
    <w:rsid w:val="10F96715"/>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AE6663D"/>
    <w:rsid w:val="1AFF0AFE"/>
    <w:rsid w:val="1B4F19F8"/>
    <w:rsid w:val="1BAA4D27"/>
    <w:rsid w:val="1D063C00"/>
    <w:rsid w:val="1ECC44FA"/>
    <w:rsid w:val="1F063325"/>
    <w:rsid w:val="1FBC5DF5"/>
    <w:rsid w:val="1FF90588"/>
    <w:rsid w:val="208F07C2"/>
    <w:rsid w:val="20C3623F"/>
    <w:rsid w:val="21781212"/>
    <w:rsid w:val="21B83F86"/>
    <w:rsid w:val="21FC059F"/>
    <w:rsid w:val="221178A8"/>
    <w:rsid w:val="221213CF"/>
    <w:rsid w:val="22327A92"/>
    <w:rsid w:val="231D53A2"/>
    <w:rsid w:val="236D5383"/>
    <w:rsid w:val="23B7504C"/>
    <w:rsid w:val="24571307"/>
    <w:rsid w:val="25110A2A"/>
    <w:rsid w:val="256C0944"/>
    <w:rsid w:val="26446DE3"/>
    <w:rsid w:val="26877DFE"/>
    <w:rsid w:val="269669E7"/>
    <w:rsid w:val="26A270C1"/>
    <w:rsid w:val="26D7699F"/>
    <w:rsid w:val="28C25934"/>
    <w:rsid w:val="29D75F7F"/>
    <w:rsid w:val="2B724B56"/>
    <w:rsid w:val="2B774624"/>
    <w:rsid w:val="2C571C81"/>
    <w:rsid w:val="2C7A72BE"/>
    <w:rsid w:val="2C9A7D75"/>
    <w:rsid w:val="2CC17412"/>
    <w:rsid w:val="2D7C1E99"/>
    <w:rsid w:val="2D962D7E"/>
    <w:rsid w:val="2DEF4571"/>
    <w:rsid w:val="2E9976CE"/>
    <w:rsid w:val="2EF01DEE"/>
    <w:rsid w:val="2EF901D3"/>
    <w:rsid w:val="2F401D3C"/>
    <w:rsid w:val="2F5B24E1"/>
    <w:rsid w:val="2F5D7E64"/>
    <w:rsid w:val="2FA95C88"/>
    <w:rsid w:val="3041370F"/>
    <w:rsid w:val="30B87FED"/>
    <w:rsid w:val="312B50A3"/>
    <w:rsid w:val="31894FD2"/>
    <w:rsid w:val="322C3CB1"/>
    <w:rsid w:val="32453A27"/>
    <w:rsid w:val="3263064A"/>
    <w:rsid w:val="32A43132"/>
    <w:rsid w:val="32AC0C06"/>
    <w:rsid w:val="33344EF5"/>
    <w:rsid w:val="33FFB707"/>
    <w:rsid w:val="3537750C"/>
    <w:rsid w:val="3537798C"/>
    <w:rsid w:val="35C13FC9"/>
    <w:rsid w:val="36372B05"/>
    <w:rsid w:val="364257B6"/>
    <w:rsid w:val="377FC262"/>
    <w:rsid w:val="37EA5922"/>
    <w:rsid w:val="38276B93"/>
    <w:rsid w:val="382E58B8"/>
    <w:rsid w:val="38AC3431"/>
    <w:rsid w:val="392F2E16"/>
    <w:rsid w:val="39D39968"/>
    <w:rsid w:val="39E00529"/>
    <w:rsid w:val="3A0B64A7"/>
    <w:rsid w:val="3A257964"/>
    <w:rsid w:val="3A574DDA"/>
    <w:rsid w:val="3AD3075A"/>
    <w:rsid w:val="3AF74C02"/>
    <w:rsid w:val="3BFAD838"/>
    <w:rsid w:val="3C0059A5"/>
    <w:rsid w:val="3C134E78"/>
    <w:rsid w:val="3C44609B"/>
    <w:rsid w:val="3D332398"/>
    <w:rsid w:val="3D67DC54"/>
    <w:rsid w:val="3DF6345D"/>
    <w:rsid w:val="3E2B5515"/>
    <w:rsid w:val="3E4D4F28"/>
    <w:rsid w:val="3E7A617F"/>
    <w:rsid w:val="3ED92EC4"/>
    <w:rsid w:val="3EE13701"/>
    <w:rsid w:val="3EFFA070"/>
    <w:rsid w:val="3F1A4BB3"/>
    <w:rsid w:val="400D1059"/>
    <w:rsid w:val="40192BA6"/>
    <w:rsid w:val="41766EA9"/>
    <w:rsid w:val="42550A18"/>
    <w:rsid w:val="429D496A"/>
    <w:rsid w:val="42F473A1"/>
    <w:rsid w:val="437217EA"/>
    <w:rsid w:val="43925BE2"/>
    <w:rsid w:val="43AB7156"/>
    <w:rsid w:val="441009D8"/>
    <w:rsid w:val="441E62C0"/>
    <w:rsid w:val="45325D14"/>
    <w:rsid w:val="45811C7C"/>
    <w:rsid w:val="45906116"/>
    <w:rsid w:val="45931B8C"/>
    <w:rsid w:val="45EF2552"/>
    <w:rsid w:val="468B3EFB"/>
    <w:rsid w:val="470A6193"/>
    <w:rsid w:val="47385210"/>
    <w:rsid w:val="475510F8"/>
    <w:rsid w:val="47DC4F5C"/>
    <w:rsid w:val="488322E7"/>
    <w:rsid w:val="48B40671"/>
    <w:rsid w:val="48E01E61"/>
    <w:rsid w:val="499B5738"/>
    <w:rsid w:val="499F244D"/>
    <w:rsid w:val="4A973F3F"/>
    <w:rsid w:val="4AEB2504"/>
    <w:rsid w:val="4AF96BC7"/>
    <w:rsid w:val="4B862A85"/>
    <w:rsid w:val="4BC845F3"/>
    <w:rsid w:val="4CEF36E2"/>
    <w:rsid w:val="4CEF4DC5"/>
    <w:rsid w:val="4DCFB903"/>
    <w:rsid w:val="4E257655"/>
    <w:rsid w:val="4F1E5CCF"/>
    <w:rsid w:val="4F372380"/>
    <w:rsid w:val="4F372FFB"/>
    <w:rsid w:val="4FF6A7A1"/>
    <w:rsid w:val="5025116D"/>
    <w:rsid w:val="52395ECD"/>
    <w:rsid w:val="524B066C"/>
    <w:rsid w:val="52817D5B"/>
    <w:rsid w:val="52C10D75"/>
    <w:rsid w:val="52F26CA4"/>
    <w:rsid w:val="53C27FF8"/>
    <w:rsid w:val="543F566E"/>
    <w:rsid w:val="546936AC"/>
    <w:rsid w:val="54806794"/>
    <w:rsid w:val="549E1A80"/>
    <w:rsid w:val="54C658F4"/>
    <w:rsid w:val="550C4BD7"/>
    <w:rsid w:val="554C1D56"/>
    <w:rsid w:val="55572986"/>
    <w:rsid w:val="557A2A35"/>
    <w:rsid w:val="565340FA"/>
    <w:rsid w:val="56AD5F59"/>
    <w:rsid w:val="56C60774"/>
    <w:rsid w:val="57AF0AE8"/>
    <w:rsid w:val="57B12A52"/>
    <w:rsid w:val="57EF62EE"/>
    <w:rsid w:val="59E309EE"/>
    <w:rsid w:val="5A2F2CC8"/>
    <w:rsid w:val="5B48305A"/>
    <w:rsid w:val="5B8D079B"/>
    <w:rsid w:val="5C10702D"/>
    <w:rsid w:val="5C152601"/>
    <w:rsid w:val="5C591F03"/>
    <w:rsid w:val="5C8A1B2F"/>
    <w:rsid w:val="5CDE240E"/>
    <w:rsid w:val="5D1A1C92"/>
    <w:rsid w:val="5EB92810"/>
    <w:rsid w:val="5F561B72"/>
    <w:rsid w:val="5FAA6092"/>
    <w:rsid w:val="5FB524FA"/>
    <w:rsid w:val="606007BB"/>
    <w:rsid w:val="60AC7F66"/>
    <w:rsid w:val="61BF10D9"/>
    <w:rsid w:val="62AC22DC"/>
    <w:rsid w:val="63A22BFD"/>
    <w:rsid w:val="642B10E5"/>
    <w:rsid w:val="64860269"/>
    <w:rsid w:val="64E45EF7"/>
    <w:rsid w:val="6691014E"/>
    <w:rsid w:val="66C87CCE"/>
    <w:rsid w:val="677435B2"/>
    <w:rsid w:val="67B13EAA"/>
    <w:rsid w:val="67EF75F1"/>
    <w:rsid w:val="680074AC"/>
    <w:rsid w:val="684F4F11"/>
    <w:rsid w:val="69124F16"/>
    <w:rsid w:val="69863E30"/>
    <w:rsid w:val="69CD5C14"/>
    <w:rsid w:val="69CF0D33"/>
    <w:rsid w:val="6B9946B3"/>
    <w:rsid w:val="6BE518DA"/>
    <w:rsid w:val="6BF07522"/>
    <w:rsid w:val="6C276F3A"/>
    <w:rsid w:val="6C7007C7"/>
    <w:rsid w:val="6DE76850"/>
    <w:rsid w:val="6F2F0361"/>
    <w:rsid w:val="6FB20BD4"/>
    <w:rsid w:val="6FBA59BE"/>
    <w:rsid w:val="6FF92664"/>
    <w:rsid w:val="70296B3E"/>
    <w:rsid w:val="70611204"/>
    <w:rsid w:val="7165620F"/>
    <w:rsid w:val="717039F8"/>
    <w:rsid w:val="721D4AB2"/>
    <w:rsid w:val="72297D6C"/>
    <w:rsid w:val="73FB30D7"/>
    <w:rsid w:val="74D13AD5"/>
    <w:rsid w:val="74FA2C30"/>
    <w:rsid w:val="754D5C4B"/>
    <w:rsid w:val="76C240A7"/>
    <w:rsid w:val="76DA416A"/>
    <w:rsid w:val="770B4BAE"/>
    <w:rsid w:val="775246B7"/>
    <w:rsid w:val="77EDFF5E"/>
    <w:rsid w:val="77F5559F"/>
    <w:rsid w:val="781E69D1"/>
    <w:rsid w:val="7901747F"/>
    <w:rsid w:val="79D60454"/>
    <w:rsid w:val="79E6392E"/>
    <w:rsid w:val="7A263B6B"/>
    <w:rsid w:val="7A5D0D05"/>
    <w:rsid w:val="7AF46346"/>
    <w:rsid w:val="7B0F5EBF"/>
    <w:rsid w:val="7B130FB9"/>
    <w:rsid w:val="7B892BA7"/>
    <w:rsid w:val="7BAB6FC2"/>
    <w:rsid w:val="7BD71E38"/>
    <w:rsid w:val="7BE7CA11"/>
    <w:rsid w:val="7BF64EDE"/>
    <w:rsid w:val="7C400C1E"/>
    <w:rsid w:val="7CCE5A9F"/>
    <w:rsid w:val="7D9E4DFA"/>
    <w:rsid w:val="7DD11708"/>
    <w:rsid w:val="7DEE4A4F"/>
    <w:rsid w:val="7E27546D"/>
    <w:rsid w:val="7E6CC026"/>
    <w:rsid w:val="7EAE6230"/>
    <w:rsid w:val="7EBD579E"/>
    <w:rsid w:val="7EC167BD"/>
    <w:rsid w:val="7EC50900"/>
    <w:rsid w:val="7F272D9E"/>
    <w:rsid w:val="7F941220"/>
    <w:rsid w:val="7FB323F0"/>
    <w:rsid w:val="7FDD5EA7"/>
    <w:rsid w:val="7FEFA4DC"/>
    <w:rsid w:val="7FFB979B"/>
    <w:rsid w:val="7FFCA31B"/>
    <w:rsid w:val="7FFF0876"/>
    <w:rsid w:val="8EFD79C1"/>
    <w:rsid w:val="9FB7CA06"/>
    <w:rsid w:val="9FBFFE11"/>
    <w:rsid w:val="9FFAD1AB"/>
    <w:rsid w:val="9FFE1324"/>
    <w:rsid w:val="A5DEFF5F"/>
    <w:rsid w:val="B72E4223"/>
    <w:rsid w:val="B7F76A68"/>
    <w:rsid w:val="BE6AD4EE"/>
    <w:rsid w:val="BFCF1353"/>
    <w:rsid w:val="D7FF002A"/>
    <w:rsid w:val="DB9FBBF2"/>
    <w:rsid w:val="DCDEA9D1"/>
    <w:rsid w:val="DECD774A"/>
    <w:rsid w:val="DFE78CE6"/>
    <w:rsid w:val="DFFEA74D"/>
    <w:rsid w:val="E7FF040B"/>
    <w:rsid w:val="EFFFD02D"/>
    <w:rsid w:val="F4E72BD6"/>
    <w:rsid w:val="F7AFF7D6"/>
    <w:rsid w:val="F7EBCFDB"/>
    <w:rsid w:val="F7FFB488"/>
    <w:rsid w:val="F9FD6FD7"/>
    <w:rsid w:val="FBFF6719"/>
    <w:rsid w:val="FC6F6696"/>
    <w:rsid w:val="FCDECDCD"/>
    <w:rsid w:val="FDD77343"/>
    <w:rsid w:val="FDFBCE36"/>
    <w:rsid w:val="FFCBF484"/>
    <w:rsid w:val="FFEA1F7A"/>
    <w:rsid w:val="FFF2AF88"/>
    <w:rsid w:val="FFFA0C59"/>
    <w:rsid w:val="FFFD4BFE"/>
    <w:rsid w:val="FFFFA95B"/>
    <w:rsid w:val="FFFFE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9"/>
    <w:pPr>
      <w:keepNext/>
      <w:keepLines/>
      <w:spacing w:line="360" w:lineRule="auto"/>
      <w:outlineLvl w:val="3"/>
    </w:pPr>
    <w:rPr>
      <w:rFonts w:ascii="Arial" w:hAnsi="Arial"/>
      <w:b/>
      <w:bCs/>
      <w:sz w:val="28"/>
      <w:szCs w:val="28"/>
    </w:rPr>
  </w:style>
  <w:style w:type="paragraph" w:styleId="6">
    <w:name w:val="heading 5"/>
    <w:basedOn w:val="1"/>
    <w:next w:val="7"/>
    <w:link w:val="58"/>
    <w:qFormat/>
    <w:uiPriority w:val="99"/>
    <w:pPr>
      <w:keepNext/>
      <w:keepLines/>
      <w:spacing w:before="280" w:after="290" w:line="376" w:lineRule="auto"/>
      <w:outlineLvl w:val="4"/>
    </w:pPr>
    <w:rPr>
      <w:b/>
      <w:bCs/>
      <w:sz w:val="28"/>
      <w:szCs w:val="28"/>
    </w:rPr>
  </w:style>
  <w:style w:type="paragraph" w:styleId="8">
    <w:name w:val="heading 6"/>
    <w:basedOn w:val="1"/>
    <w:next w:val="1"/>
    <w:link w:val="60"/>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61"/>
    <w:qFormat/>
    <w:uiPriority w:val="0"/>
    <w:pPr>
      <w:keepNext/>
      <w:keepLines/>
      <w:spacing w:before="240" w:after="64" w:line="317" w:lineRule="auto"/>
      <w:outlineLvl w:val="6"/>
    </w:pPr>
    <w:rPr>
      <w:b/>
      <w:bCs/>
      <w:kern w:val="0"/>
      <w:sz w:val="24"/>
    </w:rPr>
  </w:style>
  <w:style w:type="paragraph" w:styleId="10">
    <w:name w:val="heading 8"/>
    <w:basedOn w:val="1"/>
    <w:next w:val="1"/>
    <w:link w:val="62"/>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63"/>
    <w:qFormat/>
    <w:uiPriority w:val="0"/>
    <w:pPr>
      <w:keepNext/>
      <w:keepLines/>
      <w:spacing w:before="240" w:after="64" w:line="317" w:lineRule="auto"/>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64"/>
    <w:qFormat/>
    <w:uiPriority w:val="0"/>
    <w:pPr>
      <w:shd w:val="clear" w:color="auto" w:fill="000080"/>
    </w:pPr>
    <w:rPr>
      <w:sz w:val="24"/>
      <w:shd w:val="clear" w:color="auto" w:fill="000080"/>
    </w:rPr>
  </w:style>
  <w:style w:type="paragraph" w:styleId="17">
    <w:name w:val="annotation text"/>
    <w:basedOn w:val="1"/>
    <w:link w:val="65"/>
    <w:qFormat/>
    <w:uiPriority w:val="99"/>
    <w:pPr>
      <w:jc w:val="left"/>
    </w:pPr>
  </w:style>
  <w:style w:type="paragraph" w:styleId="18">
    <w:name w:val="Body Text 3"/>
    <w:basedOn w:val="1"/>
    <w:link w:val="66"/>
    <w:unhideWhenUsed/>
    <w:qFormat/>
    <w:uiPriority w:val="99"/>
    <w:pPr>
      <w:spacing w:after="120"/>
    </w:pPr>
    <w:rPr>
      <w:sz w:val="16"/>
      <w:szCs w:val="16"/>
    </w:rPr>
  </w:style>
  <w:style w:type="paragraph" w:styleId="19">
    <w:name w:val="Body Text"/>
    <w:basedOn w:val="1"/>
    <w:link w:val="67"/>
    <w:unhideWhenUsed/>
    <w:qFormat/>
    <w:uiPriority w:val="99"/>
    <w:pPr>
      <w:spacing w:after="120"/>
    </w:pPr>
  </w:style>
  <w:style w:type="paragraph" w:styleId="20">
    <w:name w:val="Body Text Indent"/>
    <w:basedOn w:val="1"/>
    <w:link w:val="68"/>
    <w:qFormat/>
    <w:uiPriority w:val="99"/>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1"/>
    <w:link w:val="69"/>
    <w:qFormat/>
    <w:uiPriority w:val="99"/>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70"/>
    <w:unhideWhenUsed/>
    <w:qFormat/>
    <w:uiPriority w:val="99"/>
    <w:pPr>
      <w:ind w:left="100" w:leftChars="2500"/>
    </w:pPr>
  </w:style>
  <w:style w:type="paragraph" w:styleId="28">
    <w:name w:val="Body Text Indent 2"/>
    <w:basedOn w:val="1"/>
    <w:link w:val="71"/>
    <w:qFormat/>
    <w:uiPriority w:val="99"/>
    <w:pPr>
      <w:spacing w:after="120" w:line="480" w:lineRule="auto"/>
      <w:ind w:left="420" w:leftChars="200"/>
    </w:pPr>
    <w:rPr>
      <w:sz w:val="24"/>
    </w:rPr>
  </w:style>
  <w:style w:type="paragraph" w:styleId="29">
    <w:name w:val="Balloon Text"/>
    <w:basedOn w:val="1"/>
    <w:link w:val="72"/>
    <w:qFormat/>
    <w:uiPriority w:val="0"/>
    <w:rPr>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75"/>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76"/>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unhideWhenUsed/>
    <w:qFormat/>
    <w:uiPriority w:val="0"/>
    <w:rPr>
      <w:rFonts w:ascii="Calibri" w:hAnsi="Calibri"/>
      <w:kern w:val="0"/>
      <w:sz w:val="24"/>
    </w:rPr>
  </w:style>
  <w:style w:type="paragraph" w:styleId="41">
    <w:name w:val="Title"/>
    <w:basedOn w:val="1"/>
    <w:next w:val="1"/>
    <w:link w:val="78"/>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79"/>
    <w:qFormat/>
    <w:uiPriority w:val="0"/>
    <w:rPr>
      <w:b/>
      <w:bCs/>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endnote reference"/>
    <w:unhideWhenUsed/>
    <w:qFormat/>
    <w:uiPriority w:val="99"/>
    <w:rPr>
      <w:vertAlign w:val="superscript"/>
    </w:rPr>
  </w:style>
  <w:style w:type="character" w:styleId="48">
    <w:name w:val="page number"/>
    <w:qFormat/>
    <w:uiPriority w:val="99"/>
  </w:style>
  <w:style w:type="character" w:styleId="49">
    <w:name w:val="FollowedHyperlink"/>
    <w:qFormat/>
    <w:uiPriority w:val="99"/>
    <w:rPr>
      <w:color w:val="800080"/>
      <w:u w:val="single"/>
    </w:rPr>
  </w:style>
  <w:style w:type="character" w:styleId="50">
    <w:name w:val="Emphasis"/>
    <w:qFormat/>
    <w:uiPriority w:val="99"/>
    <w:rPr>
      <w:i/>
      <w:iCs/>
    </w:rPr>
  </w:style>
  <w:style w:type="character" w:styleId="51">
    <w:name w:val="Hyperlink"/>
    <w:unhideWhenUsed/>
    <w:qFormat/>
    <w:uiPriority w:val="99"/>
    <w:rPr>
      <w:color w:val="0000FF"/>
      <w:u w:val="single"/>
    </w:rPr>
  </w:style>
  <w:style w:type="character" w:styleId="52">
    <w:name w:val="annotation reference"/>
    <w:qFormat/>
    <w:uiPriority w:val="0"/>
    <w:rPr>
      <w:sz w:val="21"/>
      <w:szCs w:val="21"/>
    </w:rPr>
  </w:style>
  <w:style w:type="character" w:styleId="53">
    <w:name w:val="footnote reference"/>
    <w:unhideWhenUsed/>
    <w:qFormat/>
    <w:uiPriority w:val="0"/>
    <w:rPr>
      <w:vertAlign w:val="superscript"/>
    </w:rPr>
  </w:style>
  <w:style w:type="character" w:customStyle="1" w:styleId="54">
    <w:name w:val="标题 1 Char"/>
    <w:link w:val="2"/>
    <w:qFormat/>
    <w:uiPriority w:val="0"/>
    <w:rPr>
      <w:b/>
      <w:bCs/>
      <w:kern w:val="44"/>
      <w:sz w:val="44"/>
      <w:szCs w:val="44"/>
    </w:rPr>
  </w:style>
  <w:style w:type="character" w:customStyle="1" w:styleId="55">
    <w:name w:val="标题 2 Char1"/>
    <w:link w:val="3"/>
    <w:qFormat/>
    <w:uiPriority w:val="9"/>
    <w:rPr>
      <w:rFonts w:ascii="Cambria" w:hAnsi="Cambria" w:eastAsia="宋体" w:cs="Times New Roman"/>
      <w:b/>
      <w:bCs/>
      <w:kern w:val="2"/>
      <w:sz w:val="32"/>
      <w:szCs w:val="32"/>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9"/>
    <w:rPr>
      <w:rFonts w:ascii="Arial" w:hAnsi="Arial"/>
      <w:b/>
      <w:bCs/>
      <w:kern w:val="2"/>
      <w:sz w:val="28"/>
      <w:szCs w:val="28"/>
    </w:rPr>
  </w:style>
  <w:style w:type="character" w:customStyle="1" w:styleId="58">
    <w:name w:val="标题 5 Char"/>
    <w:link w:val="6"/>
    <w:qFormat/>
    <w:uiPriority w:val="99"/>
    <w:rPr>
      <w:rFonts w:ascii="Times New Roman" w:hAnsi="Times New Roman"/>
      <w:b/>
      <w:bCs/>
      <w:kern w:val="2"/>
      <w:sz w:val="28"/>
      <w:szCs w:val="28"/>
    </w:rPr>
  </w:style>
  <w:style w:type="character" w:customStyle="1" w:styleId="59">
    <w:name w:val="正文缩进 Char"/>
    <w:link w:val="7"/>
    <w:qFormat/>
    <w:uiPriority w:val="99"/>
    <w:rPr>
      <w:kern w:val="2"/>
      <w:sz w:val="21"/>
    </w:rPr>
  </w:style>
  <w:style w:type="character" w:customStyle="1" w:styleId="60">
    <w:name w:val="标题 6 Char"/>
    <w:link w:val="8"/>
    <w:qFormat/>
    <w:uiPriority w:val="9"/>
    <w:rPr>
      <w:rFonts w:ascii="Cambria" w:hAnsi="Cambria"/>
      <w:b/>
      <w:bCs/>
      <w:sz w:val="24"/>
      <w:szCs w:val="24"/>
    </w:rPr>
  </w:style>
  <w:style w:type="character" w:customStyle="1" w:styleId="61">
    <w:name w:val="标题 7 Char"/>
    <w:link w:val="9"/>
    <w:qFormat/>
    <w:uiPriority w:val="0"/>
    <w:rPr>
      <w:b/>
      <w:bCs/>
      <w:sz w:val="24"/>
      <w:szCs w:val="24"/>
    </w:rPr>
  </w:style>
  <w:style w:type="character" w:customStyle="1" w:styleId="62">
    <w:name w:val="标题 8 Char1"/>
    <w:link w:val="10"/>
    <w:semiHidden/>
    <w:qFormat/>
    <w:uiPriority w:val="9"/>
    <w:rPr>
      <w:rFonts w:ascii="等线 Light" w:hAnsi="等线 Light" w:eastAsia="等线 Light" w:cs="Times New Roman"/>
      <w:kern w:val="2"/>
      <w:sz w:val="24"/>
      <w:szCs w:val="24"/>
    </w:rPr>
  </w:style>
  <w:style w:type="character" w:customStyle="1" w:styleId="63">
    <w:name w:val="标题 9 Char"/>
    <w:link w:val="11"/>
    <w:qFormat/>
    <w:uiPriority w:val="0"/>
    <w:rPr>
      <w:rFonts w:ascii="Cambria" w:hAnsi="Cambria"/>
      <w:szCs w:val="21"/>
    </w:rPr>
  </w:style>
  <w:style w:type="character" w:customStyle="1" w:styleId="64">
    <w:name w:val="文档结构图 Char"/>
    <w:link w:val="16"/>
    <w:qFormat/>
    <w:uiPriority w:val="0"/>
    <w:rPr>
      <w:kern w:val="2"/>
      <w:sz w:val="24"/>
      <w:szCs w:val="24"/>
      <w:shd w:val="clear" w:color="auto" w:fill="000080"/>
    </w:rPr>
  </w:style>
  <w:style w:type="character" w:customStyle="1" w:styleId="65">
    <w:name w:val="批注文字 Char1"/>
    <w:link w:val="17"/>
    <w:qFormat/>
    <w:uiPriority w:val="99"/>
    <w:rPr>
      <w:rFonts w:ascii="Times New Roman" w:hAnsi="Times New Roman"/>
      <w:kern w:val="2"/>
      <w:sz w:val="21"/>
      <w:szCs w:val="24"/>
    </w:rPr>
  </w:style>
  <w:style w:type="character" w:customStyle="1" w:styleId="66">
    <w:name w:val="正文文本 3 Char"/>
    <w:link w:val="18"/>
    <w:semiHidden/>
    <w:qFormat/>
    <w:uiPriority w:val="99"/>
    <w:rPr>
      <w:kern w:val="2"/>
      <w:sz w:val="16"/>
      <w:szCs w:val="16"/>
    </w:rPr>
  </w:style>
  <w:style w:type="character" w:customStyle="1" w:styleId="67">
    <w:name w:val="正文文本 Char1"/>
    <w:link w:val="19"/>
    <w:qFormat/>
    <w:uiPriority w:val="99"/>
    <w:rPr>
      <w:rFonts w:ascii="Times New Roman" w:hAnsi="Times New Roman"/>
      <w:kern w:val="2"/>
      <w:sz w:val="21"/>
      <w:szCs w:val="24"/>
    </w:rPr>
  </w:style>
  <w:style w:type="character" w:customStyle="1" w:styleId="68">
    <w:name w:val="正文文本缩进 Char"/>
    <w:link w:val="20"/>
    <w:qFormat/>
    <w:uiPriority w:val="99"/>
    <w:rPr>
      <w:rFonts w:ascii="仿宋_GB2312" w:hAnsi="Times New Roman" w:eastAsia="仿宋_GB2312" w:cs="Times New Roman"/>
      <w:sz w:val="32"/>
      <w:szCs w:val="20"/>
    </w:rPr>
  </w:style>
  <w:style w:type="character" w:customStyle="1" w:styleId="69">
    <w:name w:val="纯文本 Char1"/>
    <w:link w:val="25"/>
    <w:qFormat/>
    <w:uiPriority w:val="99"/>
    <w:rPr>
      <w:rFonts w:ascii="宋体" w:hAnsi="Courier New" w:eastAsia="宋体" w:cs="Courier New"/>
      <w:szCs w:val="21"/>
    </w:rPr>
  </w:style>
  <w:style w:type="character" w:customStyle="1" w:styleId="70">
    <w:name w:val="日期 Char"/>
    <w:link w:val="27"/>
    <w:qFormat/>
    <w:uiPriority w:val="99"/>
    <w:rPr>
      <w:rFonts w:ascii="Times New Roman" w:hAnsi="Times New Roman"/>
      <w:kern w:val="2"/>
      <w:sz w:val="21"/>
      <w:szCs w:val="24"/>
    </w:rPr>
  </w:style>
  <w:style w:type="character" w:customStyle="1" w:styleId="71">
    <w:name w:val="正文文本缩进 2 Char"/>
    <w:link w:val="28"/>
    <w:qFormat/>
    <w:uiPriority w:val="99"/>
    <w:rPr>
      <w:kern w:val="2"/>
      <w:sz w:val="24"/>
      <w:szCs w:val="24"/>
    </w:rPr>
  </w:style>
  <w:style w:type="character" w:customStyle="1" w:styleId="72">
    <w:name w:val="批注框文本 Char"/>
    <w:link w:val="29"/>
    <w:qFormat/>
    <w:locked/>
    <w:uiPriority w:val="0"/>
    <w:rPr>
      <w:kern w:val="2"/>
      <w:sz w:val="18"/>
      <w:szCs w:val="18"/>
    </w:rPr>
  </w:style>
  <w:style w:type="character" w:customStyle="1" w:styleId="73">
    <w:name w:val="页脚 Char"/>
    <w:link w:val="30"/>
    <w:qFormat/>
    <w:uiPriority w:val="99"/>
    <w:rPr>
      <w:sz w:val="18"/>
      <w:szCs w:val="18"/>
    </w:rPr>
  </w:style>
  <w:style w:type="character" w:customStyle="1" w:styleId="74">
    <w:name w:val="页眉 Char"/>
    <w:link w:val="31"/>
    <w:qFormat/>
    <w:uiPriority w:val="0"/>
    <w:rPr>
      <w:sz w:val="18"/>
      <w:szCs w:val="18"/>
    </w:rPr>
  </w:style>
  <w:style w:type="character" w:customStyle="1" w:styleId="75">
    <w:name w:val="副标题 Char"/>
    <w:link w:val="34"/>
    <w:qFormat/>
    <w:uiPriority w:val="11"/>
    <w:rPr>
      <w:rFonts w:ascii="Cambria" w:hAnsi="Cambria"/>
      <w:b/>
      <w:bCs/>
      <w:kern w:val="28"/>
      <w:sz w:val="32"/>
      <w:szCs w:val="32"/>
    </w:rPr>
  </w:style>
  <w:style w:type="character" w:customStyle="1" w:styleId="76">
    <w:name w:val="脚注文本 Char"/>
    <w:link w:val="35"/>
    <w:semiHidden/>
    <w:qFormat/>
    <w:uiPriority w:val="0"/>
    <w:rPr>
      <w:sz w:val="18"/>
      <w:szCs w:val="18"/>
    </w:rPr>
  </w:style>
  <w:style w:type="character" w:customStyle="1" w:styleId="77">
    <w:name w:val="HTML 预设格式 Char"/>
    <w:link w:val="39"/>
    <w:qFormat/>
    <w:uiPriority w:val="99"/>
    <w:rPr>
      <w:rFonts w:ascii="宋体" w:hAnsi="宋体"/>
      <w:sz w:val="24"/>
      <w:szCs w:val="24"/>
    </w:rPr>
  </w:style>
  <w:style w:type="character" w:customStyle="1" w:styleId="78">
    <w:name w:val="标题 Char"/>
    <w:link w:val="41"/>
    <w:qFormat/>
    <w:uiPriority w:val="0"/>
    <w:rPr>
      <w:rFonts w:ascii="Cambria" w:hAnsi="Cambria"/>
      <w:b/>
      <w:bCs/>
      <w:kern w:val="2"/>
      <w:sz w:val="32"/>
      <w:szCs w:val="32"/>
    </w:rPr>
  </w:style>
  <w:style w:type="character" w:customStyle="1" w:styleId="79">
    <w:name w:val="批注主题 Char"/>
    <w:link w:val="42"/>
    <w:qFormat/>
    <w:uiPriority w:val="0"/>
    <w:rPr>
      <w:rFonts w:ascii="Times New Roman" w:hAnsi="Times New Roman"/>
      <w:b/>
      <w:bCs/>
      <w:kern w:val="2"/>
      <w:sz w:val="21"/>
      <w:szCs w:val="24"/>
    </w:rPr>
  </w:style>
  <w:style w:type="character" w:customStyle="1" w:styleId="80">
    <w:name w:val="标题 1 字符1"/>
    <w:qFormat/>
    <w:uiPriority w:val="0"/>
    <w:rPr>
      <w:b/>
      <w:bCs/>
      <w:kern w:val="44"/>
      <w:sz w:val="44"/>
      <w:szCs w:val="44"/>
    </w:rPr>
  </w:style>
  <w:style w:type="character" w:customStyle="1" w:styleId="81">
    <w:name w:val="textcontents"/>
    <w:qFormat/>
    <w:uiPriority w:val="99"/>
  </w:style>
  <w:style w:type="character" w:customStyle="1" w:styleId="82">
    <w:name w:val="批注文字 Char"/>
    <w:qFormat/>
    <w:uiPriority w:val="0"/>
    <w:rPr>
      <w:rFonts w:ascii="Times New Roman" w:hAnsi="Times New Roman"/>
      <w:kern w:val="2"/>
      <w:sz w:val="21"/>
      <w:szCs w:val="24"/>
    </w:rPr>
  </w:style>
  <w:style w:type="character" w:customStyle="1" w:styleId="83">
    <w:name w:val="纯文本 字符"/>
    <w:qFormat/>
    <w:uiPriority w:val="0"/>
    <w:rPr>
      <w:rFonts w:ascii="宋体" w:hAnsi="Courier New" w:eastAsia="宋体" w:cs="Courier New"/>
      <w:szCs w:val="21"/>
    </w:rPr>
  </w:style>
  <w:style w:type="character" w:customStyle="1" w:styleId="84">
    <w:name w:val="纯文本 Char"/>
    <w:qFormat/>
    <w:uiPriority w:val="0"/>
    <w:rPr>
      <w:rFonts w:ascii="宋体" w:hAnsi="Courier New" w:eastAsia="宋体" w:cs="Courier New"/>
      <w:szCs w:val="21"/>
    </w:rPr>
  </w:style>
  <w:style w:type="character" w:customStyle="1" w:styleId="85">
    <w:name w:val="纯文本 字符2"/>
    <w:qFormat/>
    <w:uiPriority w:val="0"/>
    <w:rPr>
      <w:rFonts w:ascii="宋体" w:hAnsi="Courier New" w:eastAsia="宋体" w:cs="Courier New"/>
      <w:szCs w:val="21"/>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纯文本 字符1"/>
    <w:qFormat/>
    <w:uiPriority w:val="0"/>
    <w:rPr>
      <w:rFonts w:ascii="宋体" w:hAnsi="Courier New"/>
    </w:rPr>
  </w:style>
  <w:style w:type="character" w:customStyle="1" w:styleId="89">
    <w:name w:val="正文文本 Char"/>
    <w:qFormat/>
    <w:uiPriority w:val="0"/>
    <w:rPr>
      <w:rFonts w:ascii="Times New Roman" w:hAnsi="Times New Roman"/>
      <w:kern w:val="2"/>
      <w:sz w:val="21"/>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标题 2 Char"/>
    <w:qFormat/>
    <w:uiPriority w:val="0"/>
    <w:rPr>
      <w:rFonts w:ascii="Cambria" w:hAnsi="Cambria" w:eastAsia="宋体" w:cs="Times New Roman"/>
      <w:b/>
      <w:bCs/>
      <w:kern w:val="2"/>
      <w:sz w:val="32"/>
      <w:szCs w:val="32"/>
    </w:rPr>
  </w:style>
  <w:style w:type="character" w:customStyle="1" w:styleId="92">
    <w:name w:val="标题 8 Char"/>
    <w:qFormat/>
    <w:uiPriority w:val="9"/>
    <w:rPr>
      <w:rFonts w:ascii="Arial" w:hAnsi="Arial" w:eastAsia="黑体"/>
      <w:kern w:val="2"/>
      <w:sz w:val="24"/>
      <w:szCs w:val="24"/>
    </w:rPr>
  </w:style>
  <w:style w:type="character" w:customStyle="1" w:styleId="93">
    <w:name w:val="apple-style-span"/>
    <w:qFormat/>
    <w:uiPriority w:val="0"/>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96">
    <w:name w:val="List Paragraph"/>
    <w:basedOn w:val="1"/>
    <w:qFormat/>
    <w:uiPriority w:val="99"/>
    <w:pPr>
      <w:ind w:firstLine="420" w:firstLineChars="200"/>
    </w:pPr>
  </w:style>
  <w:style w:type="paragraph" w:customStyle="1" w:styleId="97">
    <w:name w:val="Table Paragraph"/>
    <w:basedOn w:val="1"/>
    <w:qFormat/>
    <w:uiPriority w:val="1"/>
    <w:pPr>
      <w:jc w:val="left"/>
    </w:pPr>
    <w:rPr>
      <w:rFonts w:ascii="Calibri" w:hAnsi="Calibri"/>
      <w:kern w:val="0"/>
      <w:sz w:val="22"/>
      <w:szCs w:val="22"/>
      <w:lang w:eastAsia="en-US"/>
    </w:rPr>
  </w:style>
  <w:style w:type="character" w:customStyle="1" w:styleId="98">
    <w:name w:val="正文文本 字符"/>
    <w:qFormat/>
    <w:uiPriority w:val="0"/>
    <w:rPr>
      <w:rFonts w:ascii="Times New Roman" w:hAnsi="Times New Roman"/>
      <w:kern w:val="2"/>
      <w:sz w:val="21"/>
      <w:szCs w:val="24"/>
    </w:rPr>
  </w:style>
  <w:style w:type="character" w:customStyle="1" w:styleId="99">
    <w:name w:val="批注文字 Char2"/>
    <w:qFormat/>
    <w:uiPriority w:val="0"/>
    <w:rPr>
      <w:rFonts w:ascii="Times New Roman" w:hAnsi="Times New Roman"/>
      <w:kern w:val="2"/>
      <w:sz w:val="21"/>
      <w:szCs w:val="24"/>
    </w:rPr>
  </w:style>
  <w:style w:type="character" w:customStyle="1" w:styleId="100">
    <w:name w:val="正文2 Char Char"/>
    <w:link w:val="101"/>
    <w:qFormat/>
    <w:uiPriority w:val="0"/>
    <w:rPr>
      <w:kern w:val="2"/>
      <w:sz w:val="24"/>
    </w:rPr>
  </w:style>
  <w:style w:type="paragraph" w:customStyle="1" w:styleId="101">
    <w:name w:val="正文2"/>
    <w:basedOn w:val="1"/>
    <w:link w:val="100"/>
    <w:qFormat/>
    <w:uiPriority w:val="0"/>
    <w:pPr>
      <w:adjustRightInd w:val="0"/>
      <w:spacing w:before="156" w:line="360" w:lineRule="auto"/>
      <w:ind w:firstLine="510" w:firstLineChars="200"/>
    </w:pPr>
    <w:rPr>
      <w:sz w:val="24"/>
      <w:szCs w:val="20"/>
    </w:rPr>
  </w:style>
  <w:style w:type="character" w:customStyle="1" w:styleId="102">
    <w:name w:val="批注文字 Char Char"/>
    <w:qFormat/>
    <w:uiPriority w:val="99"/>
    <w:rPr>
      <w:rFonts w:ascii="宋体" w:hAnsi="Times New Roman" w:eastAsia="宋体" w:cs="宋体"/>
      <w:sz w:val="20"/>
      <w:szCs w:val="20"/>
    </w:rPr>
  </w:style>
  <w:style w:type="character" w:customStyle="1" w:styleId="103">
    <w:name w:val="Heading 3 Char"/>
    <w:qFormat/>
    <w:uiPriority w:val="99"/>
    <w:rPr>
      <w:b/>
      <w:bCs/>
      <w:kern w:val="2"/>
      <w:sz w:val="32"/>
      <w:szCs w:val="32"/>
    </w:rPr>
  </w:style>
  <w:style w:type="character" w:customStyle="1" w:styleId="104">
    <w:name w:val="Heading 2 Char"/>
    <w:qFormat/>
    <w:uiPriority w:val="99"/>
    <w:rPr>
      <w:rFonts w:ascii="Arial" w:hAnsi="Arial" w:eastAsia="黑体" w:cs="Arial"/>
      <w:b/>
      <w:bCs/>
      <w:kern w:val="2"/>
      <w:sz w:val="32"/>
      <w:szCs w:val="32"/>
      <w:lang w:val="en-US" w:eastAsia="zh-CN"/>
    </w:rPr>
  </w:style>
  <w:style w:type="character" w:customStyle="1" w:styleId="105">
    <w:name w:val="Balloon Text Char"/>
    <w:qFormat/>
    <w:uiPriority w:val="99"/>
    <w:rPr>
      <w:sz w:val="18"/>
      <w:szCs w:val="18"/>
    </w:rPr>
  </w:style>
  <w:style w:type="character" w:customStyle="1" w:styleId="106">
    <w:name w:val="文档结构图 Char1"/>
    <w:qFormat/>
    <w:uiPriority w:val="99"/>
    <w:rPr>
      <w:rFonts w:ascii="宋体" w:hAnsi="Times New Roman" w:eastAsia="宋体" w:cs="宋体"/>
      <w:sz w:val="18"/>
      <w:szCs w:val="18"/>
    </w:rPr>
  </w:style>
  <w:style w:type="character" w:customStyle="1" w:styleId="107">
    <w:name w:val="Footnote Text Char"/>
    <w:qFormat/>
    <w:uiPriority w:val="99"/>
    <w:rPr>
      <w:rFonts w:eastAsia="宋体"/>
      <w:sz w:val="18"/>
      <w:szCs w:val="18"/>
      <w:lang w:val="en-US" w:eastAsia="zh-CN"/>
    </w:rPr>
  </w:style>
  <w:style w:type="character" w:customStyle="1" w:styleId="108">
    <w:name w:val="Char Char21"/>
    <w:qFormat/>
    <w:uiPriority w:val="99"/>
    <w:rPr>
      <w:rFonts w:ascii="Arial" w:hAnsi="Arial" w:eastAsia="黑体" w:cs="Arial"/>
      <w:b/>
      <w:bCs/>
      <w:sz w:val="32"/>
      <w:szCs w:val="32"/>
    </w:rPr>
  </w:style>
  <w:style w:type="character" w:customStyle="1" w:styleId="109">
    <w:name w:val="Body Text Indent Char"/>
    <w:qFormat/>
    <w:uiPriority w:val="99"/>
    <w:rPr>
      <w:rFonts w:ascii="宋体" w:hAnsi="宋体" w:eastAsia="宋体" w:cs="宋体"/>
      <w:kern w:val="2"/>
      <w:sz w:val="21"/>
      <w:szCs w:val="21"/>
      <w:lang w:val="en-US" w:eastAsia="zh-CN"/>
    </w:rPr>
  </w:style>
  <w:style w:type="character" w:customStyle="1" w:styleId="110">
    <w:name w:val="不明显参考1"/>
    <w:qFormat/>
    <w:uiPriority w:val="99"/>
    <w:rPr>
      <w:smallCaps/>
      <w:color w:val="auto"/>
      <w:u w:val="single"/>
    </w:rPr>
  </w:style>
  <w:style w:type="character" w:customStyle="1" w:styleId="111">
    <w:name w:val="Heading 4 Char"/>
    <w:qFormat/>
    <w:uiPriority w:val="99"/>
    <w:rPr>
      <w:rFonts w:ascii="Arial" w:hAnsi="Arial" w:eastAsia="宋体" w:cs="Arial"/>
      <w:b/>
      <w:bCs/>
      <w:kern w:val="2"/>
      <w:sz w:val="28"/>
      <w:szCs w:val="28"/>
      <w:lang w:val="en-US" w:eastAsia="zh-CN"/>
    </w:rPr>
  </w:style>
  <w:style w:type="character" w:customStyle="1" w:styleId="112">
    <w:name w:val="Char Char20"/>
    <w:qFormat/>
    <w:uiPriority w:val="99"/>
    <w:rPr>
      <w:rFonts w:ascii="Times New Roman" w:hAnsi="Times New Roman" w:eastAsia="宋体" w:cs="Times New Roman"/>
      <w:b/>
      <w:bCs/>
      <w:sz w:val="32"/>
      <w:szCs w:val="32"/>
    </w:rPr>
  </w:style>
  <w:style w:type="character" w:customStyle="1" w:styleId="113">
    <w:name w:val="Comment Subject Char"/>
    <w:qFormat/>
    <w:uiPriority w:val="99"/>
    <w:rPr>
      <w:b/>
      <w:bCs/>
      <w:sz w:val="24"/>
      <w:szCs w:val="24"/>
    </w:rPr>
  </w:style>
  <w:style w:type="character" w:customStyle="1" w:styleId="114">
    <w:name w:val="Heading 1 Char"/>
    <w:qFormat/>
    <w:uiPriority w:val="99"/>
    <w:rPr>
      <w:rFonts w:eastAsia="宋体"/>
      <w:b/>
      <w:bCs/>
      <w:kern w:val="44"/>
      <w:sz w:val="44"/>
      <w:szCs w:val="44"/>
      <w:lang w:val="en-US" w:eastAsia="zh-CN"/>
    </w:rPr>
  </w:style>
  <w:style w:type="character" w:customStyle="1" w:styleId="115">
    <w:name w:val="批注框文本 Char1"/>
    <w:qFormat/>
    <w:uiPriority w:val="99"/>
    <w:rPr>
      <w:rFonts w:ascii="Times New Roman" w:hAnsi="Times New Roman" w:eastAsia="宋体" w:cs="Times New Roman"/>
      <w:sz w:val="18"/>
      <w:szCs w:val="18"/>
    </w:rPr>
  </w:style>
  <w:style w:type="character" w:customStyle="1" w:styleId="116">
    <w:name w:val="Char Char6"/>
    <w:qFormat/>
    <w:uiPriority w:val="99"/>
    <w:rPr>
      <w:rFonts w:eastAsia="宋体"/>
      <w:b/>
      <w:bCs/>
      <w:kern w:val="44"/>
      <w:sz w:val="44"/>
      <w:szCs w:val="44"/>
      <w:lang w:val="en-US" w:eastAsia="zh-CN"/>
    </w:rPr>
  </w:style>
  <w:style w:type="character" w:customStyle="1" w:styleId="117">
    <w:name w:val="Char Char18"/>
    <w:qFormat/>
    <w:uiPriority w:val="99"/>
    <w:rPr>
      <w:rFonts w:ascii="Times New Roman" w:hAnsi="Times New Roman" w:eastAsia="宋体" w:cs="Times New Roman"/>
      <w:b/>
      <w:bCs/>
      <w:sz w:val="28"/>
      <w:szCs w:val="28"/>
    </w:rPr>
  </w:style>
  <w:style w:type="character" w:customStyle="1" w:styleId="118">
    <w:name w:val="Body Text Indent 2 Char"/>
    <w:qFormat/>
    <w:uiPriority w:val="99"/>
    <w:rPr>
      <w:rFonts w:eastAsia="宋体"/>
      <w:kern w:val="2"/>
      <w:sz w:val="24"/>
      <w:szCs w:val="24"/>
      <w:lang w:val="en-US" w:eastAsia="zh-CN"/>
    </w:rPr>
  </w:style>
  <w:style w:type="character" w:customStyle="1" w:styleId="119">
    <w:name w:val="Comment Text Char1"/>
    <w:qFormat/>
    <w:uiPriority w:val="99"/>
    <w:rPr>
      <w:sz w:val="24"/>
      <w:szCs w:val="24"/>
    </w:rPr>
  </w:style>
  <w:style w:type="character" w:customStyle="1" w:styleId="120">
    <w:name w:val="标题5 Char Char"/>
    <w:link w:val="121"/>
    <w:qFormat/>
    <w:locked/>
    <w:uiPriority w:val="99"/>
    <w:rPr>
      <w:rFonts w:ascii="Arial" w:hAnsi="Arial" w:cs="Arial"/>
      <w:b/>
      <w:bCs/>
      <w:sz w:val="32"/>
      <w:szCs w:val="32"/>
    </w:rPr>
  </w:style>
  <w:style w:type="paragraph" w:customStyle="1" w:styleId="121">
    <w:name w:val="标题5"/>
    <w:basedOn w:val="4"/>
    <w:link w:val="120"/>
    <w:qFormat/>
    <w:uiPriority w:val="99"/>
    <w:pPr>
      <w:spacing w:line="413" w:lineRule="auto"/>
    </w:pPr>
    <w:rPr>
      <w:rFonts w:ascii="Arial" w:hAnsi="Arial"/>
      <w:kern w:val="0"/>
    </w:rPr>
  </w:style>
  <w:style w:type="character" w:customStyle="1" w:styleId="122">
    <w:name w:val="批注主题 Char1"/>
    <w:qFormat/>
    <w:uiPriority w:val="99"/>
    <w:rPr>
      <w:rFonts w:ascii="Times New Roman" w:hAnsi="Times New Roman" w:eastAsia="宋体" w:cs="Times New Roman"/>
      <w:b/>
      <w:bCs/>
      <w:sz w:val="24"/>
      <w:szCs w:val="24"/>
    </w:rPr>
  </w:style>
  <w:style w:type="character" w:customStyle="1" w:styleId="123">
    <w:name w:val="Char Char24"/>
    <w:qFormat/>
    <w:uiPriority w:val="99"/>
    <w:rPr>
      <w:rFonts w:eastAsia="宋体"/>
      <w:b/>
      <w:bCs/>
      <w:kern w:val="44"/>
      <w:sz w:val="44"/>
      <w:szCs w:val="44"/>
      <w:lang w:val="en-US" w:eastAsia="zh-CN"/>
    </w:rPr>
  </w:style>
  <w:style w:type="character" w:customStyle="1" w:styleId="124">
    <w:name w:val="Footer Char"/>
    <w:qFormat/>
    <w:uiPriority w:val="99"/>
    <w:rPr>
      <w:rFonts w:eastAsia="宋体"/>
      <w:kern w:val="2"/>
      <w:sz w:val="18"/>
      <w:szCs w:val="18"/>
      <w:lang w:val="en-US" w:eastAsia="zh-CN"/>
    </w:rPr>
  </w:style>
  <w:style w:type="character" w:customStyle="1" w:styleId="125">
    <w:name w:val="Char Char9"/>
    <w:qFormat/>
    <w:uiPriority w:val="99"/>
    <w:rPr>
      <w:rFonts w:eastAsia="宋体"/>
      <w:b/>
      <w:bCs/>
      <w:kern w:val="44"/>
      <w:sz w:val="44"/>
      <w:szCs w:val="44"/>
      <w:lang w:val="en-US" w:eastAsia="zh-CN"/>
    </w:rPr>
  </w:style>
  <w:style w:type="character" w:customStyle="1" w:styleId="126">
    <w:name w:val="Heading 3 Char1"/>
    <w:qFormat/>
    <w:uiPriority w:val="99"/>
    <w:rPr>
      <w:rFonts w:eastAsia="宋体"/>
      <w:b/>
      <w:bCs/>
      <w:kern w:val="2"/>
      <w:sz w:val="32"/>
      <w:szCs w:val="32"/>
      <w:lang w:val="en-US" w:eastAsia="zh-CN"/>
    </w:rPr>
  </w:style>
  <w:style w:type="character" w:customStyle="1" w:styleId="127">
    <w:name w:val="Document Map Char"/>
    <w:qFormat/>
    <w:uiPriority w:val="99"/>
    <w:rPr>
      <w:rFonts w:eastAsia="宋体"/>
      <w:kern w:val="2"/>
      <w:sz w:val="24"/>
      <w:szCs w:val="24"/>
      <w:lang w:val="en-US" w:eastAsia="zh-CN"/>
    </w:rPr>
  </w:style>
  <w:style w:type="character" w:customStyle="1" w:styleId="128">
    <w:name w:val="标题 Char1"/>
    <w:qFormat/>
    <w:uiPriority w:val="99"/>
    <w:rPr>
      <w:rFonts w:ascii="Cambria" w:hAnsi="Cambria" w:eastAsia="宋体" w:cs="Cambria"/>
      <w:b/>
      <w:bCs/>
      <w:sz w:val="32"/>
      <w:szCs w:val="32"/>
    </w:rPr>
  </w:style>
  <w:style w:type="character" w:customStyle="1" w:styleId="129">
    <w:name w:val="Char Char22"/>
    <w:qFormat/>
    <w:uiPriority w:val="99"/>
    <w:rPr>
      <w:rFonts w:ascii="Times New Roman" w:hAnsi="Times New Roman" w:eastAsia="宋体" w:cs="Times New Roman"/>
      <w:b/>
      <w:bCs/>
      <w:kern w:val="44"/>
      <w:sz w:val="44"/>
      <w:szCs w:val="44"/>
    </w:rPr>
  </w:style>
  <w:style w:type="character" w:customStyle="1" w:styleId="130">
    <w:name w:val="明显引用 Char"/>
    <w:link w:val="131"/>
    <w:qFormat/>
    <w:locked/>
    <w:uiPriority w:val="99"/>
    <w:rPr>
      <w:b/>
      <w:bCs/>
      <w:i/>
      <w:iCs/>
      <w:color w:val="4F81BD"/>
    </w:rPr>
  </w:style>
  <w:style w:type="paragraph" w:customStyle="1" w:styleId="131">
    <w:name w:val="明显引用1"/>
    <w:basedOn w:val="1"/>
    <w:next w:val="1"/>
    <w:link w:val="130"/>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标题4 Char Char"/>
    <w:link w:val="133"/>
    <w:qFormat/>
    <w:locked/>
    <w:uiPriority w:val="99"/>
    <w:rPr>
      <w:rFonts w:ascii="Arial" w:hAnsi="Arial" w:cs="Arial"/>
      <w:b/>
      <w:bCs/>
      <w:sz w:val="32"/>
      <w:szCs w:val="32"/>
    </w:rPr>
  </w:style>
  <w:style w:type="paragraph" w:customStyle="1" w:styleId="133">
    <w:name w:val="标题4"/>
    <w:basedOn w:val="3"/>
    <w:next w:val="22"/>
    <w:link w:val="132"/>
    <w:qFormat/>
    <w:uiPriority w:val="99"/>
    <w:pPr>
      <w:spacing w:before="60" w:after="60" w:line="413" w:lineRule="auto"/>
    </w:pPr>
    <w:rPr>
      <w:rFonts w:ascii="Arial" w:hAnsi="Arial"/>
      <w:kern w:val="0"/>
    </w:rPr>
  </w:style>
  <w:style w:type="character" w:customStyle="1" w:styleId="134">
    <w:name w:val="Header Char"/>
    <w:qFormat/>
    <w:uiPriority w:val="99"/>
    <w:rPr>
      <w:rFonts w:eastAsia="宋体"/>
      <w:kern w:val="2"/>
      <w:sz w:val="18"/>
      <w:szCs w:val="18"/>
      <w:lang w:val="en-US" w:eastAsia="zh-CN"/>
    </w:rPr>
  </w:style>
  <w:style w:type="character" w:customStyle="1" w:styleId="135">
    <w:name w:val="明显引用 Char1"/>
    <w:qFormat/>
    <w:uiPriority w:val="99"/>
    <w:rPr>
      <w:rFonts w:ascii="Times New Roman" w:hAnsi="Times New Roman" w:eastAsia="宋体" w:cs="Times New Roman"/>
      <w:b/>
      <w:bCs/>
      <w:i/>
      <w:iCs/>
      <w:color w:val="4F81BD"/>
      <w:sz w:val="24"/>
      <w:szCs w:val="24"/>
    </w:rPr>
  </w:style>
  <w:style w:type="character" w:customStyle="1" w:styleId="136">
    <w:name w:val="Comment Text Char"/>
    <w:qFormat/>
    <w:uiPriority w:val="99"/>
    <w:rPr>
      <w:sz w:val="24"/>
      <w:szCs w:val="24"/>
    </w:rPr>
  </w:style>
  <w:style w:type="character" w:customStyle="1" w:styleId="137">
    <w:name w:val="明显参考1"/>
    <w:qFormat/>
    <w:uiPriority w:val="99"/>
    <w:rPr>
      <w:b/>
      <w:bCs/>
      <w:smallCaps/>
      <w:color w:val="auto"/>
      <w:spacing w:val="5"/>
      <w:u w:val="single"/>
    </w:rPr>
  </w:style>
  <w:style w:type="character" w:customStyle="1" w:styleId="138">
    <w:name w:val="明显强调1"/>
    <w:qFormat/>
    <w:uiPriority w:val="99"/>
    <w:rPr>
      <w:b/>
      <w:bCs/>
      <w:i/>
      <w:iCs/>
      <w:color w:val="4F81BD"/>
    </w:rPr>
  </w:style>
  <w:style w:type="character" w:customStyle="1" w:styleId="139">
    <w:name w:val="引用 Char1"/>
    <w:qFormat/>
    <w:uiPriority w:val="99"/>
    <w:rPr>
      <w:rFonts w:ascii="Times New Roman" w:hAnsi="Times New Roman" w:eastAsia="宋体" w:cs="Times New Roman"/>
      <w:i/>
      <w:iCs/>
      <w:color w:val="000000"/>
      <w:sz w:val="24"/>
      <w:szCs w:val="24"/>
    </w:rPr>
  </w:style>
  <w:style w:type="character" w:customStyle="1" w:styleId="140">
    <w:name w:val="引用 Char"/>
    <w:link w:val="141"/>
    <w:qFormat/>
    <w:locked/>
    <w:uiPriority w:val="99"/>
    <w:rPr>
      <w:i/>
      <w:iCs/>
      <w:color w:val="000000"/>
    </w:rPr>
  </w:style>
  <w:style w:type="paragraph" w:customStyle="1" w:styleId="141">
    <w:name w:val="引用1"/>
    <w:basedOn w:val="1"/>
    <w:next w:val="1"/>
    <w:link w:val="140"/>
    <w:qFormat/>
    <w:uiPriority w:val="99"/>
    <w:rPr>
      <w:i/>
      <w:iCs/>
      <w:color w:val="000000"/>
      <w:kern w:val="0"/>
      <w:sz w:val="20"/>
      <w:szCs w:val="20"/>
    </w:rPr>
  </w:style>
  <w:style w:type="character" w:customStyle="1" w:styleId="142">
    <w:name w:val="标题 Char2"/>
    <w:qFormat/>
    <w:uiPriority w:val="99"/>
    <w:rPr>
      <w:rFonts w:ascii="Cambria" w:hAnsi="Cambria" w:eastAsia="宋体" w:cs="Cambria"/>
      <w:b/>
      <w:bCs/>
      <w:sz w:val="32"/>
      <w:szCs w:val="32"/>
    </w:rPr>
  </w:style>
  <w:style w:type="character" w:customStyle="1" w:styleId="143">
    <w:name w:val="Char Char23"/>
    <w:qFormat/>
    <w:uiPriority w:val="99"/>
    <w:rPr>
      <w:rFonts w:eastAsia="宋体"/>
      <w:b/>
      <w:bCs/>
      <w:kern w:val="44"/>
      <w:sz w:val="44"/>
      <w:szCs w:val="44"/>
      <w:lang w:val="en-US" w:eastAsia="zh-CN"/>
    </w:rPr>
  </w:style>
  <w:style w:type="character" w:customStyle="1" w:styleId="144">
    <w:name w:val="Plain Text Char"/>
    <w:qFormat/>
    <w:uiPriority w:val="99"/>
    <w:rPr>
      <w:rFonts w:ascii="宋体" w:hAnsi="Courier New" w:eastAsia="宋体" w:cs="宋体"/>
      <w:sz w:val="24"/>
      <w:szCs w:val="24"/>
    </w:rPr>
  </w:style>
  <w:style w:type="character" w:customStyle="1" w:styleId="145">
    <w:name w:val="Char Char91"/>
    <w:qFormat/>
    <w:uiPriority w:val="99"/>
    <w:rPr>
      <w:rFonts w:eastAsia="宋体"/>
      <w:b/>
      <w:bCs/>
      <w:kern w:val="44"/>
      <w:sz w:val="44"/>
      <w:szCs w:val="44"/>
      <w:lang w:val="en-US" w:eastAsia="zh-CN"/>
    </w:rPr>
  </w:style>
  <w:style w:type="character" w:customStyle="1" w:styleId="146">
    <w:name w:val="Char Char181"/>
    <w:qFormat/>
    <w:uiPriority w:val="99"/>
    <w:rPr>
      <w:b/>
      <w:bCs/>
      <w:kern w:val="44"/>
      <w:sz w:val="44"/>
      <w:szCs w:val="44"/>
    </w:rPr>
  </w:style>
  <w:style w:type="character" w:customStyle="1" w:styleId="147">
    <w:name w:val="Heading 5 Char"/>
    <w:qFormat/>
    <w:uiPriority w:val="99"/>
    <w:rPr>
      <w:rFonts w:eastAsia="宋体"/>
      <w:b/>
      <w:bCs/>
      <w:kern w:val="2"/>
      <w:sz w:val="28"/>
      <w:szCs w:val="28"/>
      <w:lang w:val="en-US" w:eastAsia="zh-CN"/>
    </w:rPr>
  </w:style>
  <w:style w:type="character" w:customStyle="1" w:styleId="148">
    <w:name w:val="Char Char19"/>
    <w:qFormat/>
    <w:uiPriority w:val="99"/>
    <w:rPr>
      <w:rFonts w:ascii="Arial" w:hAnsi="Arial" w:eastAsia="宋体" w:cs="Arial"/>
      <w:b/>
      <w:bCs/>
      <w:sz w:val="28"/>
      <w:szCs w:val="28"/>
    </w:rPr>
  </w:style>
  <w:style w:type="character" w:customStyle="1" w:styleId="149">
    <w:name w:val="日期 Char1"/>
    <w:qFormat/>
    <w:uiPriority w:val="99"/>
    <w:rPr>
      <w:rFonts w:ascii="Times New Roman" w:hAnsi="Times New Roman" w:eastAsia="宋体" w:cs="Times New Roman"/>
      <w:sz w:val="24"/>
      <w:szCs w:val="24"/>
    </w:rPr>
  </w:style>
  <w:style w:type="character" w:customStyle="1" w:styleId="150">
    <w:name w:val="Date Char"/>
    <w:qFormat/>
    <w:uiPriority w:val="99"/>
    <w:rPr>
      <w:rFonts w:eastAsia="宋体"/>
      <w:kern w:val="2"/>
      <w:sz w:val="24"/>
      <w:szCs w:val="24"/>
      <w:lang w:val="en-US" w:eastAsia="zh-CN"/>
    </w:rPr>
  </w:style>
  <w:style w:type="character" w:customStyle="1" w:styleId="151">
    <w:name w:val="Title Char"/>
    <w:qFormat/>
    <w:uiPriority w:val="99"/>
    <w:rPr>
      <w:rFonts w:ascii="Cambria" w:hAnsi="Cambria" w:cs="Cambria"/>
      <w:b/>
      <w:bCs/>
      <w:sz w:val="32"/>
      <w:szCs w:val="32"/>
    </w:rPr>
  </w:style>
  <w:style w:type="character" w:customStyle="1" w:styleId="152">
    <w:name w:val="书籍标题1"/>
    <w:qFormat/>
    <w:uiPriority w:val="99"/>
    <w:rPr>
      <w:b/>
      <w:bCs/>
      <w:smallCaps/>
      <w:spacing w:val="5"/>
    </w:rPr>
  </w:style>
  <w:style w:type="character" w:customStyle="1" w:styleId="153">
    <w:name w:val="不明显强调1"/>
    <w:qFormat/>
    <w:uiPriority w:val="99"/>
    <w:rPr>
      <w:i/>
      <w:iCs/>
      <w:color w:val="808080"/>
    </w:rPr>
  </w:style>
  <w:style w:type="paragraph" w:customStyle="1" w:styleId="154">
    <w:name w:val="样式1"/>
    <w:basedOn w:val="1"/>
    <w:next w:val="5"/>
    <w:qFormat/>
    <w:uiPriority w:val="99"/>
    <w:pPr>
      <w:spacing w:line="360" w:lineRule="auto"/>
      <w:ind w:firstLine="420" w:firstLineChars="200"/>
    </w:pPr>
    <w:rPr>
      <w:rFonts w:ascii="宋体" w:hAnsi="宋体" w:cs="宋体"/>
      <w:szCs w:val="21"/>
    </w:rPr>
  </w:style>
  <w:style w:type="paragraph" w:customStyle="1" w:styleId="15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6">
    <w:name w:val="Char Char Char Char Char Char Char"/>
    <w:basedOn w:val="1"/>
    <w:qFormat/>
    <w:uiPriority w:val="99"/>
    <w:pPr>
      <w:widowControl/>
      <w:spacing w:after="160" w:line="240" w:lineRule="exact"/>
      <w:jc w:val="left"/>
    </w:pPr>
    <w:rPr>
      <w:szCs w:val="21"/>
    </w:rPr>
  </w:style>
  <w:style w:type="paragraph" w:customStyle="1" w:styleId="15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TOC 标题1"/>
    <w:basedOn w:val="2"/>
    <w:next w:val="1"/>
    <w:qFormat/>
    <w:uiPriority w:val="99"/>
    <w:pPr>
      <w:spacing w:line="576" w:lineRule="auto"/>
      <w:outlineLvl w:val="9"/>
    </w:pPr>
    <w:rPr>
      <w:rFonts w:ascii="Calibri" w:hAnsi="Calibri" w:eastAsia="黑体" w:cs="Calibri"/>
      <w:lang w:val="zh-CN"/>
    </w:rPr>
  </w:style>
  <w:style w:type="paragraph" w:customStyle="1" w:styleId="16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1">
    <w:name w:val="p0"/>
    <w:basedOn w:val="1"/>
    <w:qFormat/>
    <w:uiPriority w:val="0"/>
    <w:pPr>
      <w:widowControl/>
    </w:pPr>
    <w:rPr>
      <w:rFonts w:ascii="Calibri" w:hAnsi="Calibri" w:cs="Calibri"/>
      <w:kern w:val="0"/>
      <w:szCs w:val="21"/>
    </w:rPr>
  </w:style>
  <w:style w:type="paragraph" w:customStyle="1" w:styleId="162">
    <w:name w:val="Char"/>
    <w:basedOn w:val="1"/>
    <w:qFormat/>
    <w:uiPriority w:val="99"/>
    <w:pPr>
      <w:widowControl/>
      <w:spacing w:after="160" w:line="240" w:lineRule="exact"/>
      <w:jc w:val="left"/>
    </w:pPr>
    <w:rPr>
      <w:szCs w:val="21"/>
    </w:rPr>
  </w:style>
  <w:style w:type="paragraph" w:customStyle="1" w:styleId="163">
    <w:name w:val="1"/>
    <w:basedOn w:val="1"/>
    <w:next w:val="1"/>
    <w:qFormat/>
    <w:uiPriority w:val="99"/>
    <w:rPr>
      <w:szCs w:val="21"/>
    </w:rPr>
  </w:style>
  <w:style w:type="paragraph" w:customStyle="1" w:styleId="164">
    <w:name w:val="列出段落2"/>
    <w:basedOn w:val="1"/>
    <w:qFormat/>
    <w:uiPriority w:val="99"/>
    <w:pPr>
      <w:ind w:firstLine="420" w:firstLineChars="200"/>
    </w:pPr>
    <w:rPr>
      <w:rFonts w:ascii="Calibri" w:hAnsi="Calibri" w:cs="Calibri"/>
      <w:szCs w:val="21"/>
    </w:rPr>
  </w:style>
  <w:style w:type="paragraph" w:customStyle="1" w:styleId="165">
    <w:name w:val="_Style 163"/>
    <w:qFormat/>
    <w:uiPriority w:val="99"/>
    <w:rPr>
      <w:rFonts w:ascii="Times New Roman" w:hAnsi="Times New Roman" w:eastAsia="宋体" w:cs="Times New Roman"/>
      <w:kern w:val="2"/>
      <w:sz w:val="21"/>
      <w:szCs w:val="21"/>
      <w:lang w:val="en-US" w:eastAsia="zh-CN" w:bidi="ar-SA"/>
    </w:rPr>
  </w:style>
  <w:style w:type="paragraph" w:customStyle="1" w:styleId="16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7">
    <w:name w:val="修订1"/>
    <w:qFormat/>
    <w:uiPriority w:val="99"/>
    <w:rPr>
      <w:rFonts w:ascii="Times New Roman" w:hAnsi="Times New Roman" w:eastAsia="宋体" w:cs="Times New Roman"/>
      <w:kern w:val="2"/>
      <w:sz w:val="21"/>
      <w:szCs w:val="21"/>
      <w:lang w:val="en-US" w:eastAsia="zh-CN" w:bidi="ar-SA"/>
    </w:rPr>
  </w:style>
  <w:style w:type="paragraph" w:customStyle="1" w:styleId="16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69">
    <w:name w:val="2-2ji"/>
    <w:basedOn w:val="3"/>
    <w:qFormat/>
    <w:uiPriority w:val="99"/>
    <w:pPr>
      <w:spacing w:before="0" w:after="0" w:line="360" w:lineRule="auto"/>
      <w:jc w:val="center"/>
    </w:pPr>
    <w:rPr>
      <w:rFonts w:ascii="宋体" w:hAnsi="宋体" w:cs="宋体"/>
      <w:sz w:val="36"/>
      <w:szCs w:val="36"/>
      <w:lang w:val="zh-CN"/>
    </w:rPr>
  </w:style>
  <w:style w:type="paragraph" w:customStyle="1" w:styleId="17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2">
    <w:name w:val="列出段落1"/>
    <w:basedOn w:val="1"/>
    <w:qFormat/>
    <w:uiPriority w:val="99"/>
    <w:pPr>
      <w:ind w:firstLine="420" w:firstLineChars="200"/>
    </w:pPr>
    <w:rPr>
      <w:rFonts w:ascii="Calibri" w:hAnsi="Calibri" w:cs="Calibri"/>
      <w:szCs w:val="21"/>
    </w:rPr>
  </w:style>
  <w:style w:type="paragraph" w:customStyle="1" w:styleId="17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4">
    <w:name w:val="Char1"/>
    <w:basedOn w:val="1"/>
    <w:qFormat/>
    <w:uiPriority w:val="99"/>
    <w:pPr>
      <w:widowControl/>
      <w:spacing w:after="160" w:line="240" w:lineRule="exact"/>
      <w:jc w:val="left"/>
    </w:pPr>
    <w:rPr>
      <w:szCs w:val="21"/>
    </w:rPr>
  </w:style>
  <w:style w:type="paragraph" w:customStyle="1" w:styleId="175">
    <w:name w:val="_Style 37"/>
    <w:basedOn w:val="1"/>
    <w:next w:val="1"/>
    <w:qFormat/>
    <w:uiPriority w:val="99"/>
    <w:rPr>
      <w:szCs w:val="21"/>
    </w:rPr>
  </w:style>
  <w:style w:type="paragraph" w:customStyle="1" w:styleId="176">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17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Body text|1"/>
    <w:basedOn w:val="1"/>
    <w:link w:val="179"/>
    <w:qFormat/>
    <w:uiPriority w:val="0"/>
    <w:pPr>
      <w:spacing w:line="360" w:lineRule="auto"/>
      <w:ind w:firstLine="400"/>
    </w:pPr>
    <w:rPr>
      <w:rFonts w:ascii="宋体" w:hAnsi="宋体" w:cs="宋体"/>
      <w:szCs w:val="20"/>
      <w:lang w:val="zh-CN" w:bidi="zh-CN"/>
    </w:rPr>
  </w:style>
  <w:style w:type="character" w:customStyle="1" w:styleId="179">
    <w:name w:val="Body text|1_"/>
    <w:link w:val="178"/>
    <w:qFormat/>
    <w:uiPriority w:val="0"/>
    <w:rPr>
      <w:rFonts w:ascii="宋体" w:hAnsi="宋体" w:cs="宋体"/>
      <w:kern w:val="2"/>
      <w:sz w:val="21"/>
      <w:lang w:val="zh-CN" w:bidi="zh-CN"/>
    </w:rPr>
  </w:style>
  <w:style w:type="character" w:customStyle="1" w:styleId="180">
    <w:name w:val="Body text|3_"/>
    <w:link w:val="181"/>
    <w:qFormat/>
    <w:uiPriority w:val="0"/>
    <w:rPr>
      <w:rFonts w:ascii="宋体" w:hAnsi="宋体" w:cs="宋体"/>
      <w:lang w:val="zh-CN" w:bidi="zh-CN"/>
    </w:rPr>
  </w:style>
  <w:style w:type="paragraph" w:customStyle="1" w:styleId="181">
    <w:name w:val="Body text|3"/>
    <w:basedOn w:val="1"/>
    <w:link w:val="180"/>
    <w:qFormat/>
    <w:uiPriority w:val="0"/>
    <w:pPr>
      <w:spacing w:after="340"/>
      <w:jc w:val="left"/>
    </w:pPr>
    <w:rPr>
      <w:rFonts w:ascii="宋体" w:hAnsi="宋体" w:cs="宋体"/>
      <w:kern w:val="0"/>
      <w:sz w:val="20"/>
      <w:szCs w:val="20"/>
      <w:lang w:val="zh-CN" w:bidi="zh-CN"/>
    </w:rPr>
  </w:style>
  <w:style w:type="character" w:customStyle="1" w:styleId="182">
    <w:name w:val="Other|1_"/>
    <w:link w:val="183"/>
    <w:qFormat/>
    <w:uiPriority w:val="0"/>
    <w:rPr>
      <w:rFonts w:ascii="宋体" w:hAnsi="宋体" w:cs="宋体"/>
      <w:lang w:val="zh-CN" w:bidi="zh-CN"/>
    </w:rPr>
  </w:style>
  <w:style w:type="paragraph" w:customStyle="1" w:styleId="183">
    <w:name w:val="Other|1"/>
    <w:basedOn w:val="1"/>
    <w:link w:val="182"/>
    <w:qFormat/>
    <w:uiPriority w:val="0"/>
    <w:pPr>
      <w:spacing w:line="360" w:lineRule="auto"/>
      <w:ind w:firstLine="400"/>
      <w:jc w:val="left"/>
    </w:pPr>
    <w:rPr>
      <w:rFonts w:ascii="宋体" w:hAnsi="宋体" w:cs="宋体"/>
      <w:kern w:val="0"/>
      <w:sz w:val="20"/>
      <w:szCs w:val="20"/>
      <w:lang w:val="zh-CN" w:bidi="zh-CN"/>
    </w:rPr>
  </w:style>
  <w:style w:type="character" w:customStyle="1" w:styleId="184">
    <w:name w:val="Table of contents|1_"/>
    <w:link w:val="185"/>
    <w:qFormat/>
    <w:uiPriority w:val="0"/>
    <w:rPr>
      <w:rFonts w:ascii="宋体" w:hAnsi="宋体" w:cs="宋体"/>
      <w:lang w:val="zh-CN" w:bidi="zh-CN"/>
    </w:rPr>
  </w:style>
  <w:style w:type="paragraph" w:customStyle="1" w:styleId="185">
    <w:name w:val="Table of contents|1"/>
    <w:basedOn w:val="1"/>
    <w:link w:val="184"/>
    <w:qFormat/>
    <w:uiPriority w:val="0"/>
    <w:pPr>
      <w:spacing w:after="100"/>
      <w:ind w:firstLine="600"/>
      <w:jc w:val="left"/>
    </w:pPr>
    <w:rPr>
      <w:rFonts w:ascii="宋体" w:hAnsi="宋体" w:cs="宋体"/>
      <w:kern w:val="0"/>
      <w:sz w:val="20"/>
      <w:szCs w:val="20"/>
      <w:lang w:val="zh-CN" w:bidi="zh-CN"/>
    </w:rPr>
  </w:style>
  <w:style w:type="character" w:customStyle="1" w:styleId="186">
    <w:name w:val="Header or footer|1_"/>
    <w:link w:val="187"/>
    <w:qFormat/>
    <w:uiPriority w:val="0"/>
    <w:rPr>
      <w:sz w:val="17"/>
      <w:szCs w:val="17"/>
      <w:lang w:val="zh-CN" w:bidi="zh-CN"/>
    </w:rPr>
  </w:style>
  <w:style w:type="paragraph" w:customStyle="1" w:styleId="187">
    <w:name w:val="Header or footer|1"/>
    <w:basedOn w:val="1"/>
    <w:link w:val="186"/>
    <w:qFormat/>
    <w:uiPriority w:val="0"/>
    <w:pPr>
      <w:jc w:val="center"/>
    </w:pPr>
    <w:rPr>
      <w:kern w:val="0"/>
      <w:sz w:val="17"/>
      <w:szCs w:val="17"/>
      <w:lang w:val="zh-CN" w:bidi="zh-CN"/>
    </w:rPr>
  </w:style>
  <w:style w:type="character" w:customStyle="1" w:styleId="188">
    <w:name w:val="Heading #3|1_"/>
    <w:link w:val="189"/>
    <w:qFormat/>
    <w:uiPriority w:val="0"/>
    <w:rPr>
      <w:rFonts w:ascii="宋体" w:hAnsi="宋体" w:cs="宋体"/>
      <w:sz w:val="28"/>
      <w:szCs w:val="28"/>
      <w:lang w:val="zh-CN" w:bidi="zh-CN"/>
    </w:rPr>
  </w:style>
  <w:style w:type="paragraph" w:customStyle="1" w:styleId="189">
    <w:name w:val="Heading #3|1"/>
    <w:basedOn w:val="1"/>
    <w:link w:val="188"/>
    <w:qFormat/>
    <w:uiPriority w:val="0"/>
    <w:pPr>
      <w:spacing w:after="570"/>
      <w:jc w:val="center"/>
      <w:outlineLvl w:val="2"/>
    </w:pPr>
    <w:rPr>
      <w:rFonts w:ascii="宋体" w:hAnsi="宋体" w:cs="宋体"/>
      <w:kern w:val="0"/>
      <w:sz w:val="28"/>
      <w:szCs w:val="28"/>
      <w:lang w:val="zh-CN" w:bidi="zh-CN"/>
    </w:rPr>
  </w:style>
  <w:style w:type="character" w:customStyle="1" w:styleId="190">
    <w:name w:val="Body text|7_"/>
    <w:link w:val="191"/>
    <w:qFormat/>
    <w:uiPriority w:val="0"/>
    <w:rPr>
      <w:rFonts w:ascii="Courier New" w:hAnsi="Courier New" w:eastAsia="Courier New" w:cs="Courier New"/>
      <w:b/>
      <w:bCs/>
      <w:sz w:val="8"/>
      <w:szCs w:val="8"/>
      <w:lang w:val="zh-CN"/>
    </w:rPr>
  </w:style>
  <w:style w:type="paragraph" w:customStyle="1" w:styleId="191">
    <w:name w:val="Body text|7"/>
    <w:basedOn w:val="1"/>
    <w:link w:val="190"/>
    <w:qFormat/>
    <w:uiPriority w:val="0"/>
    <w:pPr>
      <w:ind w:hanging="1760"/>
      <w:jc w:val="left"/>
    </w:pPr>
    <w:rPr>
      <w:rFonts w:ascii="Courier New" w:hAnsi="Courier New" w:eastAsia="Courier New"/>
      <w:b/>
      <w:bCs/>
      <w:kern w:val="0"/>
      <w:sz w:val="8"/>
      <w:szCs w:val="8"/>
      <w:lang w:val="zh-CN"/>
    </w:rPr>
  </w:style>
  <w:style w:type="character" w:customStyle="1" w:styleId="192">
    <w:name w:val="Body text|4_"/>
    <w:link w:val="193"/>
    <w:qFormat/>
    <w:uiPriority w:val="0"/>
    <w:rPr>
      <w:rFonts w:ascii="宋体" w:hAnsi="宋体" w:cs="宋体"/>
      <w:b/>
      <w:bCs/>
      <w:sz w:val="17"/>
      <w:szCs w:val="17"/>
      <w:lang w:val="zh-CN" w:bidi="zh-CN"/>
    </w:rPr>
  </w:style>
  <w:style w:type="paragraph" w:customStyle="1" w:styleId="193">
    <w:name w:val="Body text|4"/>
    <w:basedOn w:val="1"/>
    <w:link w:val="192"/>
    <w:qFormat/>
    <w:uiPriority w:val="0"/>
    <w:pPr>
      <w:spacing w:line="281" w:lineRule="exact"/>
      <w:jc w:val="center"/>
    </w:pPr>
    <w:rPr>
      <w:rFonts w:ascii="宋体" w:hAnsi="宋体" w:cs="宋体"/>
      <w:b/>
      <w:bCs/>
      <w:kern w:val="0"/>
      <w:sz w:val="17"/>
      <w:szCs w:val="17"/>
      <w:lang w:val="zh-CN" w:bidi="zh-CN"/>
    </w:rPr>
  </w:style>
  <w:style w:type="character" w:customStyle="1" w:styleId="194">
    <w:name w:val="Heading #4|1_"/>
    <w:link w:val="195"/>
    <w:qFormat/>
    <w:uiPriority w:val="0"/>
    <w:rPr>
      <w:rFonts w:ascii="宋体" w:hAnsi="宋体" w:cs="宋体"/>
      <w:lang w:val="zh-CN" w:bidi="zh-CN"/>
    </w:rPr>
  </w:style>
  <w:style w:type="paragraph" w:customStyle="1" w:styleId="195">
    <w:name w:val="Heading #4|1"/>
    <w:basedOn w:val="1"/>
    <w:link w:val="194"/>
    <w:qFormat/>
    <w:uiPriority w:val="0"/>
    <w:pPr>
      <w:spacing w:after="120"/>
      <w:jc w:val="left"/>
      <w:outlineLvl w:val="3"/>
    </w:pPr>
    <w:rPr>
      <w:rFonts w:ascii="宋体" w:hAnsi="宋体" w:cs="宋体"/>
      <w:kern w:val="0"/>
      <w:sz w:val="20"/>
      <w:szCs w:val="20"/>
      <w:lang w:val="zh-CN" w:bidi="zh-CN"/>
    </w:rPr>
  </w:style>
  <w:style w:type="character" w:customStyle="1" w:styleId="196">
    <w:name w:val="Body text|5_"/>
    <w:link w:val="197"/>
    <w:qFormat/>
    <w:uiPriority w:val="0"/>
    <w:rPr>
      <w:rFonts w:ascii="宋体" w:hAnsi="宋体" w:cs="宋体"/>
      <w:sz w:val="52"/>
      <w:szCs w:val="52"/>
      <w:lang w:val="zh-CN" w:bidi="zh-CN"/>
    </w:rPr>
  </w:style>
  <w:style w:type="paragraph" w:customStyle="1" w:styleId="197">
    <w:name w:val="Body text|5"/>
    <w:basedOn w:val="1"/>
    <w:link w:val="196"/>
    <w:qFormat/>
    <w:uiPriority w:val="0"/>
    <w:pPr>
      <w:jc w:val="center"/>
    </w:pPr>
    <w:rPr>
      <w:rFonts w:ascii="宋体" w:hAnsi="宋体" w:cs="宋体"/>
      <w:kern w:val="0"/>
      <w:sz w:val="52"/>
      <w:szCs w:val="52"/>
      <w:lang w:val="zh-CN" w:bidi="zh-CN"/>
    </w:rPr>
  </w:style>
  <w:style w:type="character" w:customStyle="1" w:styleId="198">
    <w:name w:val="Header or footer|2_"/>
    <w:link w:val="199"/>
    <w:qFormat/>
    <w:uiPriority w:val="0"/>
    <w:rPr>
      <w:lang w:val="zh-CN" w:bidi="zh-CN"/>
    </w:rPr>
  </w:style>
  <w:style w:type="paragraph" w:customStyle="1" w:styleId="199">
    <w:name w:val="Header or footer|2"/>
    <w:basedOn w:val="1"/>
    <w:link w:val="198"/>
    <w:qFormat/>
    <w:uiPriority w:val="0"/>
    <w:pPr>
      <w:jc w:val="left"/>
    </w:pPr>
    <w:rPr>
      <w:kern w:val="0"/>
      <w:sz w:val="20"/>
      <w:szCs w:val="20"/>
      <w:lang w:val="zh-CN" w:bidi="zh-CN"/>
    </w:rPr>
  </w:style>
  <w:style w:type="character" w:customStyle="1" w:styleId="200">
    <w:name w:val="Heading #2|1_"/>
    <w:link w:val="201"/>
    <w:qFormat/>
    <w:uiPriority w:val="0"/>
    <w:rPr>
      <w:rFonts w:ascii="宋体" w:hAnsi="宋体" w:cs="宋体"/>
      <w:sz w:val="34"/>
      <w:szCs w:val="34"/>
      <w:lang w:val="zh-CN" w:bidi="zh-CN"/>
    </w:rPr>
  </w:style>
  <w:style w:type="paragraph" w:customStyle="1" w:styleId="201">
    <w:name w:val="Heading #2|1"/>
    <w:basedOn w:val="1"/>
    <w:link w:val="200"/>
    <w:qFormat/>
    <w:uiPriority w:val="0"/>
    <w:pPr>
      <w:spacing w:after="900"/>
      <w:jc w:val="center"/>
      <w:outlineLvl w:val="1"/>
    </w:pPr>
    <w:rPr>
      <w:rFonts w:ascii="宋体" w:hAnsi="宋体" w:cs="宋体"/>
      <w:kern w:val="0"/>
      <w:sz w:val="34"/>
      <w:szCs w:val="34"/>
      <w:lang w:val="zh-CN" w:bidi="zh-CN"/>
    </w:rPr>
  </w:style>
  <w:style w:type="character" w:customStyle="1" w:styleId="202">
    <w:name w:val="Table caption|1_"/>
    <w:link w:val="203"/>
    <w:qFormat/>
    <w:uiPriority w:val="0"/>
    <w:rPr>
      <w:rFonts w:ascii="宋体" w:hAnsi="宋体" w:cs="宋体"/>
      <w:lang w:val="zh-CN" w:bidi="zh-CN"/>
    </w:rPr>
  </w:style>
  <w:style w:type="paragraph" w:customStyle="1" w:styleId="203">
    <w:name w:val="Table caption|1"/>
    <w:basedOn w:val="1"/>
    <w:link w:val="202"/>
    <w:qFormat/>
    <w:uiPriority w:val="0"/>
    <w:pPr>
      <w:jc w:val="left"/>
    </w:pPr>
    <w:rPr>
      <w:rFonts w:ascii="宋体" w:hAnsi="宋体" w:cs="宋体"/>
      <w:kern w:val="0"/>
      <w:sz w:val="20"/>
      <w:szCs w:val="20"/>
      <w:lang w:val="zh-CN" w:bidi="zh-CN"/>
    </w:rPr>
  </w:style>
  <w:style w:type="character" w:customStyle="1" w:styleId="204">
    <w:name w:val="Body text|6_"/>
    <w:link w:val="205"/>
    <w:qFormat/>
    <w:uiPriority w:val="0"/>
    <w:rPr>
      <w:rFonts w:ascii="Arial" w:hAnsi="Arial" w:eastAsia="Arial" w:cs="Arial"/>
      <w:lang w:val="zh-CN"/>
    </w:rPr>
  </w:style>
  <w:style w:type="paragraph" w:customStyle="1" w:styleId="205">
    <w:name w:val="Body text|6"/>
    <w:basedOn w:val="1"/>
    <w:link w:val="204"/>
    <w:qFormat/>
    <w:uiPriority w:val="0"/>
    <w:pPr>
      <w:ind w:hanging="2220"/>
      <w:jc w:val="left"/>
    </w:pPr>
    <w:rPr>
      <w:rFonts w:ascii="Arial" w:hAnsi="Arial" w:eastAsia="Arial"/>
      <w:kern w:val="0"/>
      <w:sz w:val="20"/>
      <w:szCs w:val="20"/>
      <w:lang w:val="zh-CN"/>
    </w:rPr>
  </w:style>
  <w:style w:type="character" w:customStyle="1" w:styleId="206">
    <w:name w:val="Heading #1|1_"/>
    <w:link w:val="207"/>
    <w:qFormat/>
    <w:uiPriority w:val="0"/>
    <w:rPr>
      <w:rFonts w:ascii="宋体" w:hAnsi="宋体" w:cs="宋体"/>
      <w:sz w:val="38"/>
      <w:szCs w:val="38"/>
      <w:lang w:val="zh-CN" w:bidi="zh-CN"/>
    </w:rPr>
  </w:style>
  <w:style w:type="paragraph" w:customStyle="1" w:styleId="207">
    <w:name w:val="Heading #1|1"/>
    <w:basedOn w:val="1"/>
    <w:link w:val="206"/>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8">
    <w:name w:val="Body text|2_"/>
    <w:link w:val="209"/>
    <w:qFormat/>
    <w:uiPriority w:val="0"/>
    <w:rPr>
      <w:sz w:val="21"/>
    </w:rPr>
  </w:style>
  <w:style w:type="paragraph" w:customStyle="1" w:styleId="209">
    <w:name w:val="Body text|2"/>
    <w:basedOn w:val="1"/>
    <w:link w:val="208"/>
    <w:qFormat/>
    <w:uiPriority w:val="0"/>
    <w:pPr>
      <w:spacing w:after="30"/>
      <w:ind w:firstLine="420"/>
      <w:jc w:val="left"/>
    </w:pPr>
    <w:rPr>
      <w:kern w:val="0"/>
      <w:szCs w:val="20"/>
    </w:rPr>
  </w:style>
  <w:style w:type="character" w:styleId="210">
    <w:name w:val="Placeholder Text"/>
    <w:unhideWhenUsed/>
    <w:qFormat/>
    <w:uiPriority w:val="99"/>
    <w:rPr>
      <w:color w:val="808080"/>
    </w:rPr>
  </w:style>
  <w:style w:type="paragraph" w:customStyle="1" w:styleId="211">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2">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3">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10540</Words>
  <Characters>11241</Characters>
  <Lines>509</Lines>
  <Paragraphs>143</Paragraphs>
  <TotalTime>5</TotalTime>
  <ScaleCrop>false</ScaleCrop>
  <LinksUpToDate>false</LinksUpToDate>
  <CharactersWithSpaces>11402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2025-07-10T08:06:00Z</dcterms:created>
  <dc:creator>唐冰</dc:creator>
  <cp:lastModifiedBy>QQ</cp:lastModifiedBy>
  <cp:lastPrinted>2020-04-03T16:20:00Z</cp:lastPrinted>
  <dcterms:modified xsi:type="dcterms:W3CDTF">2025-07-15T07:01:37Z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F821352A755F42858BEE51EB6723F4AD_13</vt:lpwstr>
  </property>
  <property fmtid="{D5CDD505-2E9C-101B-9397-08002B2CF9AE}" pid="4" name="KSOTemplateDocerSaveRecord">
    <vt:lpwstr>eyJoZGlkIjoiZTljNTc1NGMyMGIyN2RmOTZmMjliMWRkZDI0Njk3NTciLCJ1c2VySWQiOiIyNjk4Mjc3NjMifQ==</vt:lpwstr>
  </property>
</Properties>
</file>