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BBD0B">
      <w:pPr>
        <w:spacing w:line="360" w:lineRule="auto"/>
        <w:jc w:val="center"/>
        <w:rPr>
          <w:rFonts w:ascii="方正小标宋简体" w:hAnsi="方正小标宋简体" w:eastAsia="方正小标宋简体" w:cs="方正小标宋简体"/>
          <w:sz w:val="52"/>
          <w:szCs w:val="52"/>
          <w:highlight w:val="none"/>
        </w:rPr>
      </w:pPr>
      <w:r>
        <w:rPr>
          <w:rFonts w:hint="eastAsia" w:ascii="方正小标宋简体" w:hAnsi="宋体" w:eastAsia="方正小标宋简体"/>
          <w:sz w:val="52"/>
          <w:szCs w:val="52"/>
          <w:highlight w:val="none"/>
        </w:rPr>
        <w:t>云之龙咨询集团有限公司</w:t>
      </w:r>
    </w:p>
    <w:p w14:paraId="0F5B7DA2">
      <w:pPr>
        <w:spacing w:line="360" w:lineRule="auto"/>
        <w:jc w:val="center"/>
        <w:rPr>
          <w:rFonts w:ascii="方正小标宋简体" w:hAnsi="方正小标宋简体" w:eastAsia="方正小标宋简体" w:cs="方正小标宋简体"/>
          <w:b/>
          <w:sz w:val="44"/>
          <w:szCs w:val="44"/>
          <w:highlight w:val="none"/>
        </w:rPr>
      </w:pPr>
    </w:p>
    <w:p w14:paraId="6B743A34">
      <w:pPr>
        <w:snapToGrid w:val="0"/>
        <w:spacing w:beforeLines="50" w:line="360" w:lineRule="auto"/>
        <w:jc w:val="center"/>
        <w:rPr>
          <w:rFonts w:ascii="华文新魏" w:hAnsi="宋体" w:eastAsia="华文新魏"/>
          <w:sz w:val="120"/>
          <w:szCs w:val="120"/>
          <w:highlight w:val="none"/>
        </w:rPr>
      </w:pPr>
      <w:r>
        <w:rPr>
          <w:rFonts w:hint="eastAsia" w:ascii="华文新魏" w:hAnsi="宋体" w:eastAsia="华文新魏"/>
          <w:sz w:val="120"/>
          <w:szCs w:val="120"/>
          <w:highlight w:val="none"/>
        </w:rPr>
        <w:t>竞争性磋商文件</w:t>
      </w:r>
    </w:p>
    <w:p w14:paraId="3760ED56">
      <w:pPr>
        <w:snapToGrid w:val="0"/>
        <w:spacing w:beforeLines="50" w:line="360" w:lineRule="auto"/>
        <w:jc w:val="center"/>
        <w:rPr>
          <w:rFonts w:ascii="仿宋_GB2312" w:hAnsi="宋体" w:eastAsia="仿宋_GB2312"/>
          <w:b/>
          <w:sz w:val="30"/>
          <w:szCs w:val="72"/>
          <w:highlight w:val="none"/>
        </w:rPr>
      </w:pPr>
      <w:r>
        <w:rPr>
          <w:rFonts w:hint="eastAsia" w:ascii="仿宋_GB2312" w:hAnsi="宋体" w:eastAsia="仿宋_GB2312"/>
          <w:b/>
          <w:sz w:val="48"/>
          <w:szCs w:val="48"/>
          <w:highlight w:val="none"/>
        </w:rPr>
        <w:t>（全流程电子化采购）</w:t>
      </w:r>
    </w:p>
    <w:p w14:paraId="5351A038">
      <w:pPr>
        <w:snapToGrid w:val="0"/>
        <w:spacing w:line="360" w:lineRule="auto"/>
        <w:rPr>
          <w:rFonts w:ascii="仿宋_GB2312" w:hAnsi="宋体" w:eastAsia="仿宋_GB2312"/>
          <w:sz w:val="30"/>
          <w:szCs w:val="72"/>
          <w:highlight w:val="none"/>
        </w:rPr>
      </w:pPr>
    </w:p>
    <w:p w14:paraId="205F426C">
      <w:pPr>
        <w:pStyle w:val="13"/>
        <w:snapToGrid w:val="0"/>
        <w:spacing w:line="360" w:lineRule="auto"/>
        <w:ind w:left="2678" w:leftChars="564" w:hanging="1494" w:hangingChars="496"/>
        <w:rPr>
          <w:rFonts w:ascii="仿宋_GB2312" w:hAnsi="宋体" w:eastAsia="仿宋_GB2312"/>
          <w:b/>
          <w:bCs/>
          <w:sz w:val="30"/>
          <w:szCs w:val="30"/>
          <w:highlight w:val="none"/>
        </w:rPr>
      </w:pPr>
      <w:r>
        <w:rPr>
          <w:rFonts w:hint="eastAsia" w:ascii="仿宋_GB2312" w:hAnsi="宋体" w:eastAsia="仿宋_GB2312"/>
          <w:b/>
          <w:bCs/>
          <w:sz w:val="30"/>
          <w:szCs w:val="30"/>
          <w:highlight w:val="none"/>
        </w:rPr>
        <w:t>项目</w:t>
      </w:r>
      <w:r>
        <w:rPr>
          <w:rFonts w:hint="eastAsia" w:ascii="仿宋_GB2312" w:hAnsi="宋体" w:eastAsia="仿宋_GB2312" w:cs="Courier New"/>
          <w:b/>
          <w:bCs/>
          <w:w w:val="95"/>
          <w:sz w:val="30"/>
          <w:szCs w:val="30"/>
          <w:highlight w:val="none"/>
        </w:rPr>
        <w:t>名称</w:t>
      </w:r>
      <w:r>
        <w:rPr>
          <w:rFonts w:hint="eastAsia" w:ascii="仿宋_GB2312" w:hAnsi="宋体" w:eastAsia="仿宋_GB2312"/>
          <w:b/>
          <w:bCs/>
          <w:sz w:val="30"/>
          <w:szCs w:val="30"/>
          <w:highlight w:val="none"/>
        </w:rPr>
        <w:t>：渔船智能识别系统采购</w:t>
      </w:r>
    </w:p>
    <w:p w14:paraId="67CA392B">
      <w:pPr>
        <w:snapToGrid w:val="0"/>
        <w:spacing w:line="360" w:lineRule="auto"/>
        <w:ind w:firstLine="1145" w:firstLineChars="400"/>
        <w:rPr>
          <w:rFonts w:ascii="仿宋_GB2312" w:hAnsi="宋体" w:eastAsia="仿宋_GB2312"/>
          <w:sz w:val="30"/>
          <w:szCs w:val="72"/>
          <w:highlight w:val="none"/>
        </w:rPr>
      </w:pPr>
      <w:r>
        <w:rPr>
          <w:rFonts w:hint="eastAsia" w:ascii="仿宋_GB2312" w:hAnsi="宋体" w:eastAsia="仿宋_GB2312" w:cs="Courier New"/>
          <w:b/>
          <w:bCs/>
          <w:w w:val="95"/>
          <w:sz w:val="30"/>
          <w:szCs w:val="30"/>
          <w:highlight w:val="none"/>
        </w:rPr>
        <w:t>项目</w:t>
      </w:r>
      <w:r>
        <w:rPr>
          <w:rFonts w:hint="eastAsia" w:ascii="仿宋_GB2312" w:hAnsi="宋体" w:eastAsia="仿宋_GB2312"/>
          <w:b/>
          <w:bCs/>
          <w:sz w:val="30"/>
          <w:szCs w:val="30"/>
          <w:highlight w:val="none"/>
        </w:rPr>
        <w:t>编号</w:t>
      </w:r>
      <w:r>
        <w:rPr>
          <w:rFonts w:hint="eastAsia" w:ascii="仿宋_GB2312" w:hAnsi="宋体" w:eastAsia="仿宋_GB2312" w:cs="Courier New"/>
          <w:b/>
          <w:bCs/>
          <w:w w:val="95"/>
          <w:sz w:val="30"/>
          <w:szCs w:val="30"/>
          <w:highlight w:val="none"/>
        </w:rPr>
        <w:t>：QZZC2025-C3-990133-YZLZ</w:t>
      </w:r>
    </w:p>
    <w:p w14:paraId="7A30891B">
      <w:pPr>
        <w:pStyle w:val="13"/>
        <w:snapToGrid w:val="0"/>
        <w:spacing w:line="360" w:lineRule="auto"/>
        <w:ind w:firstLine="1125" w:firstLineChars="393"/>
        <w:rPr>
          <w:rFonts w:ascii="仿宋_GB2312" w:hAnsi="宋体" w:eastAsia="仿宋_GB2312"/>
          <w:b/>
          <w:bCs/>
          <w:w w:val="95"/>
          <w:sz w:val="30"/>
          <w:szCs w:val="30"/>
          <w:highlight w:val="none"/>
        </w:rPr>
      </w:pPr>
      <w:r>
        <w:rPr>
          <w:rFonts w:hint="eastAsia" w:ascii="仿宋_GB2312" w:hAnsi="宋体" w:eastAsia="仿宋_GB2312"/>
          <w:b/>
          <w:bCs/>
          <w:w w:val="95"/>
          <w:sz w:val="30"/>
          <w:szCs w:val="30"/>
          <w:highlight w:val="none"/>
        </w:rPr>
        <w:t>采 购 人：钦州市海洋与渔业执法支队</w:t>
      </w:r>
    </w:p>
    <w:p w14:paraId="6586D220">
      <w:pPr>
        <w:pStyle w:val="13"/>
        <w:snapToGrid w:val="0"/>
        <w:spacing w:line="360" w:lineRule="auto"/>
        <w:ind w:firstLine="1125" w:firstLineChars="393"/>
        <w:rPr>
          <w:rFonts w:ascii="仿宋_GB2312" w:hAnsi="宋体" w:eastAsia="仿宋_GB2312"/>
          <w:b/>
          <w:bCs/>
          <w:w w:val="95"/>
          <w:sz w:val="30"/>
          <w:szCs w:val="30"/>
          <w:highlight w:val="none"/>
        </w:rPr>
      </w:pPr>
      <w:r>
        <w:rPr>
          <w:rFonts w:hint="eastAsia" w:ascii="仿宋_GB2312" w:hAnsi="宋体" w:eastAsia="仿宋_GB2312"/>
          <w:b/>
          <w:bCs/>
          <w:w w:val="95"/>
          <w:sz w:val="30"/>
          <w:szCs w:val="30"/>
          <w:highlight w:val="none"/>
        </w:rPr>
        <w:t>采购代理机构：云之龙咨询集团有限公司</w:t>
      </w:r>
    </w:p>
    <w:p w14:paraId="02313B0D">
      <w:pPr>
        <w:pStyle w:val="13"/>
        <w:snapToGrid w:val="0"/>
        <w:spacing w:line="360" w:lineRule="auto"/>
        <w:rPr>
          <w:rFonts w:ascii="仿宋_GB2312" w:hAnsi="宋体" w:eastAsia="仿宋_GB2312"/>
          <w:b/>
          <w:bCs/>
          <w:w w:val="95"/>
          <w:sz w:val="30"/>
          <w:szCs w:val="30"/>
          <w:highlight w:val="none"/>
        </w:rPr>
      </w:pPr>
    </w:p>
    <w:p w14:paraId="21489A36">
      <w:pPr>
        <w:pStyle w:val="13"/>
        <w:snapToGrid w:val="0"/>
        <w:spacing w:line="360" w:lineRule="auto"/>
        <w:ind w:left="420" w:firstLine="841" w:firstLineChars="294"/>
        <w:rPr>
          <w:rFonts w:ascii="仿宋_GB2312" w:eastAsia="仿宋_GB2312"/>
          <w:szCs w:val="20"/>
          <w:highlight w:val="none"/>
        </w:rPr>
      </w:pPr>
      <w:r>
        <w:rPr>
          <w:rFonts w:hint="eastAsia" w:ascii="仿宋_GB2312" w:hAnsi="宋体" w:eastAsia="仿宋_GB2312"/>
          <w:b/>
          <w:bCs/>
          <w:w w:val="95"/>
          <w:sz w:val="30"/>
          <w:szCs w:val="30"/>
          <w:highlight w:val="none"/>
        </w:rPr>
        <w:t xml:space="preserve">               2025年5月 </w:t>
      </w:r>
      <w:r>
        <w:rPr>
          <w:rFonts w:hint="eastAsia" w:ascii="仿宋_GB2312" w:hAnsi="宋体" w:eastAsia="仿宋_GB2312"/>
          <w:b/>
          <w:bCs/>
          <w:w w:val="95"/>
          <w:sz w:val="30"/>
          <w:szCs w:val="30"/>
          <w:highlight w:val="none"/>
          <w:lang w:val="en-US" w:eastAsia="zh-CN"/>
        </w:rPr>
        <w:t>28</w:t>
      </w:r>
      <w:r>
        <w:rPr>
          <w:rFonts w:hint="eastAsia" w:ascii="仿宋_GB2312" w:hAnsi="宋体" w:eastAsia="仿宋_GB2312"/>
          <w:b/>
          <w:bCs/>
          <w:w w:val="95"/>
          <w:sz w:val="30"/>
          <w:szCs w:val="30"/>
          <w:highlight w:val="none"/>
        </w:rPr>
        <w:t>日</w:t>
      </w:r>
    </w:p>
    <w:p w14:paraId="0C324FA8">
      <w:pPr>
        <w:spacing w:line="360" w:lineRule="auto"/>
        <w:jc w:val="center"/>
        <w:rPr>
          <w:rFonts w:ascii="宋体" w:hAnsi="宋体" w:cs="宋体"/>
          <w:b/>
          <w:bCs/>
          <w:kern w:val="0"/>
          <w:sz w:val="32"/>
          <w:szCs w:val="32"/>
          <w:highlight w:val="none"/>
        </w:rPr>
      </w:pPr>
    </w:p>
    <w:p w14:paraId="25B87405">
      <w:pPr>
        <w:spacing w:line="360" w:lineRule="auto"/>
        <w:jc w:val="center"/>
        <w:rPr>
          <w:rFonts w:ascii="宋体" w:hAnsi="宋体" w:cs="宋体"/>
          <w:b/>
          <w:bCs/>
          <w:kern w:val="0"/>
          <w:sz w:val="32"/>
          <w:szCs w:val="32"/>
          <w:highlight w:val="none"/>
        </w:rPr>
      </w:pPr>
    </w:p>
    <w:p w14:paraId="4B201C9D">
      <w:pPr>
        <w:spacing w:line="360" w:lineRule="auto"/>
        <w:jc w:val="center"/>
        <w:rPr>
          <w:rFonts w:ascii="宋体" w:hAnsi="宋体" w:cs="宋体"/>
          <w:b/>
          <w:bCs/>
          <w:kern w:val="0"/>
          <w:sz w:val="32"/>
          <w:szCs w:val="32"/>
          <w:highlight w:val="none"/>
        </w:rPr>
      </w:pPr>
    </w:p>
    <w:p w14:paraId="2B42E771">
      <w:pPr>
        <w:spacing w:line="360" w:lineRule="auto"/>
        <w:jc w:val="center"/>
        <w:rPr>
          <w:rFonts w:ascii="宋体" w:hAnsi="宋体"/>
          <w:b/>
          <w:sz w:val="44"/>
          <w:szCs w:val="44"/>
          <w:highlight w:val="none"/>
        </w:rPr>
      </w:pPr>
      <w:r>
        <w:rPr>
          <w:rFonts w:ascii="黑体" w:hAnsi="黑体" w:eastAsia="黑体" w:cs="宋体"/>
          <w:b/>
          <w:bCs/>
          <w:kern w:val="0"/>
          <w:sz w:val="32"/>
          <w:szCs w:val="32"/>
          <w:highlight w:val="none"/>
        </w:rPr>
        <w:br w:type="page"/>
      </w:r>
    </w:p>
    <w:p w14:paraId="12E5E019">
      <w:pPr>
        <w:spacing w:line="360" w:lineRule="auto"/>
        <w:jc w:val="center"/>
        <w:rPr>
          <w:rFonts w:ascii="宋体" w:hAnsi="宋体"/>
          <w:b/>
          <w:sz w:val="44"/>
          <w:szCs w:val="44"/>
          <w:highlight w:val="none"/>
        </w:rPr>
      </w:pPr>
    </w:p>
    <w:p w14:paraId="0B420FF3">
      <w:pPr>
        <w:spacing w:line="360" w:lineRule="auto"/>
        <w:jc w:val="center"/>
        <w:rPr>
          <w:rFonts w:ascii="宋体" w:hAnsi="宋体"/>
          <w:b/>
          <w:sz w:val="44"/>
          <w:szCs w:val="44"/>
          <w:highlight w:val="none"/>
        </w:rPr>
      </w:pPr>
      <w:r>
        <w:rPr>
          <w:rFonts w:hint="eastAsia" w:ascii="宋体" w:hAnsi="宋体"/>
          <w:b/>
          <w:sz w:val="44"/>
          <w:szCs w:val="44"/>
          <w:highlight w:val="none"/>
        </w:rPr>
        <w:t>目  录</w:t>
      </w:r>
    </w:p>
    <w:p w14:paraId="5F4E145C">
      <w:pPr>
        <w:spacing w:line="400" w:lineRule="exact"/>
        <w:jc w:val="center"/>
        <w:rPr>
          <w:rFonts w:ascii="宋体" w:hAnsi="宋体"/>
          <w:b/>
          <w:sz w:val="44"/>
          <w:szCs w:val="44"/>
          <w:highlight w:val="none"/>
        </w:rPr>
      </w:pPr>
    </w:p>
    <w:p w14:paraId="115B0F61">
      <w:pPr>
        <w:pStyle w:val="18"/>
        <w:tabs>
          <w:tab w:val="right" w:leader="dot" w:pos="8869"/>
        </w:tabs>
        <w:snapToGrid w:val="0"/>
        <w:spacing w:line="500" w:lineRule="atLeast"/>
        <w:rPr>
          <w:rFonts w:ascii="宋体" w:hAnsi="宋体"/>
          <w:b/>
          <w:sz w:val="24"/>
          <w:highlight w:val="none"/>
        </w:rPr>
      </w:pPr>
      <w:r>
        <w:rPr>
          <w:rFonts w:ascii="宋体" w:hAnsi="宋体"/>
          <w:b/>
          <w:sz w:val="24"/>
          <w:highlight w:val="none"/>
        </w:rPr>
        <w:fldChar w:fldCharType="begin"/>
      </w:r>
      <w:r>
        <w:rPr>
          <w:rFonts w:hint="eastAsia" w:ascii="宋体" w:hAnsi="宋体"/>
          <w:b/>
          <w:sz w:val="24"/>
          <w:highlight w:val="none"/>
        </w:rPr>
        <w:instrText xml:space="preserve">TOC \o "1-3" \h \z \u</w:instrText>
      </w:r>
      <w:r>
        <w:rPr>
          <w:rFonts w:ascii="宋体" w:hAnsi="宋体"/>
          <w:b/>
          <w:sz w:val="24"/>
          <w:highlight w:val="none"/>
        </w:rPr>
        <w:fldChar w:fldCharType="separate"/>
      </w:r>
      <w:r>
        <w:rPr>
          <w:highlight w:val="none"/>
        </w:rPr>
        <w:fldChar w:fldCharType="begin"/>
      </w:r>
      <w:r>
        <w:rPr>
          <w:highlight w:val="none"/>
        </w:rPr>
        <w:instrText xml:space="preserve"> HYPERLINK \l "_Toc74323456" </w:instrText>
      </w:r>
      <w:r>
        <w:rPr>
          <w:highlight w:val="none"/>
        </w:rPr>
        <w:fldChar w:fldCharType="separate"/>
      </w:r>
      <w:r>
        <w:rPr>
          <w:rStyle w:val="26"/>
          <w:rFonts w:hint="eastAsia" w:ascii="宋体" w:hAnsi="宋体"/>
          <w:b/>
          <w:color w:val="auto"/>
          <w:sz w:val="24"/>
          <w:highlight w:val="none"/>
        </w:rPr>
        <w:t>第一章竞争性磋商公告</w:t>
      </w:r>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_Toc74323456 \h </w:instrText>
      </w:r>
      <w:r>
        <w:rPr>
          <w:rFonts w:ascii="宋体" w:hAnsi="宋体"/>
          <w:b/>
          <w:sz w:val="24"/>
          <w:highlight w:val="none"/>
        </w:rPr>
        <w:fldChar w:fldCharType="separate"/>
      </w:r>
      <w:r>
        <w:rPr>
          <w:rFonts w:ascii="宋体" w:hAnsi="宋体"/>
          <w:b/>
          <w:sz w:val="24"/>
          <w:highlight w:val="none"/>
        </w:rPr>
        <w:t>2</w:t>
      </w:r>
      <w:r>
        <w:rPr>
          <w:rFonts w:ascii="宋体" w:hAnsi="宋体"/>
          <w:b/>
          <w:sz w:val="24"/>
          <w:highlight w:val="none"/>
        </w:rPr>
        <w:fldChar w:fldCharType="end"/>
      </w:r>
      <w:r>
        <w:rPr>
          <w:rFonts w:ascii="宋体" w:hAnsi="宋体"/>
          <w:b/>
          <w:sz w:val="24"/>
          <w:highlight w:val="none"/>
        </w:rPr>
        <w:fldChar w:fldCharType="end"/>
      </w:r>
    </w:p>
    <w:p w14:paraId="3CC2BA81">
      <w:pPr>
        <w:pStyle w:val="18"/>
        <w:tabs>
          <w:tab w:val="right" w:leader="dot" w:pos="8869"/>
        </w:tabs>
        <w:snapToGrid w:val="0"/>
        <w:spacing w:line="500" w:lineRule="atLeast"/>
        <w:rPr>
          <w:rFonts w:ascii="宋体" w:hAnsi="宋体"/>
          <w:b/>
          <w:sz w:val="24"/>
          <w:highlight w:val="none"/>
        </w:rPr>
      </w:pPr>
      <w:r>
        <w:rPr>
          <w:highlight w:val="none"/>
        </w:rPr>
        <w:fldChar w:fldCharType="begin"/>
      </w:r>
      <w:r>
        <w:rPr>
          <w:highlight w:val="none"/>
        </w:rPr>
        <w:instrText xml:space="preserve"> HYPERLINK \l "_Toc74323457" </w:instrText>
      </w:r>
      <w:r>
        <w:rPr>
          <w:highlight w:val="none"/>
        </w:rPr>
        <w:fldChar w:fldCharType="separate"/>
      </w:r>
      <w:r>
        <w:rPr>
          <w:rStyle w:val="26"/>
          <w:rFonts w:hint="eastAsia" w:ascii="宋体" w:hAnsi="宋体"/>
          <w:b/>
          <w:color w:val="auto"/>
          <w:sz w:val="24"/>
          <w:highlight w:val="none"/>
        </w:rPr>
        <w:t>第二章供应</w:t>
      </w:r>
      <w:bookmarkStart w:id="0" w:name="_Hlt82161237"/>
      <w:r>
        <w:rPr>
          <w:rStyle w:val="26"/>
          <w:rFonts w:hint="eastAsia" w:ascii="宋体" w:hAnsi="宋体"/>
          <w:b/>
          <w:color w:val="auto"/>
          <w:sz w:val="24"/>
          <w:highlight w:val="none"/>
        </w:rPr>
        <w:t>商</w:t>
      </w:r>
      <w:bookmarkEnd w:id="0"/>
      <w:r>
        <w:rPr>
          <w:rStyle w:val="26"/>
          <w:rFonts w:hint="eastAsia" w:ascii="宋体" w:hAnsi="宋体"/>
          <w:b/>
          <w:color w:val="auto"/>
          <w:sz w:val="24"/>
          <w:highlight w:val="none"/>
        </w:rPr>
        <w:t>须知</w:t>
      </w:r>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_Toc74323457 \h </w:instrText>
      </w:r>
      <w:r>
        <w:rPr>
          <w:rFonts w:ascii="宋体" w:hAnsi="宋体"/>
          <w:b/>
          <w:sz w:val="24"/>
          <w:highlight w:val="none"/>
        </w:rPr>
        <w:fldChar w:fldCharType="separate"/>
      </w:r>
      <w:r>
        <w:rPr>
          <w:rFonts w:ascii="宋体" w:hAnsi="宋体"/>
          <w:b/>
          <w:sz w:val="24"/>
          <w:highlight w:val="none"/>
        </w:rPr>
        <w:t>6</w:t>
      </w:r>
      <w:r>
        <w:rPr>
          <w:rFonts w:ascii="宋体" w:hAnsi="宋体"/>
          <w:b/>
          <w:sz w:val="24"/>
          <w:highlight w:val="none"/>
        </w:rPr>
        <w:fldChar w:fldCharType="end"/>
      </w:r>
      <w:r>
        <w:rPr>
          <w:rFonts w:ascii="宋体" w:hAnsi="宋体"/>
          <w:b/>
          <w:sz w:val="24"/>
          <w:highlight w:val="none"/>
        </w:rPr>
        <w:fldChar w:fldCharType="end"/>
      </w:r>
    </w:p>
    <w:p w14:paraId="0C2BB06E">
      <w:pPr>
        <w:pStyle w:val="18"/>
        <w:tabs>
          <w:tab w:val="right" w:leader="dot" w:pos="8869"/>
        </w:tabs>
        <w:snapToGrid w:val="0"/>
        <w:spacing w:line="500" w:lineRule="atLeast"/>
        <w:rPr>
          <w:rFonts w:ascii="宋体" w:hAnsi="宋体"/>
          <w:b/>
          <w:sz w:val="24"/>
          <w:highlight w:val="none"/>
        </w:rPr>
      </w:pPr>
      <w:r>
        <w:rPr>
          <w:highlight w:val="none"/>
        </w:rPr>
        <w:fldChar w:fldCharType="begin"/>
      </w:r>
      <w:r>
        <w:rPr>
          <w:highlight w:val="none"/>
        </w:rPr>
        <w:instrText xml:space="preserve"> HYPERLINK \l "_Toc74323458" </w:instrText>
      </w:r>
      <w:r>
        <w:rPr>
          <w:highlight w:val="none"/>
        </w:rPr>
        <w:fldChar w:fldCharType="separate"/>
      </w:r>
      <w:r>
        <w:rPr>
          <w:rStyle w:val="26"/>
          <w:rFonts w:hint="eastAsia" w:ascii="宋体" w:hAnsi="宋体"/>
          <w:b/>
          <w:color w:val="auto"/>
          <w:sz w:val="24"/>
          <w:highlight w:val="none"/>
        </w:rPr>
        <w:t>第三章采购需</w:t>
      </w:r>
      <w:bookmarkStart w:id="1" w:name="_Hlt82166940"/>
      <w:r>
        <w:rPr>
          <w:rStyle w:val="26"/>
          <w:rFonts w:hint="eastAsia" w:ascii="宋体" w:hAnsi="宋体"/>
          <w:b/>
          <w:color w:val="auto"/>
          <w:sz w:val="24"/>
          <w:highlight w:val="none"/>
        </w:rPr>
        <w:t>求</w:t>
      </w:r>
      <w:bookmarkEnd w:id="1"/>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_Toc74323458 \h </w:instrText>
      </w:r>
      <w:r>
        <w:rPr>
          <w:rFonts w:ascii="宋体" w:hAnsi="宋体"/>
          <w:b/>
          <w:sz w:val="24"/>
          <w:highlight w:val="none"/>
        </w:rPr>
        <w:fldChar w:fldCharType="separate"/>
      </w:r>
      <w:r>
        <w:rPr>
          <w:rFonts w:ascii="宋体" w:hAnsi="宋体"/>
          <w:b/>
          <w:sz w:val="24"/>
          <w:highlight w:val="none"/>
        </w:rPr>
        <w:t>25</w:t>
      </w:r>
      <w:r>
        <w:rPr>
          <w:rFonts w:ascii="宋体" w:hAnsi="宋体"/>
          <w:b/>
          <w:sz w:val="24"/>
          <w:highlight w:val="none"/>
        </w:rPr>
        <w:fldChar w:fldCharType="end"/>
      </w:r>
      <w:r>
        <w:rPr>
          <w:rFonts w:ascii="宋体" w:hAnsi="宋体"/>
          <w:b/>
          <w:sz w:val="24"/>
          <w:highlight w:val="none"/>
        </w:rPr>
        <w:fldChar w:fldCharType="end"/>
      </w:r>
    </w:p>
    <w:p w14:paraId="260FE572">
      <w:pPr>
        <w:pStyle w:val="18"/>
        <w:tabs>
          <w:tab w:val="right" w:leader="dot" w:pos="8869"/>
        </w:tabs>
        <w:snapToGrid w:val="0"/>
        <w:spacing w:line="500" w:lineRule="atLeast"/>
        <w:rPr>
          <w:rFonts w:ascii="宋体" w:hAnsi="宋体"/>
          <w:b/>
          <w:sz w:val="24"/>
          <w:highlight w:val="none"/>
        </w:rPr>
      </w:pPr>
      <w:r>
        <w:rPr>
          <w:highlight w:val="none"/>
        </w:rPr>
        <w:fldChar w:fldCharType="begin"/>
      </w:r>
      <w:r>
        <w:rPr>
          <w:highlight w:val="none"/>
        </w:rPr>
        <w:instrText xml:space="preserve"> HYPERLINK \l "_Toc74323459" </w:instrText>
      </w:r>
      <w:r>
        <w:rPr>
          <w:highlight w:val="none"/>
        </w:rPr>
        <w:fldChar w:fldCharType="separate"/>
      </w:r>
      <w:r>
        <w:rPr>
          <w:rStyle w:val="26"/>
          <w:rFonts w:hint="eastAsia" w:ascii="宋体" w:hAnsi="宋体"/>
          <w:b/>
          <w:color w:val="auto"/>
          <w:sz w:val="24"/>
          <w:highlight w:val="none"/>
        </w:rPr>
        <w:t>第四章评审程序、</w:t>
      </w:r>
      <w:bookmarkStart w:id="2" w:name="_Hlt82166000"/>
      <w:r>
        <w:rPr>
          <w:rStyle w:val="26"/>
          <w:rFonts w:hint="eastAsia" w:ascii="宋体" w:hAnsi="宋体"/>
          <w:b/>
          <w:color w:val="auto"/>
          <w:sz w:val="24"/>
          <w:highlight w:val="none"/>
        </w:rPr>
        <w:t>评</w:t>
      </w:r>
      <w:bookmarkEnd w:id="2"/>
      <w:r>
        <w:rPr>
          <w:rStyle w:val="26"/>
          <w:rFonts w:hint="eastAsia" w:ascii="宋体" w:hAnsi="宋体"/>
          <w:b/>
          <w:color w:val="auto"/>
          <w:sz w:val="24"/>
          <w:highlight w:val="none"/>
        </w:rPr>
        <w:t>审方法和评审标准</w:t>
      </w:r>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_Toc74323459 \h </w:instrText>
      </w:r>
      <w:r>
        <w:rPr>
          <w:rFonts w:ascii="宋体" w:hAnsi="宋体"/>
          <w:b/>
          <w:sz w:val="24"/>
          <w:highlight w:val="none"/>
        </w:rPr>
        <w:fldChar w:fldCharType="separate"/>
      </w:r>
      <w:r>
        <w:rPr>
          <w:rFonts w:ascii="宋体" w:hAnsi="宋体"/>
          <w:b/>
          <w:sz w:val="24"/>
          <w:highlight w:val="none"/>
        </w:rPr>
        <w:t>32</w:t>
      </w:r>
      <w:r>
        <w:rPr>
          <w:rFonts w:ascii="宋体" w:hAnsi="宋体"/>
          <w:b/>
          <w:sz w:val="24"/>
          <w:highlight w:val="none"/>
        </w:rPr>
        <w:fldChar w:fldCharType="end"/>
      </w:r>
      <w:r>
        <w:rPr>
          <w:rFonts w:ascii="宋体" w:hAnsi="宋体"/>
          <w:b/>
          <w:sz w:val="24"/>
          <w:highlight w:val="none"/>
        </w:rPr>
        <w:fldChar w:fldCharType="end"/>
      </w:r>
    </w:p>
    <w:p w14:paraId="282433E6">
      <w:pPr>
        <w:pStyle w:val="18"/>
        <w:tabs>
          <w:tab w:val="right" w:leader="dot" w:pos="8869"/>
        </w:tabs>
        <w:snapToGrid w:val="0"/>
        <w:spacing w:line="500" w:lineRule="atLeast"/>
        <w:rPr>
          <w:rFonts w:ascii="宋体" w:hAnsi="宋体"/>
          <w:b/>
          <w:sz w:val="24"/>
          <w:highlight w:val="none"/>
        </w:rPr>
      </w:pPr>
      <w:r>
        <w:rPr>
          <w:highlight w:val="none"/>
        </w:rPr>
        <w:fldChar w:fldCharType="begin"/>
      </w:r>
      <w:r>
        <w:rPr>
          <w:highlight w:val="none"/>
        </w:rPr>
        <w:instrText xml:space="preserve"> HYPERLINK \l "_Toc74323460" </w:instrText>
      </w:r>
      <w:r>
        <w:rPr>
          <w:highlight w:val="none"/>
        </w:rPr>
        <w:fldChar w:fldCharType="separate"/>
      </w:r>
      <w:r>
        <w:rPr>
          <w:rStyle w:val="26"/>
          <w:rFonts w:hint="eastAsia" w:ascii="宋体" w:hAnsi="宋体"/>
          <w:b/>
          <w:color w:val="auto"/>
          <w:sz w:val="24"/>
          <w:highlight w:val="none"/>
        </w:rPr>
        <w:t>第五章响应文件格式</w:t>
      </w:r>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_Toc74323460 \h </w:instrText>
      </w:r>
      <w:r>
        <w:rPr>
          <w:rFonts w:ascii="宋体" w:hAnsi="宋体"/>
          <w:b/>
          <w:sz w:val="24"/>
          <w:highlight w:val="none"/>
        </w:rPr>
        <w:fldChar w:fldCharType="separate"/>
      </w:r>
      <w:r>
        <w:rPr>
          <w:rFonts w:ascii="宋体" w:hAnsi="宋体"/>
          <w:b/>
          <w:sz w:val="24"/>
          <w:highlight w:val="none"/>
        </w:rPr>
        <w:t>41</w:t>
      </w:r>
      <w:r>
        <w:rPr>
          <w:rFonts w:ascii="宋体" w:hAnsi="宋体"/>
          <w:b/>
          <w:sz w:val="24"/>
          <w:highlight w:val="none"/>
        </w:rPr>
        <w:fldChar w:fldCharType="end"/>
      </w:r>
      <w:r>
        <w:rPr>
          <w:rFonts w:ascii="宋体" w:hAnsi="宋体"/>
          <w:b/>
          <w:sz w:val="24"/>
          <w:highlight w:val="none"/>
        </w:rPr>
        <w:fldChar w:fldCharType="end"/>
      </w:r>
    </w:p>
    <w:p w14:paraId="6C3307B1">
      <w:pPr>
        <w:pStyle w:val="18"/>
        <w:tabs>
          <w:tab w:val="right" w:leader="dot" w:pos="8869"/>
        </w:tabs>
        <w:snapToGrid w:val="0"/>
        <w:spacing w:line="500" w:lineRule="atLeast"/>
        <w:rPr>
          <w:rFonts w:ascii="宋体" w:hAnsi="宋体"/>
          <w:sz w:val="24"/>
          <w:highlight w:val="none"/>
        </w:rPr>
      </w:pPr>
      <w:r>
        <w:rPr>
          <w:highlight w:val="none"/>
        </w:rPr>
        <w:fldChar w:fldCharType="begin"/>
      </w:r>
      <w:r>
        <w:rPr>
          <w:highlight w:val="none"/>
        </w:rPr>
        <w:instrText xml:space="preserve"> HYPERLINK \l "_Toc74323461" </w:instrText>
      </w:r>
      <w:r>
        <w:rPr>
          <w:highlight w:val="none"/>
        </w:rPr>
        <w:fldChar w:fldCharType="separate"/>
      </w:r>
      <w:r>
        <w:rPr>
          <w:rStyle w:val="26"/>
          <w:rFonts w:hint="eastAsia" w:ascii="宋体" w:hAnsi="宋体"/>
          <w:b/>
          <w:color w:val="auto"/>
          <w:sz w:val="24"/>
          <w:highlight w:val="none"/>
        </w:rPr>
        <w:t>第六章合同文本</w:t>
      </w:r>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_Toc74323461 \h </w:instrText>
      </w:r>
      <w:r>
        <w:rPr>
          <w:rFonts w:ascii="宋体" w:hAnsi="宋体"/>
          <w:b/>
          <w:sz w:val="24"/>
          <w:highlight w:val="none"/>
        </w:rPr>
        <w:fldChar w:fldCharType="separate"/>
      </w:r>
      <w:r>
        <w:rPr>
          <w:rFonts w:ascii="宋体" w:hAnsi="宋体"/>
          <w:b/>
          <w:sz w:val="24"/>
          <w:highlight w:val="none"/>
        </w:rPr>
        <w:t>67</w:t>
      </w:r>
      <w:r>
        <w:rPr>
          <w:rFonts w:ascii="宋体" w:hAnsi="宋体"/>
          <w:b/>
          <w:sz w:val="24"/>
          <w:highlight w:val="none"/>
        </w:rPr>
        <w:fldChar w:fldCharType="end"/>
      </w:r>
      <w:r>
        <w:rPr>
          <w:rFonts w:ascii="宋体" w:hAnsi="宋体"/>
          <w:b/>
          <w:sz w:val="24"/>
          <w:highlight w:val="none"/>
        </w:rPr>
        <w:fldChar w:fldCharType="end"/>
      </w:r>
    </w:p>
    <w:p w14:paraId="77C20CAE">
      <w:pPr>
        <w:pStyle w:val="19"/>
        <w:tabs>
          <w:tab w:val="right" w:leader="dot" w:pos="8931"/>
          <w:tab w:val="clear" w:pos="8296"/>
        </w:tabs>
        <w:snapToGrid w:val="0"/>
        <w:spacing w:line="500" w:lineRule="atLeast"/>
        <w:ind w:left="0" w:leftChars="0"/>
        <w:rPr>
          <w:rFonts w:ascii="宋体" w:hAnsi="宋体"/>
          <w:b/>
          <w:sz w:val="24"/>
          <w:highlight w:val="none"/>
        </w:rPr>
      </w:pPr>
      <w:r>
        <w:rPr>
          <w:rFonts w:ascii="宋体" w:hAnsi="宋体"/>
          <w:b/>
          <w:sz w:val="24"/>
          <w:highlight w:val="none"/>
        </w:rPr>
        <w:fldChar w:fldCharType="end"/>
      </w:r>
    </w:p>
    <w:p w14:paraId="035F3967">
      <w:pPr>
        <w:spacing w:line="400" w:lineRule="exact"/>
        <w:jc w:val="left"/>
        <w:rPr>
          <w:rFonts w:ascii="宋体" w:hAnsi="宋体"/>
          <w:b/>
          <w:sz w:val="32"/>
          <w:szCs w:val="32"/>
          <w:highlight w:val="none"/>
        </w:rPr>
      </w:pPr>
    </w:p>
    <w:p w14:paraId="312F7011">
      <w:pPr>
        <w:spacing w:line="400" w:lineRule="exact"/>
        <w:jc w:val="center"/>
        <w:rPr>
          <w:rFonts w:ascii="宋体" w:hAnsi="宋体"/>
          <w:b/>
          <w:sz w:val="32"/>
          <w:szCs w:val="32"/>
          <w:highlight w:val="none"/>
        </w:rPr>
      </w:pPr>
    </w:p>
    <w:p w14:paraId="5F625E49">
      <w:pPr>
        <w:spacing w:line="400" w:lineRule="exact"/>
        <w:jc w:val="center"/>
        <w:rPr>
          <w:rFonts w:ascii="宋体" w:hAnsi="宋体"/>
          <w:b/>
          <w:sz w:val="32"/>
          <w:szCs w:val="32"/>
          <w:highlight w:val="none"/>
        </w:rPr>
      </w:pPr>
    </w:p>
    <w:p w14:paraId="21F6428E">
      <w:pPr>
        <w:spacing w:line="400" w:lineRule="exact"/>
        <w:jc w:val="center"/>
        <w:rPr>
          <w:rFonts w:ascii="宋体" w:hAnsi="宋体"/>
          <w:b/>
          <w:sz w:val="32"/>
          <w:szCs w:val="32"/>
          <w:highlight w:val="none"/>
        </w:rPr>
      </w:pPr>
    </w:p>
    <w:p w14:paraId="608F905C">
      <w:pPr>
        <w:spacing w:line="400" w:lineRule="exact"/>
        <w:jc w:val="center"/>
        <w:rPr>
          <w:rFonts w:ascii="宋体" w:hAnsi="宋体"/>
          <w:b/>
          <w:sz w:val="32"/>
          <w:szCs w:val="32"/>
          <w:highlight w:val="none"/>
        </w:rPr>
      </w:pPr>
    </w:p>
    <w:p w14:paraId="794E4317">
      <w:pPr>
        <w:spacing w:line="400" w:lineRule="exact"/>
        <w:rPr>
          <w:rFonts w:ascii="宋体" w:hAnsi="宋体"/>
          <w:b/>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4890C629">
      <w:pPr>
        <w:pStyle w:val="2"/>
        <w:jc w:val="center"/>
        <w:rPr>
          <w:highlight w:val="none"/>
        </w:rPr>
      </w:pPr>
      <w:bookmarkStart w:id="3" w:name="_Toc74323456"/>
      <w:r>
        <w:rPr>
          <w:rFonts w:hint="eastAsia"/>
          <w:highlight w:val="none"/>
        </w:rPr>
        <w:t>第一章 竞争性磋商公告</w:t>
      </w:r>
      <w:bookmarkEnd w:id="3"/>
    </w:p>
    <w:p w14:paraId="03B297A6">
      <w:pPr>
        <w:spacing w:line="400" w:lineRule="exact"/>
        <w:jc w:val="center"/>
        <w:rPr>
          <w:rFonts w:ascii="宋体" w:hAnsi="宋体"/>
          <w:b/>
          <w:bCs/>
          <w:sz w:val="32"/>
          <w:szCs w:val="32"/>
          <w:highlight w:val="none"/>
        </w:rPr>
      </w:pPr>
      <w:r>
        <w:rPr>
          <w:rFonts w:hint="eastAsia" w:ascii="宋体" w:hAnsi="宋体"/>
          <w:b/>
          <w:bCs/>
          <w:sz w:val="32"/>
          <w:szCs w:val="32"/>
          <w:highlight w:val="none"/>
        </w:rPr>
        <w:t>竞争性磋商公告</w:t>
      </w:r>
    </w:p>
    <w:p w14:paraId="1CD938F4">
      <w:pPr>
        <w:spacing w:line="440" w:lineRule="exact"/>
        <w:rPr>
          <w:rFonts w:ascii="宋体" w:hAnsi="宋体"/>
          <w:szCs w:val="21"/>
          <w:highlight w:val="none"/>
        </w:rPr>
      </w:pPr>
    </w:p>
    <w:p w14:paraId="1D3A37F4">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szCs w:val="21"/>
          <w:highlight w:val="none"/>
        </w:rPr>
      </w:pPr>
      <w:bookmarkStart w:id="4" w:name="_Hlk37430271"/>
      <w:r>
        <w:rPr>
          <w:rFonts w:hint="eastAsia" w:ascii="宋体" w:hAnsi="宋体"/>
          <w:szCs w:val="21"/>
          <w:highlight w:val="none"/>
        </w:rPr>
        <w:t>项目概况</w:t>
      </w:r>
    </w:p>
    <w:p w14:paraId="6D105D46">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szCs w:val="21"/>
          <w:highlight w:val="none"/>
        </w:rPr>
      </w:pPr>
      <w:r>
        <w:rPr>
          <w:rFonts w:hint="eastAsia" w:ascii="宋体" w:hAnsi="宋体"/>
          <w:szCs w:val="21"/>
          <w:highlight w:val="none"/>
          <w:u w:val="single"/>
        </w:rPr>
        <w:t xml:space="preserve"> 渔船智能识别系统采购</w:t>
      </w:r>
      <w:r>
        <w:rPr>
          <w:rFonts w:hint="eastAsia" w:ascii="宋体" w:hAnsi="宋体"/>
          <w:szCs w:val="21"/>
          <w:highlight w:val="none"/>
        </w:rPr>
        <w:t>项目的潜在供应商应在广西政府采购云平台（https://www.gcy.zfcg.gxzf.gov.cn/）获取（下载）竞争性磋商文件，并于</w:t>
      </w:r>
      <w:r>
        <w:rPr>
          <w:rFonts w:hint="eastAsia" w:ascii="宋体" w:hAnsi="宋体"/>
          <w:szCs w:val="21"/>
          <w:highlight w:val="none"/>
          <w:u w:val="single"/>
        </w:rPr>
        <w:t xml:space="preserve"> 2025</w:t>
      </w:r>
      <w:r>
        <w:rPr>
          <w:rFonts w:hint="eastAsia" w:ascii="宋体" w:hAnsi="宋体"/>
          <w:bCs/>
          <w:szCs w:val="21"/>
          <w:highlight w:val="none"/>
          <w:u w:val="single"/>
        </w:rPr>
        <w:t>年6月</w:t>
      </w:r>
      <w:r>
        <w:rPr>
          <w:rFonts w:hint="eastAsia" w:ascii="宋体" w:hAnsi="宋体"/>
          <w:bCs/>
          <w:szCs w:val="21"/>
          <w:highlight w:val="none"/>
          <w:u w:val="single"/>
          <w:lang w:val="en-US" w:eastAsia="zh-CN"/>
        </w:rPr>
        <w:t>10</w:t>
      </w:r>
      <w:r>
        <w:rPr>
          <w:rFonts w:hint="eastAsia" w:ascii="宋体" w:hAnsi="宋体"/>
          <w:bCs/>
          <w:szCs w:val="21"/>
          <w:highlight w:val="none"/>
          <w:u w:val="single"/>
        </w:rPr>
        <w:t>日</w:t>
      </w:r>
      <w:r>
        <w:rPr>
          <w:rFonts w:hint="eastAsia" w:ascii="宋体" w:hAnsi="宋体"/>
          <w:bCs/>
          <w:szCs w:val="21"/>
          <w:highlight w:val="none"/>
          <w:u w:val="single"/>
          <w:lang w:val="en-US" w:eastAsia="zh-CN"/>
        </w:rPr>
        <w:t>9</w:t>
      </w:r>
      <w:r>
        <w:rPr>
          <w:rFonts w:hint="eastAsia" w:ascii="宋体" w:hAnsi="宋体"/>
          <w:bCs/>
          <w:szCs w:val="21"/>
          <w:highlight w:val="none"/>
          <w:u w:val="single"/>
        </w:rPr>
        <w:t>时</w:t>
      </w:r>
      <w:r>
        <w:rPr>
          <w:rFonts w:hint="eastAsia" w:ascii="宋体" w:hAnsi="宋体"/>
          <w:bCs/>
          <w:szCs w:val="21"/>
          <w:highlight w:val="none"/>
          <w:u w:val="single"/>
          <w:lang w:val="en-US" w:eastAsia="zh-CN"/>
        </w:rPr>
        <w:t>30</w:t>
      </w:r>
      <w:r>
        <w:rPr>
          <w:rFonts w:hint="eastAsia" w:ascii="宋体" w:hAnsi="宋体"/>
          <w:bCs/>
          <w:szCs w:val="21"/>
          <w:highlight w:val="none"/>
          <w:u w:val="single"/>
        </w:rPr>
        <w:t>分（</w:t>
      </w:r>
      <w:r>
        <w:rPr>
          <w:rFonts w:hint="eastAsia" w:ascii="宋体" w:hAnsi="宋体"/>
          <w:bCs/>
          <w:szCs w:val="21"/>
          <w:highlight w:val="none"/>
        </w:rPr>
        <w:t>北京时间）前提交（上传）</w:t>
      </w:r>
      <w:r>
        <w:rPr>
          <w:rFonts w:hint="eastAsia" w:ascii="宋体" w:hAnsi="宋体"/>
          <w:szCs w:val="21"/>
          <w:highlight w:val="none"/>
        </w:rPr>
        <w:t>响应</w:t>
      </w:r>
      <w:r>
        <w:rPr>
          <w:rFonts w:hint="eastAsia" w:ascii="宋体" w:hAnsi="宋体"/>
          <w:bCs/>
          <w:szCs w:val="21"/>
          <w:highlight w:val="none"/>
        </w:rPr>
        <w:t>文件</w:t>
      </w:r>
      <w:r>
        <w:rPr>
          <w:rFonts w:hint="eastAsia" w:ascii="宋体" w:hAnsi="宋体"/>
          <w:szCs w:val="21"/>
          <w:highlight w:val="none"/>
        </w:rPr>
        <w:t>。</w:t>
      </w:r>
    </w:p>
    <w:p w14:paraId="0EF79F34">
      <w:pPr>
        <w:spacing w:line="440" w:lineRule="exact"/>
        <w:ind w:firstLine="354" w:firstLineChars="147"/>
        <w:rPr>
          <w:rFonts w:ascii="黑体" w:hAnsi="黑体" w:eastAsia="黑体"/>
          <w:b/>
          <w:sz w:val="24"/>
          <w:highlight w:val="none"/>
        </w:rPr>
      </w:pPr>
      <w:bookmarkStart w:id="5" w:name="_Toc35393629"/>
      <w:bookmarkStart w:id="6" w:name="_Toc44229878"/>
      <w:bookmarkStart w:id="7" w:name="_Toc35393798"/>
      <w:bookmarkStart w:id="8" w:name="_Toc28359089"/>
      <w:bookmarkStart w:id="9" w:name="_Toc71365905"/>
      <w:bookmarkStart w:id="10" w:name="_Toc28359012"/>
      <w:r>
        <w:rPr>
          <w:rFonts w:hint="eastAsia" w:ascii="黑体" w:hAnsi="黑体" w:eastAsia="黑体"/>
          <w:b/>
          <w:sz w:val="24"/>
          <w:highlight w:val="none"/>
        </w:rPr>
        <w:t>一、项目基本情况</w:t>
      </w:r>
      <w:bookmarkEnd w:id="5"/>
      <w:bookmarkEnd w:id="6"/>
      <w:bookmarkEnd w:id="7"/>
      <w:bookmarkEnd w:id="8"/>
      <w:bookmarkEnd w:id="9"/>
      <w:bookmarkEnd w:id="10"/>
    </w:p>
    <w:p w14:paraId="65579E73">
      <w:pPr>
        <w:spacing w:line="440" w:lineRule="exact"/>
        <w:ind w:firstLine="420" w:firstLineChars="200"/>
        <w:rPr>
          <w:rFonts w:ascii="宋体" w:hAnsi="宋体"/>
          <w:szCs w:val="21"/>
          <w:highlight w:val="none"/>
        </w:rPr>
      </w:pPr>
      <w:r>
        <w:rPr>
          <w:rFonts w:hint="eastAsia" w:ascii="宋体" w:hAnsi="宋体"/>
          <w:szCs w:val="21"/>
          <w:highlight w:val="none"/>
        </w:rPr>
        <w:t>项目编号：QZZC2025-C3-990133-YZLZ</w:t>
      </w:r>
    </w:p>
    <w:p w14:paraId="5A9637F4">
      <w:pPr>
        <w:spacing w:line="440" w:lineRule="exact"/>
        <w:ind w:firstLine="420" w:firstLineChars="200"/>
        <w:rPr>
          <w:rFonts w:ascii="宋体" w:hAnsi="宋体"/>
          <w:bCs/>
          <w:szCs w:val="21"/>
          <w:highlight w:val="none"/>
          <w:u w:val="single"/>
        </w:rPr>
      </w:pPr>
      <w:r>
        <w:rPr>
          <w:rFonts w:hint="eastAsia" w:ascii="宋体" w:hAnsi="宋体"/>
          <w:szCs w:val="21"/>
          <w:highlight w:val="none"/>
        </w:rPr>
        <w:t>项目名称：</w:t>
      </w:r>
      <w:r>
        <w:rPr>
          <w:rFonts w:hint="eastAsia" w:ascii="宋体" w:hAnsi="宋体"/>
          <w:bCs/>
          <w:szCs w:val="21"/>
          <w:highlight w:val="none"/>
          <w:u w:val="single"/>
        </w:rPr>
        <w:t>渔船智能识别系统采购</w:t>
      </w:r>
    </w:p>
    <w:p w14:paraId="3F053218">
      <w:pPr>
        <w:spacing w:line="440" w:lineRule="exact"/>
        <w:ind w:firstLine="420" w:firstLineChars="200"/>
        <w:rPr>
          <w:rFonts w:ascii="宋体" w:hAnsi="宋体"/>
          <w:szCs w:val="21"/>
          <w:highlight w:val="none"/>
        </w:rPr>
      </w:pPr>
      <w:r>
        <w:rPr>
          <w:rFonts w:hint="eastAsia" w:ascii="宋体" w:hAnsi="宋体"/>
          <w:szCs w:val="21"/>
          <w:highlight w:val="none"/>
        </w:rPr>
        <w:t>采购方式：竞争性磋商</w:t>
      </w:r>
    </w:p>
    <w:p w14:paraId="23734643">
      <w:pPr>
        <w:spacing w:line="440" w:lineRule="exact"/>
        <w:ind w:firstLine="420" w:firstLineChars="200"/>
        <w:rPr>
          <w:rFonts w:ascii="宋体" w:hAnsi="宋体"/>
          <w:color w:val="000000"/>
          <w:szCs w:val="21"/>
          <w:highlight w:val="none"/>
        </w:rPr>
      </w:pPr>
      <w:r>
        <w:rPr>
          <w:rFonts w:hint="eastAsia" w:ascii="宋体" w:hAnsi="宋体"/>
          <w:szCs w:val="21"/>
          <w:highlight w:val="none"/>
        </w:rPr>
        <w:t>预算金额：</w:t>
      </w:r>
      <w:r>
        <w:rPr>
          <w:rFonts w:hint="eastAsia" w:ascii="宋体" w:hAnsi="宋体"/>
          <w:color w:val="000000"/>
          <w:szCs w:val="21"/>
          <w:highlight w:val="none"/>
        </w:rPr>
        <w:t>人民币捌拾万元整（¥800000.00）</w:t>
      </w:r>
    </w:p>
    <w:p w14:paraId="0C099AC4">
      <w:pPr>
        <w:spacing w:line="440" w:lineRule="exact"/>
        <w:ind w:firstLine="420" w:firstLineChars="200"/>
        <w:rPr>
          <w:rFonts w:ascii="宋体" w:hAnsi="宋体"/>
          <w:color w:val="000000"/>
          <w:szCs w:val="21"/>
          <w:highlight w:val="none"/>
        </w:rPr>
      </w:pPr>
      <w:r>
        <w:rPr>
          <w:rFonts w:hint="eastAsia" w:ascii="宋体" w:hAnsi="宋体"/>
          <w:szCs w:val="21"/>
          <w:highlight w:val="none"/>
        </w:rPr>
        <w:t>最高限价：</w:t>
      </w:r>
      <w:r>
        <w:rPr>
          <w:rFonts w:hint="eastAsia" w:ascii="宋体" w:hAnsi="宋体"/>
          <w:color w:val="000000"/>
          <w:szCs w:val="21"/>
          <w:highlight w:val="none"/>
        </w:rPr>
        <w:t>人民币捌拾万元整（¥800000.00）</w:t>
      </w:r>
    </w:p>
    <w:p w14:paraId="31A2794F">
      <w:pPr>
        <w:spacing w:line="440" w:lineRule="exact"/>
        <w:ind w:firstLine="420" w:firstLineChars="200"/>
        <w:rPr>
          <w:rFonts w:ascii="宋体" w:hAnsi="宋体"/>
          <w:szCs w:val="21"/>
          <w:highlight w:val="none"/>
        </w:rPr>
      </w:pPr>
      <w:r>
        <w:rPr>
          <w:rFonts w:hint="eastAsia" w:ascii="宋体" w:hAnsi="宋体"/>
          <w:szCs w:val="21"/>
          <w:highlight w:val="none"/>
        </w:rPr>
        <w:t>采购需求：</w:t>
      </w:r>
    </w:p>
    <w:tbl>
      <w:tblPr>
        <w:tblStyle w:val="2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850"/>
        <w:gridCol w:w="5245"/>
      </w:tblGrid>
      <w:tr w14:paraId="77BAF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6B82558">
            <w:pPr>
              <w:snapToGrid w:val="0"/>
              <w:spacing w:line="440" w:lineRule="exact"/>
              <w:jc w:val="center"/>
              <w:rPr>
                <w:rFonts w:ascii="宋体" w:hAnsi="宋体"/>
                <w:szCs w:val="21"/>
                <w:highlight w:val="none"/>
              </w:rPr>
            </w:pPr>
            <w:r>
              <w:rPr>
                <w:rFonts w:hint="eastAsia" w:ascii="宋体" w:hAnsi="宋体"/>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1C1CC744">
            <w:pPr>
              <w:snapToGrid w:val="0"/>
              <w:spacing w:line="440" w:lineRule="exact"/>
              <w:jc w:val="center"/>
              <w:rPr>
                <w:rFonts w:ascii="宋体" w:hAnsi="宋体"/>
                <w:szCs w:val="21"/>
                <w:highlight w:val="none"/>
              </w:rPr>
            </w:pPr>
            <w:r>
              <w:rPr>
                <w:rFonts w:hint="eastAsia" w:ascii="宋体" w:hAnsi="宋体"/>
                <w:szCs w:val="21"/>
                <w:highlight w:val="none"/>
              </w:rPr>
              <w:t>标的的名称</w:t>
            </w:r>
          </w:p>
        </w:tc>
        <w:tc>
          <w:tcPr>
            <w:tcW w:w="850" w:type="dxa"/>
            <w:tcBorders>
              <w:top w:val="single" w:color="auto" w:sz="4" w:space="0"/>
              <w:left w:val="single" w:color="auto" w:sz="4" w:space="0"/>
              <w:bottom w:val="single" w:color="auto" w:sz="4" w:space="0"/>
              <w:right w:val="single" w:color="auto" w:sz="4" w:space="0"/>
            </w:tcBorders>
            <w:vAlign w:val="center"/>
          </w:tcPr>
          <w:p w14:paraId="0299E4EC">
            <w:pPr>
              <w:snapToGrid w:val="0"/>
              <w:spacing w:line="440" w:lineRule="exact"/>
              <w:jc w:val="center"/>
              <w:rPr>
                <w:rFonts w:ascii="宋体" w:hAnsi="宋体"/>
                <w:szCs w:val="21"/>
                <w:highlight w:val="none"/>
              </w:rPr>
            </w:pPr>
            <w:r>
              <w:rPr>
                <w:rFonts w:hint="eastAsia" w:ascii="宋体" w:hAnsi="宋体"/>
                <w:szCs w:val="21"/>
                <w:highlight w:val="none"/>
              </w:rPr>
              <w:t>数量及</w:t>
            </w:r>
          </w:p>
          <w:p w14:paraId="5660EDC2">
            <w:pPr>
              <w:snapToGrid w:val="0"/>
              <w:spacing w:line="440" w:lineRule="exact"/>
              <w:jc w:val="center"/>
              <w:rPr>
                <w:rFonts w:ascii="宋体" w:hAnsi="宋体"/>
                <w:szCs w:val="21"/>
                <w:highlight w:val="none"/>
              </w:rPr>
            </w:pPr>
            <w:r>
              <w:rPr>
                <w:rFonts w:hint="eastAsia" w:ascii="宋体" w:hAnsi="宋体"/>
                <w:szCs w:val="21"/>
                <w:highlight w:val="none"/>
              </w:rPr>
              <w:t>单位</w:t>
            </w:r>
          </w:p>
        </w:tc>
        <w:tc>
          <w:tcPr>
            <w:tcW w:w="5245" w:type="dxa"/>
            <w:tcBorders>
              <w:top w:val="single" w:color="auto" w:sz="4" w:space="0"/>
              <w:left w:val="single" w:color="auto" w:sz="4" w:space="0"/>
              <w:bottom w:val="single" w:color="auto" w:sz="4" w:space="0"/>
              <w:right w:val="single" w:color="auto" w:sz="4" w:space="0"/>
            </w:tcBorders>
            <w:vAlign w:val="center"/>
          </w:tcPr>
          <w:p w14:paraId="56FB1679">
            <w:pPr>
              <w:snapToGrid w:val="0"/>
              <w:spacing w:line="440" w:lineRule="exact"/>
              <w:jc w:val="center"/>
              <w:rPr>
                <w:rFonts w:ascii="宋体" w:hAnsi="宋体"/>
                <w:szCs w:val="21"/>
                <w:highlight w:val="none"/>
              </w:rPr>
            </w:pPr>
            <w:r>
              <w:rPr>
                <w:rFonts w:hint="eastAsia" w:ascii="宋体" w:hAnsi="宋体"/>
                <w:szCs w:val="21"/>
                <w:highlight w:val="none"/>
              </w:rPr>
              <w:t>简要技术需求或者服务要求</w:t>
            </w:r>
          </w:p>
        </w:tc>
      </w:tr>
      <w:tr w14:paraId="3D784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F74FBA8">
            <w:pPr>
              <w:snapToGrid w:val="0"/>
              <w:spacing w:line="440" w:lineRule="exact"/>
              <w:jc w:val="center"/>
              <w:rPr>
                <w:rFonts w:ascii="宋体" w:hAnsi="宋体"/>
                <w:szCs w:val="21"/>
                <w:highlight w:val="none"/>
              </w:rPr>
            </w:pPr>
            <w:r>
              <w:rPr>
                <w:rFonts w:hint="eastAsia" w:ascii="宋体" w:hAnsi="宋体"/>
                <w:szCs w:val="21"/>
                <w:highlight w:val="none"/>
              </w:rPr>
              <w:t>01</w:t>
            </w:r>
          </w:p>
        </w:tc>
        <w:tc>
          <w:tcPr>
            <w:tcW w:w="1985" w:type="dxa"/>
            <w:tcBorders>
              <w:top w:val="single" w:color="auto" w:sz="4" w:space="0"/>
              <w:left w:val="single" w:color="auto" w:sz="4" w:space="0"/>
              <w:bottom w:val="single" w:color="auto" w:sz="4" w:space="0"/>
              <w:right w:val="single" w:color="auto" w:sz="4" w:space="0"/>
            </w:tcBorders>
            <w:vAlign w:val="center"/>
          </w:tcPr>
          <w:p w14:paraId="7BBD53E8">
            <w:pPr>
              <w:spacing w:line="440" w:lineRule="exact"/>
              <w:rPr>
                <w:rFonts w:ascii="宋体" w:hAnsi="宋体"/>
                <w:bCs/>
                <w:szCs w:val="21"/>
                <w:highlight w:val="none"/>
              </w:rPr>
            </w:pPr>
            <w:r>
              <w:rPr>
                <w:rFonts w:hint="eastAsia" w:ascii="宋体" w:hAnsi="宋体"/>
                <w:bCs/>
                <w:szCs w:val="21"/>
                <w:highlight w:val="none"/>
              </w:rPr>
              <w:t>渔船智能识别系统采购</w:t>
            </w:r>
          </w:p>
        </w:tc>
        <w:tc>
          <w:tcPr>
            <w:tcW w:w="850" w:type="dxa"/>
            <w:tcBorders>
              <w:top w:val="single" w:color="auto" w:sz="4" w:space="0"/>
              <w:left w:val="single" w:color="auto" w:sz="4" w:space="0"/>
              <w:bottom w:val="single" w:color="auto" w:sz="4" w:space="0"/>
              <w:right w:val="single" w:color="auto" w:sz="4" w:space="0"/>
            </w:tcBorders>
            <w:vAlign w:val="center"/>
          </w:tcPr>
          <w:p w14:paraId="44E20D2D">
            <w:pPr>
              <w:snapToGrid w:val="0"/>
              <w:spacing w:line="440" w:lineRule="exact"/>
              <w:rPr>
                <w:rFonts w:ascii="宋体" w:hAnsi="宋体"/>
                <w:szCs w:val="21"/>
                <w:highlight w:val="none"/>
              </w:rPr>
            </w:pPr>
            <w:r>
              <w:rPr>
                <w:rFonts w:hint="eastAsia" w:ascii="宋体" w:hAnsi="宋体"/>
                <w:szCs w:val="21"/>
                <w:highlight w:val="none"/>
              </w:rPr>
              <w:t>1项</w:t>
            </w:r>
          </w:p>
        </w:tc>
        <w:tc>
          <w:tcPr>
            <w:tcW w:w="5245" w:type="dxa"/>
            <w:tcBorders>
              <w:top w:val="single" w:color="auto" w:sz="4" w:space="0"/>
              <w:left w:val="single" w:color="auto" w:sz="4" w:space="0"/>
              <w:bottom w:val="single" w:color="auto" w:sz="4" w:space="0"/>
              <w:right w:val="single" w:color="auto" w:sz="4" w:space="0"/>
            </w:tcBorders>
            <w:vAlign w:val="center"/>
          </w:tcPr>
          <w:p w14:paraId="428CFDF2">
            <w:pPr>
              <w:snapToGrid w:val="0"/>
              <w:spacing w:line="440" w:lineRule="exact"/>
              <w:rPr>
                <w:rFonts w:ascii="宋体" w:hAnsi="宋体"/>
                <w:szCs w:val="21"/>
                <w:highlight w:val="none"/>
              </w:rPr>
            </w:pPr>
            <w:r>
              <w:rPr>
                <w:rFonts w:hint="eastAsia" w:ascii="宋体" w:hAnsi="宋体"/>
                <w:bCs/>
                <w:szCs w:val="21"/>
                <w:highlight w:val="none"/>
              </w:rPr>
              <w:t>渔船智能识别系统采购1项</w:t>
            </w:r>
            <w:r>
              <w:rPr>
                <w:rFonts w:ascii="宋体" w:hAnsi="宋体"/>
                <w:szCs w:val="21"/>
                <w:highlight w:val="none"/>
              </w:rPr>
              <w:t>……</w:t>
            </w:r>
            <w:r>
              <w:rPr>
                <w:rFonts w:hint="eastAsia" w:ascii="宋体" w:hAnsi="宋体"/>
                <w:szCs w:val="21"/>
                <w:highlight w:val="none"/>
              </w:rPr>
              <w:t>具体详见竞争性磋商文件</w:t>
            </w:r>
          </w:p>
        </w:tc>
      </w:tr>
    </w:tbl>
    <w:p w14:paraId="4EE02ABC">
      <w:pPr>
        <w:spacing w:line="440" w:lineRule="exact"/>
        <w:ind w:firstLine="420" w:firstLineChars="200"/>
        <w:rPr>
          <w:rFonts w:ascii="宋体" w:hAnsi="宋体"/>
          <w:szCs w:val="21"/>
          <w:highlight w:val="none"/>
          <w:u w:val="single"/>
        </w:rPr>
      </w:pPr>
      <w:r>
        <w:rPr>
          <w:rFonts w:hint="eastAsia" w:ascii="宋体" w:hAnsi="宋体"/>
          <w:szCs w:val="21"/>
          <w:highlight w:val="none"/>
        </w:rPr>
        <w:t>合同履行期限：自合同签订之日起</w:t>
      </w:r>
      <w:r>
        <w:rPr>
          <w:rFonts w:hint="eastAsia" w:ascii="宋体" w:hAnsi="宋体"/>
          <w:szCs w:val="21"/>
          <w:highlight w:val="none"/>
          <w:lang w:val="en-US" w:eastAsia="zh-CN"/>
        </w:rPr>
        <w:t>45</w:t>
      </w:r>
      <w:r>
        <w:rPr>
          <w:rFonts w:hint="eastAsia" w:ascii="宋体" w:hAnsi="宋体"/>
          <w:szCs w:val="21"/>
          <w:highlight w:val="none"/>
        </w:rPr>
        <w:t>个日历日内完成。</w:t>
      </w:r>
    </w:p>
    <w:p w14:paraId="7D7D66FE">
      <w:pPr>
        <w:spacing w:line="440" w:lineRule="exact"/>
        <w:ind w:firstLine="420" w:firstLineChars="200"/>
        <w:rPr>
          <w:rFonts w:ascii="宋体" w:hAnsi="宋体"/>
          <w:szCs w:val="21"/>
          <w:highlight w:val="none"/>
        </w:rPr>
      </w:pPr>
      <w:r>
        <w:rPr>
          <w:rFonts w:hint="eastAsia" w:ascii="宋体" w:hAnsi="宋体"/>
          <w:szCs w:val="21"/>
          <w:highlight w:val="none"/>
        </w:rPr>
        <w:t>本项目（</w:t>
      </w:r>
      <w:r>
        <w:rPr>
          <w:rFonts w:ascii="宋体" w:hAnsi="宋体"/>
          <w:szCs w:val="21"/>
          <w:highlight w:val="none"/>
        </w:rPr>
        <w:t>否</w:t>
      </w:r>
      <w:r>
        <w:rPr>
          <w:rFonts w:hint="eastAsia" w:ascii="宋体" w:hAnsi="宋体"/>
          <w:szCs w:val="21"/>
          <w:highlight w:val="none"/>
        </w:rPr>
        <w:t>）接受联合体</w:t>
      </w:r>
    </w:p>
    <w:p w14:paraId="6A3D31BC">
      <w:pPr>
        <w:spacing w:line="440" w:lineRule="exact"/>
        <w:ind w:firstLine="354" w:firstLineChars="147"/>
        <w:rPr>
          <w:rFonts w:ascii="黑体" w:hAnsi="黑体" w:eastAsia="黑体"/>
          <w:b/>
          <w:sz w:val="24"/>
          <w:highlight w:val="none"/>
        </w:rPr>
      </w:pPr>
      <w:bookmarkStart w:id="11" w:name="_Toc28359013"/>
      <w:bookmarkStart w:id="12" w:name="_Toc44229879"/>
      <w:bookmarkStart w:id="13" w:name="_Toc28359090"/>
      <w:bookmarkStart w:id="14" w:name="_Toc35393630"/>
      <w:bookmarkStart w:id="15" w:name="_Toc71365906"/>
      <w:bookmarkStart w:id="16" w:name="_Toc35393799"/>
      <w:r>
        <w:rPr>
          <w:rFonts w:hint="eastAsia" w:ascii="黑体" w:hAnsi="黑体" w:eastAsia="黑体"/>
          <w:b/>
          <w:sz w:val="24"/>
          <w:highlight w:val="none"/>
        </w:rPr>
        <w:t>二、申请人的资格条件：</w:t>
      </w:r>
      <w:bookmarkEnd w:id="11"/>
      <w:bookmarkEnd w:id="12"/>
      <w:bookmarkEnd w:id="13"/>
      <w:bookmarkEnd w:id="14"/>
      <w:bookmarkEnd w:id="15"/>
      <w:bookmarkEnd w:id="16"/>
    </w:p>
    <w:p w14:paraId="45D8A369">
      <w:pPr>
        <w:spacing w:line="440" w:lineRule="exact"/>
        <w:ind w:firstLine="420" w:firstLineChars="200"/>
        <w:rPr>
          <w:rFonts w:ascii="宋体" w:hAnsi="宋体"/>
          <w:szCs w:val="21"/>
          <w:highlight w:val="none"/>
        </w:rPr>
      </w:pPr>
      <w:bookmarkStart w:id="17" w:name="_Toc35393800"/>
      <w:bookmarkStart w:id="18" w:name="_Toc28359091"/>
      <w:bookmarkStart w:id="19" w:name="_Toc28359014"/>
      <w:bookmarkStart w:id="20" w:name="_Toc44229880"/>
      <w:bookmarkStart w:id="21" w:name="_Toc35393631"/>
      <w:r>
        <w:rPr>
          <w:rFonts w:hint="eastAsia" w:ascii="宋体" w:hAnsi="宋体"/>
          <w:szCs w:val="21"/>
          <w:highlight w:val="none"/>
        </w:rPr>
        <w:t>1.满足《中华人民共和国政府采购法》第二十二条规定；</w:t>
      </w:r>
    </w:p>
    <w:p w14:paraId="48EF42E1">
      <w:pPr>
        <w:spacing w:line="44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.落实政府采购政策需满足的资格要求：</w:t>
      </w:r>
      <w:r>
        <w:rPr>
          <w:rFonts w:hint="eastAsia" w:ascii="宋体" w:hAnsi="宋体"/>
          <w:szCs w:val="21"/>
          <w:highlight w:val="none"/>
          <w:u w:val="single"/>
        </w:rPr>
        <w:t>无</w:t>
      </w:r>
    </w:p>
    <w:p w14:paraId="68F2E583">
      <w:pPr>
        <w:spacing w:line="440" w:lineRule="exact"/>
        <w:ind w:firstLine="420" w:firstLineChars="200"/>
        <w:rPr>
          <w:rFonts w:ascii="宋体" w:hAnsi="宋体"/>
          <w:szCs w:val="21"/>
          <w:highlight w:val="none"/>
          <w:u w:val="single"/>
        </w:rPr>
      </w:pPr>
      <w:r>
        <w:rPr>
          <w:rFonts w:hint="eastAsia" w:ascii="宋体" w:hAnsi="宋体"/>
          <w:szCs w:val="21"/>
          <w:highlight w:val="none"/>
        </w:rPr>
        <w:t>3.本项目的特定资格要求：</w:t>
      </w:r>
      <w:r>
        <w:rPr>
          <w:rFonts w:hint="eastAsia" w:ascii="宋体"/>
          <w:iCs/>
          <w:color w:val="000000"/>
          <w:szCs w:val="21"/>
          <w:highlight w:val="none"/>
        </w:rPr>
        <w:t>无</w:t>
      </w:r>
    </w:p>
    <w:p w14:paraId="6A3BE26A">
      <w:pPr>
        <w:spacing w:line="440" w:lineRule="exact"/>
        <w:ind w:firstLine="354" w:firstLineChars="147"/>
        <w:rPr>
          <w:rFonts w:ascii="黑体" w:hAnsi="黑体" w:eastAsia="黑体"/>
          <w:b/>
          <w:sz w:val="24"/>
          <w:highlight w:val="none"/>
        </w:rPr>
      </w:pPr>
      <w:bookmarkStart w:id="22" w:name="_Toc71365907"/>
      <w:r>
        <w:rPr>
          <w:rFonts w:hint="eastAsia" w:ascii="黑体" w:hAnsi="黑体" w:eastAsia="黑体"/>
          <w:b/>
          <w:sz w:val="24"/>
          <w:highlight w:val="none"/>
        </w:rPr>
        <w:t>三、获取竞争性磋商文件</w:t>
      </w:r>
      <w:bookmarkEnd w:id="17"/>
      <w:bookmarkEnd w:id="18"/>
      <w:bookmarkEnd w:id="19"/>
      <w:bookmarkEnd w:id="20"/>
      <w:bookmarkEnd w:id="21"/>
      <w:bookmarkEnd w:id="22"/>
    </w:p>
    <w:p w14:paraId="38C91745">
      <w:pPr>
        <w:spacing w:line="440" w:lineRule="exact"/>
        <w:ind w:firstLine="420" w:firstLineChars="200"/>
        <w:rPr>
          <w:rFonts w:ascii="宋体" w:hAnsi="宋体" w:cs="宋体"/>
          <w:bCs/>
          <w:kern w:val="0"/>
          <w:szCs w:val="21"/>
          <w:highlight w:val="none"/>
        </w:rPr>
      </w:pPr>
      <w:bookmarkStart w:id="23" w:name="_Toc44229881"/>
      <w:bookmarkStart w:id="24" w:name="_Toc28359015"/>
      <w:bookmarkStart w:id="25" w:name="_Toc28359092"/>
      <w:bookmarkStart w:id="26" w:name="_Toc35393801"/>
      <w:bookmarkStart w:id="27" w:name="_Toc35393632"/>
      <w:r>
        <w:rPr>
          <w:rFonts w:hint="eastAsia" w:ascii="宋体" w:hAnsi="宋体" w:cs="宋体"/>
          <w:bCs/>
          <w:kern w:val="0"/>
          <w:szCs w:val="21"/>
          <w:highlight w:val="none"/>
        </w:rPr>
        <w:t>时间：</w:t>
      </w:r>
      <w:r>
        <w:rPr>
          <w:rFonts w:hint="eastAsia" w:ascii="宋体" w:hAnsi="宋体"/>
          <w:bCs/>
          <w:szCs w:val="21"/>
          <w:highlight w:val="none"/>
          <w:u w:val="single"/>
        </w:rPr>
        <w:t>2025年</w:t>
      </w:r>
      <w:r>
        <w:rPr>
          <w:rFonts w:hint="eastAsia" w:ascii="宋体" w:hAnsi="宋体"/>
          <w:bCs/>
          <w:szCs w:val="21"/>
          <w:highlight w:val="none"/>
          <w:u w:val="single"/>
          <w:lang w:val="en-US" w:eastAsia="zh-CN"/>
        </w:rPr>
        <w:t>5</w:t>
      </w:r>
      <w:r>
        <w:rPr>
          <w:rFonts w:hint="eastAsia" w:ascii="宋体" w:hAnsi="宋体"/>
          <w:bCs/>
          <w:szCs w:val="21"/>
          <w:highlight w:val="none"/>
          <w:u w:val="single"/>
        </w:rPr>
        <w:t>月</w:t>
      </w:r>
      <w:r>
        <w:rPr>
          <w:rFonts w:hint="eastAsia" w:ascii="宋体" w:hAnsi="宋体"/>
          <w:bCs/>
          <w:szCs w:val="21"/>
          <w:highlight w:val="none"/>
          <w:u w:val="single"/>
          <w:lang w:val="en-US" w:eastAsia="zh-CN"/>
        </w:rPr>
        <w:t>28</w:t>
      </w:r>
      <w:r>
        <w:rPr>
          <w:rFonts w:hint="eastAsia" w:ascii="宋体" w:hAnsi="宋体"/>
          <w:bCs/>
          <w:szCs w:val="21"/>
          <w:highlight w:val="none"/>
          <w:u w:val="single"/>
        </w:rPr>
        <w:t>日</w:t>
      </w:r>
      <w:r>
        <w:rPr>
          <w:rFonts w:hint="eastAsia" w:ascii="宋体" w:hAnsi="宋体" w:cs="宋体"/>
          <w:bCs/>
          <w:kern w:val="0"/>
          <w:szCs w:val="21"/>
          <w:highlight w:val="none"/>
        </w:rPr>
        <w:t>至</w:t>
      </w:r>
      <w:r>
        <w:rPr>
          <w:rFonts w:hint="eastAsia" w:ascii="宋体" w:hAnsi="宋体"/>
          <w:bCs/>
          <w:szCs w:val="21"/>
          <w:highlight w:val="none"/>
          <w:u w:val="single"/>
        </w:rPr>
        <w:t xml:space="preserve"> 2025年</w:t>
      </w:r>
      <w:r>
        <w:rPr>
          <w:rFonts w:hint="eastAsia" w:ascii="宋体" w:hAnsi="宋体"/>
          <w:bCs/>
          <w:szCs w:val="21"/>
          <w:highlight w:val="none"/>
          <w:u w:val="single"/>
          <w:lang w:val="en-US" w:eastAsia="zh-CN"/>
        </w:rPr>
        <w:t>6</w:t>
      </w:r>
      <w:r>
        <w:rPr>
          <w:rFonts w:hint="eastAsia" w:ascii="宋体" w:hAnsi="宋体"/>
          <w:bCs/>
          <w:szCs w:val="21"/>
          <w:highlight w:val="none"/>
          <w:u w:val="single"/>
        </w:rPr>
        <w:t>月</w:t>
      </w:r>
      <w:r>
        <w:rPr>
          <w:rFonts w:hint="eastAsia" w:ascii="宋体" w:hAnsi="宋体"/>
          <w:bCs/>
          <w:szCs w:val="21"/>
          <w:highlight w:val="none"/>
          <w:u w:val="single"/>
          <w:lang w:val="en-US" w:eastAsia="zh-CN"/>
        </w:rPr>
        <w:t>5</w:t>
      </w:r>
      <w:r>
        <w:rPr>
          <w:rFonts w:hint="eastAsia" w:ascii="宋体" w:hAnsi="宋体"/>
          <w:bCs/>
          <w:szCs w:val="21"/>
          <w:highlight w:val="none"/>
          <w:u w:val="single"/>
        </w:rPr>
        <w:t>日</w:t>
      </w:r>
      <w:r>
        <w:rPr>
          <w:rFonts w:hint="eastAsia" w:ascii="宋体" w:hAnsi="宋体" w:cs="宋体"/>
          <w:bCs/>
          <w:kern w:val="0"/>
          <w:szCs w:val="21"/>
          <w:highlight w:val="none"/>
        </w:rPr>
        <w:t>，每天上午</w:t>
      </w:r>
      <w:r>
        <w:rPr>
          <w:rFonts w:hint="eastAsia" w:ascii="宋体" w:hAnsi="宋体" w:cs="宋体"/>
          <w:bCs/>
          <w:kern w:val="0"/>
          <w:szCs w:val="21"/>
          <w:highlight w:val="none"/>
          <w:u w:val="single"/>
        </w:rPr>
        <w:t>8：00</w:t>
      </w:r>
      <w:r>
        <w:rPr>
          <w:rFonts w:hint="eastAsia" w:ascii="宋体" w:hAnsi="宋体" w:cs="宋体"/>
          <w:bCs/>
          <w:kern w:val="0"/>
          <w:szCs w:val="21"/>
          <w:highlight w:val="none"/>
        </w:rPr>
        <w:t>至</w:t>
      </w:r>
      <w:r>
        <w:rPr>
          <w:rFonts w:hint="eastAsia" w:ascii="宋体" w:hAnsi="宋体" w:cs="宋体"/>
          <w:bCs/>
          <w:kern w:val="0"/>
          <w:szCs w:val="21"/>
          <w:highlight w:val="none"/>
          <w:u w:val="single"/>
        </w:rPr>
        <w:t>12:00</w:t>
      </w:r>
      <w:r>
        <w:rPr>
          <w:rFonts w:hint="eastAsia" w:ascii="宋体" w:hAnsi="宋体" w:cs="宋体"/>
          <w:bCs/>
          <w:kern w:val="0"/>
          <w:szCs w:val="21"/>
          <w:highlight w:val="none"/>
        </w:rPr>
        <w:t>，下午</w:t>
      </w:r>
      <w:r>
        <w:rPr>
          <w:rFonts w:hint="eastAsia" w:ascii="宋体" w:hAnsi="宋体" w:cs="宋体"/>
          <w:bCs/>
          <w:kern w:val="0"/>
          <w:szCs w:val="21"/>
          <w:highlight w:val="none"/>
          <w:u w:val="single"/>
        </w:rPr>
        <w:t>3:00</w:t>
      </w:r>
      <w:r>
        <w:rPr>
          <w:rFonts w:hint="eastAsia" w:ascii="宋体" w:hAnsi="宋体" w:cs="宋体"/>
          <w:bCs/>
          <w:kern w:val="0"/>
          <w:szCs w:val="21"/>
          <w:highlight w:val="none"/>
        </w:rPr>
        <w:t>至</w:t>
      </w:r>
      <w:r>
        <w:rPr>
          <w:rFonts w:hint="eastAsia" w:ascii="宋体" w:hAnsi="宋体" w:cs="宋体"/>
          <w:bCs/>
          <w:kern w:val="0"/>
          <w:szCs w:val="21"/>
          <w:highlight w:val="none"/>
          <w:u w:val="single"/>
        </w:rPr>
        <w:t>6:00　</w:t>
      </w:r>
      <w:r>
        <w:rPr>
          <w:rFonts w:hint="eastAsia" w:ascii="宋体" w:hAnsi="宋体" w:cs="宋体"/>
          <w:bCs/>
          <w:kern w:val="0"/>
          <w:szCs w:val="21"/>
          <w:highlight w:val="none"/>
        </w:rPr>
        <w:t>（北京时间，</w:t>
      </w:r>
      <w:r>
        <w:rPr>
          <w:rFonts w:ascii="宋体" w:hAnsi="宋体" w:cs="宋体"/>
          <w:bCs/>
          <w:kern w:val="0"/>
          <w:szCs w:val="21"/>
          <w:highlight w:val="none"/>
        </w:rPr>
        <w:t>法定节假日</w:t>
      </w:r>
      <w:r>
        <w:rPr>
          <w:rFonts w:hint="eastAsia" w:ascii="宋体" w:hAnsi="宋体" w:cs="宋体"/>
          <w:bCs/>
          <w:kern w:val="0"/>
          <w:szCs w:val="21"/>
          <w:highlight w:val="none"/>
        </w:rPr>
        <w:t>除外）</w:t>
      </w:r>
    </w:p>
    <w:p w14:paraId="77EE049B">
      <w:pPr>
        <w:spacing w:line="44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地点：广西政府采购云平台（https://www.gcy.zfcg.gxzf.gov.cn/）</w:t>
      </w:r>
    </w:p>
    <w:p w14:paraId="0A6165B8">
      <w:pPr>
        <w:spacing w:line="44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szCs w:val="21"/>
          <w:highlight w:val="none"/>
        </w:rPr>
        <w:t>电子</w:t>
      </w:r>
      <w:r>
        <w:rPr>
          <w:rFonts w:hint="eastAsia"/>
          <w:highlight w:val="none"/>
        </w:rPr>
        <w:t>响应文件</w:t>
      </w:r>
      <w:r>
        <w:rPr>
          <w:rFonts w:hint="eastAsia" w:ascii="宋体" w:hAnsi="宋体"/>
          <w:szCs w:val="21"/>
          <w:highlight w:val="none"/>
        </w:rPr>
        <w:t>制作需要基于广西政府采购云平台获取的磋商文件编制，</w:t>
      </w:r>
      <w:r>
        <w:rPr>
          <w:rFonts w:hint="eastAsia" w:ascii="宋体" w:hAnsi="宋体" w:cs="宋体"/>
          <w:bCs/>
          <w:kern w:val="0"/>
          <w:szCs w:val="21"/>
          <w:highlight w:val="none"/>
        </w:rPr>
        <w:t>通过其他方式获取磋商文件的，将有可能导致供应商无法在广西政府采购云平台编制及上传响应文件。</w:t>
      </w:r>
    </w:p>
    <w:p w14:paraId="38B8F3C7">
      <w:pPr>
        <w:spacing w:line="440" w:lineRule="exact"/>
        <w:ind w:firstLine="420" w:firstLineChars="200"/>
        <w:rPr>
          <w:rFonts w:ascii="宋体" w:hAnsi="宋体" w:cs="宋体"/>
          <w:szCs w:val="21"/>
          <w:highlight w:val="none"/>
        </w:rPr>
      </w:pPr>
      <w:r>
        <w:rPr>
          <w:rFonts w:hint="eastAsia" w:ascii="宋体" w:hAnsi="宋体" w:cs="宋体"/>
          <w:bCs/>
          <w:kern w:val="0"/>
          <w:szCs w:val="21"/>
          <w:highlight w:val="none"/>
        </w:rPr>
        <w:t>售价：</w:t>
      </w:r>
      <w:r>
        <w:rPr>
          <w:rFonts w:hint="eastAsia" w:ascii="宋体" w:hAnsi="宋体" w:cs="宋体"/>
          <w:i/>
          <w:szCs w:val="21"/>
          <w:highlight w:val="none"/>
          <w:u w:val="single"/>
        </w:rPr>
        <w:t>0</w:t>
      </w:r>
      <w:r>
        <w:rPr>
          <w:rFonts w:hint="eastAsia" w:ascii="宋体" w:hAnsi="宋体" w:cs="宋体"/>
          <w:szCs w:val="21"/>
          <w:highlight w:val="none"/>
        </w:rPr>
        <w:t>元</w:t>
      </w:r>
    </w:p>
    <w:p w14:paraId="4005D518">
      <w:pPr>
        <w:spacing w:line="440" w:lineRule="exact"/>
        <w:ind w:firstLine="354" w:firstLineChars="147"/>
        <w:rPr>
          <w:rFonts w:ascii="黑体" w:hAnsi="黑体" w:eastAsia="黑体"/>
          <w:b/>
          <w:sz w:val="24"/>
          <w:highlight w:val="none"/>
        </w:rPr>
      </w:pPr>
      <w:bookmarkStart w:id="28" w:name="_Toc71365908"/>
      <w:r>
        <w:rPr>
          <w:rFonts w:hint="eastAsia" w:ascii="黑体" w:hAnsi="黑体" w:eastAsia="黑体"/>
          <w:b/>
          <w:sz w:val="24"/>
          <w:highlight w:val="none"/>
        </w:rPr>
        <w:t>四、响应文件提交</w:t>
      </w:r>
      <w:bookmarkEnd w:id="23"/>
      <w:bookmarkEnd w:id="24"/>
      <w:bookmarkEnd w:id="25"/>
      <w:bookmarkEnd w:id="26"/>
      <w:bookmarkEnd w:id="27"/>
      <w:bookmarkEnd w:id="28"/>
    </w:p>
    <w:p w14:paraId="5E9EDD80">
      <w:pPr>
        <w:spacing w:line="440" w:lineRule="exact"/>
        <w:ind w:firstLine="420" w:firstLineChars="200"/>
        <w:rPr>
          <w:rFonts w:ascii="宋体" w:hAnsi="宋体" w:cs="宋体"/>
          <w:szCs w:val="21"/>
          <w:highlight w:val="none"/>
          <w:u w:val="single"/>
        </w:rPr>
      </w:pPr>
      <w:bookmarkStart w:id="29" w:name="_Toc35393633"/>
      <w:bookmarkStart w:id="30" w:name="_Toc28359016"/>
      <w:bookmarkStart w:id="31" w:name="_Toc28359093"/>
      <w:bookmarkStart w:id="32" w:name="_Toc44229882"/>
      <w:bookmarkStart w:id="33" w:name="_Toc35393802"/>
      <w:r>
        <w:rPr>
          <w:rFonts w:hint="eastAsia" w:ascii="宋体" w:hAnsi="宋体"/>
          <w:szCs w:val="21"/>
          <w:highlight w:val="none"/>
        </w:rPr>
        <w:t>截止时间：</w:t>
      </w:r>
      <w:r>
        <w:rPr>
          <w:rFonts w:hint="eastAsia" w:ascii="宋体" w:hAnsi="宋体"/>
          <w:bCs/>
          <w:szCs w:val="21"/>
          <w:highlight w:val="none"/>
          <w:u w:val="single"/>
        </w:rPr>
        <w:t xml:space="preserve"> </w:t>
      </w:r>
      <w:r>
        <w:rPr>
          <w:rFonts w:hint="eastAsia" w:ascii="宋体" w:hAnsi="宋体"/>
          <w:szCs w:val="21"/>
          <w:highlight w:val="none"/>
          <w:u w:val="single"/>
        </w:rPr>
        <w:t>2025</w:t>
      </w:r>
      <w:r>
        <w:rPr>
          <w:rFonts w:hint="eastAsia" w:ascii="宋体" w:hAnsi="宋体"/>
          <w:bCs/>
          <w:szCs w:val="21"/>
          <w:highlight w:val="none"/>
          <w:u w:val="single"/>
        </w:rPr>
        <w:t>年6月</w:t>
      </w:r>
      <w:r>
        <w:rPr>
          <w:rFonts w:hint="eastAsia" w:ascii="宋体" w:hAnsi="宋体"/>
          <w:bCs/>
          <w:szCs w:val="21"/>
          <w:highlight w:val="none"/>
          <w:u w:val="single"/>
          <w:lang w:val="en-US" w:eastAsia="zh-CN"/>
        </w:rPr>
        <w:t>10</w:t>
      </w:r>
      <w:r>
        <w:rPr>
          <w:rFonts w:hint="eastAsia" w:ascii="宋体" w:hAnsi="宋体"/>
          <w:bCs/>
          <w:szCs w:val="21"/>
          <w:highlight w:val="none"/>
          <w:u w:val="single"/>
        </w:rPr>
        <w:t>日</w:t>
      </w:r>
      <w:r>
        <w:rPr>
          <w:rFonts w:hint="eastAsia" w:ascii="宋体" w:hAnsi="宋体"/>
          <w:bCs/>
          <w:szCs w:val="21"/>
          <w:highlight w:val="none"/>
          <w:u w:val="single"/>
          <w:lang w:val="en-US" w:eastAsia="zh-CN"/>
        </w:rPr>
        <w:t>9</w:t>
      </w:r>
      <w:r>
        <w:rPr>
          <w:rFonts w:hint="eastAsia" w:ascii="宋体" w:hAnsi="宋体"/>
          <w:bCs/>
          <w:szCs w:val="21"/>
          <w:highlight w:val="none"/>
          <w:u w:val="single"/>
        </w:rPr>
        <w:t>时</w:t>
      </w:r>
      <w:r>
        <w:rPr>
          <w:rFonts w:hint="eastAsia" w:ascii="宋体" w:hAnsi="宋体"/>
          <w:bCs/>
          <w:szCs w:val="21"/>
          <w:highlight w:val="none"/>
          <w:u w:val="single"/>
          <w:lang w:val="en-US" w:eastAsia="zh-CN"/>
        </w:rPr>
        <w:t>30</w:t>
      </w:r>
      <w:r>
        <w:rPr>
          <w:rFonts w:hint="eastAsia" w:ascii="宋体" w:hAnsi="宋体"/>
          <w:bCs/>
          <w:szCs w:val="21"/>
          <w:highlight w:val="none"/>
          <w:u w:val="single"/>
        </w:rPr>
        <w:t>分</w:t>
      </w:r>
      <w:r>
        <w:rPr>
          <w:rFonts w:hint="eastAsia" w:ascii="宋体" w:hAnsi="宋体"/>
          <w:bCs/>
          <w:szCs w:val="21"/>
          <w:highlight w:val="none"/>
        </w:rPr>
        <w:t>（北京时间）</w:t>
      </w:r>
    </w:p>
    <w:p w14:paraId="63F7E8FB">
      <w:pPr>
        <w:spacing w:line="440" w:lineRule="exact"/>
        <w:ind w:firstLine="420" w:firstLineChars="200"/>
        <w:rPr>
          <w:rFonts w:ascii="宋体" w:hAnsi="宋体"/>
          <w:szCs w:val="21"/>
          <w:highlight w:val="none"/>
        </w:rPr>
      </w:pPr>
      <w:r>
        <w:rPr>
          <w:rFonts w:hint="eastAsia" w:ascii="宋体" w:hAnsi="宋体"/>
          <w:szCs w:val="21"/>
          <w:highlight w:val="none"/>
        </w:rPr>
        <w:t>地点：广西政府采购云平台</w:t>
      </w:r>
      <w:r>
        <w:rPr>
          <w:rFonts w:hint="eastAsia" w:ascii="宋体" w:hAnsi="宋体" w:cs="宋体"/>
          <w:bCs/>
          <w:kern w:val="0"/>
          <w:szCs w:val="21"/>
          <w:highlight w:val="none"/>
        </w:rPr>
        <w:t>（https://www.gcy.zfcg.gxzf.gov.cn/）</w:t>
      </w:r>
    </w:p>
    <w:p w14:paraId="01C034FA">
      <w:pPr>
        <w:spacing w:line="440" w:lineRule="exact"/>
        <w:ind w:firstLine="354" w:firstLineChars="147"/>
        <w:rPr>
          <w:rFonts w:ascii="黑体" w:hAnsi="黑体" w:eastAsia="黑体"/>
          <w:b/>
          <w:sz w:val="24"/>
          <w:highlight w:val="none"/>
        </w:rPr>
      </w:pPr>
      <w:bookmarkStart w:id="34" w:name="_Toc71365909"/>
      <w:r>
        <w:rPr>
          <w:rFonts w:hint="eastAsia" w:ascii="黑体" w:hAnsi="黑体" w:eastAsia="黑体"/>
          <w:b/>
          <w:sz w:val="24"/>
          <w:highlight w:val="none"/>
        </w:rPr>
        <w:t>五、开启</w:t>
      </w:r>
      <w:bookmarkEnd w:id="29"/>
      <w:bookmarkEnd w:id="30"/>
      <w:bookmarkEnd w:id="31"/>
      <w:bookmarkEnd w:id="32"/>
      <w:bookmarkEnd w:id="33"/>
      <w:bookmarkEnd w:id="34"/>
    </w:p>
    <w:p w14:paraId="1BB937EF">
      <w:pPr>
        <w:spacing w:line="440" w:lineRule="exact"/>
        <w:ind w:firstLine="420" w:firstLineChars="200"/>
        <w:rPr>
          <w:rFonts w:ascii="宋体" w:hAnsi="宋体"/>
          <w:bCs/>
          <w:szCs w:val="21"/>
          <w:highlight w:val="none"/>
          <w:u w:val="singl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时间：</w:t>
      </w:r>
      <w:r>
        <w:rPr>
          <w:rFonts w:hint="eastAsia" w:ascii="宋体" w:hAnsi="宋体"/>
          <w:szCs w:val="21"/>
          <w:highlight w:val="none"/>
          <w:u w:val="single"/>
        </w:rPr>
        <w:t xml:space="preserve"> 2025</w:t>
      </w:r>
      <w:r>
        <w:rPr>
          <w:rFonts w:hint="eastAsia" w:ascii="宋体" w:hAnsi="宋体"/>
          <w:bCs/>
          <w:szCs w:val="21"/>
          <w:highlight w:val="none"/>
          <w:u w:val="single"/>
        </w:rPr>
        <w:t>年6月</w:t>
      </w:r>
      <w:r>
        <w:rPr>
          <w:rFonts w:hint="eastAsia" w:ascii="宋体" w:hAnsi="宋体"/>
          <w:bCs/>
          <w:szCs w:val="21"/>
          <w:highlight w:val="none"/>
          <w:u w:val="single"/>
          <w:lang w:val="en-US" w:eastAsia="zh-CN"/>
        </w:rPr>
        <w:t>10</w:t>
      </w:r>
      <w:r>
        <w:rPr>
          <w:rFonts w:hint="eastAsia" w:ascii="宋体" w:hAnsi="宋体"/>
          <w:bCs/>
          <w:szCs w:val="21"/>
          <w:highlight w:val="none"/>
          <w:u w:val="single"/>
        </w:rPr>
        <w:t>日</w:t>
      </w:r>
      <w:r>
        <w:rPr>
          <w:rFonts w:hint="eastAsia" w:ascii="宋体" w:hAnsi="宋体"/>
          <w:bCs/>
          <w:szCs w:val="21"/>
          <w:highlight w:val="none"/>
          <w:u w:val="single"/>
          <w:lang w:val="en-US" w:eastAsia="zh-CN"/>
        </w:rPr>
        <w:t>9</w:t>
      </w:r>
      <w:r>
        <w:rPr>
          <w:rFonts w:hint="eastAsia" w:ascii="宋体" w:hAnsi="宋体"/>
          <w:bCs/>
          <w:szCs w:val="21"/>
          <w:highlight w:val="none"/>
          <w:u w:val="single"/>
        </w:rPr>
        <w:t>时</w:t>
      </w:r>
      <w:r>
        <w:rPr>
          <w:rFonts w:hint="eastAsia" w:ascii="宋体" w:hAnsi="宋体"/>
          <w:bCs/>
          <w:szCs w:val="21"/>
          <w:highlight w:val="none"/>
          <w:u w:val="single"/>
          <w:lang w:val="en-US" w:eastAsia="zh-CN"/>
        </w:rPr>
        <w:t>30</w:t>
      </w:r>
      <w:r>
        <w:rPr>
          <w:rFonts w:hint="eastAsia" w:ascii="宋体" w:hAnsi="宋体"/>
          <w:bCs/>
          <w:szCs w:val="21"/>
          <w:highlight w:val="none"/>
          <w:u w:val="single"/>
        </w:rPr>
        <w:t>分</w:t>
      </w:r>
      <w:r>
        <w:rPr>
          <w:rFonts w:hint="eastAsia" w:ascii="宋体" w:hAnsi="宋体"/>
          <w:bCs/>
          <w:szCs w:val="21"/>
          <w:highlight w:val="none"/>
        </w:rPr>
        <w:t>（北京时间）</w:t>
      </w:r>
    </w:p>
    <w:p w14:paraId="769A92FA">
      <w:pPr>
        <w:spacing w:line="440" w:lineRule="exact"/>
        <w:ind w:firstLine="420" w:firstLineChars="200"/>
        <w:rPr>
          <w:rFonts w:ascii="宋体" w:hAnsi="宋体"/>
          <w:bCs/>
          <w:szCs w:val="21"/>
          <w:highlight w:val="none"/>
          <w:u w:val="singl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地点：广西政府采购云平台</w:t>
      </w:r>
      <w:r>
        <w:rPr>
          <w:rFonts w:hint="eastAsia" w:ascii="宋体" w:hAnsi="宋体" w:cs="宋体"/>
          <w:bCs/>
          <w:kern w:val="0"/>
          <w:szCs w:val="21"/>
          <w:highlight w:val="none"/>
        </w:rPr>
        <w:t>（https://www.gcy.zfcg.gxzf.gov.cn/）</w:t>
      </w:r>
    </w:p>
    <w:p w14:paraId="2C9D0FE4">
      <w:pPr>
        <w:spacing w:line="440" w:lineRule="exact"/>
        <w:ind w:firstLine="354" w:firstLineChars="147"/>
        <w:rPr>
          <w:rFonts w:ascii="黑体" w:hAnsi="黑体" w:eastAsia="黑体"/>
          <w:b/>
          <w:sz w:val="24"/>
          <w:highlight w:val="none"/>
        </w:rPr>
      </w:pPr>
      <w:bookmarkStart w:id="35" w:name="_Toc28359017"/>
      <w:bookmarkStart w:id="36" w:name="_Toc28359094"/>
      <w:bookmarkStart w:id="37" w:name="_Toc35393803"/>
      <w:bookmarkStart w:id="38" w:name="_Toc71365910"/>
      <w:bookmarkStart w:id="39" w:name="_Toc44229883"/>
      <w:bookmarkStart w:id="40" w:name="_Toc35393634"/>
      <w:r>
        <w:rPr>
          <w:rFonts w:hint="eastAsia" w:ascii="黑体" w:hAnsi="黑体" w:eastAsia="黑体"/>
          <w:b/>
          <w:sz w:val="24"/>
          <w:highlight w:val="none"/>
        </w:rPr>
        <w:t>六、公告期限</w:t>
      </w:r>
      <w:bookmarkEnd w:id="35"/>
      <w:bookmarkEnd w:id="36"/>
      <w:bookmarkEnd w:id="37"/>
      <w:bookmarkEnd w:id="38"/>
      <w:bookmarkEnd w:id="39"/>
      <w:bookmarkEnd w:id="40"/>
    </w:p>
    <w:p w14:paraId="7C9F4148">
      <w:pPr>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282D4BC2">
      <w:pPr>
        <w:spacing w:line="440" w:lineRule="exact"/>
        <w:ind w:firstLine="354" w:firstLineChars="147"/>
        <w:rPr>
          <w:rFonts w:ascii="黑体" w:hAnsi="黑体" w:eastAsia="黑体"/>
          <w:b/>
          <w:sz w:val="24"/>
          <w:highlight w:val="none"/>
        </w:rPr>
      </w:pPr>
      <w:bookmarkStart w:id="41" w:name="_Toc35393804"/>
      <w:bookmarkStart w:id="42" w:name="_Toc35393635"/>
      <w:bookmarkStart w:id="43" w:name="_Toc71365911"/>
      <w:bookmarkStart w:id="44" w:name="_Toc44229884"/>
      <w:r>
        <w:rPr>
          <w:rFonts w:hint="eastAsia" w:ascii="黑体" w:hAnsi="黑体" w:eastAsia="黑体"/>
          <w:b/>
          <w:sz w:val="24"/>
          <w:highlight w:val="none"/>
        </w:rPr>
        <w:t>七、其他补充事宜</w:t>
      </w:r>
      <w:bookmarkEnd w:id="41"/>
      <w:bookmarkEnd w:id="42"/>
      <w:bookmarkEnd w:id="43"/>
      <w:bookmarkEnd w:id="44"/>
    </w:p>
    <w:p w14:paraId="4172E86B">
      <w:pPr>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网上查询地址</w:t>
      </w:r>
    </w:p>
    <w:p w14:paraId="399A0BFE">
      <w:pPr>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www.ccgp.gov.cn（中国政府采购网）、zfcg.gxzf.gov.cn（广西壮族自治区政府采购网）</w:t>
      </w:r>
    </w:p>
    <w:p w14:paraId="31794E57">
      <w:pPr>
        <w:spacing w:line="440" w:lineRule="exact"/>
        <w:ind w:firstLine="424" w:firstLineChars="202"/>
        <w:rPr>
          <w:rFonts w:ascii="宋体" w:hAnsi="宋体" w:cs="宋体"/>
          <w:kern w:val="0"/>
          <w:szCs w:val="21"/>
          <w:highlight w:val="none"/>
        </w:rPr>
      </w:pPr>
      <w:bookmarkStart w:id="45" w:name="_Hlk37429674"/>
      <w:bookmarkStart w:id="46" w:name="_Toc44229885"/>
      <w:bookmarkStart w:id="47" w:name="_Toc28359095"/>
      <w:bookmarkStart w:id="48" w:name="_Toc35393636"/>
      <w:bookmarkStart w:id="49" w:name="_Toc28359018"/>
      <w:bookmarkStart w:id="50" w:name="_Toc35393805"/>
      <w:r>
        <w:rPr>
          <w:rFonts w:hint="eastAsia" w:ascii="宋体" w:hAnsi="宋体"/>
          <w:szCs w:val="21"/>
          <w:highlight w:val="none"/>
        </w:rPr>
        <w:t>2</w:t>
      </w:r>
      <w:r>
        <w:rPr>
          <w:rFonts w:ascii="宋体" w:hAnsi="宋体"/>
          <w:szCs w:val="21"/>
          <w:highlight w:val="none"/>
        </w:rPr>
        <w:t>.</w:t>
      </w:r>
      <w:r>
        <w:rPr>
          <w:rFonts w:hint="eastAsia" w:ascii="宋体" w:hAnsi="宋体" w:cs="宋体"/>
          <w:kern w:val="0"/>
          <w:szCs w:val="21"/>
          <w:highlight w:val="none"/>
        </w:rPr>
        <w:t>本项目需要落实的政府采购政策</w:t>
      </w:r>
    </w:p>
    <w:p w14:paraId="0AE10663">
      <w:pPr>
        <w:spacing w:line="440" w:lineRule="exact"/>
        <w:ind w:firstLine="420" w:firstLineChars="200"/>
        <w:rPr>
          <w:rFonts w:ascii="宋体" w:hAnsi="宋体" w:cs="宋体"/>
          <w:iCs/>
          <w:kern w:val="0"/>
          <w:szCs w:val="21"/>
          <w:highlight w:val="none"/>
        </w:rPr>
      </w:pPr>
      <w:r>
        <w:rPr>
          <w:rFonts w:hint="eastAsia" w:ascii="宋体" w:hAnsi="宋体" w:cs="宋体"/>
          <w:iCs/>
          <w:kern w:val="0"/>
          <w:szCs w:val="21"/>
          <w:highlight w:val="none"/>
        </w:rPr>
        <w:t>（1）政府采购促进中小企业发展。</w:t>
      </w:r>
    </w:p>
    <w:p w14:paraId="59D20BD4">
      <w:pPr>
        <w:spacing w:line="440" w:lineRule="exact"/>
        <w:ind w:firstLine="420" w:firstLineChars="200"/>
        <w:rPr>
          <w:rFonts w:ascii="宋体" w:hAnsi="宋体" w:cs="宋体"/>
          <w:iCs/>
          <w:kern w:val="0"/>
          <w:szCs w:val="21"/>
          <w:highlight w:val="none"/>
        </w:rPr>
      </w:pPr>
      <w:r>
        <w:rPr>
          <w:rFonts w:hint="eastAsia" w:ascii="宋体" w:hAnsi="宋体" w:cs="宋体"/>
          <w:iCs/>
          <w:kern w:val="0"/>
          <w:szCs w:val="21"/>
          <w:highlight w:val="none"/>
        </w:rPr>
        <w:t>（2）政府采购支持采用本国产品的政策。</w:t>
      </w:r>
    </w:p>
    <w:p w14:paraId="4BF8F4E5">
      <w:pPr>
        <w:spacing w:line="440" w:lineRule="exact"/>
        <w:ind w:firstLine="420" w:firstLineChars="200"/>
        <w:rPr>
          <w:rFonts w:ascii="宋体" w:hAnsi="宋体" w:cs="宋体"/>
          <w:iCs/>
          <w:kern w:val="0"/>
          <w:szCs w:val="21"/>
          <w:highlight w:val="none"/>
        </w:rPr>
      </w:pPr>
      <w:r>
        <w:rPr>
          <w:rFonts w:hint="eastAsia" w:ascii="宋体" w:hAnsi="宋体" w:cs="宋体"/>
          <w:iCs/>
          <w:kern w:val="0"/>
          <w:szCs w:val="21"/>
          <w:highlight w:val="none"/>
        </w:rPr>
        <w:t>（3）强制采购节能产品；优先采购节能产品、环境标志产品。</w:t>
      </w:r>
    </w:p>
    <w:p w14:paraId="268AC426">
      <w:pPr>
        <w:spacing w:line="440" w:lineRule="exact"/>
        <w:ind w:firstLine="420" w:firstLineChars="200"/>
        <w:rPr>
          <w:rFonts w:ascii="宋体" w:hAnsi="宋体" w:cs="宋体"/>
          <w:iCs/>
          <w:kern w:val="0"/>
          <w:szCs w:val="21"/>
          <w:highlight w:val="none"/>
        </w:rPr>
      </w:pPr>
      <w:r>
        <w:rPr>
          <w:rFonts w:hint="eastAsia" w:ascii="宋体" w:hAnsi="宋体" w:cs="宋体"/>
          <w:iCs/>
          <w:kern w:val="0"/>
          <w:szCs w:val="21"/>
          <w:highlight w:val="none"/>
        </w:rPr>
        <w:t>（4）政府采购促进残疾人就业政策。</w:t>
      </w:r>
    </w:p>
    <w:p w14:paraId="05797E11">
      <w:pPr>
        <w:spacing w:line="440" w:lineRule="exact"/>
        <w:ind w:firstLine="420" w:firstLineChars="200"/>
        <w:rPr>
          <w:rFonts w:ascii="宋体" w:hAnsi="宋体" w:cs="宋体"/>
          <w:iCs/>
          <w:kern w:val="0"/>
          <w:szCs w:val="21"/>
          <w:highlight w:val="none"/>
        </w:rPr>
      </w:pPr>
      <w:r>
        <w:rPr>
          <w:rFonts w:hint="eastAsia" w:ascii="宋体" w:hAnsi="宋体" w:cs="宋体"/>
          <w:iCs/>
          <w:kern w:val="0"/>
          <w:szCs w:val="21"/>
          <w:highlight w:val="none"/>
        </w:rPr>
        <w:t>（5）政府采购支持监狱企业发展。</w:t>
      </w:r>
    </w:p>
    <w:bookmarkEnd w:id="45"/>
    <w:p w14:paraId="05659B5F">
      <w:pPr>
        <w:widowControl/>
        <w:spacing w:line="440" w:lineRule="exact"/>
        <w:ind w:firstLine="420" w:firstLineChars="200"/>
        <w:jc w:val="left"/>
        <w:rPr>
          <w:rFonts w:ascii="宋体" w:hAnsi="宋体"/>
          <w:szCs w:val="21"/>
          <w:highlight w:val="none"/>
        </w:rPr>
      </w:pPr>
      <w:r>
        <w:rPr>
          <w:rFonts w:hint="eastAsia" w:ascii="宋体" w:hAnsi="宋体" w:cs="宋体"/>
          <w:kern w:val="0"/>
          <w:szCs w:val="21"/>
          <w:highlight w:val="none"/>
        </w:rPr>
        <w:t>3.供应商</w:t>
      </w:r>
      <w:r>
        <w:rPr>
          <w:rFonts w:hint="eastAsia" w:ascii="宋体" w:hAnsi="宋体"/>
          <w:szCs w:val="21"/>
          <w:highlight w:val="none"/>
        </w:rPr>
        <w:t>竞标注意事项</w:t>
      </w:r>
    </w:p>
    <w:p w14:paraId="6D79A912">
      <w:pPr>
        <w:widowControl/>
        <w:spacing w:line="440" w:lineRule="exact"/>
        <w:ind w:firstLine="420" w:firstLineChars="200"/>
        <w:jc w:val="left"/>
        <w:rPr>
          <w:rFonts w:ascii="宋体" w:hAnsi="宋体"/>
          <w:szCs w:val="21"/>
          <w:highlight w:val="none"/>
        </w:rPr>
      </w:pPr>
      <w:r>
        <w:rPr>
          <w:rFonts w:hint="eastAsia" w:ascii="宋体" w:hAnsi="宋体"/>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highlight w:val="none"/>
        </w:rPr>
        <w:t>后缀名为“jm</w:t>
      </w:r>
      <w:r>
        <w:rPr>
          <w:highlight w:val="none"/>
        </w:rPr>
        <w:t>bs</w:t>
      </w:r>
      <w:r>
        <w:rPr>
          <w:rFonts w:hint="eastAsia"/>
          <w:highlight w:val="none"/>
        </w:rPr>
        <w:t>”的文件</w:t>
      </w:r>
      <w:r>
        <w:rPr>
          <w:rFonts w:hint="eastAsia" w:ascii="宋体" w:hAnsi="宋体"/>
          <w:szCs w:val="21"/>
          <w:highlight w:val="none"/>
        </w:rPr>
        <w:t>），</w:t>
      </w:r>
      <w:r>
        <w:rPr>
          <w:rFonts w:hint="eastAsia" w:ascii="宋体" w:hAnsi="宋体"/>
          <w:b/>
          <w:szCs w:val="21"/>
          <w:highlight w:val="none"/>
        </w:rPr>
        <w:t>供应商在广西政府采购云平台提交电子响应文件时，请填写参加远程采购活动经办人联系方式。</w:t>
      </w:r>
      <w:r>
        <w:rPr>
          <w:rFonts w:hint="eastAsia" w:ascii="宋体" w:hAnsi="宋体"/>
          <w:szCs w:val="21"/>
          <w:highlight w:val="none"/>
        </w:rPr>
        <w:t>供应商登录广西政府采购云平台，依次进入“服务中心-项目采购-操作流程-电子招投标-</w:t>
      </w:r>
      <w:r>
        <w:rPr>
          <w:rFonts w:hint="eastAsia"/>
          <w:highlight w:val="none"/>
        </w:rPr>
        <w:t>政府采购项目电子交易管理操作指南</w:t>
      </w:r>
      <w:r>
        <w:rPr>
          <w:highlight w:val="none"/>
        </w:rPr>
        <w:t>-</w:t>
      </w:r>
      <w:r>
        <w:rPr>
          <w:rFonts w:hint="eastAsia"/>
          <w:highlight w:val="none"/>
        </w:rPr>
        <w:t>供应商</w:t>
      </w:r>
      <w:r>
        <w:rPr>
          <w:rFonts w:hint="eastAsia" w:ascii="宋体" w:hAnsi="宋体"/>
          <w:szCs w:val="21"/>
          <w:highlight w:val="none"/>
        </w:rPr>
        <w:t>”查看电子竞标具体操作流程。</w:t>
      </w:r>
    </w:p>
    <w:p w14:paraId="3A4A04D6">
      <w:pPr>
        <w:widowControl/>
        <w:spacing w:line="440" w:lineRule="exact"/>
        <w:ind w:firstLine="420" w:firstLineChars="200"/>
        <w:jc w:val="left"/>
        <w:rPr>
          <w:rFonts w:ascii="宋体" w:hAnsi="宋体"/>
          <w:szCs w:val="21"/>
          <w:highlight w:val="none"/>
        </w:rPr>
      </w:pPr>
      <w:r>
        <w:rPr>
          <w:rFonts w:hint="eastAsia" w:ascii="宋体" w:hAnsi="宋体"/>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highlight w:val="none"/>
        </w:rPr>
        <w:t>广西政府采购云平台，</w:t>
      </w:r>
      <w:r>
        <w:rPr>
          <w:rFonts w:hint="eastAsia" w:ascii="宋体" w:hAnsi="宋体"/>
          <w:szCs w:val="21"/>
          <w:highlight w:val="none"/>
        </w:rPr>
        <w:t>依次进入“服务中心-入驻与配置”中</w:t>
      </w:r>
      <w:r>
        <w:rPr>
          <w:rFonts w:hint="eastAsia" w:ascii="宋体" w:hAnsi="宋体" w:cs="宋体"/>
          <w:bCs/>
          <w:kern w:val="0"/>
          <w:szCs w:val="21"/>
          <w:highlight w:val="none"/>
        </w:rPr>
        <w:t>查看CA数字证书办理操作流程。如在操作过程中遇到问题或者需要技术支持，请致电客服热线：95763或者0771-3381253）。</w:t>
      </w:r>
    </w:p>
    <w:p w14:paraId="6D6F4309">
      <w:pPr>
        <w:snapToGrid w:val="0"/>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A15151D">
      <w:pPr>
        <w:widowControl/>
        <w:spacing w:line="440" w:lineRule="exact"/>
        <w:ind w:firstLine="420" w:firstLineChars="200"/>
        <w:jc w:val="left"/>
        <w:rPr>
          <w:rFonts w:ascii="宋体" w:hAnsi="宋体"/>
          <w:bCs/>
          <w:szCs w:val="21"/>
          <w:highlight w:val="none"/>
        </w:rPr>
      </w:pPr>
      <w:r>
        <w:rPr>
          <w:rFonts w:hint="eastAsia" w:ascii="宋体" w:hAnsi="宋体"/>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9A5F235">
      <w:pPr>
        <w:spacing w:line="440" w:lineRule="exact"/>
        <w:ind w:firstLine="420" w:firstLineChars="200"/>
        <w:rPr>
          <w:rFonts w:ascii="宋体" w:hAnsi="宋体"/>
          <w:szCs w:val="21"/>
          <w:highlight w:val="none"/>
          <w:u w:val="single"/>
        </w:rPr>
      </w:pPr>
      <w:r>
        <w:rPr>
          <w:rFonts w:hint="eastAsia" w:ascii="宋体" w:hAnsi="宋体" w:cs="宋体"/>
          <w:kern w:val="0"/>
          <w:szCs w:val="21"/>
          <w:highlight w:val="none"/>
        </w:rPr>
        <w:t>（4）供应商需要在具备有摄像头及语音功能且互联网网络状况良好的电脑登录广西政府采购云平台远程开标大厅参与本次磋商，否则后果自负。</w:t>
      </w:r>
    </w:p>
    <w:p w14:paraId="6CEC80B2">
      <w:pPr>
        <w:spacing w:line="440" w:lineRule="exact"/>
        <w:ind w:firstLine="354" w:firstLineChars="147"/>
        <w:rPr>
          <w:rFonts w:ascii="黑体" w:hAnsi="黑体" w:eastAsia="黑体"/>
          <w:b/>
          <w:sz w:val="24"/>
          <w:highlight w:val="none"/>
        </w:rPr>
      </w:pPr>
      <w:r>
        <w:rPr>
          <w:rFonts w:hint="eastAsia" w:ascii="黑体" w:hAnsi="黑体" w:eastAsia="黑体"/>
          <w:b/>
          <w:sz w:val="24"/>
          <w:highlight w:val="none"/>
        </w:rPr>
        <w:t>八、凡对本次采购提出询问，请按</w:t>
      </w:r>
      <w:r>
        <w:rPr>
          <w:rFonts w:ascii="黑体" w:hAnsi="黑体" w:eastAsia="黑体"/>
          <w:b/>
          <w:sz w:val="24"/>
          <w:highlight w:val="none"/>
        </w:rPr>
        <w:t>以下方式</w:t>
      </w:r>
      <w:r>
        <w:rPr>
          <w:rFonts w:hint="eastAsia" w:ascii="黑体" w:hAnsi="黑体" w:eastAsia="黑体"/>
          <w:b/>
          <w:sz w:val="24"/>
          <w:highlight w:val="none"/>
        </w:rPr>
        <w:t>联系。</w:t>
      </w:r>
      <w:bookmarkEnd w:id="46"/>
      <w:bookmarkEnd w:id="47"/>
      <w:bookmarkEnd w:id="48"/>
      <w:bookmarkEnd w:id="49"/>
      <w:bookmarkEnd w:id="50"/>
    </w:p>
    <w:p w14:paraId="7641CD1B">
      <w:pPr>
        <w:spacing w:line="440" w:lineRule="exact"/>
        <w:ind w:firstLine="420" w:firstLineChars="200"/>
        <w:rPr>
          <w:rFonts w:ascii="宋体" w:hAnsi="宋体" w:cs="宋体"/>
          <w:kern w:val="0"/>
          <w:szCs w:val="21"/>
          <w:highlight w:val="none"/>
        </w:rPr>
      </w:pPr>
      <w:bookmarkStart w:id="51" w:name="_Toc28359019"/>
      <w:bookmarkStart w:id="52" w:name="_Toc35393637"/>
      <w:bookmarkStart w:id="53" w:name="_Toc35393806"/>
      <w:bookmarkStart w:id="54" w:name="_Toc28359096"/>
      <w:r>
        <w:rPr>
          <w:rFonts w:hint="eastAsia" w:ascii="宋体" w:hAnsi="宋体" w:cs="宋体"/>
          <w:kern w:val="0"/>
          <w:szCs w:val="21"/>
          <w:highlight w:val="none"/>
        </w:rPr>
        <w:t>1.采购人信息</w:t>
      </w:r>
      <w:bookmarkEnd w:id="51"/>
      <w:bookmarkEnd w:id="52"/>
      <w:bookmarkEnd w:id="53"/>
      <w:bookmarkEnd w:id="54"/>
    </w:p>
    <w:p w14:paraId="298BB2A7">
      <w:pPr>
        <w:spacing w:line="440" w:lineRule="exact"/>
        <w:ind w:firstLine="420" w:firstLineChars="200"/>
        <w:jc w:val="left"/>
        <w:rPr>
          <w:rFonts w:ascii="宋体" w:hAnsi="宋体"/>
          <w:szCs w:val="21"/>
          <w:highlight w:val="none"/>
        </w:rPr>
      </w:pPr>
      <w:r>
        <w:rPr>
          <w:rFonts w:hint="eastAsia" w:ascii="宋体" w:hAnsi="宋体"/>
          <w:szCs w:val="21"/>
          <w:highlight w:val="none"/>
        </w:rPr>
        <w:t>名    称：</w:t>
      </w:r>
      <w:r>
        <w:rPr>
          <w:rFonts w:hint="eastAsia" w:ascii="宋体" w:hAnsi="宋体"/>
          <w:szCs w:val="21"/>
          <w:highlight w:val="none"/>
          <w:u w:val="single"/>
        </w:rPr>
        <w:t>　钦州市海洋与渔业执法支队　</w:t>
      </w:r>
    </w:p>
    <w:p w14:paraId="53DBD488">
      <w:pPr>
        <w:spacing w:line="440" w:lineRule="exact"/>
        <w:ind w:firstLine="420" w:firstLineChars="200"/>
        <w:jc w:val="left"/>
        <w:rPr>
          <w:rFonts w:ascii="宋体" w:hAnsi="宋体"/>
          <w:szCs w:val="21"/>
          <w:highlight w:val="none"/>
          <w:u w:val="single"/>
        </w:rPr>
      </w:pPr>
      <w:r>
        <w:rPr>
          <w:rFonts w:hint="eastAsia" w:ascii="宋体" w:hAnsi="宋体"/>
          <w:szCs w:val="21"/>
          <w:highlight w:val="none"/>
        </w:rPr>
        <w:t>地    址：</w:t>
      </w:r>
      <w:r>
        <w:rPr>
          <w:rFonts w:hint="eastAsia" w:ascii="宋体" w:hAnsi="宋体"/>
          <w:szCs w:val="21"/>
          <w:highlight w:val="none"/>
          <w:u w:val="single"/>
        </w:rPr>
        <w:t>　钦州市育才路228号</w:t>
      </w:r>
    </w:p>
    <w:p w14:paraId="70B7C02C">
      <w:pPr>
        <w:spacing w:line="440" w:lineRule="exact"/>
        <w:ind w:firstLine="420" w:firstLineChars="200"/>
        <w:jc w:val="left"/>
        <w:rPr>
          <w:rFonts w:ascii="宋体" w:hAnsi="宋体"/>
          <w:szCs w:val="21"/>
          <w:highlight w:val="none"/>
        </w:rPr>
      </w:pPr>
      <w:r>
        <w:rPr>
          <w:rFonts w:hint="eastAsia" w:ascii="宋体" w:hAnsi="宋体"/>
          <w:szCs w:val="21"/>
          <w:highlight w:val="none"/>
        </w:rPr>
        <w:t>联系方式：</w:t>
      </w:r>
      <w:r>
        <w:rPr>
          <w:rFonts w:hint="eastAsia" w:ascii="宋体" w:hAnsi="宋体"/>
          <w:szCs w:val="21"/>
          <w:highlight w:val="none"/>
          <w:u w:val="single"/>
        </w:rPr>
        <w:t xml:space="preserve">　初道辉 0777-3217183 </w:t>
      </w:r>
    </w:p>
    <w:p w14:paraId="19AAA395">
      <w:pPr>
        <w:spacing w:line="440" w:lineRule="exact"/>
        <w:ind w:firstLine="420" w:firstLineChars="200"/>
        <w:rPr>
          <w:rFonts w:ascii="宋体" w:hAnsi="宋体"/>
          <w:color w:val="000000"/>
          <w:kern w:val="0"/>
          <w:szCs w:val="21"/>
          <w:highlight w:val="none"/>
        </w:rPr>
      </w:pPr>
      <w:bookmarkStart w:id="55" w:name="_Toc35393808"/>
      <w:bookmarkStart w:id="56" w:name="_Toc28359021"/>
      <w:bookmarkStart w:id="57" w:name="_Toc28359098"/>
      <w:bookmarkStart w:id="58" w:name="_Toc35393639"/>
      <w:r>
        <w:rPr>
          <w:rFonts w:hint="eastAsia" w:ascii="宋体" w:hAnsi="宋体"/>
          <w:color w:val="000000"/>
          <w:kern w:val="0"/>
          <w:szCs w:val="21"/>
          <w:highlight w:val="none"/>
        </w:rPr>
        <w:t>2.采购代理机构信息</w:t>
      </w:r>
    </w:p>
    <w:p w14:paraId="0ED6A7DE">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名    称：</w:t>
      </w:r>
      <w:r>
        <w:rPr>
          <w:rFonts w:hint="eastAsia" w:ascii="宋体" w:hAnsi="宋体"/>
          <w:color w:val="000000"/>
          <w:szCs w:val="21"/>
          <w:highlight w:val="none"/>
          <w:u w:val="single"/>
        </w:rPr>
        <w:t>　云之龙咨询集团有限公司　</w:t>
      </w:r>
    </w:p>
    <w:p w14:paraId="224A6DBC">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地　　址：</w:t>
      </w:r>
      <w:r>
        <w:rPr>
          <w:rFonts w:hint="eastAsia" w:ascii="宋体" w:hAnsi="宋体"/>
          <w:color w:val="000000"/>
          <w:szCs w:val="21"/>
          <w:highlight w:val="none"/>
          <w:u w:val="single"/>
        </w:rPr>
        <w:t>　广西钦州市子材东大街19号奥林名城8号楼8层　</w:t>
      </w:r>
    </w:p>
    <w:p w14:paraId="73725646">
      <w:pPr>
        <w:spacing w:line="440" w:lineRule="exact"/>
        <w:ind w:firstLine="420" w:firstLineChars="200"/>
        <w:rPr>
          <w:rFonts w:hint="eastAsia" w:ascii="宋体" w:hAnsi="宋体" w:eastAsia="宋体"/>
          <w:color w:val="000000"/>
          <w:kern w:val="0"/>
          <w:szCs w:val="21"/>
          <w:highlight w:val="none"/>
          <w:u w:val="single"/>
          <w:lang w:eastAsia="zh-CN"/>
        </w:rPr>
      </w:pPr>
      <w:r>
        <w:rPr>
          <w:rFonts w:hint="eastAsia" w:ascii="宋体" w:hAnsi="宋体"/>
          <w:color w:val="000000"/>
          <w:kern w:val="0"/>
          <w:szCs w:val="21"/>
          <w:highlight w:val="none"/>
        </w:rPr>
        <w:t>项目联系人：</w:t>
      </w:r>
      <w:r>
        <w:rPr>
          <w:rFonts w:hint="eastAsia" w:ascii="宋体" w:hAnsi="宋体"/>
          <w:color w:val="000000"/>
          <w:kern w:val="0"/>
          <w:szCs w:val="21"/>
          <w:highlight w:val="none"/>
          <w:u w:val="single"/>
        </w:rPr>
        <w:t>秦绍袁、</w:t>
      </w:r>
      <w:r>
        <w:rPr>
          <w:rFonts w:hint="eastAsia" w:ascii="宋体" w:hAnsi="宋体"/>
          <w:color w:val="000000"/>
          <w:kern w:val="0"/>
          <w:szCs w:val="21"/>
          <w:highlight w:val="none"/>
          <w:u w:val="single"/>
          <w:lang w:val="en-US" w:eastAsia="zh-CN"/>
        </w:rPr>
        <w:t>梁译</w:t>
      </w:r>
    </w:p>
    <w:p w14:paraId="32A1556B">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联系方式：</w:t>
      </w:r>
      <w:r>
        <w:rPr>
          <w:rFonts w:hint="eastAsia" w:ascii="宋体" w:hAnsi="宋体"/>
          <w:color w:val="000000"/>
          <w:szCs w:val="21"/>
          <w:highlight w:val="none"/>
          <w:u w:val="single"/>
        </w:rPr>
        <w:t>0777-5619366　</w:t>
      </w:r>
    </w:p>
    <w:p w14:paraId="4B1ACA0D">
      <w:pPr>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3.项目联系</w:t>
      </w:r>
      <w:r>
        <w:rPr>
          <w:rFonts w:ascii="宋体" w:hAnsi="宋体" w:cs="宋体"/>
          <w:kern w:val="0"/>
          <w:szCs w:val="21"/>
          <w:highlight w:val="none"/>
        </w:rPr>
        <w:t>方式</w:t>
      </w:r>
      <w:bookmarkEnd w:id="55"/>
      <w:bookmarkEnd w:id="56"/>
      <w:bookmarkEnd w:id="57"/>
      <w:bookmarkEnd w:id="58"/>
    </w:p>
    <w:p w14:paraId="0B72F263">
      <w:pPr>
        <w:pStyle w:val="13"/>
        <w:spacing w:line="440" w:lineRule="exact"/>
        <w:ind w:firstLine="420" w:firstLineChars="200"/>
        <w:rPr>
          <w:rFonts w:hint="eastAsia" w:hAnsi="宋体" w:eastAsia="宋体"/>
          <w:color w:val="000000"/>
          <w:sz w:val="21"/>
          <w:highlight w:val="none"/>
          <w:u w:val="single"/>
          <w:lang w:eastAsia="zh-CN"/>
        </w:rPr>
      </w:pPr>
      <w:r>
        <w:rPr>
          <w:rFonts w:hint="eastAsia" w:hAnsi="宋体"/>
          <w:color w:val="000000"/>
          <w:sz w:val="21"/>
          <w:highlight w:val="none"/>
          <w:u w:val="single"/>
        </w:rPr>
        <w:t>项目联系人：   秦绍袁、</w:t>
      </w:r>
      <w:r>
        <w:rPr>
          <w:rFonts w:hint="eastAsia" w:hAnsi="宋体"/>
          <w:color w:val="000000"/>
          <w:sz w:val="21"/>
          <w:highlight w:val="none"/>
          <w:u w:val="single"/>
          <w:lang w:val="en-US" w:eastAsia="zh-CN"/>
        </w:rPr>
        <w:t>梁译</w:t>
      </w:r>
    </w:p>
    <w:p w14:paraId="7D14BF05">
      <w:pPr>
        <w:spacing w:line="440" w:lineRule="exact"/>
        <w:ind w:firstLine="420" w:firstLineChars="200"/>
        <w:rPr>
          <w:rFonts w:ascii="宋体" w:hAnsi="宋体"/>
          <w:color w:val="000000"/>
          <w:kern w:val="0"/>
          <w:szCs w:val="21"/>
          <w:highlight w:val="none"/>
          <w:u w:val="single"/>
        </w:rPr>
      </w:pPr>
      <w:r>
        <w:rPr>
          <w:rFonts w:hint="eastAsia" w:ascii="宋体" w:hAnsi="宋体"/>
          <w:color w:val="000000"/>
          <w:kern w:val="0"/>
          <w:szCs w:val="21"/>
          <w:highlight w:val="none"/>
          <w:u w:val="single"/>
        </w:rPr>
        <w:t>电　　话：　0777-5619366　　　</w:t>
      </w:r>
    </w:p>
    <w:bookmarkEnd w:id="4"/>
    <w:p w14:paraId="0C0EF533">
      <w:pPr>
        <w:spacing w:line="440" w:lineRule="exact"/>
        <w:jc w:val="center"/>
        <w:rPr>
          <w:highlight w:val="none"/>
        </w:rPr>
      </w:pPr>
      <w:r>
        <w:rPr>
          <w:rFonts w:ascii="宋体" w:hAnsi="宋体"/>
          <w:sz w:val="32"/>
          <w:szCs w:val="32"/>
          <w:highlight w:val="none"/>
        </w:rPr>
        <w:br w:type="page"/>
      </w:r>
      <w:bookmarkStart w:id="59" w:name="_Toc74323457"/>
    </w:p>
    <w:p w14:paraId="3F034DE6">
      <w:pPr>
        <w:pStyle w:val="2"/>
        <w:jc w:val="center"/>
        <w:rPr>
          <w:highlight w:val="none"/>
        </w:rPr>
      </w:pPr>
      <w:r>
        <w:rPr>
          <w:rFonts w:hint="eastAsia"/>
          <w:highlight w:val="none"/>
        </w:rPr>
        <w:t>第二章 供应商须知</w:t>
      </w:r>
      <w:bookmarkEnd w:id="59"/>
    </w:p>
    <w:p w14:paraId="5153FD19">
      <w:pPr>
        <w:spacing w:line="400" w:lineRule="exact"/>
        <w:jc w:val="center"/>
        <w:rPr>
          <w:rFonts w:ascii="宋体" w:hAnsi="宋体"/>
          <w:b/>
          <w:sz w:val="32"/>
          <w:szCs w:val="32"/>
          <w:highlight w:val="none"/>
        </w:rPr>
      </w:pPr>
      <w:r>
        <w:rPr>
          <w:rFonts w:hint="eastAsia" w:ascii="宋体" w:hAnsi="宋体"/>
          <w:b/>
          <w:sz w:val="32"/>
          <w:szCs w:val="32"/>
          <w:highlight w:val="none"/>
        </w:rPr>
        <w:t>供应商须知前附表</w:t>
      </w:r>
    </w:p>
    <w:p w14:paraId="253C2879">
      <w:pPr>
        <w:spacing w:line="400" w:lineRule="exact"/>
        <w:jc w:val="center"/>
        <w:rPr>
          <w:rFonts w:ascii="宋体" w:hAnsi="宋体"/>
          <w:b/>
          <w:sz w:val="32"/>
          <w:szCs w:val="32"/>
          <w:highlight w:val="none"/>
        </w:rPr>
      </w:pPr>
    </w:p>
    <w:tbl>
      <w:tblPr>
        <w:tblStyle w:val="22"/>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3571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119A391">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7912" w:type="dxa"/>
          </w:tcPr>
          <w:p w14:paraId="09145C89">
            <w:pPr>
              <w:spacing w:line="360" w:lineRule="auto"/>
              <w:jc w:val="center"/>
              <w:rPr>
                <w:rFonts w:ascii="宋体" w:hAnsi="宋体" w:cs="宋体"/>
                <w:b/>
                <w:szCs w:val="21"/>
                <w:highlight w:val="none"/>
              </w:rPr>
            </w:pPr>
            <w:r>
              <w:rPr>
                <w:rFonts w:hint="eastAsia" w:ascii="宋体" w:hAnsi="宋体" w:cs="宋体"/>
                <w:b/>
                <w:szCs w:val="21"/>
                <w:highlight w:val="none"/>
              </w:rPr>
              <w:t>内    容</w:t>
            </w:r>
          </w:p>
        </w:tc>
      </w:tr>
      <w:tr w14:paraId="26952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D28357">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7912" w:type="dxa"/>
            <w:vAlign w:val="center"/>
          </w:tcPr>
          <w:p w14:paraId="715FEB6F">
            <w:pPr>
              <w:spacing w:line="360" w:lineRule="auto"/>
              <w:rPr>
                <w:rFonts w:ascii="宋体" w:hAnsi="宋体"/>
                <w:szCs w:val="21"/>
                <w:highlight w:val="none"/>
              </w:rPr>
            </w:pPr>
            <w:r>
              <w:rPr>
                <w:rFonts w:hint="eastAsia" w:ascii="宋体" w:hAnsi="宋体" w:cs="宋体"/>
                <w:bCs/>
                <w:szCs w:val="21"/>
                <w:highlight w:val="none"/>
              </w:rPr>
              <w:t>1.供应商的资格条件</w:t>
            </w:r>
            <w:r>
              <w:rPr>
                <w:rFonts w:hint="eastAsia" w:ascii="宋体" w:hAnsi="宋体" w:cs="宋体"/>
                <w:szCs w:val="21"/>
                <w:highlight w:val="none"/>
              </w:rPr>
              <w:t>：详见竞争性磋商公告</w:t>
            </w:r>
          </w:p>
          <w:p w14:paraId="4F620A6E">
            <w:pPr>
              <w:spacing w:line="360" w:lineRule="auto"/>
              <w:rPr>
                <w:rFonts w:ascii="宋体" w:hAnsi="宋体" w:cs="宋体"/>
                <w:szCs w:val="21"/>
                <w:highlight w:val="none"/>
              </w:rPr>
            </w:pPr>
            <w:r>
              <w:rPr>
                <w:rFonts w:hint="eastAsia" w:ascii="宋体" w:hAnsi="宋体" w:cs="宋体"/>
                <w:szCs w:val="21"/>
                <w:highlight w:val="none"/>
              </w:rPr>
              <w:t>2.</w:t>
            </w:r>
            <w:r>
              <w:rPr>
                <w:rFonts w:hint="eastAsia" w:ascii="宋体" w:hAnsi="宋体" w:cs="宋体"/>
                <w:bCs/>
                <w:szCs w:val="21"/>
                <w:highlight w:val="none"/>
              </w:rPr>
              <w:t>供应商</w:t>
            </w:r>
            <w:r>
              <w:rPr>
                <w:rFonts w:hint="eastAsia" w:ascii="宋体" w:hAnsi="宋体" w:cs="宋体"/>
                <w:szCs w:val="21"/>
                <w:highlight w:val="none"/>
              </w:rPr>
              <w:t>出现下列情形之一的，不得参加政府采购活动：</w:t>
            </w:r>
          </w:p>
          <w:p w14:paraId="581137B9">
            <w:pPr>
              <w:spacing w:line="360" w:lineRule="auto"/>
              <w:rPr>
                <w:rFonts w:ascii="宋体" w:hAnsi="宋体" w:cs="宋体"/>
                <w:szCs w:val="21"/>
                <w:highlight w:val="none"/>
              </w:rPr>
            </w:pPr>
            <w:r>
              <w:rPr>
                <w:rFonts w:hint="eastAsia" w:ascii="宋体" w:hAnsi="宋体" w:cs="宋体"/>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F97651">
            <w:pPr>
              <w:spacing w:line="360" w:lineRule="auto"/>
              <w:rPr>
                <w:rFonts w:ascii="宋体" w:hAnsi="宋体" w:cs="宋体"/>
                <w:szCs w:val="21"/>
                <w:highlight w:val="none"/>
              </w:rPr>
            </w:pPr>
            <w:r>
              <w:rPr>
                <w:rFonts w:hint="eastAsia" w:ascii="宋体" w:hAnsi="宋体" w:cs="宋体"/>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4774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B2D8E9">
            <w:pPr>
              <w:spacing w:line="360" w:lineRule="auto"/>
              <w:jc w:val="center"/>
              <w:rPr>
                <w:rFonts w:ascii="宋体" w:hAnsi="宋体" w:cs="宋体"/>
                <w:szCs w:val="21"/>
                <w:highlight w:val="none"/>
              </w:rPr>
            </w:pPr>
            <w:r>
              <w:rPr>
                <w:rFonts w:hint="eastAsia" w:ascii="宋体" w:hAnsi="宋体" w:cs="宋体"/>
                <w:szCs w:val="21"/>
                <w:highlight w:val="none"/>
              </w:rPr>
              <w:t>5.1</w:t>
            </w:r>
          </w:p>
        </w:tc>
        <w:tc>
          <w:tcPr>
            <w:tcW w:w="7912" w:type="dxa"/>
            <w:vAlign w:val="center"/>
          </w:tcPr>
          <w:p w14:paraId="5D5B85DB">
            <w:pPr>
              <w:spacing w:line="360" w:lineRule="auto"/>
              <w:rPr>
                <w:rFonts w:ascii="宋体" w:hAnsi="宋体" w:cs="宋体"/>
                <w:szCs w:val="21"/>
                <w:highlight w:val="none"/>
              </w:rPr>
            </w:pPr>
            <w:r>
              <w:rPr>
                <w:rFonts w:hint="eastAsia" w:ascii="宋体" w:hAnsi="宋体" w:cs="宋体"/>
                <w:szCs w:val="21"/>
                <w:highlight w:val="none"/>
              </w:rPr>
              <w:t>是否接受联合体竞标： 详见竞争性磋商公告</w:t>
            </w:r>
          </w:p>
        </w:tc>
      </w:tr>
      <w:tr w14:paraId="4F694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1865A4">
            <w:pPr>
              <w:spacing w:line="360" w:lineRule="auto"/>
              <w:jc w:val="center"/>
              <w:rPr>
                <w:rFonts w:ascii="宋体" w:hAnsi="宋体" w:cs="宋体"/>
                <w:szCs w:val="21"/>
                <w:highlight w:val="none"/>
              </w:rPr>
            </w:pPr>
            <w:r>
              <w:rPr>
                <w:rFonts w:hint="eastAsia" w:ascii="宋体" w:hAnsi="宋体" w:cs="宋体"/>
                <w:szCs w:val="21"/>
                <w:highlight w:val="none"/>
              </w:rPr>
              <w:t>6.2</w:t>
            </w:r>
          </w:p>
        </w:tc>
        <w:tc>
          <w:tcPr>
            <w:tcW w:w="7912" w:type="dxa"/>
            <w:vAlign w:val="center"/>
          </w:tcPr>
          <w:p w14:paraId="54A83D2F">
            <w:pPr>
              <w:pStyle w:val="8"/>
              <w:spacing w:line="360" w:lineRule="auto"/>
              <w:rPr>
                <w:rFonts w:ascii="宋体" w:hAnsi="宋体"/>
                <w:szCs w:val="21"/>
                <w:highlight w:val="none"/>
              </w:rPr>
            </w:pPr>
            <w:r>
              <w:rPr>
                <w:rFonts w:ascii="Wingdings 2" w:hAnsi="Wingdings 2"/>
                <w:szCs w:val="21"/>
                <w:highlight w:val="none"/>
              </w:rPr>
              <w:t></w:t>
            </w:r>
            <w:r>
              <w:rPr>
                <w:rFonts w:hint="eastAsia" w:ascii="宋体" w:hAnsi="宋体"/>
                <w:szCs w:val="21"/>
                <w:highlight w:val="none"/>
              </w:rPr>
              <w:t>不允许分包</w:t>
            </w:r>
          </w:p>
          <w:p w14:paraId="45AC7B29">
            <w:pPr>
              <w:pStyle w:val="8"/>
              <w:spacing w:line="360" w:lineRule="auto"/>
              <w:rPr>
                <w:rFonts w:ascii="宋体" w:hAnsi="宋体"/>
                <w:szCs w:val="21"/>
                <w:highlight w:val="none"/>
              </w:rPr>
            </w:pPr>
            <w:r>
              <w:rPr>
                <w:rFonts w:hint="eastAsia" w:ascii="宋体" w:hAnsi="宋体"/>
                <w:szCs w:val="21"/>
                <w:highlight w:val="none"/>
              </w:rPr>
              <w:t>□允许分包</w:t>
            </w:r>
          </w:p>
          <w:p w14:paraId="66AB036A">
            <w:pPr>
              <w:pStyle w:val="8"/>
              <w:spacing w:line="360" w:lineRule="auto"/>
              <w:rPr>
                <w:rFonts w:ascii="宋体" w:hAnsi="宋体"/>
                <w:szCs w:val="21"/>
                <w:highlight w:val="none"/>
                <w:u w:val="single"/>
              </w:rPr>
            </w:pPr>
            <w:r>
              <w:rPr>
                <w:rFonts w:hint="eastAsia" w:ascii="宋体" w:hAnsi="宋体"/>
                <w:szCs w:val="21"/>
                <w:highlight w:val="none"/>
              </w:rPr>
              <w:t>分包内容：</w:t>
            </w:r>
            <w:r>
              <w:rPr>
                <w:rFonts w:hint="eastAsia" w:ascii="宋体" w:hAnsi="宋体"/>
                <w:szCs w:val="21"/>
                <w:highlight w:val="none"/>
                <w:u w:val="single"/>
              </w:rPr>
              <w:t xml:space="preserve">  /  。</w:t>
            </w:r>
          </w:p>
          <w:p w14:paraId="0BE3836F">
            <w:pPr>
              <w:pStyle w:val="8"/>
              <w:spacing w:line="360" w:lineRule="auto"/>
              <w:rPr>
                <w:rFonts w:ascii="宋体" w:hAnsi="宋体" w:cs="宋体"/>
                <w:szCs w:val="21"/>
                <w:highlight w:val="none"/>
              </w:rPr>
            </w:pPr>
            <w:r>
              <w:rPr>
                <w:rFonts w:hint="eastAsia" w:ascii="宋体" w:hAnsi="宋体"/>
                <w:szCs w:val="21"/>
                <w:highlight w:val="none"/>
              </w:rPr>
              <w:t>分包金额或者比例：</w:t>
            </w:r>
            <w:r>
              <w:rPr>
                <w:rFonts w:hint="eastAsia" w:ascii="宋体" w:hAnsi="宋体"/>
                <w:szCs w:val="21"/>
                <w:highlight w:val="none"/>
                <w:u w:val="single"/>
              </w:rPr>
              <w:t xml:space="preserve">  /   。</w:t>
            </w:r>
          </w:p>
        </w:tc>
      </w:tr>
      <w:tr w14:paraId="68B51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9AA370">
            <w:pPr>
              <w:spacing w:line="360" w:lineRule="auto"/>
              <w:jc w:val="center"/>
              <w:rPr>
                <w:rFonts w:ascii="宋体" w:hAnsi="宋体" w:cs="宋体"/>
                <w:szCs w:val="21"/>
                <w:highlight w:val="none"/>
              </w:rPr>
            </w:pPr>
            <w:r>
              <w:rPr>
                <w:rFonts w:hint="eastAsia" w:ascii="宋体" w:hAnsi="宋体" w:cs="宋体"/>
                <w:szCs w:val="21"/>
                <w:highlight w:val="none"/>
              </w:rPr>
              <w:t>12.1.</w:t>
            </w:r>
            <w:r>
              <w:rPr>
                <w:rFonts w:ascii="宋体" w:hAnsi="宋体" w:cs="宋体"/>
                <w:szCs w:val="21"/>
                <w:highlight w:val="none"/>
              </w:rPr>
              <w:t>1</w:t>
            </w:r>
          </w:p>
        </w:tc>
        <w:tc>
          <w:tcPr>
            <w:tcW w:w="7912" w:type="dxa"/>
            <w:vAlign w:val="center"/>
          </w:tcPr>
          <w:p w14:paraId="42A59CD7">
            <w:pPr>
              <w:snapToGrid w:val="0"/>
              <w:spacing w:line="360" w:lineRule="auto"/>
              <w:jc w:val="left"/>
              <w:rPr>
                <w:rFonts w:ascii="宋体" w:hAnsi="宋体" w:cs="宋体"/>
                <w:b/>
                <w:szCs w:val="21"/>
                <w:highlight w:val="none"/>
              </w:rPr>
            </w:pPr>
            <w:r>
              <w:rPr>
                <w:rFonts w:hint="eastAsia" w:ascii="宋体" w:hAnsi="宋体" w:cs="宋体"/>
                <w:b/>
                <w:szCs w:val="21"/>
                <w:highlight w:val="none"/>
              </w:rPr>
              <w:t>资格证明文件</w:t>
            </w:r>
          </w:p>
          <w:p w14:paraId="611FD874">
            <w:pPr>
              <w:pStyle w:val="8"/>
              <w:spacing w:line="360" w:lineRule="auto"/>
              <w:rPr>
                <w:rFonts w:ascii="宋体" w:hAnsi="宋体"/>
                <w:szCs w:val="21"/>
                <w:highlight w:val="none"/>
              </w:rPr>
            </w:pPr>
            <w:r>
              <w:rPr>
                <w:rFonts w:hint="eastAsia" w:ascii="宋体" w:hAnsi="宋体" w:cs="宋体"/>
                <w:szCs w:val="21"/>
                <w:highlight w:val="none"/>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olor w:val="000000"/>
                <w:szCs w:val="21"/>
                <w:highlight w:val="none"/>
              </w:rPr>
              <w:t>分支机构或分公司竞标时，需提供具有法人资格的授权书，授权书须加盖总公司或上级单位（公司）的公章。已由总公司或上级单位（公司）授权的，总公司或上级单位（公司）取得的相关资质证书对分支机构、分公司或下级单位（公司）有效，法律法规或者行业另有规定的除外</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89949A7">
            <w:pPr>
              <w:spacing w:line="360" w:lineRule="auto"/>
              <w:contextualSpacing/>
              <w:jc w:val="left"/>
              <w:rPr>
                <w:rFonts w:ascii="宋体" w:hAnsi="宋体" w:cs="宋体"/>
                <w:szCs w:val="21"/>
                <w:highlight w:val="none"/>
              </w:rPr>
            </w:pPr>
            <w:r>
              <w:rPr>
                <w:rFonts w:hint="eastAsia" w:ascii="宋体" w:hAnsi="宋体" w:cs="宋体"/>
                <w:szCs w:val="21"/>
                <w:highlight w:val="none"/>
              </w:rPr>
              <w:t>2. 供应商依法缴纳税收的相关材料（</w:t>
            </w:r>
            <w:r>
              <w:rPr>
                <w:rFonts w:hint="eastAsia" w:ascii="宋体" w:hAnsi="宋体" w:cs="宋体"/>
                <w:szCs w:val="21"/>
                <w:highlight w:val="none"/>
                <w:u w:val="single"/>
              </w:rPr>
              <w:t>2024</w:t>
            </w:r>
            <w:r>
              <w:rPr>
                <w:rFonts w:hint="eastAsia" w:ascii="宋体" w:hAnsi="宋体" w:cs="宋体"/>
                <w:szCs w:val="21"/>
                <w:highlight w:val="none"/>
              </w:rPr>
              <w:t>年</w:t>
            </w:r>
            <w:r>
              <w:rPr>
                <w:rFonts w:hint="eastAsia" w:ascii="宋体" w:hAnsi="宋体" w:cs="宋体"/>
                <w:szCs w:val="21"/>
                <w:highlight w:val="none"/>
                <w:u w:val="single"/>
              </w:rPr>
              <w:t>8</w:t>
            </w:r>
            <w:r>
              <w:rPr>
                <w:rFonts w:hint="eastAsia" w:ascii="宋体" w:hAnsi="宋体" w:cs="宋体"/>
                <w:szCs w:val="21"/>
                <w:highlight w:val="none"/>
              </w:rPr>
              <w:t>月至</w:t>
            </w:r>
            <w:r>
              <w:rPr>
                <w:rFonts w:hint="eastAsia"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lang w:val="en-US" w:eastAsia="zh-CN"/>
              </w:rPr>
              <w:t>5</w:t>
            </w:r>
            <w:r>
              <w:rPr>
                <w:rFonts w:hint="eastAsia" w:ascii="宋体" w:hAnsi="宋体" w:cs="宋体"/>
                <w:szCs w:val="21"/>
                <w:highlight w:val="none"/>
              </w:rPr>
              <w:t>月内连续</w:t>
            </w:r>
            <w:r>
              <w:rPr>
                <w:rFonts w:hint="eastAsia" w:ascii="宋体" w:hAnsi="宋体" w:cs="宋体"/>
                <w:szCs w:val="21"/>
                <w:highlight w:val="none"/>
                <w:u w:val="single"/>
              </w:rPr>
              <w:t>3</w:t>
            </w:r>
            <w:r>
              <w:rPr>
                <w:rFonts w:hint="eastAsia" w:ascii="宋体" w:hAnsi="宋体" w:cs="宋体"/>
                <w:szCs w:val="21"/>
                <w:highlight w:val="none"/>
              </w:rPr>
              <w:t>个月的依法缴纳税收的凭据复印件；</w:t>
            </w:r>
            <w:r>
              <w:rPr>
                <w:rFonts w:hint="eastAsia"/>
                <w:highlight w:val="none"/>
              </w:rPr>
              <w:t>依法免税的，必须提供相应文件证明其依法免税。</w:t>
            </w:r>
            <w:r>
              <w:rPr>
                <w:rFonts w:hint="eastAsia" w:ascii="宋体" w:hAnsi="宋体" w:cs="宋体"/>
                <w:szCs w:val="21"/>
                <w:highlight w:val="none"/>
              </w:rPr>
              <w:t>从</w:t>
            </w:r>
            <w:r>
              <w:rPr>
                <w:szCs w:val="21"/>
                <w:highlight w:val="none"/>
              </w:rPr>
              <w:t>成立</w:t>
            </w:r>
            <w:r>
              <w:rPr>
                <w:rFonts w:hint="eastAsia"/>
                <w:szCs w:val="21"/>
                <w:highlight w:val="none"/>
              </w:rPr>
              <w:t>之日起</w:t>
            </w:r>
            <w:r>
              <w:rPr>
                <w:rFonts w:hint="eastAsia" w:ascii="宋体" w:hAnsi="宋体" w:cs="宋体"/>
                <w:szCs w:val="21"/>
                <w:highlight w:val="none"/>
              </w:rPr>
              <w:t>到响应文件提交截止时间止不足要求月数的，只需提供从</w:t>
            </w:r>
            <w:r>
              <w:rPr>
                <w:szCs w:val="21"/>
                <w:highlight w:val="none"/>
              </w:rPr>
              <w:t>成立</w:t>
            </w:r>
            <w:r>
              <w:rPr>
                <w:rFonts w:hint="eastAsia"/>
                <w:szCs w:val="21"/>
                <w:highlight w:val="none"/>
              </w:rPr>
              <w:t>之日起</w:t>
            </w:r>
            <w:r>
              <w:rPr>
                <w:rFonts w:hint="eastAsia" w:ascii="宋体" w:hAnsi="宋体" w:cs="宋体"/>
                <w:szCs w:val="21"/>
                <w:highlight w:val="none"/>
              </w:rPr>
              <w:t>的依法缴纳税收</w:t>
            </w:r>
            <w:r>
              <w:rPr>
                <w:rFonts w:hint="eastAsia"/>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69FA4C97">
            <w:pPr>
              <w:spacing w:line="360" w:lineRule="auto"/>
              <w:contextualSpacing/>
              <w:jc w:val="left"/>
              <w:rPr>
                <w:rFonts w:ascii="宋体" w:hAnsi="宋体" w:cs="宋体"/>
                <w:szCs w:val="21"/>
                <w:highlight w:val="none"/>
              </w:rPr>
            </w:pPr>
            <w:r>
              <w:rPr>
                <w:rFonts w:hint="eastAsia" w:ascii="宋体" w:hAnsi="宋体" w:cs="宋体"/>
                <w:szCs w:val="21"/>
                <w:highlight w:val="none"/>
              </w:rPr>
              <w:t>3. 供应商依法缴纳社会保障资金的相关材料[</w:t>
            </w:r>
            <w:r>
              <w:rPr>
                <w:rFonts w:hint="eastAsia" w:ascii="宋体" w:hAnsi="宋体" w:cs="宋体"/>
                <w:szCs w:val="21"/>
                <w:highlight w:val="none"/>
                <w:u w:val="single"/>
              </w:rPr>
              <w:t>2024</w:t>
            </w:r>
            <w:r>
              <w:rPr>
                <w:rFonts w:hint="eastAsia" w:ascii="宋体" w:hAnsi="宋体" w:cs="宋体"/>
                <w:szCs w:val="21"/>
                <w:highlight w:val="none"/>
              </w:rPr>
              <w:t>年</w:t>
            </w:r>
            <w:r>
              <w:rPr>
                <w:rFonts w:hint="eastAsia" w:ascii="宋体" w:hAnsi="宋体" w:cs="宋体"/>
                <w:szCs w:val="21"/>
                <w:highlight w:val="none"/>
                <w:u w:val="single"/>
              </w:rPr>
              <w:t>8</w:t>
            </w:r>
            <w:r>
              <w:rPr>
                <w:rFonts w:hint="eastAsia" w:ascii="宋体" w:hAnsi="宋体" w:cs="宋体"/>
                <w:szCs w:val="21"/>
                <w:highlight w:val="none"/>
              </w:rPr>
              <w:t>月至</w:t>
            </w:r>
            <w:r>
              <w:rPr>
                <w:rFonts w:hint="eastAsia"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lang w:val="en-US" w:eastAsia="zh-CN"/>
              </w:rPr>
              <w:t>5</w:t>
            </w:r>
            <w:r>
              <w:rPr>
                <w:rFonts w:hint="eastAsia" w:ascii="宋体" w:hAnsi="宋体" w:cs="宋体"/>
                <w:szCs w:val="21"/>
                <w:highlight w:val="none"/>
              </w:rPr>
              <w:t>月内连续</w:t>
            </w:r>
            <w:r>
              <w:rPr>
                <w:rFonts w:hint="eastAsia" w:ascii="宋体" w:hAnsi="宋体" w:cs="宋体"/>
                <w:szCs w:val="21"/>
                <w:highlight w:val="none"/>
                <w:u w:val="single"/>
              </w:rPr>
              <w:t>3</w:t>
            </w:r>
            <w:r>
              <w:rPr>
                <w:rFonts w:hint="eastAsia" w:ascii="宋体" w:hAnsi="宋体" w:cs="宋体"/>
                <w:szCs w:val="21"/>
                <w:highlight w:val="none"/>
              </w:rPr>
              <w:t>个月的依法缴纳社会保障资金的缴费凭证（</w:t>
            </w:r>
            <w:r>
              <w:rPr>
                <w:rFonts w:hint="eastAsia"/>
                <w:highlight w:val="none"/>
              </w:rPr>
              <w:t>如：</w:t>
            </w:r>
            <w:r>
              <w:rPr>
                <w:rFonts w:hint="eastAsia" w:ascii="宋体" w:hAnsi="宋体" w:cs="宋体"/>
                <w:szCs w:val="21"/>
                <w:highlight w:val="none"/>
              </w:rPr>
              <w:t>专用收据、社会保险缴纳清单或者社保部门的证明）复印件；</w:t>
            </w:r>
            <w:r>
              <w:rPr>
                <w:rFonts w:hint="eastAsia"/>
                <w:highlight w:val="none"/>
              </w:rPr>
              <w:t>依法不需要缴纳社会保障资金的，必须提供相应文件证明不需要缴纳社会保障资金。</w:t>
            </w:r>
            <w:r>
              <w:rPr>
                <w:rFonts w:hint="eastAsia" w:ascii="宋体" w:hAnsi="宋体" w:cs="宋体"/>
                <w:szCs w:val="21"/>
                <w:highlight w:val="none"/>
              </w:rPr>
              <w:t>从</w:t>
            </w:r>
            <w:r>
              <w:rPr>
                <w:szCs w:val="21"/>
                <w:highlight w:val="none"/>
              </w:rPr>
              <w:t>成立</w:t>
            </w:r>
            <w:r>
              <w:rPr>
                <w:rFonts w:hint="eastAsia"/>
                <w:szCs w:val="21"/>
                <w:highlight w:val="none"/>
              </w:rPr>
              <w:t>之日起</w:t>
            </w:r>
            <w:r>
              <w:rPr>
                <w:rFonts w:hint="eastAsia" w:ascii="宋体" w:hAnsi="宋体" w:cs="宋体"/>
                <w:szCs w:val="21"/>
                <w:highlight w:val="none"/>
              </w:rPr>
              <w:t>到响应文件提交截止时间止不足要求月数的只需提供从</w:t>
            </w:r>
            <w:r>
              <w:rPr>
                <w:szCs w:val="21"/>
                <w:highlight w:val="none"/>
              </w:rPr>
              <w:t>成立</w:t>
            </w:r>
            <w:r>
              <w:rPr>
                <w:rFonts w:hint="eastAsia"/>
                <w:szCs w:val="21"/>
                <w:highlight w:val="none"/>
              </w:rPr>
              <w:t>之日起</w:t>
            </w:r>
            <w:r>
              <w:rPr>
                <w:rFonts w:hint="eastAsia" w:ascii="宋体" w:hAnsi="宋体" w:cs="宋体"/>
                <w:szCs w:val="21"/>
                <w:highlight w:val="none"/>
              </w:rPr>
              <w:t>的依法缴纳社会保障资金的</w:t>
            </w:r>
            <w:r>
              <w:rPr>
                <w:rFonts w:hint="eastAsia"/>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35BC5E28">
            <w:pPr>
              <w:spacing w:line="360" w:lineRule="auto"/>
              <w:contextualSpacing/>
              <w:jc w:val="left"/>
              <w:rPr>
                <w:rFonts w:ascii="宋体" w:hAnsi="宋体" w:cs="宋体"/>
                <w:b/>
                <w:szCs w:val="21"/>
                <w:highlight w:val="none"/>
              </w:rPr>
            </w:pPr>
            <w:r>
              <w:rPr>
                <w:rFonts w:hint="eastAsia" w:ascii="宋体" w:hAnsi="宋体" w:cs="宋体"/>
                <w:szCs w:val="21"/>
                <w:highlight w:val="none"/>
              </w:rPr>
              <w:t>4. 供应商</w:t>
            </w:r>
            <w:r>
              <w:rPr>
                <w:rFonts w:hint="eastAsia"/>
                <w:szCs w:val="21"/>
                <w:highlight w:val="none"/>
              </w:rPr>
              <w:t>财务状况报告</w:t>
            </w:r>
            <w:r>
              <w:rPr>
                <w:rFonts w:hint="eastAsia" w:ascii="宋体" w:hAnsi="宋体" w:cs="宋体"/>
                <w:szCs w:val="21"/>
                <w:highlight w:val="none"/>
              </w:rPr>
              <w:t>[</w:t>
            </w:r>
            <w:r>
              <w:rPr>
                <w:rFonts w:hint="eastAsia"/>
                <w:szCs w:val="21"/>
                <w:highlight w:val="none"/>
                <w:u w:val="single"/>
              </w:rPr>
              <w:t>2024</w:t>
            </w:r>
            <w:r>
              <w:rPr>
                <w:rFonts w:hint="eastAsia"/>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highlight w:val="none"/>
              </w:rPr>
              <w:t>成立时间</w:t>
            </w:r>
            <w:r>
              <w:rPr>
                <w:rFonts w:hint="eastAsia"/>
                <w:kern w:val="0"/>
                <w:highlight w:val="none"/>
              </w:rPr>
              <w:t>在规定年度之后</w:t>
            </w:r>
            <w:r>
              <w:rPr>
                <w:rFonts w:hint="eastAsia"/>
                <w:highlight w:val="none"/>
              </w:rPr>
              <w:t>的</w:t>
            </w:r>
            <w:r>
              <w:rPr>
                <w:rFonts w:hint="eastAsia"/>
                <w:szCs w:val="21"/>
                <w:highlight w:val="none"/>
              </w:rPr>
              <w:t>法人或其他组织</w:t>
            </w:r>
            <w:r>
              <w:rPr>
                <w:rFonts w:hint="eastAsia"/>
                <w:highlight w:val="none"/>
              </w:rPr>
              <w:t>，需提供成立之日起至响应文件提交截止时间前的月报表</w:t>
            </w:r>
            <w:r>
              <w:rPr>
                <w:rFonts w:hint="eastAsia"/>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szCs w:val="21"/>
                <w:highlight w:val="none"/>
              </w:rPr>
              <w:t>]；</w:t>
            </w:r>
            <w:r>
              <w:rPr>
                <w:rFonts w:hint="eastAsia" w:ascii="宋体" w:hAnsi="宋体" w:cs="宋体"/>
                <w:bCs/>
                <w:szCs w:val="21"/>
                <w:highlight w:val="none"/>
              </w:rPr>
              <w:t>（</w:t>
            </w:r>
            <w:r>
              <w:rPr>
                <w:rFonts w:hint="eastAsia" w:ascii="宋体" w:hAnsi="宋体"/>
                <w:b/>
                <w:szCs w:val="21"/>
                <w:highlight w:val="none"/>
              </w:rPr>
              <w:t>必须提供</w:t>
            </w:r>
            <w:r>
              <w:rPr>
                <w:rFonts w:hint="eastAsia" w:ascii="宋体" w:hAnsi="宋体" w:cs="宋体"/>
                <w:b/>
                <w:szCs w:val="21"/>
                <w:highlight w:val="none"/>
              </w:rPr>
              <w:t>，否则响应文件按无效响应处理</w:t>
            </w:r>
            <w:r>
              <w:rPr>
                <w:rFonts w:hint="eastAsia" w:ascii="宋体" w:hAnsi="宋体" w:cs="宋体"/>
                <w:bCs/>
                <w:szCs w:val="21"/>
                <w:highlight w:val="none"/>
              </w:rPr>
              <w:t>）</w:t>
            </w:r>
          </w:p>
          <w:p w14:paraId="2ABEB78E">
            <w:pPr>
              <w:snapToGrid w:val="0"/>
              <w:spacing w:line="360" w:lineRule="auto"/>
              <w:jc w:val="left"/>
              <w:rPr>
                <w:rFonts w:ascii="宋体" w:hAnsi="宋体" w:cs="宋体"/>
                <w:szCs w:val="21"/>
                <w:highlight w:val="none"/>
              </w:rPr>
            </w:pPr>
            <w:r>
              <w:rPr>
                <w:rFonts w:hint="eastAsia" w:ascii="宋体" w:hAnsi="宋体" w:cs="宋体"/>
                <w:szCs w:val="21"/>
                <w:highlight w:val="none"/>
              </w:rPr>
              <w:t>5.供应商直接控股信息表（格式后附）；（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F224B11">
            <w:pPr>
              <w:snapToGrid w:val="0"/>
              <w:spacing w:line="360" w:lineRule="auto"/>
              <w:jc w:val="left"/>
              <w:rPr>
                <w:rFonts w:ascii="宋体" w:hAnsi="宋体" w:cs="宋体"/>
                <w:szCs w:val="21"/>
                <w:highlight w:val="none"/>
              </w:rPr>
            </w:pPr>
            <w:r>
              <w:rPr>
                <w:rFonts w:hint="eastAsia" w:ascii="宋体" w:hAnsi="宋体" w:cs="宋体"/>
                <w:szCs w:val="21"/>
                <w:highlight w:val="none"/>
              </w:rPr>
              <w:t>6. 供应商直接管理关系信息表（格式后附）；（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6B33DD43">
            <w:pPr>
              <w:snapToGrid w:val="0"/>
              <w:spacing w:line="360" w:lineRule="auto"/>
              <w:jc w:val="left"/>
              <w:rPr>
                <w:rFonts w:ascii="宋体" w:hAnsi="宋体" w:cs="宋体"/>
                <w:szCs w:val="21"/>
                <w:highlight w:val="none"/>
              </w:rPr>
            </w:pPr>
            <w:r>
              <w:rPr>
                <w:rFonts w:hint="eastAsia" w:ascii="宋体" w:hAnsi="宋体" w:cs="宋体"/>
                <w:szCs w:val="21"/>
                <w:highlight w:val="none"/>
              </w:rPr>
              <w:t>7.竞标声明（格式后附）；（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3606B08F">
            <w:pPr>
              <w:snapToGrid w:val="0"/>
              <w:spacing w:line="360" w:lineRule="auto"/>
              <w:jc w:val="left"/>
              <w:rPr>
                <w:rFonts w:ascii="宋体" w:hAnsi="宋体" w:cs="宋体"/>
                <w:szCs w:val="21"/>
                <w:highlight w:val="none"/>
              </w:rPr>
            </w:pPr>
            <w:r>
              <w:rPr>
                <w:rFonts w:hint="eastAsia" w:ascii="宋体" w:hAnsi="宋体" w:cs="宋体"/>
                <w:szCs w:val="21"/>
                <w:highlight w:val="none"/>
              </w:rPr>
              <w:t>8.</w:t>
            </w:r>
            <w:r>
              <w:rPr>
                <w:rFonts w:hint="eastAsia" w:ascii="宋体" w:hAnsi="宋体"/>
                <w:color w:val="000000"/>
                <w:szCs w:val="21"/>
                <w:highlight w:val="none"/>
              </w:rPr>
              <w:t>供应商有效的《</w:t>
            </w:r>
            <w:r>
              <w:rPr>
                <w:rFonts w:hint="eastAsia" w:ascii="宋体" w:hAnsi="宋体"/>
                <w:bCs/>
                <w:color w:val="000000"/>
                <w:szCs w:val="21"/>
                <w:highlight w:val="none"/>
              </w:rPr>
              <w:t>中小企业声明函</w:t>
            </w:r>
            <w:r>
              <w:rPr>
                <w:rFonts w:hint="eastAsia" w:ascii="宋体" w:hAnsi="宋体"/>
                <w:color w:val="000000"/>
                <w:szCs w:val="21"/>
                <w:highlight w:val="none"/>
              </w:rPr>
              <w:t>》</w:t>
            </w:r>
            <w:r>
              <w:rPr>
                <w:rFonts w:hint="eastAsia"/>
                <w:color w:val="000000"/>
                <w:szCs w:val="22"/>
                <w:highlight w:val="none"/>
              </w:rPr>
              <w:t>或残疾人福利性单位声明函或监狱企业证明材料</w:t>
            </w:r>
            <w:r>
              <w:rPr>
                <w:rFonts w:hint="eastAsia" w:ascii="宋体" w:hAnsi="宋体" w:cs="宋体"/>
                <w:szCs w:val="21"/>
                <w:highlight w:val="none"/>
              </w:rPr>
              <w:t>（格式后附）（如有请提供）</w:t>
            </w:r>
          </w:p>
          <w:p w14:paraId="351D7747">
            <w:pPr>
              <w:snapToGrid w:val="0"/>
              <w:spacing w:line="360" w:lineRule="auto"/>
              <w:jc w:val="left"/>
              <w:rPr>
                <w:rFonts w:ascii="宋体" w:hAnsi="宋体" w:cs="宋体"/>
                <w:szCs w:val="21"/>
                <w:highlight w:val="none"/>
              </w:rPr>
            </w:pPr>
            <w:r>
              <w:rPr>
                <w:rFonts w:hint="eastAsia" w:ascii="宋体" w:hAnsi="宋体" w:cs="宋体"/>
                <w:szCs w:val="21"/>
                <w:highlight w:val="none"/>
              </w:rPr>
              <w:t>9.除磋商文件规定必须提供以外，供应商认为需要提供的其他证明材料；</w:t>
            </w:r>
          </w:p>
          <w:p w14:paraId="2C634922">
            <w:pPr>
              <w:snapToGrid w:val="0"/>
              <w:spacing w:line="360" w:lineRule="auto"/>
              <w:jc w:val="left"/>
              <w:rPr>
                <w:rFonts w:ascii="宋体" w:hAnsi="宋体" w:cs="宋体"/>
                <w:b/>
                <w:szCs w:val="21"/>
                <w:highlight w:val="none"/>
              </w:rPr>
            </w:pPr>
            <w:r>
              <w:rPr>
                <w:rFonts w:hint="eastAsia" w:ascii="宋体" w:hAnsi="宋体" w:cs="宋体"/>
                <w:b/>
                <w:szCs w:val="21"/>
                <w:highlight w:val="none"/>
              </w:rPr>
              <w:t>注：</w:t>
            </w:r>
          </w:p>
          <w:p w14:paraId="01F81679">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1.以上标明“必须提供”的材料属于复印件的，必须加盖供应商</w:t>
            </w:r>
            <w:r>
              <w:rPr>
                <w:rFonts w:hint="eastAsia"/>
                <w:b/>
                <w:highlight w:val="none"/>
              </w:rPr>
              <w:t>电子签章</w:t>
            </w:r>
            <w:r>
              <w:rPr>
                <w:rFonts w:hint="eastAsia" w:ascii="宋体" w:hAnsi="宋体" w:cs="宋体"/>
                <w:b/>
                <w:szCs w:val="21"/>
                <w:highlight w:val="none"/>
              </w:rPr>
              <w:t>，否则响应文件按无效处理。</w:t>
            </w:r>
          </w:p>
          <w:p w14:paraId="02FFA130">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2.分公司竞标的，须提供总公司授权书，否则响应文件按无效处理。</w:t>
            </w:r>
          </w:p>
        </w:tc>
      </w:tr>
      <w:tr w14:paraId="6B733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CC1DF7">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7912" w:type="dxa"/>
            <w:vAlign w:val="center"/>
          </w:tcPr>
          <w:p w14:paraId="56C00FCB">
            <w:pPr>
              <w:spacing w:line="360" w:lineRule="auto"/>
              <w:rPr>
                <w:rFonts w:ascii="宋体" w:hAnsi="宋体" w:cs="宋体"/>
                <w:szCs w:val="21"/>
                <w:highlight w:val="none"/>
              </w:rPr>
            </w:pPr>
            <w:r>
              <w:rPr>
                <w:rFonts w:hint="eastAsia" w:ascii="宋体" w:hAnsi="宋体" w:cs="宋体"/>
                <w:szCs w:val="21"/>
                <w:highlight w:val="none"/>
              </w:rPr>
              <w:t>报价文件</w:t>
            </w:r>
          </w:p>
          <w:p w14:paraId="04BCD415">
            <w:pPr>
              <w:spacing w:line="360" w:lineRule="auto"/>
              <w:rPr>
                <w:rFonts w:ascii="宋体" w:hAnsi="宋体" w:cs="宋体"/>
                <w:szCs w:val="21"/>
                <w:highlight w:val="none"/>
              </w:rPr>
            </w:pPr>
            <w:r>
              <w:rPr>
                <w:rFonts w:hint="eastAsia" w:ascii="宋体" w:hAnsi="宋体" w:cs="宋体"/>
                <w:szCs w:val="21"/>
                <w:highlight w:val="none"/>
              </w:rPr>
              <w:t>1.竞标报价表（格式后附）；（</w:t>
            </w:r>
            <w:r>
              <w:rPr>
                <w:rFonts w:hint="eastAsia" w:ascii="宋体" w:hAnsi="宋体" w:cs="宋体"/>
                <w:b/>
                <w:szCs w:val="21"/>
                <w:highlight w:val="none"/>
              </w:rPr>
              <w:t>必须提供，否则响应文件按无效处理</w:t>
            </w:r>
            <w:r>
              <w:rPr>
                <w:rFonts w:hint="eastAsia" w:ascii="宋体" w:hAnsi="宋体" w:cs="宋体"/>
                <w:szCs w:val="21"/>
                <w:highlight w:val="none"/>
              </w:rPr>
              <w:t>）</w:t>
            </w:r>
          </w:p>
          <w:p w14:paraId="3D2F3239">
            <w:pPr>
              <w:spacing w:line="360" w:lineRule="auto"/>
              <w:rPr>
                <w:rFonts w:ascii="宋体" w:hAnsi="宋体" w:cs="宋体"/>
                <w:szCs w:val="21"/>
                <w:highlight w:val="none"/>
              </w:rPr>
            </w:pPr>
            <w:r>
              <w:rPr>
                <w:rFonts w:hint="eastAsia" w:ascii="宋体" w:hAnsi="宋体" w:cs="宋体"/>
                <w:szCs w:val="21"/>
                <w:highlight w:val="none"/>
              </w:rPr>
              <w:t>2.供应商认为需要提供的其他有关资料。</w:t>
            </w:r>
          </w:p>
        </w:tc>
      </w:tr>
      <w:tr w14:paraId="1B1FF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921F5B">
            <w:pPr>
              <w:spacing w:line="360" w:lineRule="auto"/>
              <w:jc w:val="center"/>
              <w:rPr>
                <w:rFonts w:ascii="宋体" w:hAnsi="宋体" w:cs="宋体"/>
                <w:szCs w:val="21"/>
                <w:highlight w:val="none"/>
              </w:rPr>
            </w:pPr>
            <w:r>
              <w:rPr>
                <w:rFonts w:hint="eastAsia" w:ascii="宋体" w:hAnsi="宋体" w:cs="宋体"/>
                <w:szCs w:val="21"/>
                <w:highlight w:val="none"/>
              </w:rPr>
              <w:t>12.</w:t>
            </w:r>
            <w:r>
              <w:rPr>
                <w:rFonts w:ascii="宋体" w:hAnsi="宋体" w:cs="宋体"/>
                <w:szCs w:val="21"/>
                <w:highlight w:val="none"/>
              </w:rPr>
              <w:t>1</w:t>
            </w:r>
            <w:r>
              <w:rPr>
                <w:rFonts w:hint="eastAsia" w:ascii="宋体" w:hAnsi="宋体" w:cs="宋体"/>
                <w:szCs w:val="21"/>
                <w:highlight w:val="none"/>
              </w:rPr>
              <w:t>.3</w:t>
            </w:r>
          </w:p>
        </w:tc>
        <w:tc>
          <w:tcPr>
            <w:tcW w:w="7912" w:type="dxa"/>
            <w:vAlign w:val="center"/>
          </w:tcPr>
          <w:p w14:paraId="79DF3C78">
            <w:pPr>
              <w:spacing w:line="360" w:lineRule="auto"/>
              <w:rPr>
                <w:rFonts w:ascii="宋体" w:hAnsi="宋体" w:cs="宋体"/>
                <w:b/>
                <w:bCs/>
                <w:szCs w:val="21"/>
                <w:highlight w:val="none"/>
              </w:rPr>
            </w:pPr>
            <w:r>
              <w:rPr>
                <w:rFonts w:hint="eastAsia" w:ascii="宋体" w:hAnsi="宋体" w:cs="宋体"/>
                <w:b/>
                <w:bCs/>
                <w:szCs w:val="21"/>
                <w:highlight w:val="none"/>
              </w:rPr>
              <w:t>商务技术文件</w:t>
            </w:r>
          </w:p>
          <w:p w14:paraId="20DED3BF">
            <w:pPr>
              <w:spacing w:line="360" w:lineRule="auto"/>
              <w:rPr>
                <w:rFonts w:ascii="宋体" w:hAnsi="宋体" w:cs="宋体"/>
                <w:szCs w:val="21"/>
                <w:highlight w:val="none"/>
              </w:rPr>
            </w:pPr>
            <w:r>
              <w:rPr>
                <w:rFonts w:hint="eastAsia" w:ascii="宋体" w:hAnsi="宋体" w:cs="宋体"/>
                <w:szCs w:val="21"/>
                <w:highlight w:val="none"/>
              </w:rPr>
              <w:t>1.无串通竞标行为的承诺函（格式后附）；（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C0765E1">
            <w:pPr>
              <w:snapToGrid w:val="0"/>
              <w:spacing w:line="360" w:lineRule="auto"/>
              <w:jc w:val="left"/>
              <w:rPr>
                <w:rFonts w:ascii="宋体" w:hAnsi="宋体" w:cs="宋体"/>
                <w:szCs w:val="21"/>
                <w:highlight w:val="none"/>
              </w:rPr>
            </w:pPr>
            <w:r>
              <w:rPr>
                <w:rFonts w:hint="eastAsia" w:ascii="宋体" w:hAnsi="宋体" w:cs="宋体"/>
                <w:szCs w:val="21"/>
                <w:highlight w:val="none"/>
              </w:rPr>
              <w:t>2.法定代表人身份证明书及法定代表人有效身份证正反面复印件（格式后附）；（</w:t>
            </w:r>
            <w:r>
              <w:rPr>
                <w:rFonts w:hint="eastAsia" w:ascii="宋体" w:hAnsi="宋体" w:cs="宋体"/>
                <w:b/>
                <w:bCs/>
                <w:szCs w:val="21"/>
                <w:highlight w:val="none"/>
              </w:rPr>
              <w:t>除自然人竞标外</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76D97602">
            <w:pPr>
              <w:spacing w:line="360" w:lineRule="auto"/>
              <w:rPr>
                <w:rFonts w:ascii="宋体" w:hAnsi="宋体" w:cs="宋体"/>
                <w:b/>
                <w:szCs w:val="21"/>
                <w:highlight w:val="none"/>
              </w:rPr>
            </w:pPr>
            <w:r>
              <w:rPr>
                <w:rFonts w:hint="eastAsia" w:ascii="宋体" w:hAnsi="宋体" w:cs="宋体"/>
                <w:szCs w:val="21"/>
                <w:highlight w:val="none"/>
              </w:rPr>
              <w:t>3.授权委托书及委托代理人有效身份证正反面复印件（格式后附）；（</w:t>
            </w:r>
            <w:r>
              <w:rPr>
                <w:rFonts w:hint="eastAsia" w:ascii="宋体" w:hAnsi="宋体" w:cs="宋体"/>
                <w:b/>
                <w:szCs w:val="21"/>
                <w:highlight w:val="none"/>
              </w:rPr>
              <w:t>委托时必须提供，否则响应文件按无效响应处理</w:t>
            </w:r>
            <w:r>
              <w:rPr>
                <w:rFonts w:hint="eastAsia" w:ascii="宋体" w:hAnsi="宋体" w:cs="宋体"/>
                <w:szCs w:val="21"/>
                <w:highlight w:val="none"/>
              </w:rPr>
              <w:t>）</w:t>
            </w:r>
          </w:p>
          <w:p w14:paraId="54B413A1">
            <w:pPr>
              <w:spacing w:line="360" w:lineRule="auto"/>
              <w:rPr>
                <w:rFonts w:ascii="宋体" w:hAnsi="宋体" w:cs="宋体"/>
                <w:szCs w:val="21"/>
                <w:highlight w:val="none"/>
              </w:rPr>
            </w:pPr>
            <w:r>
              <w:rPr>
                <w:rFonts w:hint="eastAsia" w:ascii="宋体" w:hAnsi="宋体" w:cs="宋体"/>
                <w:szCs w:val="21"/>
                <w:highlight w:val="none"/>
              </w:rPr>
              <w:t>4.</w:t>
            </w:r>
            <w:r>
              <w:rPr>
                <w:rFonts w:hint="eastAsia" w:ascii="宋体" w:hAnsi="宋体" w:cs="宋体"/>
                <w:color w:val="000000"/>
                <w:szCs w:val="21"/>
                <w:highlight w:val="none"/>
              </w:rPr>
              <w:t>磋商保证金提交凭证；（</w:t>
            </w:r>
            <w:r>
              <w:rPr>
                <w:rFonts w:hint="eastAsia"/>
                <w:b/>
                <w:bCs/>
                <w:color w:val="000000"/>
                <w:highlight w:val="none"/>
              </w:rPr>
              <w:t>必须提供</w:t>
            </w:r>
            <w:r>
              <w:rPr>
                <w:rFonts w:hint="eastAsia" w:ascii="宋体" w:hAnsi="宋体" w:cs="宋体"/>
                <w:b/>
                <w:color w:val="000000"/>
                <w:szCs w:val="21"/>
                <w:highlight w:val="none"/>
              </w:rPr>
              <w:t>，否则响应文件按无效处理</w:t>
            </w:r>
            <w:r>
              <w:rPr>
                <w:rFonts w:hint="eastAsia" w:ascii="宋体" w:hAnsi="宋体" w:cs="宋体"/>
                <w:color w:val="000000"/>
                <w:szCs w:val="21"/>
                <w:highlight w:val="none"/>
              </w:rPr>
              <w:t>）</w:t>
            </w:r>
          </w:p>
          <w:p w14:paraId="50BAA8A9">
            <w:pPr>
              <w:spacing w:line="360" w:lineRule="auto"/>
              <w:rPr>
                <w:rFonts w:ascii="宋体" w:hAnsi="宋体" w:cs="宋体"/>
                <w:szCs w:val="21"/>
                <w:highlight w:val="none"/>
              </w:rPr>
            </w:pPr>
            <w:r>
              <w:rPr>
                <w:rFonts w:hint="eastAsia" w:ascii="宋体" w:hAnsi="宋体" w:cs="宋体"/>
                <w:szCs w:val="21"/>
                <w:highlight w:val="none"/>
              </w:rPr>
              <w:t>5.商务要求偏离表（格式后附）；（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64B7D882">
            <w:pPr>
              <w:spacing w:line="360" w:lineRule="auto"/>
              <w:rPr>
                <w:rFonts w:ascii="宋体" w:hAnsi="宋体" w:cs="宋体"/>
                <w:szCs w:val="21"/>
                <w:highlight w:val="none"/>
              </w:rPr>
            </w:pPr>
            <w:r>
              <w:rPr>
                <w:rFonts w:hint="eastAsia" w:ascii="宋体" w:hAnsi="宋体" w:cs="宋体"/>
                <w:szCs w:val="21"/>
                <w:highlight w:val="none"/>
              </w:rPr>
              <w:t>6.项目服务方案（包含但不限于技术方案</w:t>
            </w:r>
            <w:r>
              <w:rPr>
                <w:rFonts w:hint="eastAsia" w:ascii="宋体" w:hAnsi="宋体"/>
                <w:bCs/>
                <w:szCs w:val="21"/>
                <w:highlight w:val="none"/>
              </w:rPr>
              <w:t>、实施管理方案、售后服务方案等</w:t>
            </w:r>
            <w:r>
              <w:rPr>
                <w:rFonts w:hint="eastAsia" w:ascii="宋体" w:hAnsi="宋体" w:cs="宋体"/>
                <w:szCs w:val="21"/>
                <w:highlight w:val="none"/>
              </w:rPr>
              <w:t>）（格式自拟）；</w:t>
            </w:r>
            <w:r>
              <w:rPr>
                <w:rFonts w:hint="eastAsia" w:ascii="宋体" w:hAnsi="宋体" w:cs="宋体"/>
                <w:iCs/>
                <w:szCs w:val="21"/>
                <w:highlight w:val="none"/>
              </w:rPr>
              <w:t>（</w:t>
            </w:r>
            <w:r>
              <w:rPr>
                <w:rFonts w:hint="eastAsia" w:ascii="宋体" w:hAnsi="宋体" w:cs="宋体"/>
                <w:b/>
                <w:iCs/>
                <w:szCs w:val="21"/>
                <w:highlight w:val="none"/>
              </w:rPr>
              <w:t>必须提供，否则响应文件按无效响应处理</w:t>
            </w:r>
            <w:r>
              <w:rPr>
                <w:rFonts w:hint="eastAsia" w:ascii="宋体" w:hAnsi="宋体" w:cs="宋体"/>
                <w:iCs/>
                <w:szCs w:val="21"/>
                <w:highlight w:val="none"/>
              </w:rPr>
              <w:t>）</w:t>
            </w:r>
          </w:p>
          <w:p w14:paraId="2E42DBA4">
            <w:pPr>
              <w:spacing w:line="360" w:lineRule="auto"/>
              <w:rPr>
                <w:rFonts w:ascii="宋体" w:hAnsi="宋体" w:cs="宋体"/>
                <w:szCs w:val="21"/>
                <w:highlight w:val="none"/>
              </w:rPr>
            </w:pPr>
            <w:r>
              <w:rPr>
                <w:rFonts w:hint="eastAsia" w:ascii="宋体" w:hAnsi="宋体" w:cs="宋体"/>
                <w:szCs w:val="21"/>
                <w:highlight w:val="none"/>
              </w:rPr>
              <w:t>7.技术要求偏离表（格式后附）；（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22F5AA8F">
            <w:pPr>
              <w:spacing w:line="360" w:lineRule="auto"/>
              <w:rPr>
                <w:rFonts w:ascii="宋体" w:hAnsi="宋体" w:cs="宋体"/>
                <w:szCs w:val="21"/>
                <w:highlight w:val="none"/>
              </w:rPr>
            </w:pPr>
            <w:r>
              <w:rPr>
                <w:rFonts w:hint="eastAsia" w:ascii="宋体" w:hAnsi="宋体" w:cs="宋体"/>
                <w:szCs w:val="21"/>
                <w:highlight w:val="none"/>
              </w:rPr>
              <w:t xml:space="preserve">8.项目实施人员一览表（格式自拟）； </w:t>
            </w:r>
          </w:p>
          <w:p w14:paraId="43D76688">
            <w:pPr>
              <w:spacing w:line="360" w:lineRule="auto"/>
              <w:rPr>
                <w:rFonts w:ascii="宋体" w:hAnsi="宋体" w:cs="宋体"/>
                <w:bCs/>
                <w:szCs w:val="21"/>
                <w:highlight w:val="none"/>
              </w:rPr>
            </w:pPr>
            <w:r>
              <w:rPr>
                <w:rFonts w:hint="eastAsia" w:ascii="宋体" w:hAnsi="宋体" w:cs="宋体"/>
                <w:bCs/>
                <w:szCs w:val="21"/>
                <w:highlight w:val="none"/>
              </w:rPr>
              <w:t>9.代理服务费承诺书</w:t>
            </w:r>
            <w:r>
              <w:rPr>
                <w:rFonts w:hint="eastAsia" w:ascii="宋体" w:hAnsi="宋体" w:cs="宋体"/>
                <w:szCs w:val="21"/>
                <w:highlight w:val="none"/>
              </w:rPr>
              <w:t>（格式后附）；</w:t>
            </w:r>
          </w:p>
          <w:p w14:paraId="0589FB99">
            <w:pPr>
              <w:spacing w:line="360" w:lineRule="auto"/>
              <w:rPr>
                <w:rFonts w:ascii="宋体" w:hAnsi="宋体" w:cs="宋体"/>
                <w:szCs w:val="21"/>
                <w:highlight w:val="none"/>
              </w:rPr>
            </w:pPr>
            <w:r>
              <w:rPr>
                <w:rFonts w:hint="eastAsia" w:ascii="宋体" w:hAnsi="宋体" w:cs="宋体"/>
                <w:szCs w:val="21"/>
                <w:highlight w:val="none"/>
              </w:rPr>
              <w:t>10.对应采购需求的技术要求、商务要求提供的其他文件资料（格式自拟）；</w:t>
            </w:r>
          </w:p>
          <w:p w14:paraId="604726AC">
            <w:pPr>
              <w:spacing w:line="360" w:lineRule="auto"/>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1.供应商认为需要提供的其他有关资料。</w:t>
            </w:r>
          </w:p>
          <w:p w14:paraId="0A87F7E3">
            <w:pPr>
              <w:snapToGrid w:val="0"/>
              <w:spacing w:line="360" w:lineRule="auto"/>
              <w:jc w:val="left"/>
              <w:rPr>
                <w:rFonts w:ascii="宋体" w:hAnsi="宋体" w:cs="宋体"/>
                <w:b/>
                <w:szCs w:val="21"/>
                <w:highlight w:val="none"/>
              </w:rPr>
            </w:pPr>
            <w:r>
              <w:rPr>
                <w:rFonts w:hint="eastAsia" w:ascii="宋体" w:hAnsi="宋体" w:cs="宋体"/>
                <w:b/>
                <w:szCs w:val="21"/>
                <w:highlight w:val="none"/>
              </w:rPr>
              <w:t>注：以上标明“必须提供”的材料属于复印件的，必须加盖供应商</w:t>
            </w:r>
            <w:r>
              <w:rPr>
                <w:rFonts w:hint="eastAsia" w:ascii="宋体" w:hAnsi="宋体"/>
                <w:b/>
                <w:bCs/>
                <w:szCs w:val="21"/>
                <w:highlight w:val="none"/>
              </w:rPr>
              <w:t>电子签章</w:t>
            </w:r>
            <w:r>
              <w:rPr>
                <w:rFonts w:hint="eastAsia" w:ascii="宋体" w:hAnsi="宋体" w:cs="宋体"/>
                <w:b/>
                <w:szCs w:val="21"/>
                <w:highlight w:val="none"/>
              </w:rPr>
              <w:t>，否则响应文件按无效响应处理。</w:t>
            </w:r>
          </w:p>
        </w:tc>
      </w:tr>
      <w:tr w14:paraId="13C19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1D9C20">
            <w:pPr>
              <w:spacing w:line="360" w:lineRule="auto"/>
              <w:jc w:val="center"/>
              <w:rPr>
                <w:rFonts w:ascii="宋体" w:hAnsi="宋体" w:cs="宋体"/>
                <w:szCs w:val="21"/>
                <w:highlight w:val="none"/>
              </w:rPr>
            </w:pPr>
            <w:r>
              <w:rPr>
                <w:rFonts w:hint="eastAsia" w:ascii="宋体" w:hAnsi="宋体" w:cs="宋体"/>
                <w:szCs w:val="21"/>
                <w:highlight w:val="none"/>
              </w:rPr>
              <w:t>15.2</w:t>
            </w:r>
          </w:p>
        </w:tc>
        <w:tc>
          <w:tcPr>
            <w:tcW w:w="7912" w:type="dxa"/>
            <w:vAlign w:val="center"/>
          </w:tcPr>
          <w:p w14:paraId="64793D89">
            <w:pPr>
              <w:spacing w:line="360" w:lineRule="auto"/>
              <w:contextualSpacing/>
              <w:jc w:val="left"/>
              <w:rPr>
                <w:rFonts w:ascii="宋体" w:hAnsi="宋体"/>
                <w:b/>
                <w:szCs w:val="21"/>
                <w:highlight w:val="none"/>
              </w:rPr>
            </w:pPr>
            <w:r>
              <w:rPr>
                <w:rFonts w:hint="eastAsia" w:ascii="宋体" w:hAnsi="宋体"/>
                <w:color w:val="000000"/>
                <w:szCs w:val="21"/>
                <w:highlight w:val="none"/>
              </w:rPr>
              <w:t>竞标报价为全包价，包括技术服务、系统升级产品及系统软件、设备价款，技术服务中的评估费、差旅费、餐费、编制费、印刷费等，系统软件和升级产品的安装、测试、培训和技术支持，货物的价格、货物的标准附件、备品备件、专用工具的价格、运输、装卸、安装、调试、培训、技术支持、售后服务等费用、必要的保险费用和各项税费、包含安装费用。即在合同实施时采购人认为项目的全部费用已包括在报价中，采购人不再支付报价以外的其他费用。</w:t>
            </w:r>
          </w:p>
        </w:tc>
      </w:tr>
      <w:tr w14:paraId="21BAF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F6EDA7">
            <w:pPr>
              <w:spacing w:line="360" w:lineRule="auto"/>
              <w:jc w:val="center"/>
              <w:rPr>
                <w:rFonts w:ascii="宋体" w:hAnsi="宋体" w:cs="宋体"/>
                <w:szCs w:val="21"/>
                <w:highlight w:val="none"/>
              </w:rPr>
            </w:pPr>
            <w:r>
              <w:rPr>
                <w:rFonts w:hint="eastAsia" w:ascii="宋体" w:hAnsi="宋体" w:cs="宋体"/>
                <w:szCs w:val="21"/>
                <w:highlight w:val="none"/>
              </w:rPr>
              <w:t>16.</w:t>
            </w:r>
            <w:r>
              <w:rPr>
                <w:rFonts w:ascii="宋体" w:hAnsi="宋体" w:cs="宋体"/>
                <w:szCs w:val="21"/>
                <w:highlight w:val="none"/>
              </w:rPr>
              <w:t>2</w:t>
            </w:r>
          </w:p>
        </w:tc>
        <w:tc>
          <w:tcPr>
            <w:tcW w:w="7912" w:type="dxa"/>
            <w:vAlign w:val="center"/>
          </w:tcPr>
          <w:p w14:paraId="42BFE5CB">
            <w:pPr>
              <w:pStyle w:val="7"/>
              <w:widowControl w:val="0"/>
              <w:tabs>
                <w:tab w:val="clear" w:pos="454"/>
              </w:tabs>
              <w:snapToGrid w:val="0"/>
              <w:spacing w:afterLines="0" w:line="360" w:lineRule="auto"/>
              <w:ind w:left="283" w:hanging="283" w:hangingChars="135"/>
              <w:rPr>
                <w:rFonts w:ascii="宋体" w:hAnsi="宋体" w:cs="宋体"/>
                <w:kern w:val="2"/>
                <w:sz w:val="21"/>
                <w:szCs w:val="21"/>
                <w:highlight w:val="none"/>
              </w:rPr>
            </w:pPr>
            <w:r>
              <w:rPr>
                <w:rFonts w:hint="eastAsia" w:ascii="宋体" w:hAnsi="宋体" w:cs="宋体"/>
                <w:kern w:val="2"/>
                <w:sz w:val="21"/>
                <w:szCs w:val="21"/>
                <w:highlight w:val="none"/>
              </w:rPr>
              <w:t>竞标有效期：自首次响应文件提交截止之日起</w:t>
            </w:r>
            <w:r>
              <w:rPr>
                <w:rFonts w:hint="eastAsia" w:ascii="宋体" w:hAnsi="宋体" w:cs="宋体"/>
                <w:kern w:val="2"/>
                <w:sz w:val="21"/>
                <w:szCs w:val="21"/>
                <w:highlight w:val="none"/>
                <w:u w:val="single"/>
              </w:rPr>
              <w:t>60</w:t>
            </w:r>
            <w:r>
              <w:rPr>
                <w:rFonts w:hint="eastAsia" w:ascii="宋体" w:hAnsi="宋体" w:cs="宋体"/>
                <w:kern w:val="2"/>
                <w:sz w:val="21"/>
                <w:szCs w:val="21"/>
                <w:highlight w:val="none"/>
              </w:rPr>
              <w:t>日。</w:t>
            </w:r>
          </w:p>
        </w:tc>
      </w:tr>
      <w:tr w14:paraId="2BBD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FADAD6">
            <w:pPr>
              <w:spacing w:line="360" w:lineRule="auto"/>
              <w:jc w:val="center"/>
              <w:rPr>
                <w:rFonts w:ascii="宋体" w:hAnsi="宋体" w:cs="宋体"/>
                <w:szCs w:val="21"/>
                <w:highlight w:val="none"/>
              </w:rPr>
            </w:pPr>
            <w:r>
              <w:rPr>
                <w:rFonts w:hint="eastAsia" w:ascii="宋体" w:hAnsi="宋体" w:cs="宋体"/>
                <w:szCs w:val="21"/>
                <w:highlight w:val="none"/>
              </w:rPr>
              <w:t>17.1</w:t>
            </w:r>
          </w:p>
        </w:tc>
        <w:tc>
          <w:tcPr>
            <w:tcW w:w="7912" w:type="dxa"/>
            <w:vAlign w:val="center"/>
          </w:tcPr>
          <w:p w14:paraId="617FD893">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□本项目不收取磋商保证金。</w:t>
            </w:r>
          </w:p>
          <w:p w14:paraId="14B28E7C">
            <w:pPr>
              <w:snapToGrid w:val="0"/>
              <w:spacing w:line="360" w:lineRule="auto"/>
              <w:rPr>
                <w:rFonts w:ascii="宋体" w:hAnsi="宋体"/>
                <w:szCs w:val="21"/>
                <w:highlight w:val="none"/>
              </w:rPr>
            </w:pPr>
            <w:r>
              <w:rPr>
                <w:rFonts w:hint="eastAsia" w:ascii="宋体" w:hAnsi="宋体"/>
                <w:szCs w:val="21"/>
                <w:highlight w:val="none"/>
              </w:rPr>
              <w:t>☑本项目收取磋商保证金，具体规定如下：</w:t>
            </w:r>
            <w:r>
              <w:rPr>
                <w:rFonts w:hint="eastAsia" w:ascii="宋体" w:hAnsi="宋体" w:cs="宋体"/>
                <w:kern w:val="0"/>
                <w:szCs w:val="21"/>
                <w:highlight w:val="none"/>
              </w:rPr>
              <w:t>磋商保证金</w:t>
            </w:r>
            <w:r>
              <w:rPr>
                <w:rFonts w:hint="eastAsia" w:ascii="宋体" w:hAnsi="宋体" w:cs="宋体"/>
                <w:color w:val="000000"/>
                <w:kern w:val="0"/>
                <w:szCs w:val="21"/>
                <w:highlight w:val="none"/>
              </w:rPr>
              <w:t>人民币</w:t>
            </w:r>
            <w:r>
              <w:rPr>
                <w:rFonts w:hint="eastAsia" w:ascii="宋体" w:hAnsi="宋体" w:cs="宋体"/>
                <w:color w:val="000000"/>
                <w:kern w:val="0"/>
                <w:szCs w:val="21"/>
                <w:highlight w:val="none"/>
                <w:u w:val="single"/>
              </w:rPr>
              <w:t>捌仟元整（</w:t>
            </w:r>
            <w:r>
              <w:rPr>
                <w:rFonts w:hint="eastAsia" w:ascii="Arial Unicode MS" w:hAnsi="Arial Unicode MS" w:eastAsia="Arial Unicode MS" w:cs="Arial Unicode MS"/>
                <w:color w:val="000000"/>
                <w:szCs w:val="21"/>
                <w:highlight w:val="none"/>
              </w:rPr>
              <w:t>￥</w:t>
            </w:r>
            <w:r>
              <w:rPr>
                <w:rFonts w:hint="eastAsia" w:ascii="宋体" w:hAnsi="宋体" w:eastAsia="Arial Unicode MS" w:cs="宋体"/>
                <w:color w:val="000000"/>
                <w:kern w:val="0"/>
                <w:szCs w:val="21"/>
                <w:highlight w:val="none"/>
                <w:u w:val="single"/>
              </w:rPr>
              <w:t>8</w:t>
            </w:r>
            <w:r>
              <w:rPr>
                <w:rFonts w:hint="eastAsia" w:ascii="宋体" w:hAnsi="宋体" w:cs="宋体"/>
                <w:color w:val="000000"/>
                <w:kern w:val="0"/>
                <w:szCs w:val="21"/>
                <w:highlight w:val="none"/>
                <w:u w:val="single"/>
              </w:rPr>
              <w:t xml:space="preserve">000.00） </w:t>
            </w:r>
            <w:r>
              <w:rPr>
                <w:rFonts w:hint="eastAsia" w:ascii="宋体" w:hAnsi="宋体" w:cs="宋体"/>
                <w:kern w:val="0"/>
                <w:szCs w:val="21"/>
                <w:highlight w:val="none"/>
              </w:rPr>
              <w:t>。</w:t>
            </w:r>
          </w:p>
          <w:p w14:paraId="34390F43">
            <w:pPr>
              <w:snapToGrid w:val="0"/>
              <w:spacing w:line="360" w:lineRule="auto"/>
              <w:rPr>
                <w:rFonts w:ascii="宋体" w:hAnsi="宋体" w:cs="宋体"/>
                <w:kern w:val="0"/>
                <w:szCs w:val="21"/>
                <w:highlight w:val="none"/>
              </w:rPr>
            </w:pPr>
            <w:r>
              <w:rPr>
                <w:rFonts w:hint="eastAsia" w:ascii="宋体" w:hAnsi="宋体" w:cs="宋体"/>
                <w:kern w:val="0"/>
                <w:szCs w:val="21"/>
                <w:highlight w:val="none"/>
              </w:rPr>
              <w:t>磋商保证金的交纳方式：银行转账、支票、汇票、本票或者银行、保险机构出具的保函</w:t>
            </w:r>
            <w:r>
              <w:rPr>
                <w:rFonts w:hint="eastAsia"/>
                <w:highlight w:val="none"/>
              </w:rPr>
              <w:t>（包含电子保函）</w:t>
            </w:r>
            <w:r>
              <w:rPr>
                <w:rFonts w:hint="eastAsia" w:ascii="宋体" w:hAnsi="宋体" w:cs="宋体"/>
                <w:kern w:val="0"/>
                <w:szCs w:val="21"/>
                <w:highlight w:val="none"/>
              </w:rPr>
              <w:t>，禁止采用现钞方式。采用银行转账方式的，在响应文件提交截止时间前交至指定账户并且到账（</w:t>
            </w:r>
            <w:r>
              <w:rPr>
                <w:rFonts w:hint="eastAsia" w:ascii="宋体" w:hAnsi="宋体"/>
                <w:color w:val="000000"/>
                <w:kern w:val="0"/>
                <w:szCs w:val="21"/>
                <w:highlight w:val="none"/>
                <w:u w:val="single"/>
              </w:rPr>
              <w:t>开户名：云之龙咨询集团有限公司钦州分公司；开户银行：中信银行南宁东葛支行；银行账号：8113 0010 1460 0074 523</w:t>
            </w:r>
            <w:r>
              <w:rPr>
                <w:rFonts w:hint="eastAsia" w:ascii="宋体" w:hAnsi="宋体" w:cs="宋体"/>
                <w:kern w:val="0"/>
                <w:szCs w:val="21"/>
                <w:highlight w:val="none"/>
              </w:rPr>
              <w:t>）；采用支票、汇票、本票或者保函等方式的，在响应文件提交截止时间前，供应商必须提交单独密封的支票、汇票、本票或者保函原件。否则视为无效磋商保证金。</w:t>
            </w:r>
          </w:p>
          <w:p w14:paraId="75CB9279">
            <w:pPr>
              <w:snapToGrid w:val="0"/>
              <w:spacing w:line="360" w:lineRule="auto"/>
              <w:rPr>
                <w:rFonts w:ascii="宋体" w:hAnsi="宋体" w:cs="宋体"/>
                <w:szCs w:val="21"/>
                <w:highlight w:val="none"/>
              </w:rPr>
            </w:pPr>
            <w:r>
              <w:rPr>
                <w:rFonts w:hint="eastAsia" w:ascii="宋体" w:hAnsi="宋体" w:cs="宋体"/>
                <w:szCs w:val="21"/>
                <w:highlight w:val="none"/>
              </w:rPr>
              <w:t>相关要求：</w:t>
            </w:r>
          </w:p>
          <w:p w14:paraId="1CB56030">
            <w:pPr>
              <w:snapToGrid w:val="0"/>
              <w:spacing w:line="360" w:lineRule="auto"/>
              <w:rPr>
                <w:rFonts w:ascii="宋体" w:hAnsi="宋体" w:cs="宋体"/>
                <w:szCs w:val="21"/>
                <w:highlight w:val="none"/>
              </w:rPr>
            </w:pPr>
            <w:r>
              <w:rPr>
                <w:rFonts w:hint="eastAsia" w:ascii="宋体" w:hAnsi="宋体" w:cs="宋体"/>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szCs w:val="21"/>
                <w:highlight w:val="none"/>
              </w:rPr>
              <w:t>否则响应文件按无效响应处理</w:t>
            </w:r>
            <w:r>
              <w:rPr>
                <w:rFonts w:hint="eastAsia" w:ascii="宋体" w:hAnsi="宋体" w:cs="宋体"/>
                <w:szCs w:val="21"/>
                <w:highlight w:val="none"/>
              </w:rPr>
              <w:t>。</w:t>
            </w:r>
          </w:p>
          <w:p w14:paraId="460B8785">
            <w:pPr>
              <w:snapToGrid w:val="0"/>
              <w:spacing w:line="360" w:lineRule="auto"/>
              <w:rPr>
                <w:rFonts w:ascii="宋体" w:hAnsi="宋体"/>
                <w:szCs w:val="21"/>
                <w:highlight w:val="none"/>
              </w:rPr>
            </w:pPr>
            <w:r>
              <w:rPr>
                <w:rFonts w:hint="eastAsia" w:ascii="宋体" w:hAnsi="宋体"/>
                <w:szCs w:val="21"/>
                <w:highlight w:val="none"/>
              </w:rPr>
              <w:t>2.磋商保证金采用支票、汇票、本票或者银行、保险机构出具的保函</w:t>
            </w:r>
            <w:r>
              <w:rPr>
                <w:rFonts w:hint="eastAsia"/>
                <w:highlight w:val="none"/>
              </w:rPr>
              <w:t>（包含电子保函）</w:t>
            </w:r>
            <w:r>
              <w:rPr>
                <w:rFonts w:hint="eastAsia" w:ascii="宋体" w:hAnsi="宋体"/>
                <w:szCs w:val="21"/>
                <w:highlight w:val="none"/>
              </w:rPr>
              <w:t>交纳方式的，供应商应将支票、汇票、本票或者银行、保险机构出具的保函</w:t>
            </w:r>
            <w:r>
              <w:rPr>
                <w:rFonts w:hint="eastAsia"/>
                <w:highlight w:val="none"/>
              </w:rPr>
              <w:t>（包含电子保函）</w:t>
            </w:r>
            <w:r>
              <w:rPr>
                <w:rFonts w:hint="eastAsia" w:ascii="宋体" w:hAnsi="宋体"/>
                <w:szCs w:val="21"/>
                <w:highlight w:val="none"/>
              </w:rPr>
              <w:t>的复印件作为磋商保证金提交凭证，放置于</w:t>
            </w:r>
            <w:r>
              <w:rPr>
                <w:rFonts w:hint="eastAsia" w:ascii="宋体" w:hAnsi="宋体" w:cs="宋体"/>
                <w:szCs w:val="21"/>
                <w:highlight w:val="none"/>
              </w:rPr>
              <w:t>商务技术文件</w:t>
            </w:r>
            <w:r>
              <w:rPr>
                <w:rFonts w:hint="eastAsia" w:ascii="宋体" w:hAnsi="宋体"/>
                <w:szCs w:val="21"/>
                <w:highlight w:val="none"/>
              </w:rPr>
              <w:t>中，</w:t>
            </w:r>
            <w:r>
              <w:rPr>
                <w:rFonts w:hint="eastAsia" w:ascii="宋体" w:hAnsi="宋体" w:cs="宋体"/>
                <w:b/>
                <w:szCs w:val="21"/>
                <w:highlight w:val="none"/>
              </w:rPr>
              <w:t>否则响应文件按无效处理</w:t>
            </w:r>
            <w:r>
              <w:rPr>
                <w:rFonts w:hint="eastAsia" w:ascii="宋体" w:hAnsi="宋体"/>
                <w:szCs w:val="21"/>
                <w:highlight w:val="none"/>
              </w:rPr>
              <w:t>。供应商必须</w:t>
            </w:r>
            <w:r>
              <w:rPr>
                <w:rFonts w:hint="eastAsia"/>
                <w:highlight w:val="none"/>
              </w:rPr>
              <w:t>在响应文件提交截止时间前采用现场或邮寄方式（现场提交地址：</w:t>
            </w:r>
            <w:r>
              <w:rPr>
                <w:rFonts w:hint="eastAsia" w:ascii="宋体" w:hAnsi="宋体"/>
                <w:color w:val="000000"/>
                <w:szCs w:val="21"/>
                <w:highlight w:val="none"/>
                <w:u w:val="single"/>
              </w:rPr>
              <w:t>广西钦州市子材东大街19号奥林名城8号楼8层</w:t>
            </w:r>
            <w:r>
              <w:rPr>
                <w:rFonts w:hint="eastAsia"/>
                <w:highlight w:val="none"/>
              </w:rPr>
              <w:t>；邮寄地址：</w:t>
            </w:r>
            <w:r>
              <w:rPr>
                <w:rFonts w:hint="eastAsia" w:ascii="宋体" w:hAnsi="宋体"/>
                <w:color w:val="000000"/>
                <w:szCs w:val="21"/>
                <w:highlight w:val="none"/>
                <w:u w:val="single"/>
              </w:rPr>
              <w:t>广西钦州市子材东大街19号奥林名城8号楼8层</w:t>
            </w:r>
            <w:r>
              <w:rPr>
                <w:rFonts w:hint="eastAsia"/>
                <w:highlight w:val="none"/>
              </w:rPr>
              <w:t>，收件人：</w:t>
            </w:r>
            <w:r>
              <w:rPr>
                <w:rFonts w:hint="eastAsia"/>
                <w:highlight w:val="none"/>
                <w:u w:val="single"/>
              </w:rPr>
              <w:t>秦绍袁</w:t>
            </w:r>
            <w:r>
              <w:rPr>
                <w:rFonts w:hint="eastAsia"/>
                <w:highlight w:val="none"/>
              </w:rPr>
              <w:t>，联系方式：</w:t>
            </w:r>
            <w:r>
              <w:rPr>
                <w:rFonts w:hint="eastAsia"/>
                <w:highlight w:val="none"/>
                <w:u w:val="single"/>
              </w:rPr>
              <w:t>0777-5619366</w:t>
            </w:r>
            <w:r>
              <w:rPr>
                <w:rFonts w:hint="eastAsia"/>
                <w:highlight w:val="none"/>
              </w:rPr>
              <w:t>）</w:t>
            </w:r>
            <w:r>
              <w:rPr>
                <w:rFonts w:hint="eastAsia" w:ascii="宋体" w:hAnsi="宋体"/>
                <w:szCs w:val="21"/>
                <w:highlight w:val="none"/>
              </w:rPr>
              <w:t>将</w:t>
            </w:r>
            <w:r>
              <w:rPr>
                <w:rFonts w:hint="eastAsia" w:ascii="宋体" w:hAnsi="宋体" w:cs="宋体"/>
                <w:kern w:val="0"/>
                <w:szCs w:val="21"/>
                <w:highlight w:val="none"/>
              </w:rPr>
              <w:t>单独密封的</w:t>
            </w:r>
            <w:r>
              <w:rPr>
                <w:rFonts w:hint="eastAsia" w:ascii="宋体" w:hAnsi="宋体"/>
                <w:szCs w:val="21"/>
                <w:highlight w:val="none"/>
              </w:rPr>
              <w:t>支票、汇票、本票或者银行、保险机构出具的保函原件提交给采购人或者采购代理机构，由采购人或者采购代理机构向供应商出具回执（邮寄方式的除外），并妥善保管。</w:t>
            </w:r>
          </w:p>
          <w:p w14:paraId="546D9D32">
            <w:pPr>
              <w:snapToGrid w:val="0"/>
              <w:spacing w:line="360" w:lineRule="auto"/>
              <w:rPr>
                <w:rFonts w:ascii="宋体" w:hAnsi="宋体" w:cs="宋体"/>
                <w:b/>
                <w:szCs w:val="21"/>
                <w:highlight w:val="none"/>
              </w:rPr>
            </w:pPr>
            <w:r>
              <w:rPr>
                <w:rFonts w:hint="eastAsia" w:ascii="宋体" w:hAnsi="宋体" w:cs="宋体"/>
                <w:szCs w:val="21"/>
                <w:highlight w:val="none"/>
              </w:rPr>
              <w:t>3.供应商为联合体的，可以由联合体中的一方或者多方共同交纳磋商保证金，其交纳的保证金对联合体各方均具有约束力。</w:t>
            </w:r>
          </w:p>
          <w:p w14:paraId="6A180A28">
            <w:pPr>
              <w:snapToGrid w:val="0"/>
              <w:spacing w:line="360" w:lineRule="auto"/>
              <w:rPr>
                <w:rFonts w:ascii="宋体" w:hAnsi="宋体" w:cs="宋体"/>
                <w:b/>
                <w:szCs w:val="21"/>
                <w:highlight w:val="none"/>
              </w:rPr>
            </w:pPr>
            <w:r>
              <w:rPr>
                <w:rFonts w:hint="eastAsia" w:ascii="宋体" w:hAnsi="宋体" w:cs="宋体"/>
                <w:b/>
                <w:szCs w:val="21"/>
                <w:highlight w:val="none"/>
              </w:rPr>
              <w:t xml:space="preserve">备注： </w:t>
            </w:r>
          </w:p>
          <w:p w14:paraId="62FA4DFC">
            <w:pPr>
              <w:snapToGrid w:val="0"/>
              <w:spacing w:line="360" w:lineRule="auto"/>
              <w:rPr>
                <w:rFonts w:ascii="宋体" w:hAnsi="宋体" w:cs="宋体"/>
                <w:b/>
                <w:szCs w:val="21"/>
                <w:highlight w:val="none"/>
              </w:rPr>
            </w:pPr>
            <w:r>
              <w:rPr>
                <w:rFonts w:hint="eastAsia" w:ascii="宋体" w:hAnsi="宋体" w:cs="宋体"/>
                <w:b/>
                <w:szCs w:val="21"/>
                <w:highlight w:val="none"/>
              </w:rPr>
              <w:t>1.磋商保证金在响应文件提交截止时间后提交的，或者不按规定交纳方式交纳的，或者未足额交纳的（包含保函额度不足的），视为无效磋商保证金。</w:t>
            </w:r>
          </w:p>
          <w:p w14:paraId="24356FC6">
            <w:pPr>
              <w:snapToGrid w:val="0"/>
              <w:spacing w:line="360" w:lineRule="auto"/>
              <w:rPr>
                <w:rFonts w:ascii="宋体" w:hAnsi="宋体" w:cs="宋体"/>
                <w:b/>
                <w:szCs w:val="21"/>
                <w:highlight w:val="none"/>
              </w:rPr>
            </w:pPr>
            <w:r>
              <w:rPr>
                <w:rFonts w:hint="eastAsia" w:ascii="宋体" w:hAnsi="宋体" w:cs="宋体"/>
                <w:b/>
                <w:szCs w:val="21"/>
                <w:highlight w:val="none"/>
              </w:rPr>
              <w:t>2.供应商采用现钞方式或者从个人账户（自然人竞标除外）转出的磋商保证金，视为无效磋商保证金。</w:t>
            </w:r>
          </w:p>
          <w:p w14:paraId="0BE891C8">
            <w:pPr>
              <w:snapToGrid w:val="0"/>
              <w:spacing w:line="360" w:lineRule="auto"/>
              <w:rPr>
                <w:rFonts w:ascii="宋体" w:hAnsi="宋体" w:cs="宋体"/>
                <w:b/>
                <w:szCs w:val="21"/>
                <w:highlight w:val="none"/>
              </w:rPr>
            </w:pPr>
            <w:r>
              <w:rPr>
                <w:rFonts w:hint="eastAsia" w:ascii="宋体" w:hAnsi="宋体" w:cs="宋体"/>
                <w:b/>
                <w:szCs w:val="21"/>
                <w:highlight w:val="none"/>
              </w:rPr>
              <w:t>3.支票、汇票或者本票出现无效或者背书情形的，视为无效磋商保证金。</w:t>
            </w:r>
          </w:p>
          <w:p w14:paraId="0E99DE9D">
            <w:pPr>
              <w:snapToGrid w:val="0"/>
              <w:spacing w:line="360" w:lineRule="auto"/>
              <w:rPr>
                <w:rFonts w:ascii="宋体" w:hAnsi="宋体" w:cs="宋体"/>
                <w:b/>
                <w:szCs w:val="21"/>
                <w:highlight w:val="none"/>
              </w:rPr>
            </w:pPr>
            <w:r>
              <w:rPr>
                <w:rFonts w:hint="eastAsia" w:ascii="宋体" w:hAnsi="宋体" w:cs="宋体"/>
                <w:b/>
                <w:szCs w:val="21"/>
                <w:highlight w:val="none"/>
              </w:rPr>
              <w:t>4.保函有效期低于竞标有效期的，视为无效磋商保证金。</w:t>
            </w:r>
          </w:p>
          <w:p w14:paraId="09F0A653">
            <w:pPr>
              <w:snapToGrid w:val="0"/>
              <w:spacing w:line="360" w:lineRule="auto"/>
              <w:rPr>
                <w:rFonts w:ascii="宋体" w:hAnsi="宋体" w:cs="宋体"/>
                <w:szCs w:val="21"/>
                <w:highlight w:val="none"/>
              </w:rPr>
            </w:pPr>
            <w:r>
              <w:rPr>
                <w:rFonts w:hint="eastAsia" w:ascii="宋体" w:hAnsi="宋体" w:cs="宋体"/>
                <w:b/>
                <w:szCs w:val="21"/>
                <w:highlight w:val="none"/>
              </w:rPr>
              <w:t>5.采用银行、保险机构出具保函的，必须为无条件保函，否则视为无效磋商保证金。</w:t>
            </w:r>
          </w:p>
        </w:tc>
      </w:tr>
      <w:tr w14:paraId="163F6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1F6C08">
            <w:pPr>
              <w:spacing w:line="360" w:lineRule="auto"/>
              <w:jc w:val="center"/>
              <w:rPr>
                <w:rFonts w:ascii="宋体" w:hAnsi="宋体" w:cs="宋体"/>
                <w:szCs w:val="21"/>
                <w:highlight w:val="none"/>
              </w:rPr>
            </w:pPr>
            <w:r>
              <w:rPr>
                <w:rFonts w:ascii="宋体" w:hAnsi="宋体" w:cs="宋体"/>
                <w:szCs w:val="21"/>
                <w:highlight w:val="none"/>
              </w:rPr>
              <w:t>19</w:t>
            </w:r>
          </w:p>
        </w:tc>
        <w:tc>
          <w:tcPr>
            <w:tcW w:w="7912" w:type="dxa"/>
            <w:vAlign w:val="center"/>
          </w:tcPr>
          <w:p w14:paraId="2A5D657F">
            <w:pPr>
              <w:autoSpaceDE w:val="0"/>
              <w:autoSpaceDN w:val="0"/>
              <w:adjustRightInd w:val="0"/>
              <w:spacing w:line="360" w:lineRule="auto"/>
              <w:textAlignment w:val="bottom"/>
              <w:rPr>
                <w:rFonts w:ascii="宋体" w:hAnsi="宋体"/>
                <w:szCs w:val="21"/>
                <w:highlight w:val="none"/>
              </w:rPr>
            </w:pPr>
            <w:r>
              <w:rPr>
                <w:rFonts w:hint="eastAsia" w:ascii="宋体" w:hAnsi="宋体"/>
                <w:szCs w:val="21"/>
                <w:highlight w:val="none"/>
              </w:rPr>
              <w:t>□本项目不接受</w:t>
            </w:r>
            <w:r>
              <w:rPr>
                <w:rFonts w:hint="eastAsia"/>
                <w:highlight w:val="none"/>
              </w:rPr>
              <w:t>电子</w:t>
            </w:r>
            <w:r>
              <w:rPr>
                <w:rFonts w:hint="eastAsia" w:ascii="宋体" w:hAnsi="宋体"/>
                <w:szCs w:val="21"/>
                <w:highlight w:val="none"/>
              </w:rPr>
              <w:t>备份响应文件；</w:t>
            </w:r>
          </w:p>
          <w:p w14:paraId="639CBA11">
            <w:pPr>
              <w:autoSpaceDE w:val="0"/>
              <w:autoSpaceDN w:val="0"/>
              <w:adjustRightInd w:val="0"/>
              <w:spacing w:line="360" w:lineRule="auto"/>
              <w:textAlignment w:val="bottom"/>
              <w:rPr>
                <w:highlight w:val="none"/>
              </w:rPr>
            </w:pPr>
            <w:r>
              <w:rPr>
                <w:rFonts w:ascii="Wingdings 2" w:hAnsi="Wingdings 2"/>
                <w:highlight w:val="none"/>
              </w:rPr>
              <w:t></w:t>
            </w:r>
            <w:r>
              <w:rPr>
                <w:rFonts w:hint="eastAsia"/>
                <w:highlight w:val="none"/>
              </w:rPr>
              <w:t>本项目接受电子备份响应文件。</w:t>
            </w:r>
          </w:p>
          <w:p w14:paraId="4A63FAF0">
            <w:pPr>
              <w:autoSpaceDE w:val="0"/>
              <w:autoSpaceDN w:val="0"/>
              <w:adjustRightInd w:val="0"/>
              <w:spacing w:line="360" w:lineRule="auto"/>
              <w:ind w:firstLine="420" w:firstLineChars="200"/>
              <w:textAlignment w:val="bottom"/>
              <w:rPr>
                <w:highlight w:val="none"/>
              </w:rPr>
            </w:pPr>
            <w:r>
              <w:rPr>
                <w:rFonts w:hint="eastAsia"/>
                <w:highlight w:val="none"/>
              </w:rPr>
              <w:t>电子</w:t>
            </w:r>
            <w:r>
              <w:rPr>
                <w:rFonts w:hint="eastAsia" w:ascii="宋体" w:hAnsi="宋体"/>
                <w:szCs w:val="21"/>
                <w:highlight w:val="none"/>
              </w:rPr>
              <w:t>备份响应文件</w:t>
            </w:r>
            <w:r>
              <w:rPr>
                <w:rFonts w:hint="eastAsia"/>
                <w:highlight w:val="none"/>
              </w:rPr>
              <w:t>提交方式：供应商可以在响应截止时间前采用以下</w:t>
            </w:r>
            <w:r>
              <w:rPr>
                <w:rFonts w:hint="eastAsia"/>
                <w:highlight w:val="none"/>
                <w:u w:val="single"/>
              </w:rPr>
              <w:t>（3）</w:t>
            </w:r>
            <w:r>
              <w:rPr>
                <w:rFonts w:hint="eastAsia"/>
                <w:highlight w:val="none"/>
              </w:rPr>
              <w:t>种方式向采购代理机构提交电子备份响应文件：</w:t>
            </w:r>
          </w:p>
          <w:p w14:paraId="40C3DEF4">
            <w:pPr>
              <w:autoSpaceDE w:val="0"/>
              <w:autoSpaceDN w:val="0"/>
              <w:adjustRightInd w:val="0"/>
              <w:spacing w:line="360" w:lineRule="auto"/>
              <w:textAlignment w:val="bottom"/>
              <w:rPr>
                <w:highlight w:val="none"/>
              </w:rPr>
            </w:pPr>
            <w:r>
              <w:rPr>
                <w:rFonts w:hint="eastAsia"/>
                <w:highlight w:val="none"/>
              </w:rPr>
              <w:t>（</w:t>
            </w:r>
            <w:r>
              <w:rPr>
                <w:highlight w:val="none"/>
              </w:rPr>
              <w:t>1</w:t>
            </w:r>
            <w:r>
              <w:rPr>
                <w:rFonts w:hint="eastAsia"/>
                <w:highlight w:val="none"/>
              </w:rPr>
              <w:t>）现场提交方式，应采用</w:t>
            </w:r>
            <w:r>
              <w:rPr>
                <w:highlight w:val="none"/>
              </w:rPr>
              <w:t>U</w:t>
            </w:r>
            <w:r>
              <w:rPr>
                <w:rFonts w:hint="eastAsia"/>
                <w:highlight w:val="none"/>
              </w:rPr>
              <w:t>盘进行存储，提交地址：；提交截止时间：；外包装上注明供应商名称、项目名称及项目编号（外包装不作密封要求）。</w:t>
            </w:r>
          </w:p>
          <w:p w14:paraId="3E2D47CC">
            <w:pPr>
              <w:autoSpaceDE w:val="0"/>
              <w:autoSpaceDN w:val="0"/>
              <w:adjustRightInd w:val="0"/>
              <w:spacing w:line="360" w:lineRule="auto"/>
              <w:textAlignment w:val="bottom"/>
              <w:rPr>
                <w:highlight w:val="none"/>
              </w:rPr>
            </w:pPr>
            <w:r>
              <w:rPr>
                <w:rFonts w:hint="eastAsia"/>
                <w:highlight w:val="none"/>
              </w:rPr>
              <w:t>（</w:t>
            </w:r>
            <w:r>
              <w:rPr>
                <w:highlight w:val="none"/>
              </w:rPr>
              <w:t>2</w:t>
            </w:r>
            <w:r>
              <w:rPr>
                <w:rFonts w:hint="eastAsia"/>
                <w:highlight w:val="none"/>
              </w:rPr>
              <w:t>）电子邮件方式，接收电子备份响应文件的电子邮箱为：。</w:t>
            </w:r>
          </w:p>
          <w:p w14:paraId="6E8867ED">
            <w:pPr>
              <w:pStyle w:val="8"/>
              <w:spacing w:line="360" w:lineRule="auto"/>
              <w:jc w:val="both"/>
              <w:rPr>
                <w:highlight w:val="none"/>
              </w:rPr>
            </w:pPr>
            <w:r>
              <w:rPr>
                <w:rFonts w:hint="eastAsia"/>
                <w:highlight w:val="none"/>
              </w:rPr>
              <w:t>（</w:t>
            </w:r>
            <w:r>
              <w:rPr>
                <w:highlight w:val="none"/>
              </w:rPr>
              <w:t>3</w:t>
            </w:r>
            <w:r>
              <w:rPr>
                <w:rFonts w:hint="eastAsia"/>
                <w:highlight w:val="none"/>
              </w:rPr>
              <w:t>）邮寄方式，应采用</w:t>
            </w:r>
            <w:r>
              <w:rPr>
                <w:highlight w:val="none"/>
              </w:rPr>
              <w:t>U</w:t>
            </w:r>
            <w:r>
              <w:rPr>
                <w:rFonts w:hint="eastAsia"/>
                <w:highlight w:val="none"/>
              </w:rPr>
              <w:t>盘进行存储，邮寄地址：</w:t>
            </w:r>
            <w:r>
              <w:rPr>
                <w:rFonts w:hint="eastAsia" w:ascii="宋体" w:hAnsi="宋体"/>
                <w:color w:val="000000"/>
                <w:szCs w:val="21"/>
                <w:highlight w:val="none"/>
                <w:u w:val="single"/>
              </w:rPr>
              <w:t>广西钦州市子材东大街19号奥林名城8号楼8层</w:t>
            </w:r>
            <w:r>
              <w:rPr>
                <w:rFonts w:hint="eastAsia"/>
                <w:highlight w:val="none"/>
              </w:rPr>
              <w:t>，截止接收时间：</w:t>
            </w:r>
            <w:r>
              <w:rPr>
                <w:rFonts w:hint="eastAsia"/>
                <w:highlight w:val="none"/>
                <w:u w:val="single"/>
              </w:rPr>
              <w:t>同响应文件递交截止时间</w:t>
            </w:r>
            <w:r>
              <w:rPr>
                <w:rFonts w:hint="eastAsia"/>
                <w:highlight w:val="none"/>
              </w:rPr>
              <w:t>，收件人：</w:t>
            </w:r>
            <w:r>
              <w:rPr>
                <w:rFonts w:hint="eastAsia"/>
                <w:highlight w:val="none"/>
                <w:u w:val="single"/>
              </w:rPr>
              <w:t>秦绍袁</w:t>
            </w:r>
            <w:r>
              <w:rPr>
                <w:rFonts w:hint="eastAsia"/>
                <w:highlight w:val="none"/>
              </w:rPr>
              <w:t>，联系方式：</w:t>
            </w:r>
            <w:r>
              <w:rPr>
                <w:rFonts w:hint="eastAsia"/>
                <w:highlight w:val="none"/>
                <w:u w:val="single"/>
              </w:rPr>
              <w:t>0777-5619366</w:t>
            </w:r>
            <w:r>
              <w:rPr>
                <w:rFonts w:hint="eastAsia"/>
                <w:highlight w:val="none"/>
              </w:rPr>
              <w:t>；外包装上注明供应商名称、项目名称及项目编号（外包装不作密封要求）。</w:t>
            </w:r>
          </w:p>
          <w:p w14:paraId="0CFFC9D7">
            <w:pPr>
              <w:autoSpaceDE w:val="0"/>
              <w:autoSpaceDN w:val="0"/>
              <w:snapToGrid w:val="0"/>
              <w:spacing w:line="360" w:lineRule="auto"/>
              <w:ind w:firstLine="420" w:firstLineChars="200"/>
              <w:textAlignment w:val="bottom"/>
              <w:rPr>
                <w:highlight w:val="none"/>
              </w:rPr>
            </w:pPr>
            <w:r>
              <w:rPr>
                <w:rFonts w:hint="eastAsia"/>
                <w:highlight w:val="none"/>
              </w:rPr>
              <w:t>供应商未按上述规定提交的电子备份响应文件，采购代理机构不予接收或承认。若电子加密响应文件解密成功，电子备份响应文件自动失效。若供应商无法在规定的时间内解密响应文件或者解密失败的，采购代理机构将电子备份响应文件按“广西政府采购云平台”操作规范上传至“广西政府采购云平台”，电子备份响应文件上传成功后，供应商原上传的电子加密响应文件自动失效。若供应商在规定时间内无法解密或解密失败且未提供电子备份响应文件的（包含提供的电子备份响应文件无效或无法解读的情况），</w:t>
            </w:r>
            <w:r>
              <w:rPr>
                <w:rFonts w:hint="eastAsia"/>
                <w:b/>
                <w:highlight w:val="none"/>
              </w:rPr>
              <w:t>供应商的响应文件作无效处理</w:t>
            </w:r>
            <w:r>
              <w:rPr>
                <w:rFonts w:hint="eastAsia"/>
                <w:highlight w:val="none"/>
              </w:rPr>
              <w:t>。</w:t>
            </w:r>
          </w:p>
        </w:tc>
      </w:tr>
      <w:tr w14:paraId="1FFE9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7CBC4A">
            <w:pPr>
              <w:spacing w:line="360" w:lineRule="auto"/>
              <w:jc w:val="center"/>
              <w:rPr>
                <w:rFonts w:ascii="宋体" w:hAnsi="宋体" w:cs="宋体"/>
                <w:szCs w:val="21"/>
                <w:highlight w:val="none"/>
              </w:rPr>
            </w:pPr>
            <w:r>
              <w:rPr>
                <w:rFonts w:hint="eastAsia" w:ascii="宋体" w:hAnsi="宋体" w:cs="宋体"/>
                <w:szCs w:val="21"/>
                <w:highlight w:val="none"/>
              </w:rPr>
              <w:t>20.1</w:t>
            </w:r>
          </w:p>
        </w:tc>
        <w:tc>
          <w:tcPr>
            <w:tcW w:w="7912" w:type="dxa"/>
            <w:vAlign w:val="center"/>
          </w:tcPr>
          <w:p w14:paraId="54CE0BF1">
            <w:pPr>
              <w:spacing w:line="360" w:lineRule="auto"/>
              <w:contextualSpacing/>
              <w:jc w:val="left"/>
              <w:rPr>
                <w:rFonts w:ascii="宋体" w:hAnsi="宋体" w:cs="宋体"/>
                <w:szCs w:val="21"/>
                <w:highlight w:val="none"/>
                <w:u w:val="single"/>
              </w:rPr>
            </w:pPr>
            <w:r>
              <w:rPr>
                <w:rFonts w:hint="eastAsia" w:ascii="宋体" w:hAnsi="宋体" w:cs="宋体"/>
                <w:szCs w:val="21"/>
                <w:highlight w:val="none"/>
              </w:rPr>
              <w:t>响应文件提交截止时间：详见竞争性磋商公告。</w:t>
            </w:r>
          </w:p>
          <w:p w14:paraId="4C0AF61D">
            <w:pPr>
              <w:spacing w:line="360" w:lineRule="auto"/>
              <w:contextualSpacing/>
              <w:jc w:val="left"/>
              <w:rPr>
                <w:rFonts w:ascii="宋体" w:hAnsi="宋体" w:cs="宋体"/>
                <w:szCs w:val="21"/>
                <w:highlight w:val="none"/>
              </w:rPr>
            </w:pPr>
            <w:r>
              <w:rPr>
                <w:rFonts w:hint="eastAsia" w:ascii="宋体" w:hAnsi="宋体" w:cs="宋体"/>
                <w:szCs w:val="21"/>
                <w:highlight w:val="none"/>
              </w:rPr>
              <w:t>响应文件提交地点：详见竞争性磋商公告。</w:t>
            </w:r>
          </w:p>
        </w:tc>
      </w:tr>
      <w:tr w14:paraId="58064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62A6FB">
            <w:pPr>
              <w:spacing w:line="360" w:lineRule="auto"/>
              <w:jc w:val="center"/>
              <w:rPr>
                <w:rFonts w:ascii="宋体" w:hAnsi="宋体" w:cs="宋体"/>
                <w:szCs w:val="21"/>
                <w:highlight w:val="none"/>
              </w:rPr>
            </w:pPr>
            <w:r>
              <w:rPr>
                <w:rFonts w:hint="eastAsia" w:ascii="宋体" w:hAnsi="宋体" w:cs="宋体"/>
                <w:szCs w:val="21"/>
                <w:highlight w:val="none"/>
              </w:rPr>
              <w:t>24.1</w:t>
            </w:r>
          </w:p>
        </w:tc>
        <w:tc>
          <w:tcPr>
            <w:tcW w:w="7912" w:type="dxa"/>
            <w:vAlign w:val="center"/>
          </w:tcPr>
          <w:p w14:paraId="4D8BF52E">
            <w:pPr>
              <w:snapToGrid w:val="0"/>
              <w:spacing w:line="360" w:lineRule="auto"/>
              <w:jc w:val="left"/>
              <w:rPr>
                <w:rFonts w:ascii="宋体" w:hAnsi="宋体" w:cs="宋体"/>
                <w:szCs w:val="21"/>
                <w:highlight w:val="none"/>
                <w:u w:val="single"/>
              </w:rPr>
            </w:pPr>
            <w:r>
              <w:rPr>
                <w:rFonts w:hint="eastAsia" w:ascii="宋体" w:hAnsi="宋体" w:cs="宋体"/>
                <w:szCs w:val="21"/>
                <w:highlight w:val="none"/>
              </w:rPr>
              <w:t>磋商小组的人数：</w:t>
            </w:r>
            <w:r>
              <w:rPr>
                <w:rFonts w:hint="eastAsia" w:ascii="宋体" w:hAnsi="宋体" w:cs="宋体"/>
                <w:szCs w:val="21"/>
                <w:highlight w:val="none"/>
                <w:u w:val="single"/>
              </w:rPr>
              <w:t xml:space="preserve"> 3</w:t>
            </w:r>
            <w:r>
              <w:rPr>
                <w:rFonts w:hint="eastAsia" w:ascii="宋体" w:hAnsi="宋体" w:cs="宋体"/>
                <w:szCs w:val="21"/>
                <w:highlight w:val="none"/>
              </w:rPr>
              <w:t>人。</w:t>
            </w:r>
          </w:p>
        </w:tc>
      </w:tr>
      <w:tr w14:paraId="5B67D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B6361C">
            <w:pPr>
              <w:spacing w:line="360" w:lineRule="auto"/>
              <w:jc w:val="center"/>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5</w:t>
            </w:r>
          </w:p>
        </w:tc>
        <w:tc>
          <w:tcPr>
            <w:tcW w:w="7912" w:type="dxa"/>
            <w:vAlign w:val="center"/>
          </w:tcPr>
          <w:p w14:paraId="63560FB6">
            <w:pPr>
              <w:snapToGrid w:val="0"/>
              <w:spacing w:line="360" w:lineRule="auto"/>
              <w:jc w:val="left"/>
              <w:rPr>
                <w:rFonts w:ascii="宋体" w:hAnsi="宋体" w:cs="宋体"/>
                <w:szCs w:val="21"/>
                <w:highlight w:val="none"/>
              </w:rPr>
            </w:pPr>
            <w:r>
              <w:rPr>
                <w:rFonts w:hint="eastAsia" w:ascii="宋体" w:hAnsi="宋体" w:cs="宋体"/>
                <w:szCs w:val="21"/>
                <w:highlight w:val="none"/>
              </w:rPr>
              <w:t>首次响应文件开启时间详见竞争性磋商公告</w:t>
            </w:r>
          </w:p>
          <w:p w14:paraId="0C2E6145">
            <w:pPr>
              <w:snapToGrid w:val="0"/>
              <w:spacing w:line="360" w:lineRule="auto"/>
              <w:jc w:val="left"/>
              <w:rPr>
                <w:rFonts w:ascii="宋体" w:hAnsi="宋体" w:cs="宋体"/>
                <w:szCs w:val="21"/>
                <w:highlight w:val="none"/>
              </w:rPr>
            </w:pPr>
            <w:r>
              <w:rPr>
                <w:rFonts w:hint="eastAsia" w:ascii="宋体" w:hAnsi="宋体" w:cs="宋体"/>
                <w:szCs w:val="21"/>
                <w:highlight w:val="none"/>
              </w:rPr>
              <w:t>首次响应文件解密时间：</w:t>
            </w:r>
            <w:r>
              <w:rPr>
                <w:rFonts w:hint="eastAsia" w:hAnsi="宋体"/>
                <w:highlight w:val="none"/>
                <w:u w:val="single"/>
              </w:rPr>
              <w:t>30</w:t>
            </w:r>
            <w:r>
              <w:rPr>
                <w:rFonts w:hint="eastAsia" w:hAnsi="宋体"/>
                <w:highlight w:val="none"/>
              </w:rPr>
              <w:t>分钟</w:t>
            </w:r>
          </w:p>
        </w:tc>
      </w:tr>
      <w:tr w14:paraId="2FC8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36D31620">
            <w:pPr>
              <w:spacing w:line="360" w:lineRule="auto"/>
              <w:jc w:val="center"/>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6.3</w:t>
            </w:r>
          </w:p>
        </w:tc>
        <w:tc>
          <w:tcPr>
            <w:tcW w:w="7912" w:type="dxa"/>
            <w:vAlign w:val="center"/>
          </w:tcPr>
          <w:p w14:paraId="63B23B6F">
            <w:pPr>
              <w:snapToGrid w:val="0"/>
              <w:spacing w:line="360" w:lineRule="auto"/>
              <w:rPr>
                <w:rFonts w:ascii="宋体" w:hAnsi="宋体" w:cs="宋体"/>
                <w:szCs w:val="21"/>
                <w:highlight w:val="none"/>
              </w:rPr>
            </w:pPr>
            <w:r>
              <w:rPr>
                <w:rFonts w:hint="eastAsia" w:ascii="宋体" w:hAnsi="宋体" w:cs="宋体"/>
                <w:szCs w:val="21"/>
                <w:highlight w:val="none"/>
              </w:rPr>
              <w:t>商务要求评审中允许负偏离的条款数为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14:paraId="18FC5CEE">
            <w:pPr>
              <w:snapToGrid w:val="0"/>
              <w:spacing w:line="360" w:lineRule="auto"/>
              <w:rPr>
                <w:rFonts w:ascii="宋体" w:hAnsi="宋体" w:cs="宋体"/>
                <w:szCs w:val="21"/>
                <w:highlight w:val="none"/>
              </w:rPr>
            </w:pPr>
            <w:r>
              <w:rPr>
                <w:rFonts w:hint="eastAsia" w:ascii="宋体" w:hAnsi="宋体" w:cs="宋体"/>
                <w:szCs w:val="21"/>
                <w:highlight w:val="none"/>
              </w:rPr>
              <w:t>技术要求评审中允许负偏离的条款数为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tc>
      </w:tr>
      <w:tr w14:paraId="11FE2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D1243E">
            <w:pPr>
              <w:spacing w:line="360" w:lineRule="auto"/>
              <w:jc w:val="center"/>
              <w:rPr>
                <w:rFonts w:ascii="宋体" w:hAnsi="宋体" w:cs="宋体"/>
                <w:szCs w:val="21"/>
                <w:highlight w:val="none"/>
              </w:rPr>
            </w:pPr>
            <w:r>
              <w:rPr>
                <w:rFonts w:ascii="宋体" w:hAnsi="宋体" w:cs="宋体"/>
                <w:szCs w:val="21"/>
                <w:highlight w:val="none"/>
              </w:rPr>
              <w:t>28.1</w:t>
            </w:r>
          </w:p>
        </w:tc>
        <w:tc>
          <w:tcPr>
            <w:tcW w:w="7912" w:type="dxa"/>
            <w:vAlign w:val="center"/>
          </w:tcPr>
          <w:p w14:paraId="2FDAFE3C">
            <w:pPr>
              <w:autoSpaceDE w:val="0"/>
              <w:autoSpaceDN w:val="0"/>
              <w:snapToGrid w:val="0"/>
              <w:spacing w:line="360" w:lineRule="auto"/>
              <w:textAlignment w:val="bottom"/>
              <w:rPr>
                <w:rFonts w:ascii="宋体" w:hAnsi="宋体"/>
                <w:szCs w:val="21"/>
                <w:highlight w:val="none"/>
              </w:rPr>
            </w:pPr>
            <w:r>
              <w:rPr>
                <w:rFonts w:ascii="Wingdings 2" w:hAnsi="Wingdings 2"/>
                <w:szCs w:val="21"/>
                <w:highlight w:val="none"/>
              </w:rPr>
              <w:t></w:t>
            </w:r>
            <w:r>
              <w:rPr>
                <w:rFonts w:hint="eastAsia" w:ascii="宋体" w:hAnsi="宋体"/>
                <w:szCs w:val="21"/>
                <w:highlight w:val="none"/>
              </w:rPr>
              <w:t>本项目不收取履约保证金。</w:t>
            </w:r>
          </w:p>
          <w:p w14:paraId="380C206A">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□本项目收取履约保证金，具体规定如下：</w:t>
            </w:r>
          </w:p>
          <w:p w14:paraId="332435C1">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履约保证金金额：每分标按成交金额的%</w:t>
            </w:r>
            <w:r>
              <w:rPr>
                <w:rFonts w:hint="eastAsia" w:ascii="宋体" w:hAnsi="宋体"/>
                <w:i/>
                <w:szCs w:val="21"/>
                <w:highlight w:val="none"/>
              </w:rPr>
              <w:t>（注：履约保证金不超过</w:t>
            </w:r>
            <w:r>
              <w:rPr>
                <w:rFonts w:hint="eastAsia"/>
                <w:i/>
                <w:highlight w:val="none"/>
              </w:rPr>
              <w:t>政府采购合同金额的</w:t>
            </w:r>
            <w:r>
              <w:rPr>
                <w:rFonts w:hint="eastAsia" w:ascii="宋体" w:hAnsi="宋体"/>
                <w:i/>
                <w:szCs w:val="21"/>
                <w:highlight w:val="none"/>
              </w:rPr>
              <w:t>5%，对中小企业收取的履约保证金数额不得超过政府采购合同金额的2%）</w:t>
            </w:r>
            <w:r>
              <w:rPr>
                <w:rFonts w:hint="eastAsia" w:ascii="宋体" w:hAnsi="宋体"/>
                <w:szCs w:val="21"/>
                <w:highlight w:val="none"/>
              </w:rPr>
              <w:t>。</w:t>
            </w:r>
          </w:p>
          <w:p w14:paraId="50D74C5C">
            <w:pPr>
              <w:spacing w:line="360" w:lineRule="auto"/>
              <w:contextualSpacing/>
              <w:rPr>
                <w:rFonts w:ascii="宋体" w:hAnsi="宋体" w:cs="宋体"/>
                <w:szCs w:val="21"/>
                <w:highlight w:val="none"/>
              </w:rPr>
            </w:pPr>
            <w:r>
              <w:rPr>
                <w:rFonts w:hint="eastAsia" w:ascii="宋体" w:hAnsi="宋体" w:cs="宋体"/>
                <w:szCs w:val="21"/>
                <w:highlight w:val="none"/>
              </w:rPr>
              <w:t>履约保证金提交方式：银行转账、支票、汇票、本票或者银行、保险机构出具的保函等非现金方式（参照竞标保证金）。</w:t>
            </w:r>
          </w:p>
          <w:p w14:paraId="70737DAC">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履约保证金缴纳期限:</w:t>
            </w:r>
            <w:r>
              <w:rPr>
                <w:rFonts w:hint="eastAsia" w:ascii="宋体" w:hAnsi="宋体"/>
                <w:i/>
                <w:szCs w:val="21"/>
                <w:highlight w:val="none"/>
                <w:u w:val="single"/>
              </w:rPr>
              <w:t>自成交通知书发出之日起     日内(注意请勿超过采购需求中规定的签订合同时限)</w:t>
            </w:r>
            <w:r>
              <w:rPr>
                <w:rFonts w:hint="eastAsia" w:ascii="宋体" w:hAnsi="宋体"/>
                <w:szCs w:val="21"/>
                <w:highlight w:val="none"/>
              </w:rPr>
              <w:t>。</w:t>
            </w:r>
          </w:p>
          <w:p w14:paraId="3C39F689">
            <w:pPr>
              <w:spacing w:line="360" w:lineRule="auto"/>
              <w:contextualSpacing/>
              <w:rPr>
                <w:rFonts w:ascii="宋体" w:hAnsi="宋体" w:cs="宋体"/>
                <w:szCs w:val="21"/>
                <w:highlight w:val="none"/>
                <w:u w:val="single"/>
              </w:rPr>
            </w:pPr>
            <w:r>
              <w:rPr>
                <w:rFonts w:hint="eastAsia" w:ascii="宋体" w:hAnsi="宋体" w:cs="宋体"/>
                <w:szCs w:val="21"/>
                <w:highlight w:val="none"/>
              </w:rPr>
              <w:t>履约保证金退付方式、时间及条件：</w:t>
            </w:r>
            <w:r>
              <w:rPr>
                <w:rFonts w:hint="eastAsia" w:ascii="宋体" w:hAnsi="宋体" w:cs="宋体"/>
                <w:szCs w:val="21"/>
                <w:highlight w:val="none"/>
                <w:u w:val="single"/>
              </w:rPr>
              <w:t xml:space="preserve">                               。</w:t>
            </w:r>
          </w:p>
          <w:p w14:paraId="3838A028">
            <w:pPr>
              <w:spacing w:line="360" w:lineRule="auto"/>
              <w:contextualSpacing/>
              <w:rPr>
                <w:rFonts w:ascii="宋体" w:hAnsi="宋体" w:cs="宋体"/>
                <w:szCs w:val="21"/>
                <w:highlight w:val="none"/>
              </w:rPr>
            </w:pPr>
            <w:r>
              <w:rPr>
                <w:rFonts w:hint="eastAsia" w:ascii="宋体" w:hAnsi="宋体" w:cs="宋体"/>
                <w:szCs w:val="21"/>
                <w:highlight w:val="none"/>
              </w:rPr>
              <w:t>履约保证金指定账户：</w:t>
            </w:r>
          </w:p>
          <w:p w14:paraId="3BEC742E">
            <w:pPr>
              <w:spacing w:line="360" w:lineRule="auto"/>
              <w:contextualSpacing/>
              <w:rPr>
                <w:rFonts w:ascii="宋体" w:hAnsi="宋体" w:cs="宋体"/>
                <w:szCs w:val="21"/>
                <w:highlight w:val="none"/>
              </w:rPr>
            </w:pPr>
            <w:r>
              <w:rPr>
                <w:rFonts w:hint="eastAsia" w:ascii="宋体" w:hAnsi="宋体" w:cs="宋体"/>
                <w:szCs w:val="21"/>
                <w:highlight w:val="none"/>
              </w:rPr>
              <w:t>开户名称：</w:t>
            </w:r>
          </w:p>
          <w:p w14:paraId="3F66D794">
            <w:pPr>
              <w:spacing w:line="360" w:lineRule="auto"/>
              <w:contextualSpacing/>
              <w:rPr>
                <w:rFonts w:ascii="宋体" w:hAnsi="宋体" w:cs="宋体"/>
                <w:szCs w:val="21"/>
                <w:highlight w:val="none"/>
              </w:rPr>
            </w:pPr>
            <w:r>
              <w:rPr>
                <w:rFonts w:hint="eastAsia" w:ascii="宋体" w:hAnsi="宋体" w:cs="宋体"/>
                <w:szCs w:val="21"/>
                <w:highlight w:val="none"/>
              </w:rPr>
              <w:t>开户银行：</w:t>
            </w:r>
          </w:p>
          <w:p w14:paraId="0157D374">
            <w:pPr>
              <w:spacing w:line="360" w:lineRule="auto"/>
              <w:contextualSpacing/>
              <w:rPr>
                <w:rFonts w:ascii="宋体" w:hAnsi="宋体" w:cs="宋体"/>
                <w:szCs w:val="21"/>
                <w:highlight w:val="none"/>
              </w:rPr>
            </w:pPr>
            <w:r>
              <w:rPr>
                <w:rFonts w:hint="eastAsia" w:ascii="宋体" w:hAnsi="宋体" w:cs="宋体"/>
                <w:szCs w:val="21"/>
                <w:highlight w:val="none"/>
              </w:rPr>
              <w:t>银行账号：</w:t>
            </w:r>
          </w:p>
          <w:p w14:paraId="373A8546">
            <w:pPr>
              <w:spacing w:line="360" w:lineRule="auto"/>
              <w:contextualSpacing/>
              <w:rPr>
                <w:rFonts w:ascii="宋体" w:hAnsi="宋体" w:cs="宋体"/>
                <w:b/>
                <w:kern w:val="0"/>
                <w:sz w:val="24"/>
                <w:highlight w:val="none"/>
              </w:rPr>
            </w:pPr>
            <w:r>
              <w:rPr>
                <w:rFonts w:hint="eastAsia" w:ascii="宋体" w:hAnsi="宋体" w:cs="宋体"/>
                <w:szCs w:val="21"/>
                <w:highlight w:val="none"/>
              </w:rPr>
              <w:t>备注：</w:t>
            </w:r>
            <w:r>
              <w:rPr>
                <w:rFonts w:hint="eastAsia" w:ascii="宋体" w:hAnsi="宋体" w:cs="宋体"/>
                <w:szCs w:val="21"/>
                <w:highlight w:val="none"/>
              </w:rPr>
              <w:br w:type="textWrapping"/>
            </w:r>
            <w:r>
              <w:rPr>
                <w:rFonts w:hint="eastAsia" w:ascii="宋体" w:hAnsi="宋体" w:cs="宋体"/>
                <w:b/>
                <w:szCs w:val="21"/>
                <w:highlight w:val="none"/>
              </w:rPr>
              <w:t>1</w:t>
            </w:r>
            <w:r>
              <w:rPr>
                <w:rFonts w:ascii="宋体" w:hAnsi="宋体" w:cs="宋体"/>
                <w:b/>
                <w:szCs w:val="21"/>
                <w:highlight w:val="none"/>
              </w:rPr>
              <w:t>.</w:t>
            </w:r>
            <w:bookmarkStart w:id="60" w:name="_Hlk54170335"/>
            <w:r>
              <w:rPr>
                <w:rFonts w:hint="eastAsia" w:ascii="宋体" w:hAnsi="宋体"/>
                <w:b/>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kern w:val="0"/>
                <w:sz w:val="24"/>
                <w:highlight w:val="none"/>
              </w:rPr>
              <w:t>。</w:t>
            </w:r>
            <w:bookmarkEnd w:id="60"/>
          </w:p>
          <w:p w14:paraId="3E46BD14">
            <w:pPr>
              <w:spacing w:line="360" w:lineRule="auto"/>
              <w:contextualSpacing/>
              <w:rPr>
                <w:rFonts w:ascii="宋体" w:hAnsi="宋体" w:cs="宋体"/>
                <w:b/>
                <w:szCs w:val="21"/>
                <w:highlight w:val="none"/>
              </w:rPr>
            </w:pPr>
            <w:r>
              <w:rPr>
                <w:rFonts w:hint="eastAsia" w:ascii="宋体" w:hAnsi="宋体" w:cs="宋体"/>
                <w:b/>
                <w:szCs w:val="21"/>
                <w:highlight w:val="none"/>
              </w:rPr>
              <w:t>2</w:t>
            </w:r>
            <w:r>
              <w:rPr>
                <w:rFonts w:ascii="宋体" w:hAnsi="宋体" w:cs="宋体"/>
                <w:b/>
                <w:szCs w:val="21"/>
                <w:highlight w:val="none"/>
              </w:rPr>
              <w:t>.</w:t>
            </w:r>
            <w:r>
              <w:rPr>
                <w:rFonts w:hint="eastAsia" w:ascii="宋体" w:hAnsi="宋体"/>
                <w:b/>
                <w:szCs w:val="21"/>
                <w:highlight w:val="none"/>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cs="宋体"/>
                <w:b/>
                <w:szCs w:val="21"/>
                <w:highlight w:val="none"/>
              </w:rPr>
              <w:br w:type="textWrapping"/>
            </w:r>
            <w:r>
              <w:rPr>
                <w:rFonts w:ascii="宋体" w:hAnsi="宋体" w:cs="宋体"/>
                <w:b/>
                <w:szCs w:val="21"/>
                <w:highlight w:val="none"/>
              </w:rPr>
              <w:t>3.</w:t>
            </w:r>
            <w:r>
              <w:rPr>
                <w:rFonts w:hint="eastAsia" w:ascii="宋体" w:hAnsi="宋体" w:cs="宋体"/>
                <w:b/>
                <w:szCs w:val="21"/>
                <w:highlight w:val="none"/>
              </w:rPr>
              <w:t>采用银行、保险机构出具的保函的，必须为无条件保函，否则不予签订合同。</w:t>
            </w:r>
          </w:p>
          <w:p w14:paraId="27094440">
            <w:pPr>
              <w:snapToGrid w:val="0"/>
              <w:spacing w:line="360" w:lineRule="auto"/>
              <w:rPr>
                <w:rFonts w:ascii="宋体" w:hAnsi="宋体" w:cs="宋体"/>
                <w:szCs w:val="21"/>
                <w:highlight w:val="none"/>
              </w:rPr>
            </w:pPr>
            <w:r>
              <w:rPr>
                <w:rFonts w:ascii="宋体" w:hAnsi="宋体" w:cs="宋体"/>
                <w:b/>
                <w:szCs w:val="21"/>
                <w:highlight w:val="none"/>
              </w:rPr>
              <w:t>4.</w:t>
            </w:r>
            <w:r>
              <w:rPr>
                <w:rFonts w:hint="eastAsia" w:ascii="宋体" w:hAnsi="宋体" w:cs="宋体"/>
                <w:b/>
                <w:szCs w:val="21"/>
                <w:highlight w:val="none"/>
              </w:rPr>
              <w:t>供应商为联合体的，由联合体任意一方按规定提交的履约保证金，视为有效履约保证金。</w:t>
            </w:r>
          </w:p>
        </w:tc>
      </w:tr>
      <w:tr w14:paraId="0863F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1FFE64">
            <w:pPr>
              <w:spacing w:line="360" w:lineRule="auto"/>
              <w:jc w:val="center"/>
              <w:rPr>
                <w:rFonts w:ascii="宋体" w:hAnsi="宋体" w:cs="宋体"/>
                <w:szCs w:val="21"/>
                <w:highlight w:val="none"/>
              </w:rPr>
            </w:pPr>
            <w:r>
              <w:rPr>
                <w:rFonts w:ascii="宋体" w:hAnsi="宋体" w:cs="宋体"/>
                <w:szCs w:val="21"/>
                <w:highlight w:val="none"/>
              </w:rPr>
              <w:t>29.1</w:t>
            </w:r>
          </w:p>
        </w:tc>
        <w:tc>
          <w:tcPr>
            <w:tcW w:w="7912" w:type="dxa"/>
            <w:vAlign w:val="center"/>
          </w:tcPr>
          <w:p w14:paraId="62EA99FB">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 xml:space="preserve">签订合同携带的证明材料： </w:t>
            </w:r>
          </w:p>
          <w:p w14:paraId="124347AB">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委托代理人负责签订合同的，须携带授权委托书及委托代理人身份证原件等其他资格证件。</w:t>
            </w:r>
          </w:p>
          <w:p w14:paraId="5EE21710">
            <w:pPr>
              <w:snapToGrid w:val="0"/>
              <w:spacing w:line="360" w:lineRule="auto"/>
              <w:rPr>
                <w:rFonts w:ascii="宋体" w:hAnsi="宋体" w:cs="宋体"/>
                <w:szCs w:val="21"/>
                <w:highlight w:val="none"/>
              </w:rPr>
            </w:pPr>
            <w:r>
              <w:rPr>
                <w:rFonts w:hint="eastAsia" w:ascii="宋体" w:hAnsi="宋体"/>
                <w:szCs w:val="21"/>
                <w:highlight w:val="none"/>
              </w:rPr>
              <w:t>法定代表人负责签订合同的，须携带法定代表人</w:t>
            </w:r>
            <w:r>
              <w:rPr>
                <w:rFonts w:ascii="宋体" w:hAnsi="宋体"/>
                <w:szCs w:val="21"/>
                <w:highlight w:val="none"/>
              </w:rPr>
              <w:t>身份证明原件</w:t>
            </w:r>
            <w:r>
              <w:rPr>
                <w:rFonts w:hint="eastAsia" w:ascii="宋体" w:hAnsi="宋体"/>
                <w:szCs w:val="21"/>
                <w:highlight w:val="none"/>
              </w:rPr>
              <w:t>及</w:t>
            </w:r>
            <w:r>
              <w:rPr>
                <w:rFonts w:ascii="宋体" w:hAnsi="宋体"/>
                <w:szCs w:val="21"/>
                <w:highlight w:val="none"/>
              </w:rPr>
              <w:t>身份证原件</w:t>
            </w:r>
            <w:r>
              <w:rPr>
                <w:rFonts w:hint="eastAsia" w:ascii="宋体" w:hAnsi="宋体"/>
                <w:szCs w:val="21"/>
                <w:highlight w:val="none"/>
              </w:rPr>
              <w:t>等其他证明材料。</w:t>
            </w:r>
          </w:p>
        </w:tc>
      </w:tr>
      <w:tr w14:paraId="31167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FCF036">
            <w:pPr>
              <w:spacing w:line="360" w:lineRule="auto"/>
              <w:jc w:val="center"/>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1.2</w:t>
            </w:r>
          </w:p>
        </w:tc>
        <w:tc>
          <w:tcPr>
            <w:tcW w:w="7912" w:type="dxa"/>
            <w:vAlign w:val="center"/>
          </w:tcPr>
          <w:p w14:paraId="740710B1">
            <w:pPr>
              <w:snapToGrid w:val="0"/>
              <w:spacing w:line="360" w:lineRule="auto"/>
              <w:rPr>
                <w:rFonts w:ascii="宋体" w:hAnsi="宋体" w:cs="宋体"/>
                <w:szCs w:val="21"/>
                <w:highlight w:val="none"/>
              </w:rPr>
            </w:pPr>
            <w:r>
              <w:rPr>
                <w:rFonts w:hint="eastAsia" w:ascii="宋体" w:hAnsi="宋体" w:cs="宋体"/>
                <w:szCs w:val="21"/>
                <w:highlight w:val="none"/>
              </w:rPr>
              <w:t>接收质疑函方式：以书面形式。</w:t>
            </w:r>
          </w:p>
          <w:p w14:paraId="39F5C8E6">
            <w:pPr>
              <w:snapToGrid w:val="0"/>
              <w:spacing w:line="360" w:lineRule="auto"/>
              <w:rPr>
                <w:rFonts w:ascii="宋体" w:hAnsi="宋体" w:cs="宋体"/>
                <w:kern w:val="0"/>
                <w:szCs w:val="21"/>
                <w:highlight w:val="none"/>
              </w:rPr>
            </w:pPr>
            <w:r>
              <w:rPr>
                <w:rFonts w:hint="eastAsia" w:ascii="宋体" w:hAnsi="宋体" w:cs="宋体"/>
                <w:szCs w:val="21"/>
                <w:highlight w:val="none"/>
              </w:rPr>
              <w:t>质疑联系部门及联系方式：云之龙咨询集团有限公司招标部，联系电话：</w:t>
            </w:r>
            <w:r>
              <w:rPr>
                <w:rFonts w:hint="eastAsia" w:ascii="宋体" w:hAnsi="宋体" w:cs="宋体"/>
                <w:kern w:val="0"/>
                <w:szCs w:val="21"/>
                <w:highlight w:val="none"/>
              </w:rPr>
              <w:t>0777-5619366，通讯地址：广西钦州市子材东大街19号奥林名城8号楼8层</w:t>
            </w:r>
          </w:p>
          <w:p w14:paraId="10D0C67D">
            <w:pPr>
              <w:pStyle w:val="13"/>
              <w:snapToGrid w:val="0"/>
              <w:spacing w:line="360" w:lineRule="auto"/>
              <w:rPr>
                <w:rFonts w:hAnsi="宋体"/>
                <w:highlight w:val="none"/>
              </w:rPr>
            </w:pPr>
            <w:r>
              <w:rPr>
                <w:rFonts w:hint="eastAsia" w:hAnsi="宋体" w:cs="宋体"/>
                <w:sz w:val="21"/>
                <w:highlight w:val="none"/>
              </w:rPr>
              <w:t>业务时间：工作日上午8时00分到12时00分，下午3时00分到6时00分，业务时间以外、双休日和法定节假日不办理业务。</w:t>
            </w:r>
          </w:p>
        </w:tc>
      </w:tr>
      <w:tr w14:paraId="62E5E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4A6E93">
            <w:pPr>
              <w:spacing w:line="360" w:lineRule="auto"/>
              <w:jc w:val="center"/>
              <w:rPr>
                <w:rFonts w:ascii="宋体" w:hAnsi="宋体" w:cs="宋体"/>
                <w:szCs w:val="21"/>
                <w:highlight w:val="none"/>
              </w:rPr>
            </w:pPr>
            <w:r>
              <w:rPr>
                <w:rFonts w:ascii="宋体" w:hAnsi="宋体" w:cs="宋体"/>
                <w:szCs w:val="21"/>
                <w:highlight w:val="none"/>
              </w:rPr>
              <w:t>32.1</w:t>
            </w:r>
          </w:p>
        </w:tc>
        <w:tc>
          <w:tcPr>
            <w:tcW w:w="7912" w:type="dxa"/>
            <w:vAlign w:val="center"/>
          </w:tcPr>
          <w:p w14:paraId="32230E82">
            <w:pPr>
              <w:pStyle w:val="13"/>
              <w:snapToGrid w:val="0"/>
              <w:spacing w:line="360" w:lineRule="auto"/>
              <w:rPr>
                <w:rFonts w:hAnsi="宋体" w:cs="宋体"/>
                <w:sz w:val="21"/>
                <w:highlight w:val="none"/>
              </w:rPr>
            </w:pPr>
            <w:r>
              <w:rPr>
                <w:rFonts w:hint="eastAsia" w:hAnsi="宋体" w:cs="宋体"/>
                <w:sz w:val="21"/>
                <w:highlight w:val="none"/>
              </w:rPr>
              <w:t>1.采购代理费支付方式：</w:t>
            </w:r>
          </w:p>
          <w:p w14:paraId="0BAD5EA3">
            <w:pPr>
              <w:pStyle w:val="13"/>
              <w:snapToGrid w:val="0"/>
              <w:spacing w:line="360" w:lineRule="auto"/>
              <w:rPr>
                <w:rFonts w:hAnsi="宋体" w:cs="宋体"/>
                <w:sz w:val="21"/>
                <w:highlight w:val="none"/>
              </w:rPr>
            </w:pPr>
            <w:r>
              <w:rPr>
                <w:rFonts w:hint="eastAsia" w:hAnsi="宋体" w:cs="宋体"/>
                <w:sz w:val="21"/>
                <w:highlight w:val="none"/>
              </w:rPr>
              <w:t>本项目代理服务费由</w:t>
            </w:r>
            <w:r>
              <w:rPr>
                <w:rFonts w:hint="eastAsia" w:hAnsi="宋体" w:cs="宋体"/>
                <w:sz w:val="21"/>
                <w:highlight w:val="none"/>
                <w:u w:val="single"/>
              </w:rPr>
              <w:t>成交供应商</w:t>
            </w:r>
            <w:r>
              <w:rPr>
                <w:rFonts w:hint="eastAsia" w:hAnsi="宋体" w:cs="宋体"/>
                <w:sz w:val="21"/>
                <w:highlight w:val="none"/>
              </w:rPr>
              <w:t>一次性向采购代理机构支付。</w:t>
            </w:r>
          </w:p>
          <w:p w14:paraId="129ED393">
            <w:pPr>
              <w:pStyle w:val="13"/>
              <w:snapToGrid w:val="0"/>
              <w:spacing w:line="360" w:lineRule="auto"/>
              <w:rPr>
                <w:rFonts w:hAnsi="宋体" w:cs="宋体"/>
                <w:sz w:val="21"/>
                <w:highlight w:val="none"/>
              </w:rPr>
            </w:pPr>
            <w:r>
              <w:rPr>
                <w:rFonts w:hint="eastAsia" w:hAnsi="宋体" w:cs="宋体"/>
                <w:sz w:val="21"/>
                <w:highlight w:val="none"/>
              </w:rPr>
              <w:t>2.采购代理费收取标准：</w:t>
            </w:r>
          </w:p>
          <w:p w14:paraId="6648B299">
            <w:pPr>
              <w:pStyle w:val="13"/>
              <w:snapToGrid w:val="0"/>
              <w:spacing w:line="360" w:lineRule="auto"/>
              <w:rPr>
                <w:rFonts w:hAnsi="宋体" w:cs="宋体"/>
                <w:sz w:val="21"/>
                <w:highlight w:val="none"/>
              </w:rPr>
            </w:pPr>
            <w:r>
              <w:rPr>
                <w:rFonts w:hint="eastAsia" w:hAnsi="宋体" w:cs="宋体"/>
                <w:sz w:val="21"/>
                <w:highlight w:val="none"/>
              </w:rPr>
              <w:t>以成交金额为计费额，按本须知正文第</w:t>
            </w:r>
            <w:r>
              <w:rPr>
                <w:rFonts w:hAnsi="宋体" w:cs="宋体"/>
                <w:sz w:val="21"/>
                <w:highlight w:val="none"/>
              </w:rPr>
              <w:t>32</w:t>
            </w:r>
            <w:r>
              <w:rPr>
                <w:rFonts w:hint="eastAsia" w:hAnsi="宋体" w:cs="宋体"/>
                <w:sz w:val="21"/>
                <w:highlight w:val="none"/>
              </w:rPr>
              <w:t>.</w:t>
            </w:r>
            <w:r>
              <w:rPr>
                <w:rFonts w:hAnsi="宋体" w:cs="宋体"/>
                <w:sz w:val="21"/>
                <w:highlight w:val="none"/>
              </w:rPr>
              <w:t>2</w:t>
            </w:r>
            <w:r>
              <w:rPr>
                <w:rFonts w:hint="eastAsia" w:hAnsi="宋体" w:cs="宋体"/>
                <w:sz w:val="21"/>
                <w:highlight w:val="none"/>
              </w:rPr>
              <w:t>条规定的收费计算标准服务类采用差额定率累进法计算出收费基准价格，采购代理收费以收费基准价格收取。</w:t>
            </w:r>
          </w:p>
          <w:p w14:paraId="1C3BA120">
            <w:pPr>
              <w:pStyle w:val="13"/>
              <w:snapToGrid w:val="0"/>
              <w:spacing w:line="360" w:lineRule="auto"/>
              <w:rPr>
                <w:rFonts w:hAnsi="宋体" w:cs="宋体"/>
                <w:sz w:val="21"/>
                <w:highlight w:val="none"/>
              </w:rPr>
            </w:pPr>
            <w:r>
              <w:rPr>
                <w:rFonts w:hint="eastAsia" w:hAnsi="宋体" w:cs="宋体"/>
                <w:sz w:val="21"/>
                <w:highlight w:val="none"/>
              </w:rPr>
              <w:t>3. 采购代理费收取银行账户</w:t>
            </w:r>
          </w:p>
          <w:p w14:paraId="4BF602D4">
            <w:pPr>
              <w:spacing w:line="500" w:lineRule="exact"/>
              <w:rPr>
                <w:rFonts w:ascii="宋体" w:hAnsi="宋体"/>
                <w:color w:val="000000"/>
                <w:kern w:val="0"/>
                <w:szCs w:val="21"/>
                <w:highlight w:val="none"/>
              </w:rPr>
            </w:pPr>
            <w:r>
              <w:rPr>
                <w:rFonts w:hint="eastAsia" w:ascii="宋体" w:hAnsi="宋体"/>
                <w:color w:val="000000"/>
                <w:kern w:val="0"/>
                <w:szCs w:val="21"/>
                <w:highlight w:val="none"/>
              </w:rPr>
              <w:t>开户名称：云之龙咨询集团有限公司钦州分公司</w:t>
            </w:r>
          </w:p>
          <w:p w14:paraId="74EB0F58">
            <w:pPr>
              <w:spacing w:line="500" w:lineRule="exact"/>
              <w:rPr>
                <w:rFonts w:ascii="宋体" w:hAnsi="宋体"/>
                <w:color w:val="000000"/>
                <w:kern w:val="0"/>
                <w:szCs w:val="21"/>
                <w:highlight w:val="none"/>
              </w:rPr>
            </w:pPr>
            <w:r>
              <w:rPr>
                <w:rFonts w:hint="eastAsia" w:ascii="宋体" w:hAnsi="宋体"/>
                <w:color w:val="000000"/>
                <w:kern w:val="0"/>
                <w:szCs w:val="21"/>
                <w:highlight w:val="none"/>
              </w:rPr>
              <w:t>开户银行：中信银行南宁东葛支行；</w:t>
            </w:r>
          </w:p>
          <w:p w14:paraId="40D00C17">
            <w:pPr>
              <w:spacing w:line="500" w:lineRule="exact"/>
              <w:rPr>
                <w:rFonts w:ascii="宋体" w:hAnsi="宋体"/>
                <w:color w:val="000000"/>
                <w:kern w:val="0"/>
                <w:szCs w:val="21"/>
                <w:highlight w:val="none"/>
              </w:rPr>
            </w:pPr>
            <w:r>
              <w:rPr>
                <w:rFonts w:hint="eastAsia" w:ascii="宋体" w:hAnsi="宋体"/>
                <w:color w:val="000000"/>
                <w:kern w:val="0"/>
                <w:szCs w:val="21"/>
                <w:highlight w:val="none"/>
              </w:rPr>
              <w:t>银行账号：8113  0010  1330  0157  979；</w:t>
            </w:r>
          </w:p>
          <w:p w14:paraId="33A391F6">
            <w:pPr>
              <w:pStyle w:val="13"/>
              <w:snapToGrid w:val="0"/>
              <w:spacing w:line="360" w:lineRule="auto"/>
              <w:rPr>
                <w:rFonts w:hAnsi="宋体" w:cs="宋体"/>
                <w:sz w:val="21"/>
                <w:highlight w:val="none"/>
              </w:rPr>
            </w:pPr>
            <w:r>
              <w:rPr>
                <w:rFonts w:hint="eastAsia" w:ascii="Times New Roman" w:hAnsi="宋体"/>
                <w:color w:val="000000"/>
                <w:kern w:val="2"/>
                <w:sz w:val="21"/>
                <w:szCs w:val="24"/>
                <w:highlight w:val="none"/>
              </w:rPr>
              <w:t>行号：</w:t>
            </w:r>
            <w:r>
              <w:rPr>
                <w:rFonts w:ascii="Times New Roman" w:hAnsi="宋体"/>
                <w:color w:val="000000"/>
                <w:kern w:val="2"/>
                <w:sz w:val="21"/>
                <w:szCs w:val="24"/>
                <w:highlight w:val="none"/>
              </w:rPr>
              <w:t>3026  1102  9137</w:t>
            </w:r>
          </w:p>
        </w:tc>
      </w:tr>
      <w:tr w14:paraId="612BA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319097">
            <w:pPr>
              <w:spacing w:line="360" w:lineRule="auto"/>
              <w:jc w:val="center"/>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3.1</w:t>
            </w:r>
          </w:p>
        </w:tc>
        <w:tc>
          <w:tcPr>
            <w:tcW w:w="7912" w:type="dxa"/>
            <w:vAlign w:val="center"/>
          </w:tcPr>
          <w:p w14:paraId="43161C5F">
            <w:pPr>
              <w:pStyle w:val="13"/>
              <w:snapToGrid w:val="0"/>
              <w:spacing w:line="360" w:lineRule="auto"/>
              <w:rPr>
                <w:rFonts w:hAnsi="宋体" w:cs="宋体"/>
                <w:kern w:val="2"/>
                <w:sz w:val="21"/>
                <w:highlight w:val="none"/>
              </w:rPr>
            </w:pPr>
            <w:r>
              <w:rPr>
                <w:rFonts w:hint="eastAsia" w:hAnsi="宋体" w:cs="宋体"/>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2D746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50E8EF">
            <w:pPr>
              <w:spacing w:line="360" w:lineRule="auto"/>
              <w:jc w:val="center"/>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3.2</w:t>
            </w:r>
          </w:p>
        </w:tc>
        <w:tc>
          <w:tcPr>
            <w:tcW w:w="7912" w:type="dxa"/>
            <w:vAlign w:val="center"/>
          </w:tcPr>
          <w:p w14:paraId="1B19F5F3">
            <w:pPr>
              <w:pStyle w:val="13"/>
              <w:snapToGrid w:val="0"/>
              <w:spacing w:line="360" w:lineRule="auto"/>
              <w:rPr>
                <w:rFonts w:hAnsi="宋体" w:cs="宋体"/>
                <w:sz w:val="21"/>
                <w:highlight w:val="none"/>
              </w:rPr>
            </w:pPr>
            <w:r>
              <w:rPr>
                <w:rFonts w:hint="eastAsia" w:hAnsi="宋体" w:cs="宋体"/>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B689C51">
            <w:pPr>
              <w:pStyle w:val="13"/>
              <w:snapToGrid w:val="0"/>
              <w:spacing w:line="360" w:lineRule="auto"/>
              <w:rPr>
                <w:rFonts w:hAnsi="宋体" w:cs="宋体"/>
                <w:sz w:val="21"/>
                <w:highlight w:val="none"/>
              </w:rPr>
            </w:pPr>
            <w:r>
              <w:rPr>
                <w:rFonts w:hint="eastAsia" w:hAnsi="宋体" w:cs="宋体"/>
                <w:bCs/>
                <w:sz w:val="21"/>
                <w:highlight w:val="none"/>
              </w:rPr>
              <w:t>2.本磋商文件所称的“</w:t>
            </w:r>
            <w:r>
              <w:rPr>
                <w:rFonts w:hint="eastAsia" w:hAnsi="宋体"/>
                <w:sz w:val="21"/>
                <w:highlight w:val="none"/>
              </w:rPr>
              <w:t>电子签章</w:t>
            </w:r>
            <w:r>
              <w:rPr>
                <w:rFonts w:hint="eastAsia" w:hAnsi="宋体" w:cs="宋体"/>
                <w:bCs/>
                <w:sz w:val="21"/>
                <w:highlight w:val="none"/>
              </w:rPr>
              <w:t>”、“电子签名”</w:t>
            </w:r>
            <w:r>
              <w:rPr>
                <w:rFonts w:hint="eastAsia" w:hAnsi="宋体"/>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2D3769A6">
            <w:pPr>
              <w:pStyle w:val="13"/>
              <w:snapToGrid w:val="0"/>
              <w:spacing w:line="360" w:lineRule="auto"/>
              <w:rPr>
                <w:rFonts w:hAnsi="宋体" w:cs="宋体"/>
                <w:bCs/>
                <w:sz w:val="21"/>
                <w:highlight w:val="none"/>
              </w:rPr>
            </w:pPr>
            <w:r>
              <w:rPr>
                <w:rFonts w:hAnsi="宋体" w:cs="宋体"/>
                <w:sz w:val="21"/>
                <w:highlight w:val="none"/>
              </w:rPr>
              <w:t>3</w:t>
            </w:r>
            <w:r>
              <w:rPr>
                <w:rFonts w:hint="eastAsia" w:hAnsi="宋体" w:cs="宋体"/>
                <w:sz w:val="21"/>
                <w:highlight w:val="none"/>
              </w:rPr>
              <w:t>.供应商为其他组织或者自然人时，本磋商文件规定的法定代表人指负责人或者自然人。本磋商文件所称负责人是指参加竞标的其他组织</w:t>
            </w:r>
            <w:r>
              <w:rPr>
                <w:rFonts w:hint="eastAsia" w:hAnsi="宋体" w:cs="宋体"/>
                <w:bCs/>
                <w:sz w:val="21"/>
                <w:highlight w:val="none"/>
              </w:rPr>
              <w:t>营业执照或者执业许可证等证照上的</w:t>
            </w:r>
            <w:r>
              <w:rPr>
                <w:rFonts w:hint="eastAsia" w:hAnsi="宋体" w:cs="宋体"/>
                <w:sz w:val="21"/>
                <w:highlight w:val="none"/>
              </w:rPr>
              <w:t>负责人，本磋商文件所称自然人指参与竞标的自然人本人，</w:t>
            </w:r>
            <w:r>
              <w:rPr>
                <w:rFonts w:hint="eastAsia" w:hAnsi="宋体" w:cs="宋体"/>
                <w:bCs/>
                <w:sz w:val="21"/>
                <w:highlight w:val="none"/>
              </w:rPr>
              <w:t>且应具备独立承担民事责任能力，自然人应当为年满18岁以上成年人（十六周岁以上的未成年人，以自己的劳动收入为主要生活来源的，视为完全民事行为能力人）。</w:t>
            </w:r>
          </w:p>
          <w:p w14:paraId="1E947738">
            <w:pPr>
              <w:pStyle w:val="13"/>
              <w:snapToGrid w:val="0"/>
              <w:spacing w:line="360" w:lineRule="auto"/>
              <w:rPr>
                <w:rFonts w:hAnsi="宋体" w:cs="宋体"/>
                <w:sz w:val="21"/>
                <w:highlight w:val="none"/>
              </w:rPr>
            </w:pPr>
            <w:r>
              <w:rPr>
                <w:rFonts w:hAnsi="宋体" w:cs="宋体"/>
                <w:sz w:val="21"/>
                <w:highlight w:val="none"/>
              </w:rPr>
              <w:t>4.</w:t>
            </w:r>
            <w:r>
              <w:rPr>
                <w:rFonts w:hint="eastAsia" w:hAnsi="宋体" w:cs="宋体"/>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6AFD7A15">
            <w:pPr>
              <w:pStyle w:val="13"/>
              <w:snapToGrid w:val="0"/>
              <w:spacing w:line="360" w:lineRule="auto"/>
              <w:rPr>
                <w:rFonts w:hAnsi="宋体" w:cs="宋体"/>
                <w:sz w:val="21"/>
                <w:highlight w:val="none"/>
              </w:rPr>
            </w:pPr>
            <w:r>
              <w:rPr>
                <w:rFonts w:hint="eastAsia" w:hAnsi="宋体" w:cs="宋体"/>
                <w:sz w:val="21"/>
                <w:highlight w:val="none"/>
              </w:rPr>
              <w:t>5</w:t>
            </w:r>
            <w:r>
              <w:rPr>
                <w:rFonts w:hAnsi="宋体" w:cs="宋体"/>
                <w:sz w:val="21"/>
                <w:highlight w:val="none"/>
              </w:rPr>
              <w:t>.</w:t>
            </w:r>
            <w:r>
              <w:rPr>
                <w:rFonts w:hint="eastAsia" w:hAnsi="宋体" w:cs="宋体"/>
                <w:sz w:val="21"/>
                <w:highlight w:val="none"/>
              </w:rPr>
              <w:t>本磋商文件所称的“以上”“以下”“以内”“届满”，包括本数；所称的“不满”“超过”“以外”，不包括本数。</w:t>
            </w:r>
          </w:p>
        </w:tc>
      </w:tr>
    </w:tbl>
    <w:p w14:paraId="5F62D817">
      <w:pPr>
        <w:spacing w:line="400" w:lineRule="exact"/>
        <w:jc w:val="center"/>
        <w:rPr>
          <w:rFonts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供应商须知正文</w:t>
      </w:r>
    </w:p>
    <w:p w14:paraId="0C179F72">
      <w:pPr>
        <w:spacing w:line="400" w:lineRule="exact"/>
        <w:jc w:val="center"/>
        <w:rPr>
          <w:rFonts w:ascii="宋体" w:hAnsi="宋体"/>
          <w:b/>
          <w:sz w:val="32"/>
          <w:szCs w:val="32"/>
          <w:highlight w:val="none"/>
        </w:rPr>
      </w:pPr>
    </w:p>
    <w:p w14:paraId="7761F751">
      <w:pPr>
        <w:spacing w:line="400" w:lineRule="exact"/>
        <w:jc w:val="center"/>
        <w:rPr>
          <w:rFonts w:ascii="宋体" w:hAnsi="宋体"/>
          <w:b/>
          <w:sz w:val="32"/>
          <w:szCs w:val="32"/>
          <w:highlight w:val="none"/>
        </w:rPr>
      </w:pPr>
      <w:r>
        <w:rPr>
          <w:rFonts w:hint="eastAsia" w:ascii="宋体" w:hAnsi="宋体"/>
          <w:b/>
          <w:sz w:val="32"/>
          <w:szCs w:val="32"/>
          <w:highlight w:val="none"/>
        </w:rPr>
        <w:t>一、总则</w:t>
      </w:r>
    </w:p>
    <w:p w14:paraId="27D14B5A">
      <w:pPr>
        <w:spacing w:line="400" w:lineRule="exact"/>
        <w:rPr>
          <w:rFonts w:ascii="宋体" w:hAnsi="宋体"/>
          <w:szCs w:val="21"/>
          <w:highlight w:val="none"/>
        </w:rPr>
      </w:pPr>
    </w:p>
    <w:p w14:paraId="0189D6D1">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1.适用范围</w:t>
      </w:r>
    </w:p>
    <w:p w14:paraId="504FEAC6">
      <w:pPr>
        <w:spacing w:line="360" w:lineRule="auto"/>
        <w:ind w:firstLine="420" w:firstLineChars="200"/>
        <w:rPr>
          <w:rFonts w:ascii="宋体" w:hAnsi="宋体" w:cs="宋体"/>
          <w:szCs w:val="21"/>
          <w:highlight w:val="none"/>
        </w:rPr>
      </w:pPr>
      <w:r>
        <w:rPr>
          <w:rFonts w:hint="eastAsia" w:ascii="宋体" w:hAnsi="宋体" w:cs="宋体"/>
          <w:szCs w:val="21"/>
          <w:highlight w:val="none"/>
        </w:rPr>
        <w:t>1.1本项目采购人、采购代理机构、供应商、磋商小组的相关行为均受《中华人民共和国政府采购法》《中华人民共和国政府采购法实施条例》</w:t>
      </w:r>
      <w:r>
        <w:rPr>
          <w:rFonts w:hint="eastAsia" w:ascii="宋体" w:hAnsi="宋体"/>
          <w:szCs w:val="21"/>
          <w:highlight w:val="none"/>
        </w:rPr>
        <w:t>《政府采购竞争性磋商采购方式管理暂行办法》《财政部关于政府采购竞争性磋商采购方式管理暂行办法有关问题的补充通知》</w:t>
      </w:r>
      <w:r>
        <w:rPr>
          <w:rFonts w:hint="eastAsia" w:ascii="宋体" w:hAnsi="宋体" w:cs="宋体"/>
          <w:szCs w:val="21"/>
          <w:highlight w:val="none"/>
        </w:rPr>
        <w:t>及本项目本级和上级财政部门政府采购有关规定的约束和保护。</w:t>
      </w:r>
    </w:p>
    <w:p w14:paraId="605124A7">
      <w:pPr>
        <w:spacing w:line="360" w:lineRule="auto"/>
        <w:ind w:firstLine="420" w:firstLineChars="200"/>
        <w:rPr>
          <w:rFonts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本竞争性磋商文件（以下简称磋商文件）适用于本项目的所有采购程序和环节（法律、法规另有规定的，从其规定）。</w:t>
      </w:r>
    </w:p>
    <w:p w14:paraId="269866D5">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2.定义</w:t>
      </w:r>
    </w:p>
    <w:p w14:paraId="6DA8694C">
      <w:pPr>
        <w:spacing w:line="360" w:lineRule="auto"/>
        <w:ind w:firstLine="420" w:firstLineChars="200"/>
        <w:rPr>
          <w:rFonts w:ascii="宋体" w:hAnsi="宋体" w:cs="宋体"/>
          <w:szCs w:val="21"/>
          <w:highlight w:val="none"/>
        </w:rPr>
      </w:pPr>
      <w:r>
        <w:rPr>
          <w:rFonts w:hint="eastAsia" w:ascii="宋体" w:hAnsi="宋体" w:cs="宋体"/>
          <w:szCs w:val="21"/>
          <w:highlight w:val="none"/>
        </w:rPr>
        <w:t>2.1“采购人”是指依法进行政府采购的国家机关、事业单位、团体组织。</w:t>
      </w:r>
    </w:p>
    <w:p w14:paraId="5225DD72">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2.2“采购代理机构”是指政府采购集中采购机构和集中采购机构以外的采购代理机构。</w:t>
      </w:r>
    </w:p>
    <w:p w14:paraId="08202DF7">
      <w:pPr>
        <w:spacing w:line="360" w:lineRule="auto"/>
        <w:ind w:firstLine="420" w:firstLineChars="200"/>
        <w:rPr>
          <w:rFonts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14:paraId="4C578D26">
      <w:pPr>
        <w:spacing w:line="360" w:lineRule="auto"/>
        <w:ind w:firstLine="420" w:firstLineChars="200"/>
        <w:rPr>
          <w:rFonts w:ascii="宋体" w:hAnsi="宋体" w:cs="宋体"/>
          <w:szCs w:val="21"/>
          <w:highlight w:val="none"/>
        </w:rPr>
      </w:pPr>
      <w:r>
        <w:rPr>
          <w:rFonts w:hint="eastAsia" w:ascii="宋体" w:hAnsi="宋体"/>
          <w:szCs w:val="21"/>
          <w:highlight w:val="none"/>
        </w:rPr>
        <w:t>2.4“服务”是指除货物和工程以外的其他政府采购对象。</w:t>
      </w:r>
    </w:p>
    <w:p w14:paraId="4CD6B58F">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5</w:t>
      </w:r>
      <w:r>
        <w:rPr>
          <w:rFonts w:hint="eastAsia" w:ascii="宋体" w:hAnsi="宋体" w:cs="宋体"/>
          <w:szCs w:val="21"/>
          <w:highlight w:val="none"/>
        </w:rPr>
        <w:t>“竞标”是指供应商按照本项目竞争性磋商公告规定的方式获取磋商文件、提交响应文件并希望获得标的的行为。</w:t>
      </w:r>
    </w:p>
    <w:p w14:paraId="5F965201">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2.6“书面形式”是指合同书、信件和数据电文（包括电报、电传、传真、电子数据交换和电子邮件）等可以有形地表现所载内容的形式。</w:t>
      </w:r>
    </w:p>
    <w:p w14:paraId="66B4EE5F">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2.7“响应文件”</w:t>
      </w:r>
      <w:r>
        <w:rPr>
          <w:rFonts w:hint="eastAsia" w:ascii="宋体" w:hAnsi="宋体" w:cs="宋体"/>
          <w:spacing w:val="-6"/>
          <w:szCs w:val="21"/>
          <w:highlight w:val="none"/>
        </w:rPr>
        <w:t>是指：供应商根据本磋商文件要求，编制包含资格证明、报价、商务技术等所有内容的文件。</w:t>
      </w:r>
    </w:p>
    <w:p w14:paraId="67069688">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2.8“实质性要求”是指磋商文件中已经指明不满足则响应文件按无效响应处理的条款，或者不能负偏离的条款，或者采购需求中带“▲”的条款。</w:t>
      </w:r>
    </w:p>
    <w:p w14:paraId="4F5C1F20">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2.9“正偏离”，是指响应文件对磋商文件“采购需求”中有关条款作出的响应优于条款要求并有利于采购人的情形。</w:t>
      </w:r>
    </w:p>
    <w:p w14:paraId="24015161">
      <w:pPr>
        <w:spacing w:line="360" w:lineRule="auto"/>
        <w:ind w:firstLine="420" w:firstLineChars="200"/>
        <w:contextualSpacing/>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10“负偏离”，是指响应文件对磋商文件“采购需求”中有关条款作出的响应不满足条款要求，导致采购人要求不能得到满足的情形。</w:t>
      </w:r>
    </w:p>
    <w:p w14:paraId="5B43AF94">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2.11“允许负偏离的条款”是指采购需求中的不属于“实质性要求”的条款。</w:t>
      </w:r>
    </w:p>
    <w:p w14:paraId="50CFDE5D">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1</w:t>
      </w:r>
      <w:r>
        <w:rPr>
          <w:rFonts w:hint="eastAsia" w:ascii="宋体" w:hAnsi="宋体" w:cs="宋体"/>
          <w:szCs w:val="21"/>
          <w:highlight w:val="none"/>
        </w:rPr>
        <w:t>2“首次报价”是指供应商提交的首次响应文件中的报价。</w:t>
      </w:r>
    </w:p>
    <w:p w14:paraId="799DF61C">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3.供应商的资格条件</w:t>
      </w:r>
    </w:p>
    <w:p w14:paraId="16F11F84">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供应商的资格条件详见“供应商须知前附表”。</w:t>
      </w:r>
    </w:p>
    <w:p w14:paraId="10E607F7">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4.竞标费用</w:t>
      </w:r>
    </w:p>
    <w:p w14:paraId="5C29E85B">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供应商应承担参与本次采购活动有关的所有费用，包括但不限于获取磋商文件、勘查现场、编制和提交响应文件、参加磋商与应答、签订合同等，不论竞标结果如何，均应自行承担。</w:t>
      </w:r>
    </w:p>
    <w:p w14:paraId="74399B1C">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5.联合体竞标</w:t>
      </w:r>
    </w:p>
    <w:p w14:paraId="08A47381">
      <w:pPr>
        <w:spacing w:line="360" w:lineRule="auto"/>
        <w:ind w:firstLine="420" w:firstLineChars="200"/>
        <w:rPr>
          <w:rFonts w:ascii="宋体" w:hAnsi="宋体" w:cs="宋体"/>
          <w:szCs w:val="21"/>
          <w:highlight w:val="none"/>
        </w:rPr>
      </w:pPr>
      <w:r>
        <w:rPr>
          <w:rFonts w:hint="eastAsia" w:ascii="宋体" w:hAnsi="宋体" w:cs="宋体"/>
          <w:szCs w:val="21"/>
          <w:highlight w:val="none"/>
        </w:rPr>
        <w:t>5.1本项目是否接受联合体竞标，详见“供应商须知前附表”。</w:t>
      </w:r>
    </w:p>
    <w:p w14:paraId="33B2F86B">
      <w:pPr>
        <w:spacing w:line="360" w:lineRule="auto"/>
        <w:ind w:firstLine="420" w:firstLineChars="200"/>
        <w:rPr>
          <w:rFonts w:ascii="宋体" w:hAnsi="宋体" w:cs="宋体"/>
          <w:szCs w:val="21"/>
          <w:highlight w:val="none"/>
        </w:rPr>
      </w:pPr>
      <w:r>
        <w:rPr>
          <w:rFonts w:hint="eastAsia" w:ascii="宋体" w:hAnsi="宋体" w:cs="宋体"/>
          <w:szCs w:val="21"/>
          <w:highlight w:val="none"/>
        </w:rPr>
        <w:t>5.2</w:t>
      </w:r>
      <w:r>
        <w:rPr>
          <w:rFonts w:hint="eastAsia" w:ascii="宋体" w:hAnsi="宋体"/>
          <w:highlight w:val="none"/>
        </w:rPr>
        <w:t>如接受联合体竞标，</w:t>
      </w:r>
      <w:r>
        <w:rPr>
          <w:rFonts w:hint="eastAsia" w:ascii="宋体" w:hAnsi="宋体" w:cs="宋体"/>
          <w:szCs w:val="21"/>
          <w:highlight w:val="none"/>
        </w:rPr>
        <w:t>联合体竞标要求详见“供应商须知前附表”。</w:t>
      </w:r>
    </w:p>
    <w:p w14:paraId="7CD7263F">
      <w:pPr>
        <w:spacing w:line="360" w:lineRule="auto"/>
        <w:ind w:firstLine="420" w:firstLineChars="200"/>
        <w:rPr>
          <w:rFonts w:ascii="宋体" w:hAnsi="宋体" w:cs="宋体"/>
          <w:szCs w:val="21"/>
          <w:highlight w:val="none"/>
        </w:rPr>
      </w:pPr>
      <w:r>
        <w:rPr>
          <w:rFonts w:hint="eastAsia" w:ascii="宋体" w:hAnsi="宋体" w:cs="宋体"/>
          <w:szCs w:val="21"/>
          <w:highlight w:val="none"/>
        </w:rPr>
        <w:t>5.3</w:t>
      </w:r>
      <w:bookmarkStart w:id="61" w:name="_Hlk66782192"/>
      <w:r>
        <w:rPr>
          <w:rFonts w:hint="eastAsia" w:ascii="宋体" w:hAnsi="宋体"/>
          <w:bCs/>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1"/>
    </w:p>
    <w:p w14:paraId="25C7B33C">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 xml:space="preserve">6.转包与分包             </w:t>
      </w:r>
    </w:p>
    <w:p w14:paraId="6AAEF764">
      <w:pPr>
        <w:pStyle w:val="4"/>
        <w:keepNext w:val="0"/>
        <w:keepLines w:val="0"/>
        <w:spacing w:before="0" w:after="0" w:line="360" w:lineRule="auto"/>
        <w:ind w:left="420" w:leftChars="200"/>
        <w:rPr>
          <w:rFonts w:ascii="宋体" w:hAnsi="宋体"/>
          <w:b w:val="0"/>
          <w:sz w:val="21"/>
          <w:szCs w:val="21"/>
          <w:highlight w:val="none"/>
        </w:rPr>
      </w:pPr>
      <w:bookmarkStart w:id="62" w:name="_Toc254970532"/>
      <w:bookmarkStart w:id="63" w:name="_Toc254970673"/>
      <w:r>
        <w:rPr>
          <w:rFonts w:hint="eastAsia" w:ascii="宋体" w:hAnsi="宋体"/>
          <w:b w:val="0"/>
          <w:sz w:val="21"/>
          <w:szCs w:val="21"/>
          <w:highlight w:val="none"/>
        </w:rPr>
        <w:t>6.1本项目不允许转包。</w:t>
      </w:r>
    </w:p>
    <w:p w14:paraId="1D666972">
      <w:pPr>
        <w:pStyle w:val="4"/>
        <w:keepNext w:val="0"/>
        <w:keepLines w:val="0"/>
        <w:spacing w:before="0" w:after="0" w:line="360" w:lineRule="auto"/>
        <w:ind w:firstLine="315" w:firstLineChars="150"/>
        <w:rPr>
          <w:rFonts w:ascii="宋体" w:hAnsi="宋体"/>
          <w:b w:val="0"/>
          <w:sz w:val="21"/>
          <w:szCs w:val="21"/>
          <w:highlight w:val="none"/>
        </w:rPr>
      </w:pPr>
      <w:r>
        <w:rPr>
          <w:rFonts w:hint="eastAsia" w:ascii="宋体" w:hAnsi="宋体"/>
          <w:b w:val="0"/>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6694A63">
      <w:pPr>
        <w:pStyle w:val="4"/>
        <w:keepNext w:val="0"/>
        <w:keepLines w:val="0"/>
        <w:spacing w:before="0" w:after="0" w:line="360" w:lineRule="auto"/>
        <w:ind w:firstLine="315" w:firstLineChars="150"/>
        <w:rPr>
          <w:rFonts w:ascii="宋体" w:hAnsi="宋体"/>
          <w:b w:val="0"/>
          <w:sz w:val="21"/>
          <w:szCs w:val="21"/>
          <w:highlight w:val="none"/>
        </w:rPr>
      </w:pPr>
      <w:r>
        <w:rPr>
          <w:rFonts w:hint="eastAsia" w:ascii="宋体" w:hAnsi="宋体"/>
          <w:b w:val="0"/>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42B3BFE4">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7.特别说明</w:t>
      </w:r>
      <w:bookmarkEnd w:id="62"/>
      <w:bookmarkEnd w:id="63"/>
    </w:p>
    <w:p w14:paraId="1DEEED2A">
      <w:pPr>
        <w:spacing w:line="360" w:lineRule="auto"/>
        <w:ind w:firstLine="420" w:firstLineChars="200"/>
        <w:rPr>
          <w:rFonts w:ascii="宋体" w:hAnsi="宋体" w:cs="宋体"/>
          <w:szCs w:val="21"/>
          <w:highlight w:val="none"/>
        </w:rPr>
      </w:pPr>
      <w:bookmarkStart w:id="64" w:name="_8.1提供相同品牌产品且通过资格审查、符合性审查的不同投标人参加同一合"/>
      <w:bookmarkEnd w:id="64"/>
      <w:r>
        <w:rPr>
          <w:rFonts w:hint="eastAsia" w:ascii="宋体" w:hAnsi="宋体" w:cs="宋体"/>
          <w:szCs w:val="21"/>
          <w:highlight w:val="none"/>
        </w:rPr>
        <w:t>7.</w:t>
      </w:r>
      <w:r>
        <w:rPr>
          <w:rFonts w:ascii="宋体" w:hAnsi="宋体" w:cs="宋体"/>
          <w:szCs w:val="21"/>
          <w:highlight w:val="none"/>
        </w:rPr>
        <w:t>1</w:t>
      </w:r>
      <w:bookmarkStart w:id="65" w:name="_Hlk65832145"/>
      <w:r>
        <w:rPr>
          <w:rFonts w:hint="eastAsia" w:ascii="宋体" w:hAnsi="宋体"/>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highlight w:val="none"/>
        </w:rPr>
        <w:t>。</w:t>
      </w:r>
    </w:p>
    <w:bookmarkEnd w:id="65"/>
    <w:p w14:paraId="78842008">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2</w:t>
      </w:r>
      <w:r>
        <w:rPr>
          <w:rFonts w:hint="eastAsia" w:ascii="宋体" w:hAnsi="宋体" w:cs="宋体"/>
          <w:szCs w:val="21"/>
          <w:highlight w:val="none"/>
        </w:rPr>
        <w:t>供应商应仔细阅读磋商文件的所有内容，按照磋商文件的要求提交响应文件，并对所提供的全部资料的真实性承担法律责任。</w:t>
      </w:r>
    </w:p>
    <w:p w14:paraId="1F0B21D5">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3</w:t>
      </w:r>
      <w:r>
        <w:rPr>
          <w:rFonts w:hint="eastAsia" w:ascii="宋体" w:hAnsi="宋体" w:cs="宋体"/>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2FDB27B">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4</w:t>
      </w:r>
      <w:r>
        <w:rPr>
          <w:rFonts w:hint="eastAsia" w:ascii="宋体" w:hAnsi="宋体" w:cs="宋体"/>
          <w:szCs w:val="21"/>
          <w:highlight w:val="none"/>
        </w:rPr>
        <w:t>在政府采购活动中，采购人员及相关人员与供应商有下列利害关系之一的，应当回避：</w:t>
      </w:r>
    </w:p>
    <w:p w14:paraId="66EB27B3">
      <w:pPr>
        <w:spacing w:line="360" w:lineRule="auto"/>
        <w:ind w:firstLine="420" w:firstLineChars="200"/>
        <w:rPr>
          <w:rFonts w:ascii="宋体" w:hAnsi="宋体" w:cs="宋体"/>
          <w:szCs w:val="21"/>
          <w:highlight w:val="none"/>
        </w:rPr>
      </w:pPr>
      <w:r>
        <w:rPr>
          <w:rFonts w:hint="eastAsia" w:ascii="宋体" w:hAnsi="宋体" w:cs="宋体"/>
          <w:szCs w:val="21"/>
          <w:highlight w:val="none"/>
        </w:rPr>
        <w:t>（1）参加采购活动前3年内与供应商存在劳动关系；</w:t>
      </w:r>
    </w:p>
    <w:p w14:paraId="2F071838">
      <w:pPr>
        <w:spacing w:line="360" w:lineRule="auto"/>
        <w:ind w:firstLine="420" w:firstLineChars="200"/>
        <w:rPr>
          <w:rFonts w:ascii="宋体" w:hAnsi="宋体" w:cs="宋体"/>
          <w:szCs w:val="21"/>
          <w:highlight w:val="none"/>
        </w:rPr>
      </w:pPr>
      <w:r>
        <w:rPr>
          <w:rFonts w:hint="eastAsia" w:ascii="宋体" w:hAnsi="宋体" w:cs="宋体"/>
          <w:szCs w:val="21"/>
          <w:highlight w:val="none"/>
        </w:rPr>
        <w:t>（2）参加采购活动前3年内担任供应商的董事、监事；</w:t>
      </w:r>
    </w:p>
    <w:p w14:paraId="66473A9E">
      <w:pPr>
        <w:spacing w:line="360" w:lineRule="auto"/>
        <w:ind w:firstLine="420" w:firstLineChars="200"/>
        <w:rPr>
          <w:rFonts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483A76F4">
      <w:pPr>
        <w:spacing w:line="360" w:lineRule="auto"/>
        <w:ind w:firstLine="420" w:firstLineChars="200"/>
        <w:rPr>
          <w:rFonts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5FE51D73">
      <w:pPr>
        <w:spacing w:line="360" w:lineRule="auto"/>
        <w:ind w:firstLine="420" w:firstLineChars="200"/>
        <w:rPr>
          <w:rFonts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3710A08C">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220FC52">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5</w:t>
      </w:r>
      <w:r>
        <w:rPr>
          <w:rFonts w:hint="eastAsia" w:ascii="宋体" w:hAnsi="宋体" w:cs="宋体"/>
          <w:szCs w:val="21"/>
          <w:highlight w:val="none"/>
        </w:rPr>
        <w:t>有下列情形之一的视为供应商相互串通竞标，响应文件将被视为无效：</w:t>
      </w:r>
    </w:p>
    <w:p w14:paraId="2E7D78B0">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（1）不同供应商的响应文件由同一单位或者个人编制； </w:t>
      </w:r>
    </w:p>
    <w:p w14:paraId="47933D9C">
      <w:pPr>
        <w:spacing w:line="360" w:lineRule="auto"/>
        <w:ind w:firstLine="420" w:firstLineChars="200"/>
        <w:rPr>
          <w:rFonts w:ascii="宋体" w:hAnsi="宋体" w:cs="宋体"/>
          <w:szCs w:val="21"/>
          <w:highlight w:val="none"/>
        </w:rPr>
      </w:pPr>
      <w:r>
        <w:rPr>
          <w:rFonts w:hint="eastAsia" w:ascii="宋体" w:hAnsi="宋体" w:cs="宋体"/>
          <w:szCs w:val="21"/>
          <w:highlight w:val="none"/>
        </w:rPr>
        <w:t>（2）不同供应商委托同一单位或者个人办理竞标事宜；</w:t>
      </w:r>
    </w:p>
    <w:p w14:paraId="4A393C95">
      <w:pPr>
        <w:spacing w:line="360" w:lineRule="auto"/>
        <w:ind w:firstLine="420" w:firstLineChars="200"/>
        <w:rPr>
          <w:rFonts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1DBAF70A">
      <w:pPr>
        <w:spacing w:line="360" w:lineRule="auto"/>
        <w:ind w:firstLine="420" w:firstLineChars="200"/>
        <w:rPr>
          <w:rFonts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55A8205C">
      <w:pPr>
        <w:spacing w:line="360" w:lineRule="auto"/>
        <w:ind w:firstLine="420" w:firstLineChars="200"/>
        <w:rPr>
          <w:rFonts w:ascii="宋体" w:hAnsi="宋体" w:cs="宋体"/>
          <w:szCs w:val="21"/>
          <w:highlight w:val="none"/>
        </w:rPr>
      </w:pPr>
      <w:r>
        <w:rPr>
          <w:rFonts w:hint="eastAsia" w:ascii="宋体" w:hAnsi="宋体" w:cs="宋体"/>
          <w:szCs w:val="21"/>
          <w:highlight w:val="none"/>
        </w:rPr>
        <w:t>（5）不同供应商的响应文件相互混装；</w:t>
      </w:r>
    </w:p>
    <w:p w14:paraId="3B09721A">
      <w:pPr>
        <w:tabs>
          <w:tab w:val="left" w:pos="6931"/>
        </w:tabs>
        <w:spacing w:line="360" w:lineRule="auto"/>
        <w:ind w:firstLine="420" w:firstLineChars="200"/>
        <w:rPr>
          <w:rFonts w:ascii="宋体" w:hAnsi="宋体" w:cs="宋体"/>
          <w:szCs w:val="21"/>
          <w:highlight w:val="none"/>
        </w:rPr>
      </w:pPr>
      <w:r>
        <w:rPr>
          <w:rFonts w:hint="eastAsia" w:ascii="宋体" w:hAnsi="宋体" w:cs="宋体"/>
          <w:szCs w:val="21"/>
          <w:highlight w:val="none"/>
        </w:rPr>
        <w:t>（6）不同供应商的磋商保证金从同一单位或者个人账户转出。</w:t>
      </w:r>
      <w:r>
        <w:rPr>
          <w:rFonts w:ascii="宋体" w:hAnsi="宋体" w:cs="宋体"/>
          <w:szCs w:val="21"/>
          <w:highlight w:val="none"/>
        </w:rPr>
        <w:tab/>
      </w:r>
    </w:p>
    <w:p w14:paraId="0F0F0D60">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6</w:t>
      </w:r>
      <w:r>
        <w:rPr>
          <w:rFonts w:hint="eastAsia" w:ascii="宋体" w:hAnsi="宋体" w:cs="宋体"/>
          <w:szCs w:val="21"/>
          <w:highlight w:val="none"/>
        </w:rPr>
        <w:t>供应商有下列情形之一的，属于恶意串通行为，将报同级监督管理部门：</w:t>
      </w:r>
    </w:p>
    <w:p w14:paraId="13118349">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006D664D">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2D67AD67">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4ECD7F7B">
      <w:pPr>
        <w:spacing w:line="360" w:lineRule="auto"/>
        <w:ind w:firstLine="420" w:firstLineChars="200"/>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501F9AE8">
      <w:pPr>
        <w:spacing w:line="360" w:lineRule="auto"/>
        <w:ind w:firstLine="420" w:firstLineChars="200"/>
        <w:rPr>
          <w:rFonts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293A4B7D">
      <w:pPr>
        <w:spacing w:line="360" w:lineRule="auto"/>
        <w:ind w:firstLine="420" w:firstLineChars="200"/>
        <w:rPr>
          <w:rFonts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2D16D8A7">
      <w:pPr>
        <w:spacing w:line="360" w:lineRule="auto"/>
        <w:ind w:firstLine="420" w:firstLineChars="200"/>
        <w:rPr>
          <w:rFonts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4A451806">
      <w:pPr>
        <w:spacing w:line="360" w:lineRule="auto"/>
        <w:ind w:firstLine="420" w:firstLineChars="200"/>
        <w:rPr>
          <w:rFonts w:ascii="宋体" w:hAnsi="宋体" w:cs="宋体"/>
          <w:szCs w:val="21"/>
          <w:highlight w:val="none"/>
        </w:rPr>
      </w:pPr>
    </w:p>
    <w:p w14:paraId="61E3C403">
      <w:pPr>
        <w:spacing w:line="360" w:lineRule="auto"/>
        <w:ind w:left="1" w:firstLine="417" w:firstLineChars="199"/>
        <w:jc w:val="center"/>
        <w:rPr>
          <w:rFonts w:ascii="宋体" w:hAnsi="宋体"/>
          <w:highlight w:val="none"/>
        </w:rPr>
      </w:pPr>
      <w:bookmarkStart w:id="66" w:name="_Toc254970675"/>
      <w:bookmarkStart w:id="67" w:name="_Toc254970534"/>
    </w:p>
    <w:p w14:paraId="5E550712">
      <w:pPr>
        <w:spacing w:line="360" w:lineRule="auto"/>
        <w:jc w:val="center"/>
        <w:rPr>
          <w:rFonts w:ascii="宋体" w:hAnsi="宋体"/>
          <w:b/>
          <w:bCs/>
          <w:sz w:val="32"/>
          <w:szCs w:val="32"/>
          <w:highlight w:val="none"/>
        </w:rPr>
      </w:pPr>
      <w:r>
        <w:rPr>
          <w:rFonts w:hint="eastAsia" w:ascii="宋体" w:hAnsi="宋体"/>
          <w:b/>
          <w:bCs/>
          <w:sz w:val="32"/>
          <w:szCs w:val="32"/>
          <w:highlight w:val="none"/>
        </w:rPr>
        <w:t>二、磋商文件</w:t>
      </w:r>
      <w:bookmarkEnd w:id="66"/>
      <w:bookmarkEnd w:id="67"/>
    </w:p>
    <w:p w14:paraId="76326390">
      <w:pPr>
        <w:spacing w:line="360" w:lineRule="auto"/>
        <w:rPr>
          <w:rFonts w:ascii="宋体" w:hAnsi="宋体"/>
          <w:szCs w:val="21"/>
          <w:highlight w:val="none"/>
        </w:rPr>
      </w:pPr>
    </w:p>
    <w:p w14:paraId="5E9A0B38">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8.磋商文件的构成</w:t>
      </w:r>
    </w:p>
    <w:p w14:paraId="5899D19D">
      <w:pPr>
        <w:spacing w:line="360" w:lineRule="auto"/>
        <w:ind w:firstLine="420" w:firstLineChars="200"/>
        <w:jc w:val="left"/>
        <w:rPr>
          <w:rFonts w:ascii="宋体" w:hAnsi="宋体"/>
          <w:szCs w:val="21"/>
          <w:highlight w:val="none"/>
        </w:rPr>
      </w:pPr>
      <w:r>
        <w:rPr>
          <w:rFonts w:hint="eastAsia" w:ascii="宋体" w:hAnsi="宋体"/>
          <w:szCs w:val="21"/>
          <w:highlight w:val="none"/>
        </w:rPr>
        <w:t>（1）竞争性磋商公告；</w:t>
      </w:r>
    </w:p>
    <w:p w14:paraId="38397651">
      <w:pPr>
        <w:spacing w:line="360" w:lineRule="auto"/>
        <w:ind w:firstLine="420" w:firstLineChars="200"/>
        <w:jc w:val="left"/>
        <w:rPr>
          <w:rFonts w:ascii="宋体" w:hAnsi="宋体"/>
          <w:szCs w:val="21"/>
          <w:highlight w:val="none"/>
        </w:rPr>
      </w:pPr>
      <w:r>
        <w:rPr>
          <w:rFonts w:hint="eastAsia" w:ascii="宋体" w:hAnsi="宋体"/>
          <w:szCs w:val="21"/>
          <w:highlight w:val="none"/>
        </w:rPr>
        <w:t xml:space="preserve">（2）供应商须知； </w:t>
      </w:r>
    </w:p>
    <w:p w14:paraId="5098161A">
      <w:pPr>
        <w:spacing w:line="360" w:lineRule="auto"/>
        <w:ind w:firstLine="420" w:firstLineChars="200"/>
        <w:jc w:val="left"/>
        <w:rPr>
          <w:rFonts w:ascii="宋体" w:hAnsi="宋体"/>
          <w:szCs w:val="21"/>
          <w:highlight w:val="none"/>
        </w:rPr>
      </w:pPr>
      <w:r>
        <w:rPr>
          <w:rFonts w:hint="eastAsia" w:ascii="宋体" w:hAnsi="宋体"/>
          <w:szCs w:val="21"/>
          <w:highlight w:val="none"/>
        </w:rPr>
        <w:t>（3）采购需求；</w:t>
      </w:r>
    </w:p>
    <w:p w14:paraId="167D8BA3">
      <w:pPr>
        <w:spacing w:line="360" w:lineRule="auto"/>
        <w:ind w:firstLine="420" w:firstLineChars="200"/>
        <w:jc w:val="left"/>
        <w:rPr>
          <w:rFonts w:ascii="宋体" w:hAnsi="宋体"/>
          <w:szCs w:val="21"/>
          <w:highlight w:val="none"/>
        </w:rPr>
      </w:pPr>
      <w:r>
        <w:rPr>
          <w:rFonts w:hint="eastAsia" w:ascii="宋体" w:hAnsi="宋体"/>
          <w:szCs w:val="21"/>
          <w:highlight w:val="none"/>
        </w:rPr>
        <w:t>（4）评审程序、评审方法和评审标准；</w:t>
      </w:r>
    </w:p>
    <w:p w14:paraId="3FE9200B">
      <w:pPr>
        <w:spacing w:line="360" w:lineRule="auto"/>
        <w:ind w:firstLine="420" w:firstLineChars="200"/>
        <w:jc w:val="left"/>
        <w:rPr>
          <w:rFonts w:ascii="宋体" w:hAnsi="宋体"/>
          <w:szCs w:val="21"/>
          <w:highlight w:val="none"/>
        </w:rPr>
      </w:pPr>
      <w:r>
        <w:rPr>
          <w:rFonts w:hint="eastAsia" w:ascii="宋体" w:hAnsi="宋体"/>
          <w:szCs w:val="21"/>
          <w:highlight w:val="none"/>
        </w:rPr>
        <w:t>（5）响应文件格式；</w:t>
      </w:r>
    </w:p>
    <w:p w14:paraId="14E5E86E">
      <w:pPr>
        <w:spacing w:line="360" w:lineRule="auto"/>
        <w:ind w:firstLine="420" w:firstLineChars="200"/>
        <w:jc w:val="left"/>
        <w:rPr>
          <w:rFonts w:ascii="宋体" w:hAnsi="宋体"/>
          <w:szCs w:val="21"/>
          <w:highlight w:val="none"/>
        </w:rPr>
      </w:pPr>
      <w:r>
        <w:rPr>
          <w:rFonts w:hint="eastAsia" w:ascii="宋体" w:hAnsi="宋体"/>
          <w:szCs w:val="21"/>
          <w:highlight w:val="none"/>
        </w:rPr>
        <w:t>（6）合同文本。</w:t>
      </w:r>
    </w:p>
    <w:p w14:paraId="7E3AD8DF">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9.供应商的询问</w:t>
      </w:r>
    </w:p>
    <w:p w14:paraId="6B27EA89">
      <w:pPr>
        <w:spacing w:line="360" w:lineRule="auto"/>
        <w:ind w:firstLine="420" w:firstLineChars="200"/>
        <w:rPr>
          <w:rFonts w:ascii="宋体" w:hAnsi="宋体"/>
          <w:szCs w:val="21"/>
          <w:highlight w:val="none"/>
        </w:rPr>
      </w:pPr>
      <w:r>
        <w:rPr>
          <w:rFonts w:hint="eastAsia" w:ascii="宋体" w:hAnsi="宋体"/>
          <w:szCs w:val="21"/>
          <w:highlight w:val="none"/>
        </w:rPr>
        <w:t>供应商应认真阅读磋商文件的采购需求，如供应商对磋商文件有疑问的，如要求采购人作出澄清或者修改的，供应商应在</w:t>
      </w:r>
      <w:r>
        <w:rPr>
          <w:rFonts w:ascii="宋体" w:hAnsi="宋体"/>
          <w:szCs w:val="21"/>
          <w:highlight w:val="none"/>
        </w:rPr>
        <w:t>提交首次响应文件截止之日前</w:t>
      </w:r>
      <w:r>
        <w:rPr>
          <w:rFonts w:hint="eastAsia" w:ascii="宋体" w:hAnsi="宋体"/>
          <w:szCs w:val="21"/>
          <w:highlight w:val="none"/>
        </w:rPr>
        <w:t>，以书面形式向</w:t>
      </w:r>
      <w:r>
        <w:rPr>
          <w:rFonts w:ascii="宋体" w:hAnsi="宋体"/>
          <w:szCs w:val="21"/>
          <w:highlight w:val="none"/>
        </w:rPr>
        <w:t>采购人、采购代理机构</w:t>
      </w:r>
      <w:r>
        <w:rPr>
          <w:rFonts w:hint="eastAsia" w:ascii="宋体" w:hAnsi="宋体"/>
          <w:szCs w:val="21"/>
          <w:highlight w:val="none"/>
        </w:rPr>
        <w:t>提出。</w:t>
      </w:r>
    </w:p>
    <w:p w14:paraId="19356EBF">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10.磋商文件的澄清和修改</w:t>
      </w:r>
    </w:p>
    <w:p w14:paraId="558B192E">
      <w:pPr>
        <w:spacing w:line="360" w:lineRule="auto"/>
        <w:ind w:firstLine="420" w:firstLineChars="200"/>
        <w:rPr>
          <w:rFonts w:ascii="宋体" w:hAnsi="宋体"/>
          <w:szCs w:val="21"/>
          <w:highlight w:val="none"/>
        </w:rPr>
      </w:pPr>
      <w:r>
        <w:rPr>
          <w:rFonts w:ascii="宋体" w:hAnsi="宋体"/>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szCs w:val="21"/>
          <w:highlight w:val="none"/>
        </w:rPr>
        <w:t>获取</w:t>
      </w:r>
      <w:r>
        <w:rPr>
          <w:rFonts w:ascii="宋体" w:hAnsi="宋体"/>
          <w:szCs w:val="21"/>
          <w:highlight w:val="none"/>
        </w:rPr>
        <w:t>磋商文件的供应商，不足3个工作日的，应当顺延提交首次响应文件截止之日。</w:t>
      </w:r>
    </w:p>
    <w:p w14:paraId="1D9CE956">
      <w:pPr>
        <w:spacing w:line="360" w:lineRule="auto"/>
        <w:rPr>
          <w:rFonts w:ascii="宋体" w:hAnsi="宋体"/>
          <w:szCs w:val="21"/>
          <w:highlight w:val="none"/>
        </w:rPr>
      </w:pPr>
    </w:p>
    <w:p w14:paraId="64D5C23B">
      <w:pPr>
        <w:spacing w:line="360" w:lineRule="auto"/>
        <w:jc w:val="center"/>
        <w:rPr>
          <w:rFonts w:ascii="宋体" w:hAnsi="宋体"/>
          <w:b/>
          <w:bCs/>
          <w:szCs w:val="21"/>
          <w:highlight w:val="none"/>
        </w:rPr>
      </w:pPr>
      <w:r>
        <w:rPr>
          <w:rFonts w:hint="eastAsia" w:ascii="宋体" w:hAnsi="宋体"/>
          <w:b/>
          <w:bCs/>
          <w:sz w:val="32"/>
          <w:szCs w:val="32"/>
          <w:highlight w:val="none"/>
        </w:rPr>
        <w:t>三、响应文件的编制</w:t>
      </w:r>
    </w:p>
    <w:p w14:paraId="05BA0280">
      <w:pPr>
        <w:spacing w:line="360" w:lineRule="auto"/>
        <w:rPr>
          <w:rFonts w:ascii="宋体" w:hAnsi="宋体"/>
          <w:szCs w:val="21"/>
          <w:highlight w:val="none"/>
        </w:rPr>
      </w:pPr>
    </w:p>
    <w:p w14:paraId="49D86A1A">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11.响应文件的编制原则</w:t>
      </w:r>
    </w:p>
    <w:p w14:paraId="2EC5B89E">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供应商必须按照磋商文件的要求编制响应文件，并对其提交的响应文件的真实性、合法性承担法律责任。响应文件必须对磋商文件</w:t>
      </w:r>
      <w:r>
        <w:rPr>
          <w:rFonts w:hint="eastAsia" w:ascii="宋体" w:hAnsi="宋体"/>
          <w:szCs w:val="21"/>
          <w:highlight w:val="none"/>
        </w:rPr>
        <w:t>提出的要求和条件作出明确响应</w:t>
      </w:r>
      <w:r>
        <w:rPr>
          <w:rFonts w:hint="eastAsia" w:ascii="宋体" w:hAnsi="宋体" w:cs="宋体"/>
          <w:szCs w:val="21"/>
          <w:highlight w:val="none"/>
        </w:rPr>
        <w:t>。</w:t>
      </w:r>
    </w:p>
    <w:p w14:paraId="6949A8F7">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12.响应文件的组成</w:t>
      </w:r>
    </w:p>
    <w:p w14:paraId="39CA459B">
      <w:pPr>
        <w:spacing w:line="360" w:lineRule="auto"/>
        <w:ind w:firstLine="420" w:firstLineChars="200"/>
        <w:rPr>
          <w:rFonts w:ascii="宋体" w:hAnsi="宋体" w:cs="宋体"/>
          <w:szCs w:val="21"/>
          <w:highlight w:val="none"/>
        </w:rPr>
      </w:pPr>
      <w:r>
        <w:rPr>
          <w:rFonts w:hint="eastAsia" w:ascii="宋体" w:hAnsi="宋体" w:cs="宋体"/>
          <w:szCs w:val="21"/>
          <w:highlight w:val="none"/>
        </w:rPr>
        <w:t>12.1响应文件由资格证明文件、报价文件、商务技术文件三部分组成。</w:t>
      </w:r>
    </w:p>
    <w:p w14:paraId="40DAFE6C">
      <w:pPr>
        <w:spacing w:line="360" w:lineRule="auto"/>
        <w:ind w:left="840" w:leftChars="200" w:hanging="420" w:hangingChars="200"/>
        <w:rPr>
          <w:rFonts w:ascii="宋体" w:hAnsi="宋体" w:cs="宋体"/>
          <w:szCs w:val="21"/>
          <w:highlight w:val="none"/>
        </w:rPr>
      </w:pPr>
      <w:r>
        <w:rPr>
          <w:rFonts w:hint="eastAsia" w:ascii="宋体" w:hAnsi="宋体" w:cs="宋体"/>
          <w:szCs w:val="21"/>
          <w:highlight w:val="none"/>
        </w:rPr>
        <w:t>12.1.1资格证明文件：详见“供应商须知前附表”</w:t>
      </w:r>
    </w:p>
    <w:p w14:paraId="43A33F6D">
      <w:pPr>
        <w:spacing w:line="360" w:lineRule="auto"/>
        <w:ind w:left="840" w:leftChars="200" w:hanging="420" w:hangingChars="200"/>
        <w:rPr>
          <w:rFonts w:ascii="宋体" w:hAnsi="宋体" w:cs="宋体"/>
          <w:szCs w:val="21"/>
          <w:highlight w:val="none"/>
        </w:rPr>
      </w:pPr>
      <w:r>
        <w:rPr>
          <w:rFonts w:hint="eastAsia" w:ascii="宋体" w:hAnsi="宋体" w:cs="宋体"/>
          <w:szCs w:val="21"/>
          <w:highlight w:val="none"/>
        </w:rPr>
        <w:t>12.1.2报价文件：详见“供应商须知前附表”</w:t>
      </w:r>
    </w:p>
    <w:p w14:paraId="5D54F185">
      <w:pPr>
        <w:spacing w:line="360" w:lineRule="auto"/>
        <w:ind w:left="840" w:leftChars="200" w:hanging="420" w:hangingChars="200"/>
        <w:rPr>
          <w:rFonts w:ascii="宋体" w:hAnsi="宋体" w:cs="宋体"/>
          <w:szCs w:val="21"/>
          <w:highlight w:val="none"/>
        </w:rPr>
      </w:pPr>
      <w:r>
        <w:rPr>
          <w:rFonts w:hint="eastAsia" w:ascii="宋体" w:hAnsi="宋体" w:cs="宋体"/>
          <w:szCs w:val="21"/>
          <w:highlight w:val="none"/>
        </w:rPr>
        <w:t>12.1.3商务技术文件：详见“供应商须知前附表”</w:t>
      </w:r>
    </w:p>
    <w:p w14:paraId="08C893EB">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13.计量单位</w:t>
      </w:r>
    </w:p>
    <w:p w14:paraId="502C4078">
      <w:pPr>
        <w:spacing w:line="360" w:lineRule="auto"/>
        <w:ind w:firstLine="420" w:firstLineChars="200"/>
        <w:rPr>
          <w:rFonts w:ascii="宋体" w:hAnsi="宋体" w:cs="宋体"/>
          <w:szCs w:val="21"/>
          <w:highlight w:val="none"/>
        </w:rPr>
      </w:pPr>
      <w:r>
        <w:rPr>
          <w:rFonts w:hint="eastAsia" w:ascii="宋体" w:hAnsi="宋体" w:cs="宋体"/>
          <w:szCs w:val="21"/>
          <w:highlight w:val="none"/>
        </w:rPr>
        <w:t>磋商文件已有明确规定的，使用磋商文件规定的计量单位；磋商文件没有规定的，应采用中华人民共和国法定计量单位，货币种类为人民币，否则视同未响应。</w:t>
      </w:r>
    </w:p>
    <w:p w14:paraId="5048D43D">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14.竞标的风险</w:t>
      </w:r>
    </w:p>
    <w:p w14:paraId="39F8CA1B">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供应商没有按照磋商文件要求提供全部资料，或者供应商没有对磋商文件在各方面作出实质性响应可能导致其响应无效，是供应商应当考虑的风险。</w:t>
      </w:r>
    </w:p>
    <w:p w14:paraId="565EAC89">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15.竞标报价</w:t>
      </w:r>
    </w:p>
    <w:p w14:paraId="499356B5">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15.1竞标报价应按磋商文件中“竞标报价表”格式填写。</w:t>
      </w:r>
    </w:p>
    <w:p w14:paraId="04848F9D">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15.2竞标报价的内容见“供应商须知前附表”。</w:t>
      </w:r>
    </w:p>
    <w:p w14:paraId="61346233">
      <w:pPr>
        <w:spacing w:line="360" w:lineRule="auto"/>
        <w:ind w:left="426" w:leftChars="203"/>
        <w:rPr>
          <w:rFonts w:ascii="宋体" w:hAnsi="宋体" w:cs="宋体"/>
          <w:szCs w:val="21"/>
          <w:highlight w:val="none"/>
        </w:rPr>
      </w:pPr>
      <w:r>
        <w:rPr>
          <w:rFonts w:hint="eastAsia" w:ascii="宋体" w:hAnsi="宋体" w:cs="宋体"/>
          <w:szCs w:val="21"/>
          <w:highlight w:val="none"/>
        </w:rPr>
        <w:t>15.3竞标报价要求</w:t>
      </w:r>
    </w:p>
    <w:p w14:paraId="1C802D12">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5.3.1</w:t>
      </w:r>
      <w:r>
        <w:rPr>
          <w:rFonts w:hint="eastAsia" w:ascii="宋体" w:hAnsi="宋体" w:cs="宋体"/>
          <w:szCs w:val="21"/>
          <w:highlight w:val="none"/>
        </w:rPr>
        <w:t>供应商的竞标报价应符合以下要求，否则响应文件按无效响应处理：</w:t>
      </w:r>
    </w:p>
    <w:p w14:paraId="649EFCE0">
      <w:pPr>
        <w:spacing w:line="360" w:lineRule="auto"/>
        <w:ind w:left="420" w:left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w:t>
      </w:r>
    </w:p>
    <w:p w14:paraId="71A4A73F">
      <w:pPr>
        <w:spacing w:line="360" w:lineRule="auto"/>
        <w:rPr>
          <w:rFonts w:ascii="宋体" w:hAnsi="宋体" w:cs="宋体"/>
          <w:szCs w:val="21"/>
          <w:highlight w:val="none"/>
        </w:rPr>
      </w:pPr>
      <w:r>
        <w:rPr>
          <w:rFonts w:hint="eastAsia" w:ascii="宋体" w:hAnsi="宋体" w:cs="宋体"/>
          <w:szCs w:val="21"/>
          <w:highlight w:val="none"/>
        </w:rPr>
        <w:t>不得存在漏项报价；</w:t>
      </w:r>
    </w:p>
    <w:p w14:paraId="67354F12">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）供应商必须就所竞标的分标的单项内容作唯一报价。</w:t>
      </w:r>
    </w:p>
    <w:p w14:paraId="54D68B8F">
      <w:pPr>
        <w:spacing w:line="360" w:lineRule="auto"/>
        <w:ind w:firstLine="420" w:firstLineChars="200"/>
        <w:rPr>
          <w:rFonts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2</w:t>
      </w:r>
      <w:r>
        <w:rPr>
          <w:rFonts w:hint="eastAsia" w:ascii="宋体" w:hAnsi="宋体" w:cs="宋体"/>
          <w:szCs w:val="21"/>
          <w:highlight w:val="none"/>
        </w:rPr>
        <w:t>竞标报价（包含首次报价、最后报价）超过所竞标分标规定的采购预算金额或者最高限价的，其响应文件将按无效处理。</w:t>
      </w:r>
    </w:p>
    <w:p w14:paraId="195C8B26">
      <w:pPr>
        <w:spacing w:line="360" w:lineRule="auto"/>
        <w:ind w:firstLine="420" w:firstLineChars="200"/>
        <w:rPr>
          <w:rFonts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3</w:t>
      </w:r>
      <w:bookmarkStart w:id="68" w:name="_Hlk42592874"/>
      <w:r>
        <w:rPr>
          <w:rFonts w:hint="eastAsia" w:ascii="宋体" w:hAnsi="宋体" w:cs="宋体"/>
          <w:szCs w:val="21"/>
          <w:highlight w:val="none"/>
        </w:rPr>
        <w:t>竞标报价（包含首次报价、最后报价）超过分项采购预算金额或者最高限价的，其响应文件将按无效处理。</w:t>
      </w:r>
    </w:p>
    <w:bookmarkEnd w:id="68"/>
    <w:p w14:paraId="1F737946">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16.竞标有效期</w:t>
      </w:r>
    </w:p>
    <w:p w14:paraId="1441572E">
      <w:pPr>
        <w:spacing w:line="360" w:lineRule="auto"/>
        <w:ind w:firstLine="420" w:firstLineChars="200"/>
        <w:rPr>
          <w:rFonts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1FEE5A16">
      <w:pPr>
        <w:spacing w:line="360" w:lineRule="auto"/>
        <w:ind w:firstLine="420" w:firstLineChars="200"/>
        <w:rPr>
          <w:rFonts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r>
        <w:rPr>
          <w:rFonts w:hint="eastAsia" w:ascii="宋体" w:hAnsi="宋体"/>
          <w:szCs w:val="21"/>
          <w:highlight w:val="none"/>
        </w:rPr>
        <w:t>承诺的竞标有效期低于采购文件规定期限的，供应商的响应文件作无效处理。</w:t>
      </w:r>
    </w:p>
    <w:p w14:paraId="61A97E4A">
      <w:pPr>
        <w:spacing w:line="360" w:lineRule="auto"/>
        <w:ind w:firstLine="420" w:firstLineChars="200"/>
        <w:rPr>
          <w:rFonts w:ascii="宋体" w:hAnsi="宋体" w:cs="宋体"/>
          <w:szCs w:val="21"/>
          <w:highlight w:val="none"/>
        </w:rPr>
      </w:pPr>
      <w:r>
        <w:rPr>
          <w:rFonts w:hint="eastAsia" w:ascii="宋体" w:hAnsi="宋体" w:cs="宋体"/>
          <w:szCs w:val="21"/>
          <w:highlight w:val="none"/>
        </w:rPr>
        <w:t>16.3供应商的响应文件在竞标有效期内均保持有效。</w:t>
      </w:r>
    </w:p>
    <w:p w14:paraId="175C8666">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17.磋商保证金</w:t>
      </w:r>
    </w:p>
    <w:p w14:paraId="1FBD2A7B">
      <w:pPr>
        <w:spacing w:line="360" w:lineRule="auto"/>
        <w:ind w:left="420" w:leftChars="200"/>
        <w:rPr>
          <w:rFonts w:ascii="宋体" w:hAnsi="宋体" w:cs="宋体"/>
          <w:szCs w:val="21"/>
          <w:highlight w:val="none"/>
        </w:rPr>
      </w:pPr>
      <w:r>
        <w:rPr>
          <w:rFonts w:hint="eastAsia" w:ascii="宋体" w:hAnsi="宋体" w:cs="宋体"/>
          <w:szCs w:val="21"/>
          <w:highlight w:val="none"/>
        </w:rPr>
        <w:t>17.1供应商须按“供应商须知前附表”的规定提交磋商保证金。</w:t>
      </w:r>
    </w:p>
    <w:p w14:paraId="5B7E1283">
      <w:pPr>
        <w:spacing w:line="360" w:lineRule="auto"/>
        <w:ind w:left="420" w:leftChars="200"/>
        <w:rPr>
          <w:rFonts w:ascii="宋体" w:hAnsi="宋体" w:cs="宋体"/>
          <w:szCs w:val="21"/>
          <w:highlight w:val="none"/>
        </w:rPr>
      </w:pPr>
      <w:r>
        <w:rPr>
          <w:rFonts w:hint="eastAsia" w:ascii="宋体" w:hAnsi="宋体" w:cs="宋体"/>
          <w:szCs w:val="21"/>
          <w:highlight w:val="none"/>
        </w:rPr>
        <w:t>17.2磋商保证金的退还</w:t>
      </w:r>
    </w:p>
    <w:p w14:paraId="657596A9">
      <w:pPr>
        <w:spacing w:line="360" w:lineRule="auto"/>
        <w:ind w:firstLine="420" w:firstLineChars="200"/>
        <w:rPr>
          <w:rFonts w:ascii="宋体" w:hAnsi="宋体" w:cs="宋体"/>
          <w:szCs w:val="21"/>
          <w:highlight w:val="none"/>
        </w:rPr>
      </w:pPr>
      <w:bookmarkStart w:id="69" w:name="_Hlk66782243"/>
      <w:r>
        <w:rPr>
          <w:rFonts w:hint="eastAsia" w:ascii="宋体" w:hAnsi="宋体" w:cs="宋体"/>
          <w:szCs w:val="21"/>
          <w:highlight w:val="none"/>
        </w:rPr>
        <w:t>未</w:t>
      </w:r>
      <w:r>
        <w:rPr>
          <w:rFonts w:hint="eastAsia" w:ascii="宋体" w:hAnsi="宋体" w:cs="宋体"/>
          <w:spacing w:val="-6"/>
          <w:szCs w:val="21"/>
          <w:highlight w:val="none"/>
        </w:rPr>
        <w:t>成交供应商的竞标保证金自成交通知书发出之日起5个工作日内退还；</w:t>
      </w:r>
      <w:r>
        <w:rPr>
          <w:rFonts w:hint="eastAsia" w:ascii="宋体" w:hAnsi="宋体" w:cs="宋体"/>
          <w:szCs w:val="21"/>
          <w:highlight w:val="none"/>
        </w:rPr>
        <w:t>成交供应商的磋商保证金自签订合同之日起5个工作日内退还。</w:t>
      </w:r>
      <w:bookmarkEnd w:id="69"/>
    </w:p>
    <w:p w14:paraId="6A2EDAE5">
      <w:pPr>
        <w:spacing w:line="360" w:lineRule="auto"/>
        <w:ind w:left="420" w:leftChars="200"/>
        <w:rPr>
          <w:rFonts w:ascii="宋体" w:hAnsi="宋体" w:cs="宋体"/>
          <w:szCs w:val="21"/>
          <w:highlight w:val="none"/>
        </w:rPr>
      </w:pPr>
      <w:r>
        <w:rPr>
          <w:rFonts w:hint="eastAsia" w:ascii="宋体" w:hAnsi="宋体" w:cs="宋体"/>
          <w:szCs w:val="21"/>
          <w:highlight w:val="none"/>
        </w:rPr>
        <w:t>17.3除逾期退还磋商保证金和终止采购的情形以外，磋商保证金不计息。</w:t>
      </w:r>
    </w:p>
    <w:p w14:paraId="3CDD86AD">
      <w:pPr>
        <w:spacing w:line="360" w:lineRule="auto"/>
        <w:ind w:left="420" w:leftChars="200"/>
        <w:rPr>
          <w:rFonts w:ascii="宋体" w:hAnsi="宋体" w:cs="宋体"/>
          <w:szCs w:val="21"/>
          <w:highlight w:val="none"/>
        </w:rPr>
      </w:pPr>
      <w:r>
        <w:rPr>
          <w:rFonts w:hint="eastAsia" w:ascii="宋体" w:hAnsi="宋体" w:cs="宋体"/>
          <w:szCs w:val="21"/>
          <w:highlight w:val="none"/>
        </w:rPr>
        <w:t xml:space="preserve">17.4供应商有下列情形之一的，磋商保证金将不予退还： </w:t>
      </w:r>
    </w:p>
    <w:p w14:paraId="425C9622">
      <w:pPr>
        <w:spacing w:line="360" w:lineRule="auto"/>
        <w:ind w:left="420" w:leftChars="200"/>
        <w:rPr>
          <w:rFonts w:ascii="宋体" w:hAnsi="宋体" w:cs="宋体"/>
          <w:szCs w:val="21"/>
          <w:highlight w:val="none"/>
        </w:rPr>
      </w:pPr>
      <w:r>
        <w:rPr>
          <w:rFonts w:hint="eastAsia" w:ascii="宋体" w:hAnsi="宋体" w:cs="宋体"/>
          <w:szCs w:val="21"/>
          <w:highlight w:val="none"/>
        </w:rPr>
        <w:t>（1）供应商在提交响应文件截止时间后撤回响应文件的；</w:t>
      </w:r>
    </w:p>
    <w:p w14:paraId="04D47E35">
      <w:pPr>
        <w:spacing w:line="360" w:lineRule="auto"/>
        <w:ind w:left="420" w:leftChars="200"/>
        <w:rPr>
          <w:rFonts w:ascii="宋体" w:hAnsi="宋体" w:cs="宋体"/>
          <w:szCs w:val="21"/>
          <w:highlight w:val="none"/>
        </w:rPr>
      </w:pPr>
      <w:r>
        <w:rPr>
          <w:rFonts w:hint="eastAsia" w:ascii="宋体" w:hAnsi="宋体"/>
          <w:szCs w:val="21"/>
          <w:highlight w:val="none"/>
        </w:rPr>
        <w:t>（2）未按规定提交履约保证金的；</w:t>
      </w:r>
    </w:p>
    <w:p w14:paraId="00961F9C">
      <w:pPr>
        <w:spacing w:line="360" w:lineRule="auto"/>
        <w:ind w:left="420" w:leftChars="200"/>
        <w:rPr>
          <w:rFonts w:ascii="宋体" w:hAnsi="宋体" w:cs="宋体"/>
          <w:szCs w:val="21"/>
          <w:highlight w:val="none"/>
        </w:rPr>
      </w:pPr>
      <w:r>
        <w:rPr>
          <w:rFonts w:hint="eastAsia" w:ascii="宋体" w:hAnsi="宋体" w:cs="宋体"/>
          <w:szCs w:val="21"/>
          <w:highlight w:val="none"/>
        </w:rPr>
        <w:t>（3）供应商在响应文件中提供虚假材料的；</w:t>
      </w:r>
    </w:p>
    <w:p w14:paraId="771031F4">
      <w:pPr>
        <w:spacing w:line="360" w:lineRule="auto"/>
        <w:ind w:firstLine="420" w:firstLineChars="200"/>
        <w:rPr>
          <w:rFonts w:ascii="宋体" w:hAnsi="宋体" w:cs="宋体"/>
          <w:szCs w:val="21"/>
          <w:highlight w:val="none"/>
        </w:rPr>
      </w:pPr>
      <w:r>
        <w:rPr>
          <w:rFonts w:hint="eastAsia" w:ascii="宋体" w:hAnsi="宋体" w:cs="宋体"/>
          <w:szCs w:val="21"/>
          <w:highlight w:val="none"/>
        </w:rPr>
        <w:t>（4）除因不可抗力或者磋商文件认可的情形以外，成交供应商不与采购人签订合同的；</w:t>
      </w:r>
    </w:p>
    <w:p w14:paraId="6733E4C6">
      <w:pPr>
        <w:spacing w:line="360" w:lineRule="auto"/>
        <w:ind w:left="420" w:leftChars="200"/>
        <w:rPr>
          <w:rFonts w:ascii="宋体" w:hAnsi="宋体" w:cs="宋体"/>
          <w:szCs w:val="21"/>
          <w:highlight w:val="none"/>
        </w:rPr>
      </w:pPr>
      <w:r>
        <w:rPr>
          <w:rFonts w:hint="eastAsia" w:ascii="宋体" w:hAnsi="宋体" w:cs="宋体"/>
          <w:szCs w:val="21"/>
          <w:highlight w:val="none"/>
        </w:rPr>
        <w:t>（5）供应商与采购人、其他供应商或者采购代理机构恶意串通的；</w:t>
      </w:r>
    </w:p>
    <w:p w14:paraId="1EA48261">
      <w:pPr>
        <w:spacing w:line="360" w:lineRule="auto"/>
        <w:ind w:left="420" w:leftChars="200"/>
        <w:rPr>
          <w:rFonts w:ascii="宋体" w:hAnsi="宋体" w:cs="宋体"/>
          <w:szCs w:val="21"/>
          <w:highlight w:val="none"/>
        </w:rPr>
      </w:pPr>
      <w:r>
        <w:rPr>
          <w:rFonts w:hint="eastAsia" w:ascii="宋体" w:hAnsi="宋体" w:cs="宋体"/>
          <w:szCs w:val="21"/>
          <w:highlight w:val="none"/>
        </w:rPr>
        <w:t>（6）法律法规规定的其他情形。</w:t>
      </w:r>
    </w:p>
    <w:p w14:paraId="40803E13">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18.响应文件编制的要求</w:t>
      </w:r>
    </w:p>
    <w:p w14:paraId="3FB22320">
      <w:pPr>
        <w:spacing w:line="360" w:lineRule="auto"/>
        <w:ind w:firstLine="420" w:firstLineChars="200"/>
        <w:rPr>
          <w:rFonts w:ascii="宋体" w:hAnsi="宋体" w:cs="宋体"/>
          <w:szCs w:val="21"/>
          <w:highlight w:val="none"/>
        </w:rPr>
      </w:pPr>
      <w:r>
        <w:rPr>
          <w:rFonts w:hint="eastAsia" w:ascii="宋体" w:hAnsi="宋体" w:cs="宋体"/>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0B3B6669">
      <w:pPr>
        <w:spacing w:line="360" w:lineRule="auto"/>
        <w:ind w:firstLine="420" w:firstLineChars="200"/>
        <w:rPr>
          <w:rFonts w:ascii="宋体" w:hAnsi="宋体" w:cs="宋体"/>
          <w:szCs w:val="21"/>
          <w:highlight w:val="none"/>
        </w:rPr>
      </w:pPr>
      <w:r>
        <w:rPr>
          <w:rFonts w:hint="eastAsia" w:ascii="宋体" w:hAnsi="宋体" w:cs="宋体"/>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12949875">
      <w:pPr>
        <w:spacing w:line="360" w:lineRule="auto"/>
        <w:ind w:firstLine="420" w:firstLineChars="200"/>
        <w:rPr>
          <w:rFonts w:ascii="宋体" w:hAnsi="宋体" w:cs="宋体"/>
          <w:szCs w:val="21"/>
          <w:highlight w:val="none"/>
        </w:rPr>
      </w:pPr>
      <w:r>
        <w:rPr>
          <w:rFonts w:hint="eastAsia" w:ascii="宋体" w:hAnsi="宋体" w:cs="宋体"/>
          <w:szCs w:val="21"/>
          <w:highlight w:val="none"/>
        </w:rPr>
        <w:t>18.3响应文件须由供应商在规定位置签字、盖章（具体以供应商须知前附表或响应文件格式规定为准），否则按无效响应处理。</w:t>
      </w:r>
    </w:p>
    <w:p w14:paraId="3CF292E8">
      <w:pPr>
        <w:spacing w:line="360" w:lineRule="auto"/>
        <w:ind w:firstLine="420" w:firstLineChars="200"/>
        <w:rPr>
          <w:rFonts w:ascii="宋体" w:hAnsi="宋体" w:cs="宋体"/>
          <w:szCs w:val="21"/>
          <w:highlight w:val="none"/>
        </w:rPr>
      </w:pPr>
      <w:r>
        <w:rPr>
          <w:rFonts w:hint="eastAsia" w:ascii="宋体" w:hAnsi="宋体" w:cs="宋体"/>
          <w:szCs w:val="21"/>
          <w:highlight w:val="none"/>
        </w:rPr>
        <w:t>18.4响应文件中标注的供应商名称应与主体资格证明（如营业执照或者事业单位法人证书或者执业许可证或者登记证书等）及公章一致，</w:t>
      </w:r>
      <w:r>
        <w:rPr>
          <w:rFonts w:hint="eastAsia" w:ascii="宋体" w:hAnsi="宋体"/>
          <w:b/>
          <w:szCs w:val="21"/>
          <w:highlight w:val="none"/>
        </w:rPr>
        <w:t>并与广西政府采购云平台中获取采购文件的供应商名称一致，</w:t>
      </w:r>
      <w:r>
        <w:rPr>
          <w:rFonts w:hint="eastAsia" w:ascii="宋体" w:hAnsi="宋体" w:cs="宋体"/>
          <w:szCs w:val="21"/>
          <w:highlight w:val="none"/>
        </w:rPr>
        <w:t>供应商为自然人的，标注的供应商名称应与身份证姓名及签名一致，否则其响应文件按无效响应处理。</w:t>
      </w:r>
    </w:p>
    <w:p w14:paraId="550543DD">
      <w:pPr>
        <w:spacing w:line="360" w:lineRule="auto"/>
        <w:ind w:firstLine="420" w:firstLineChars="200"/>
        <w:rPr>
          <w:rFonts w:ascii="宋体" w:hAnsi="宋体" w:cs="宋体"/>
          <w:szCs w:val="21"/>
          <w:highlight w:val="none"/>
        </w:rPr>
      </w:pPr>
      <w:r>
        <w:rPr>
          <w:rFonts w:hint="eastAsia" w:ascii="宋体" w:hAnsi="宋体" w:cs="宋体"/>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754ACBC4">
      <w:pPr>
        <w:spacing w:line="360" w:lineRule="auto"/>
        <w:ind w:firstLine="482" w:firstLineChars="200"/>
        <w:rPr>
          <w:rFonts w:ascii="黑体" w:hAnsi="黑体" w:eastAsia="黑体"/>
          <w:sz w:val="24"/>
          <w:highlight w:val="none"/>
        </w:rPr>
      </w:pPr>
      <w:r>
        <w:rPr>
          <w:rFonts w:hint="eastAsia" w:ascii="黑体" w:hAnsi="黑体" w:eastAsia="黑体" w:cs="宋体"/>
          <w:b/>
          <w:bCs/>
          <w:sz w:val="24"/>
          <w:highlight w:val="none"/>
        </w:rPr>
        <w:t>19.电子</w:t>
      </w:r>
      <w:r>
        <w:rPr>
          <w:rFonts w:hint="eastAsia" w:ascii="黑体" w:hAnsi="黑体" w:eastAsia="黑体"/>
          <w:b/>
          <w:sz w:val="24"/>
          <w:highlight w:val="none"/>
        </w:rPr>
        <w:t>备份响应文件</w:t>
      </w:r>
    </w:p>
    <w:p w14:paraId="5365DC7C">
      <w:pPr>
        <w:spacing w:line="360" w:lineRule="auto"/>
        <w:ind w:firstLine="420" w:firstLineChars="200"/>
        <w:rPr>
          <w:rFonts w:ascii="宋体" w:hAnsi="宋体" w:cs="宋体"/>
          <w:szCs w:val="21"/>
          <w:highlight w:val="none"/>
        </w:rPr>
      </w:pPr>
      <w:r>
        <w:rPr>
          <w:rFonts w:hint="eastAsia"/>
          <w:highlight w:val="none"/>
        </w:rPr>
        <w:t>电子备份响应文件是指通过在线编制生成且后缀名为“</w:t>
      </w:r>
      <w:r>
        <w:rPr>
          <w:highlight w:val="none"/>
        </w:rPr>
        <w:t>bfbs</w:t>
      </w:r>
      <w:r>
        <w:rPr>
          <w:rFonts w:hint="eastAsia"/>
          <w:highlight w:val="none"/>
        </w:rPr>
        <w:t>”的文件，是否接受电子备份响应文件</w:t>
      </w:r>
      <w:r>
        <w:rPr>
          <w:rFonts w:hint="eastAsia" w:hAnsi="宋体"/>
          <w:bCs/>
          <w:szCs w:val="21"/>
          <w:highlight w:val="none"/>
        </w:rPr>
        <w:t>详见在“供应商须知前附表”。</w:t>
      </w:r>
    </w:p>
    <w:p w14:paraId="1A2B313E">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20.响应文件的提交</w:t>
      </w:r>
    </w:p>
    <w:p w14:paraId="0BD5B164">
      <w:pPr>
        <w:spacing w:line="360" w:lineRule="auto"/>
        <w:ind w:firstLine="420" w:firstLineChars="200"/>
        <w:rPr>
          <w:rFonts w:hAnsi="宋体"/>
          <w:b/>
          <w:highlight w:val="none"/>
        </w:rPr>
      </w:pPr>
      <w:r>
        <w:rPr>
          <w:rFonts w:hint="eastAsia" w:hAnsi="宋体"/>
          <w:bCs/>
          <w:szCs w:val="21"/>
          <w:highlight w:val="none"/>
        </w:rPr>
        <w:t>20.1供应商必须按“供应商须知前附表”规定的</w:t>
      </w:r>
      <w:r>
        <w:rPr>
          <w:rFonts w:hint="eastAsia" w:ascii="宋体" w:hAnsi="宋体" w:cs="宋体"/>
          <w:szCs w:val="21"/>
          <w:highlight w:val="none"/>
        </w:rPr>
        <w:t>时间</w:t>
      </w:r>
      <w:r>
        <w:rPr>
          <w:rFonts w:hint="eastAsia" w:ascii="宋体" w:hAnsi="宋体"/>
          <w:szCs w:val="21"/>
          <w:highlight w:val="none"/>
        </w:rPr>
        <w:t>及</w:t>
      </w:r>
      <w:r>
        <w:rPr>
          <w:rFonts w:hint="eastAsia" w:hAnsi="宋体"/>
          <w:bCs/>
          <w:szCs w:val="21"/>
          <w:highlight w:val="none"/>
        </w:rPr>
        <w:t>地点提交响应文件。电子响应文件应在制作完成后，</w:t>
      </w:r>
      <w:r>
        <w:rPr>
          <w:rFonts w:hAnsi="宋体"/>
          <w:bCs/>
          <w:szCs w:val="21"/>
          <w:highlight w:val="none"/>
        </w:rPr>
        <w:t>在</w:t>
      </w:r>
      <w:r>
        <w:rPr>
          <w:rFonts w:hint="eastAsia" w:hAnsi="宋体"/>
          <w:bCs/>
          <w:szCs w:val="21"/>
          <w:highlight w:val="none"/>
        </w:rPr>
        <w:t>提交响应文件截止</w:t>
      </w:r>
      <w:r>
        <w:rPr>
          <w:rFonts w:hAnsi="宋体"/>
          <w:bCs/>
          <w:szCs w:val="21"/>
          <w:highlight w:val="none"/>
        </w:rPr>
        <w:t>时间前</w:t>
      </w:r>
      <w:r>
        <w:rPr>
          <w:rFonts w:hint="eastAsia" w:hAnsi="宋体"/>
          <w:bCs/>
          <w:szCs w:val="21"/>
          <w:highlight w:val="none"/>
        </w:rPr>
        <w:t>通过有效数字证书（CA认证锁）进行电子签章、加密，然后通过网络将加密的电子响应文件提交至</w:t>
      </w:r>
      <w:r>
        <w:rPr>
          <w:rFonts w:hint="eastAsia" w:ascii="宋体" w:hAnsi="宋体"/>
          <w:szCs w:val="21"/>
          <w:highlight w:val="none"/>
        </w:rPr>
        <w:t>广西政府采购云平台</w:t>
      </w:r>
      <w:r>
        <w:rPr>
          <w:rFonts w:hint="eastAsia" w:hAnsi="宋体"/>
          <w:bCs/>
          <w:szCs w:val="21"/>
          <w:highlight w:val="none"/>
        </w:rPr>
        <w:t xml:space="preserve">。 </w:t>
      </w:r>
    </w:p>
    <w:p w14:paraId="71653F49">
      <w:pPr>
        <w:spacing w:line="360" w:lineRule="auto"/>
        <w:ind w:firstLine="422" w:firstLineChars="200"/>
        <w:rPr>
          <w:rFonts w:ascii="宋体" w:hAnsi="宋体" w:cs="宋体"/>
          <w:szCs w:val="21"/>
          <w:highlight w:val="none"/>
        </w:rPr>
      </w:pPr>
      <w:r>
        <w:rPr>
          <w:rFonts w:hint="eastAsia" w:ascii="宋体" w:hAnsi="宋体"/>
          <w:b/>
          <w:szCs w:val="21"/>
          <w:highlight w:val="none"/>
        </w:rPr>
        <w:t>20.</w:t>
      </w:r>
      <w:r>
        <w:rPr>
          <w:rFonts w:ascii="宋体" w:hAnsi="宋体"/>
          <w:b/>
          <w:szCs w:val="21"/>
          <w:highlight w:val="none"/>
        </w:rPr>
        <w:t>2</w:t>
      </w:r>
      <w:r>
        <w:rPr>
          <w:rFonts w:hint="eastAsia" w:ascii="宋体" w:hAnsi="宋体"/>
          <w:b/>
          <w:szCs w:val="21"/>
          <w:highlight w:val="none"/>
        </w:rPr>
        <w:t>未在规定时间内提交或者未按照磋商文件要求加密的电子响应文件，广西政府采购云平台将拒收。</w:t>
      </w:r>
    </w:p>
    <w:p w14:paraId="6AB7B554">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21.首次响应文件的补充、修改与撤回</w:t>
      </w:r>
    </w:p>
    <w:p w14:paraId="4903E2C0">
      <w:pPr>
        <w:snapToGrid w:val="0"/>
        <w:spacing w:line="360" w:lineRule="auto"/>
        <w:ind w:firstLine="420"/>
        <w:jc w:val="left"/>
        <w:rPr>
          <w:rFonts w:ascii="宋体" w:hAnsi="宋体"/>
          <w:szCs w:val="21"/>
          <w:highlight w:val="none"/>
        </w:rPr>
      </w:pPr>
      <w:bookmarkStart w:id="70" w:name="_Toc254970684"/>
      <w:bookmarkStart w:id="71" w:name="_Toc254970543"/>
      <w:r>
        <w:rPr>
          <w:rFonts w:ascii="宋体" w:hAnsi="宋体" w:cs="宋体"/>
          <w:szCs w:val="21"/>
          <w:highlight w:val="none"/>
        </w:rPr>
        <w:t>2</w:t>
      </w:r>
      <w:r>
        <w:rPr>
          <w:rFonts w:hint="eastAsia" w:ascii="宋体" w:hAnsi="宋体" w:cs="宋体"/>
          <w:szCs w:val="21"/>
          <w:highlight w:val="none"/>
        </w:rPr>
        <w:t>1.1</w:t>
      </w:r>
      <w:r>
        <w:rPr>
          <w:rFonts w:hint="eastAsia" w:ascii="宋体" w:hAnsi="宋体"/>
          <w:bCs/>
          <w:szCs w:val="21"/>
          <w:highlight w:val="none"/>
        </w:rPr>
        <w:t>供应商应当在</w:t>
      </w:r>
      <w:r>
        <w:rPr>
          <w:rFonts w:hint="eastAsia" w:hAnsi="宋体"/>
          <w:bCs/>
          <w:szCs w:val="21"/>
          <w:highlight w:val="none"/>
        </w:rPr>
        <w:t>提交响应文件截止</w:t>
      </w:r>
      <w:r>
        <w:rPr>
          <w:rFonts w:hAnsi="宋体"/>
          <w:bCs/>
          <w:szCs w:val="21"/>
          <w:highlight w:val="none"/>
        </w:rPr>
        <w:t>时间</w:t>
      </w:r>
      <w:r>
        <w:rPr>
          <w:rFonts w:hint="eastAsia" w:ascii="宋体" w:hAnsi="宋体"/>
          <w:bCs/>
          <w:szCs w:val="21"/>
          <w:highlight w:val="none"/>
        </w:rPr>
        <w:t>前完成电子响应文件的提交（上传），</w:t>
      </w:r>
      <w:r>
        <w:rPr>
          <w:rFonts w:hint="eastAsia" w:hAnsi="宋体"/>
          <w:bCs/>
          <w:szCs w:val="21"/>
          <w:highlight w:val="none"/>
        </w:rPr>
        <w:t>提交响应文件截止</w:t>
      </w:r>
      <w:r>
        <w:rPr>
          <w:rFonts w:hAnsi="宋体"/>
          <w:bCs/>
          <w:szCs w:val="21"/>
          <w:highlight w:val="none"/>
        </w:rPr>
        <w:t>时间</w:t>
      </w:r>
      <w:r>
        <w:rPr>
          <w:rFonts w:hint="eastAsia" w:hAnsi="宋体"/>
          <w:bCs/>
          <w:szCs w:val="21"/>
          <w:highlight w:val="none"/>
        </w:rPr>
        <w:t>前</w:t>
      </w:r>
      <w:r>
        <w:rPr>
          <w:rFonts w:hint="eastAsia" w:ascii="宋体" w:hAnsi="宋体"/>
          <w:bCs/>
          <w:szCs w:val="21"/>
          <w:highlight w:val="none"/>
        </w:rPr>
        <w:t>可以补充、修改或者撤回响应文件。补充或者修改响应文件的，应当先行撤回原响应文件，补充、修改后重新提交（上传），</w:t>
      </w:r>
      <w:r>
        <w:rPr>
          <w:rFonts w:hint="eastAsia" w:hAnsi="宋体"/>
          <w:bCs/>
          <w:szCs w:val="21"/>
          <w:highlight w:val="none"/>
        </w:rPr>
        <w:t>提交响应文件截止</w:t>
      </w:r>
      <w:r>
        <w:rPr>
          <w:rFonts w:hAnsi="宋体"/>
          <w:bCs/>
          <w:szCs w:val="21"/>
          <w:highlight w:val="none"/>
        </w:rPr>
        <w:t>时间</w:t>
      </w:r>
      <w:r>
        <w:rPr>
          <w:rFonts w:hint="eastAsia" w:hAnsi="宋体"/>
          <w:bCs/>
          <w:szCs w:val="21"/>
          <w:highlight w:val="none"/>
        </w:rPr>
        <w:t>前</w:t>
      </w:r>
      <w:r>
        <w:rPr>
          <w:rFonts w:hint="eastAsia" w:ascii="宋体" w:hAnsi="宋体"/>
          <w:bCs/>
          <w:szCs w:val="21"/>
          <w:highlight w:val="none"/>
        </w:rPr>
        <w:t>未完成提交（上传）的，视为撤回响应文件。</w:t>
      </w:r>
      <w:r>
        <w:rPr>
          <w:rFonts w:hint="eastAsia" w:hAnsi="宋体"/>
          <w:bCs/>
          <w:szCs w:val="21"/>
          <w:highlight w:val="none"/>
        </w:rPr>
        <w:t>提交响应文件截止</w:t>
      </w:r>
      <w:r>
        <w:rPr>
          <w:rFonts w:hAnsi="宋体"/>
          <w:bCs/>
          <w:szCs w:val="21"/>
          <w:highlight w:val="none"/>
        </w:rPr>
        <w:t>时间</w:t>
      </w:r>
      <w:r>
        <w:rPr>
          <w:rFonts w:hint="eastAsia" w:ascii="宋体" w:hAnsi="宋体"/>
          <w:bCs/>
          <w:szCs w:val="21"/>
          <w:highlight w:val="none"/>
        </w:rPr>
        <w:t>以后提交（上传）的响应文件，广西政府采购云平台将予以拒收。</w:t>
      </w:r>
      <w:r>
        <w:rPr>
          <w:rFonts w:hint="eastAsia" w:ascii="宋体" w:hAnsi="宋体" w:cs="宋体"/>
          <w:szCs w:val="21"/>
          <w:highlight w:val="none"/>
        </w:rPr>
        <w:t>（补充、修改或者撤回方式可</w:t>
      </w:r>
      <w:r>
        <w:rPr>
          <w:rFonts w:hint="eastAsia" w:ascii="宋体" w:hAnsi="宋体"/>
          <w:szCs w:val="21"/>
          <w:highlight w:val="none"/>
        </w:rPr>
        <w:t>登录</w:t>
      </w:r>
      <w:r>
        <w:rPr>
          <w:rFonts w:hint="eastAsia" w:ascii="宋体" w:hAnsi="宋体" w:cs="宋体"/>
          <w:kern w:val="0"/>
          <w:szCs w:val="21"/>
          <w:highlight w:val="none"/>
        </w:rPr>
        <w:t>广西政府采购云平台，</w:t>
      </w:r>
      <w:r>
        <w:rPr>
          <w:rFonts w:hint="eastAsia" w:ascii="宋体" w:hAnsi="宋体"/>
          <w:szCs w:val="21"/>
          <w:highlight w:val="none"/>
        </w:rPr>
        <w:t>进入“服务中心”中查看</w:t>
      </w:r>
      <w:r>
        <w:rPr>
          <w:rFonts w:hint="eastAsia" w:ascii="宋体" w:hAnsi="宋体" w:cs="宋体"/>
          <w:szCs w:val="21"/>
          <w:highlight w:val="none"/>
        </w:rPr>
        <w:t xml:space="preserve"> “电子投标文件制作与投送教程”）</w:t>
      </w:r>
    </w:p>
    <w:bookmarkEnd w:id="70"/>
    <w:bookmarkEnd w:id="71"/>
    <w:p w14:paraId="751EC01F">
      <w:pPr>
        <w:pStyle w:val="62"/>
        <w:spacing w:before="0"/>
        <w:ind w:firstLine="420"/>
        <w:rPr>
          <w:rFonts w:ascii="宋体" w:hAns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1</w:t>
      </w:r>
      <w:r>
        <w:rPr>
          <w:rFonts w:ascii="宋体" w:hAnsi="宋体" w:cs="宋体"/>
          <w:sz w:val="21"/>
          <w:szCs w:val="21"/>
          <w:highlight w:val="none"/>
        </w:rPr>
        <w:t>.</w:t>
      </w:r>
      <w:r>
        <w:rPr>
          <w:rFonts w:hint="eastAsia" w:ascii="宋体" w:hAnsi="宋体" w:cs="宋体"/>
          <w:sz w:val="21"/>
          <w:szCs w:val="21"/>
          <w:highlight w:val="none"/>
        </w:rPr>
        <w:t>2在提交响应文件截止时间前，除供应商补充、修改或者撤回响应文件外，任何单位和个人不得解密或提取响应文件。</w:t>
      </w:r>
    </w:p>
    <w:p w14:paraId="7D0256E9">
      <w:pPr>
        <w:spacing w:line="360" w:lineRule="auto"/>
        <w:ind w:firstLine="482" w:firstLineChars="200"/>
        <w:rPr>
          <w:rFonts w:ascii="黑体" w:hAnsi="黑体" w:eastAsia="黑体" w:cs="宋体"/>
          <w:b/>
          <w:bCs/>
          <w:sz w:val="24"/>
          <w:highlight w:val="none"/>
        </w:rPr>
      </w:pPr>
      <w:bookmarkStart w:id="72" w:name="_Hlk45702405"/>
      <w:r>
        <w:rPr>
          <w:rFonts w:hint="eastAsia" w:ascii="黑体" w:hAnsi="黑体" w:eastAsia="黑体" w:cs="宋体"/>
          <w:b/>
          <w:bCs/>
          <w:sz w:val="24"/>
          <w:highlight w:val="none"/>
        </w:rPr>
        <w:t>22.响应文件的退回</w:t>
      </w:r>
    </w:p>
    <w:p w14:paraId="5FF9F191">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采购人和采购代理机构对已提交的响应文件概不退回。</w:t>
      </w:r>
    </w:p>
    <w:p w14:paraId="5CF982FD">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23.截止时间后的撤回</w:t>
      </w:r>
    </w:p>
    <w:p w14:paraId="290EC0A8">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供应商在响应文件提交截止时间后向采购人、采购代理机构书面申请撤回响应文件的，将根据本须知正文17.4的规定不予退还其磋商保证金。</w:t>
      </w:r>
    </w:p>
    <w:bookmarkEnd w:id="72"/>
    <w:p w14:paraId="55475F88">
      <w:pPr>
        <w:spacing w:line="360" w:lineRule="auto"/>
        <w:rPr>
          <w:rFonts w:ascii="宋体" w:hAnsi="宋体"/>
          <w:szCs w:val="21"/>
          <w:highlight w:val="none"/>
        </w:rPr>
      </w:pPr>
    </w:p>
    <w:p w14:paraId="6FA0E50E">
      <w:pPr>
        <w:spacing w:line="360" w:lineRule="auto"/>
        <w:ind w:left="420" w:firstLine="420"/>
        <w:jc w:val="center"/>
        <w:rPr>
          <w:rFonts w:ascii="宋体" w:hAnsi="宋体"/>
          <w:b/>
          <w:bCs/>
          <w:sz w:val="32"/>
          <w:szCs w:val="32"/>
          <w:highlight w:val="none"/>
        </w:rPr>
      </w:pPr>
      <w:r>
        <w:rPr>
          <w:rFonts w:hint="eastAsia" w:ascii="宋体" w:hAnsi="宋体"/>
          <w:b/>
          <w:bCs/>
          <w:sz w:val="32"/>
          <w:szCs w:val="32"/>
          <w:highlight w:val="none"/>
        </w:rPr>
        <w:t>四、评审及磋商</w:t>
      </w:r>
    </w:p>
    <w:p w14:paraId="63DDB15D">
      <w:pPr>
        <w:spacing w:line="360" w:lineRule="auto"/>
        <w:ind w:left="420" w:firstLine="420"/>
        <w:rPr>
          <w:rFonts w:ascii="宋体" w:hAnsi="宋体"/>
          <w:szCs w:val="21"/>
          <w:highlight w:val="none"/>
        </w:rPr>
      </w:pPr>
    </w:p>
    <w:p w14:paraId="21AF6589">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24.磋商小组成立</w:t>
      </w:r>
    </w:p>
    <w:p w14:paraId="4438FE50">
      <w:pPr>
        <w:spacing w:line="360" w:lineRule="auto"/>
        <w:ind w:firstLine="420" w:firstLineChars="200"/>
        <w:rPr>
          <w:rFonts w:ascii="宋体" w:hAnsi="宋体" w:cs="宋体"/>
          <w:szCs w:val="21"/>
          <w:highlight w:val="none"/>
        </w:rPr>
      </w:pPr>
      <w:r>
        <w:rPr>
          <w:rFonts w:hint="eastAsia" w:ascii="宋体" w:hAnsi="宋体" w:cs="宋体"/>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460F507F">
      <w:pPr>
        <w:spacing w:line="360" w:lineRule="auto"/>
        <w:ind w:firstLine="420" w:firstLineChars="200"/>
        <w:rPr>
          <w:rFonts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6DE6A19">
      <w:pPr>
        <w:spacing w:line="360" w:lineRule="auto"/>
        <w:ind w:firstLine="420" w:firstLineChars="200"/>
        <w:rPr>
          <w:rFonts w:hAnsi="宋体"/>
          <w:bCs/>
          <w:szCs w:val="21"/>
          <w:highlight w:val="none"/>
        </w:rPr>
      </w:pPr>
      <w:r>
        <w:rPr>
          <w:rFonts w:hint="eastAsia" w:ascii="宋体" w:hAnsi="宋体" w:cs="宋体"/>
          <w:szCs w:val="21"/>
          <w:highlight w:val="none"/>
        </w:rPr>
        <w:t>24.3</w:t>
      </w:r>
      <w:r>
        <w:rPr>
          <w:rFonts w:hint="eastAsia" w:hAnsi="宋体"/>
          <w:bCs/>
          <w:szCs w:val="21"/>
          <w:highlight w:val="none"/>
        </w:rPr>
        <w:t>采购代理机构</w:t>
      </w:r>
      <w:r>
        <w:rPr>
          <w:rFonts w:hint="eastAsia" w:hAnsi="宋体"/>
          <w:bCs/>
          <w:highlight w:val="none"/>
        </w:rPr>
        <w:t>应当</w:t>
      </w:r>
      <w:r>
        <w:rPr>
          <w:rFonts w:hint="eastAsia" w:hAnsi="宋体"/>
          <w:bCs/>
          <w:szCs w:val="21"/>
          <w:highlight w:val="none"/>
        </w:rPr>
        <w:t>基于广西政府采购云平台</w:t>
      </w:r>
      <w:r>
        <w:rPr>
          <w:rFonts w:hint="eastAsia" w:hAnsi="宋体"/>
          <w:bCs/>
          <w:highlight w:val="none"/>
        </w:rPr>
        <w:t>抽（选）取</w:t>
      </w:r>
      <w:r>
        <w:rPr>
          <w:rFonts w:hint="eastAsia" w:hAnsi="宋体"/>
          <w:bCs/>
          <w:szCs w:val="21"/>
          <w:highlight w:val="none"/>
        </w:rPr>
        <w:t>评审专家。</w:t>
      </w:r>
    </w:p>
    <w:p w14:paraId="03C3F0F0">
      <w:pPr>
        <w:spacing w:line="360" w:lineRule="auto"/>
        <w:ind w:firstLine="420" w:firstLineChars="200"/>
        <w:rPr>
          <w:rFonts w:ascii="宋体" w:hAnsi="宋体" w:cs="宋体"/>
          <w:szCs w:val="21"/>
          <w:highlight w:val="none"/>
        </w:rPr>
      </w:pPr>
      <w:r>
        <w:rPr>
          <w:rFonts w:hint="eastAsia" w:ascii="宋体" w:hAnsi="宋体" w:cs="宋体"/>
          <w:szCs w:val="21"/>
          <w:highlight w:val="none"/>
        </w:rPr>
        <w:t>24.4参加过采购项目前期咨询论证的专家，不得参加该采购项目的评审活动。</w:t>
      </w:r>
    </w:p>
    <w:p w14:paraId="6BE93057">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25.</w:t>
      </w:r>
      <w:r>
        <w:rPr>
          <w:rFonts w:hint="eastAsia" w:ascii="黑体" w:hAnsi="黑体" w:eastAsia="黑体" w:cs="宋体"/>
          <w:b/>
          <w:bCs/>
          <w:sz w:val="24"/>
          <w:highlight w:val="none"/>
        </w:rPr>
        <w:t>首次响应文件的开启和解密</w:t>
      </w:r>
    </w:p>
    <w:p w14:paraId="2F0A724A">
      <w:pPr>
        <w:spacing w:line="360" w:lineRule="auto"/>
        <w:ind w:firstLine="420" w:firstLineChars="200"/>
        <w:rPr>
          <w:rFonts w:ascii="宋体" w:hAnsi="宋体" w:cs="宋体"/>
          <w:szCs w:val="21"/>
          <w:highlight w:val="none"/>
        </w:rPr>
      </w:pPr>
      <w:r>
        <w:rPr>
          <w:rFonts w:hint="eastAsia" w:hAnsi="宋体"/>
          <w:bCs/>
          <w:highlight w:val="none"/>
        </w:rPr>
        <w:t>采购代理机构将在“供应商须知前附表”规定的时</w:t>
      </w:r>
      <w:r>
        <w:rPr>
          <w:rFonts w:hint="eastAsia" w:hAnsi="宋体"/>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highlight w:val="none"/>
        </w:rPr>
        <w:t>采购代理机构依托广西政府采购云平台向各供应商发出电子加密响应文件【开始解密】通知，由供应商按</w:t>
      </w:r>
      <w:r>
        <w:rPr>
          <w:rFonts w:hint="eastAsia" w:hAnsi="宋体"/>
          <w:bCs/>
          <w:szCs w:val="21"/>
          <w:highlight w:val="none"/>
        </w:rPr>
        <w:t>“供应商须知前附表”</w:t>
      </w:r>
      <w:r>
        <w:rPr>
          <w:rFonts w:hint="eastAsia"/>
          <w:highlight w:val="none"/>
        </w:rPr>
        <w:t>规定的时间内自行进行响应文件解密</w:t>
      </w:r>
      <w:r>
        <w:rPr>
          <w:rFonts w:hint="eastAsia" w:hAnsi="宋体"/>
          <w:highlight w:val="none"/>
        </w:rPr>
        <w:t>。</w:t>
      </w:r>
      <w:r>
        <w:rPr>
          <w:rFonts w:hint="eastAsia"/>
          <w:b/>
          <w:highlight w:val="none"/>
        </w:rPr>
        <w:t>供应商未在</w:t>
      </w:r>
      <w:r>
        <w:rPr>
          <w:b/>
          <w:highlight w:val="none"/>
        </w:rPr>
        <w:t>规定的时间内解密</w:t>
      </w:r>
      <w:r>
        <w:rPr>
          <w:rFonts w:hint="eastAsia"/>
          <w:b/>
          <w:highlight w:val="none"/>
        </w:rPr>
        <w:t>响应文件</w:t>
      </w:r>
      <w:r>
        <w:rPr>
          <w:b/>
          <w:highlight w:val="none"/>
        </w:rPr>
        <w:t>或</w:t>
      </w:r>
      <w:r>
        <w:rPr>
          <w:rFonts w:hint="eastAsia"/>
          <w:b/>
          <w:highlight w:val="none"/>
        </w:rPr>
        <w:t>者</w:t>
      </w:r>
      <w:r>
        <w:rPr>
          <w:b/>
          <w:highlight w:val="none"/>
        </w:rPr>
        <w:t>解密失败的</w:t>
      </w:r>
      <w:r>
        <w:rPr>
          <w:rFonts w:hint="eastAsia"/>
          <w:b/>
          <w:highlight w:val="none"/>
        </w:rPr>
        <w:t>，供应商</w:t>
      </w:r>
      <w:r>
        <w:rPr>
          <w:rFonts w:hint="eastAsia" w:ascii="宋体" w:hAnsi="宋体"/>
          <w:b/>
          <w:szCs w:val="21"/>
          <w:highlight w:val="none"/>
        </w:rPr>
        <w:t>的响应文件作无效处理</w:t>
      </w:r>
      <w:r>
        <w:rPr>
          <w:b/>
          <w:highlight w:val="none"/>
        </w:rPr>
        <w:t>。</w:t>
      </w:r>
    </w:p>
    <w:p w14:paraId="763294A1">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26</w:t>
      </w:r>
      <w:r>
        <w:rPr>
          <w:rFonts w:hint="eastAsia" w:ascii="黑体" w:hAnsi="黑体" w:eastAsia="黑体" w:cs="宋体"/>
          <w:b/>
          <w:bCs/>
          <w:sz w:val="24"/>
          <w:highlight w:val="none"/>
        </w:rPr>
        <w:t>.评审程序、评审方法和评审标准</w:t>
      </w:r>
    </w:p>
    <w:p w14:paraId="760FCF08">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w:t>
      </w:r>
      <w:r>
        <w:rPr>
          <w:rFonts w:hint="eastAsia" w:ascii="宋体" w:hAnsi="宋体" w:cs="宋体"/>
          <w:szCs w:val="21"/>
          <w:highlight w:val="none"/>
        </w:rPr>
        <w:t>.1本项目的评审方法为综合评分法。</w:t>
      </w:r>
    </w:p>
    <w:p w14:paraId="44B79B41">
      <w:pPr>
        <w:spacing w:line="360" w:lineRule="auto"/>
        <w:ind w:firstLine="420" w:firstLineChars="200"/>
        <w:rPr>
          <w:rFonts w:ascii="宋体" w:hAnsi="宋体" w:cs="宋体"/>
          <w:szCs w:val="21"/>
          <w:highlight w:val="none"/>
        </w:rPr>
      </w:pPr>
      <w:r>
        <w:rPr>
          <w:rFonts w:ascii="宋体" w:hAnsi="宋体" w:cs="宋体"/>
          <w:szCs w:val="21"/>
          <w:highlight w:val="none"/>
        </w:rPr>
        <w:t>26.2</w:t>
      </w:r>
      <w:r>
        <w:rPr>
          <w:rFonts w:hint="eastAsia" w:ascii="宋体" w:hAnsi="宋体" w:cs="宋体"/>
          <w:szCs w:val="21"/>
          <w:highlight w:val="none"/>
        </w:rPr>
        <w:t>磋商小组</w:t>
      </w:r>
      <w:r>
        <w:rPr>
          <w:rFonts w:ascii="宋体" w:hAnsi="宋体" w:cs="宋体"/>
          <w:szCs w:val="21"/>
          <w:highlight w:val="none"/>
        </w:rPr>
        <w:t>按照</w:t>
      </w:r>
      <w:r>
        <w:rPr>
          <w:rFonts w:hint="eastAsia" w:ascii="宋体" w:hAnsi="宋体" w:cs="宋体"/>
          <w:szCs w:val="21"/>
          <w:highlight w:val="none"/>
        </w:rPr>
        <w:t>“第四章 评审程序、评审方法和评审标准”</w:t>
      </w:r>
      <w:r>
        <w:rPr>
          <w:rFonts w:ascii="宋体" w:hAnsi="宋体" w:cs="宋体"/>
          <w:szCs w:val="21"/>
          <w:highlight w:val="none"/>
        </w:rPr>
        <w:t>规定的方法、评审因素、标准和程序对</w:t>
      </w:r>
      <w:r>
        <w:rPr>
          <w:rFonts w:hint="eastAsia" w:ascii="宋体" w:hAnsi="宋体" w:cs="宋体"/>
          <w:szCs w:val="21"/>
          <w:highlight w:val="none"/>
        </w:rPr>
        <w:t>响应</w:t>
      </w:r>
      <w:r>
        <w:rPr>
          <w:rFonts w:ascii="宋体" w:hAnsi="宋体" w:cs="宋体"/>
          <w:szCs w:val="21"/>
          <w:highlight w:val="none"/>
        </w:rPr>
        <w:t>文件进行评审。</w:t>
      </w:r>
    </w:p>
    <w:p w14:paraId="4AF1A73C">
      <w:pPr>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 xml:space="preserve">6.3 </w:t>
      </w:r>
      <w:r>
        <w:rPr>
          <w:rFonts w:hint="eastAsia" w:ascii="宋体" w:hAnsi="宋体"/>
          <w:szCs w:val="21"/>
          <w:highlight w:val="none"/>
        </w:rPr>
        <w:t>商务/技术要求允许负偏离的条款数详见“供应商须知前附表”。</w:t>
      </w:r>
    </w:p>
    <w:p w14:paraId="198DC9FA">
      <w:pPr>
        <w:spacing w:line="360" w:lineRule="auto"/>
        <w:ind w:firstLine="420" w:firstLineChars="200"/>
        <w:rPr>
          <w:rFonts w:ascii="宋体" w:hAnsi="宋体"/>
          <w:szCs w:val="21"/>
          <w:highlight w:val="none"/>
        </w:rPr>
      </w:pPr>
      <w:r>
        <w:rPr>
          <w:rFonts w:hint="eastAsia" w:ascii="宋体" w:hAnsi="宋体" w:cs="宋体"/>
          <w:highlight w:val="none"/>
        </w:rPr>
        <w:t>26.</w:t>
      </w:r>
      <w:r>
        <w:rPr>
          <w:rFonts w:ascii="宋体" w:hAnsi="宋体" w:cs="宋体"/>
          <w:highlight w:val="none"/>
        </w:rPr>
        <w:t>4</w:t>
      </w:r>
      <w:r>
        <w:rPr>
          <w:rFonts w:hint="eastAsia" w:ascii="宋体" w:hAnsi="宋体" w:cs="宋体"/>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4396547">
      <w:pPr>
        <w:spacing w:line="360" w:lineRule="auto"/>
        <w:ind w:firstLine="420" w:firstLineChars="200"/>
        <w:rPr>
          <w:rFonts w:hAnsi="宋体"/>
          <w:highlight w:val="none"/>
        </w:rPr>
      </w:pPr>
      <w:r>
        <w:rPr>
          <w:rFonts w:hint="eastAsia" w:ascii="宋体" w:hAnsi="宋体" w:cs="宋体"/>
          <w:highlight w:val="none"/>
        </w:rPr>
        <w:t>2</w:t>
      </w:r>
      <w:r>
        <w:rPr>
          <w:rFonts w:ascii="宋体" w:hAnsi="宋体" w:cs="宋体"/>
          <w:highlight w:val="none"/>
        </w:rPr>
        <w:t>6.5</w:t>
      </w:r>
      <w:r>
        <w:rPr>
          <w:rFonts w:hint="eastAsia" w:hAnsi="宋体"/>
          <w:highlight w:val="none"/>
        </w:rPr>
        <w:t>电子交易活动的中止。采购过程中出现以下情形，导致电子交易平台无法正常运行，或者无法保证电子交易的公平、公正和安全时，采购机构可中止电子交易活动：</w:t>
      </w:r>
    </w:p>
    <w:p w14:paraId="58B180E9">
      <w:pPr>
        <w:spacing w:line="360" w:lineRule="auto"/>
        <w:ind w:firstLine="420" w:firstLineChars="200"/>
        <w:rPr>
          <w:rFonts w:hAnsi="宋体"/>
          <w:highlight w:val="none"/>
        </w:rPr>
      </w:pPr>
      <w:r>
        <w:rPr>
          <w:rFonts w:hint="eastAsia" w:hAnsi="宋体"/>
          <w:highlight w:val="none"/>
        </w:rPr>
        <w:t xml:space="preserve">（1）电子交易平台发生故障而无法登录访问的； </w:t>
      </w:r>
    </w:p>
    <w:p w14:paraId="136A09DF">
      <w:pPr>
        <w:spacing w:line="360" w:lineRule="auto"/>
        <w:ind w:firstLine="420" w:firstLineChars="200"/>
        <w:rPr>
          <w:rFonts w:hAnsi="宋体"/>
          <w:highlight w:val="none"/>
        </w:rPr>
      </w:pPr>
      <w:r>
        <w:rPr>
          <w:rFonts w:hint="eastAsia" w:hAnsi="宋体"/>
          <w:highlight w:val="none"/>
        </w:rPr>
        <w:t>（2）电子交易平台应用或数据库出现错误，不能进行正常操作的；</w:t>
      </w:r>
    </w:p>
    <w:p w14:paraId="30F5670E">
      <w:pPr>
        <w:spacing w:line="360" w:lineRule="auto"/>
        <w:ind w:firstLine="420" w:firstLineChars="200"/>
        <w:rPr>
          <w:rFonts w:hAnsi="宋体"/>
          <w:highlight w:val="none"/>
        </w:rPr>
      </w:pPr>
      <w:r>
        <w:rPr>
          <w:rFonts w:hint="eastAsia" w:hAnsi="宋体"/>
          <w:highlight w:val="none"/>
        </w:rPr>
        <w:t>（3）电子交易平台发现严重安全漏洞，有潜在泄密危险的；</w:t>
      </w:r>
    </w:p>
    <w:p w14:paraId="226A1A3B">
      <w:pPr>
        <w:spacing w:line="360" w:lineRule="auto"/>
        <w:ind w:firstLine="420" w:firstLineChars="200"/>
        <w:rPr>
          <w:rFonts w:hAnsi="宋体"/>
          <w:highlight w:val="none"/>
        </w:rPr>
      </w:pPr>
      <w:r>
        <w:rPr>
          <w:rFonts w:hint="eastAsia" w:hAnsi="宋体"/>
          <w:highlight w:val="none"/>
        </w:rPr>
        <w:t xml:space="preserve">（4）病毒发作导致不能进行正常操作的； </w:t>
      </w:r>
    </w:p>
    <w:p w14:paraId="072C40C4">
      <w:pPr>
        <w:spacing w:line="360" w:lineRule="auto"/>
        <w:ind w:firstLine="420" w:firstLineChars="200"/>
        <w:rPr>
          <w:rFonts w:hAnsi="宋体"/>
          <w:highlight w:val="none"/>
        </w:rPr>
      </w:pPr>
      <w:r>
        <w:rPr>
          <w:rFonts w:hint="eastAsia" w:hAnsi="宋体"/>
          <w:highlight w:val="none"/>
        </w:rPr>
        <w:t>（5）其他无法保证电子交易的公平、公正和安全的情况。</w:t>
      </w:r>
    </w:p>
    <w:p w14:paraId="2F98F050">
      <w:pPr>
        <w:spacing w:line="360" w:lineRule="auto"/>
        <w:ind w:firstLine="420" w:firstLineChars="200"/>
        <w:rPr>
          <w:rFonts w:ascii="宋体" w:hAnsi="宋体" w:cs="宋体"/>
          <w:szCs w:val="21"/>
          <w:highlight w:val="none"/>
        </w:rPr>
      </w:pPr>
      <w:r>
        <w:rPr>
          <w:rFonts w:hint="eastAsia" w:ascii="宋体" w:hAnsi="宋体"/>
          <w:highlight w:val="none"/>
        </w:rPr>
        <w:t>26.</w:t>
      </w:r>
      <w:r>
        <w:rPr>
          <w:rFonts w:ascii="宋体" w:hAnsi="宋体"/>
          <w:highlight w:val="none"/>
        </w:rPr>
        <w:t>6</w:t>
      </w:r>
      <w:r>
        <w:rPr>
          <w:rFonts w:hint="eastAsia" w:hAnsi="宋体"/>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8C650AB">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27</w:t>
      </w:r>
      <w:r>
        <w:rPr>
          <w:rFonts w:hint="eastAsia" w:ascii="黑体" w:hAnsi="黑体" w:eastAsia="黑体" w:cs="宋体"/>
          <w:b/>
          <w:bCs/>
          <w:sz w:val="24"/>
          <w:highlight w:val="none"/>
        </w:rPr>
        <w:t>.确定成交供应商及结果公告</w:t>
      </w:r>
    </w:p>
    <w:p w14:paraId="58A76CC1">
      <w:pPr>
        <w:spacing w:line="360" w:lineRule="auto"/>
        <w:ind w:firstLine="420" w:firstLineChars="200"/>
        <w:rPr>
          <w:rFonts w:ascii="宋体" w:hAnsi="宋体" w:cs="宋体"/>
          <w:szCs w:val="21"/>
          <w:highlight w:val="none"/>
        </w:rPr>
      </w:pPr>
      <w:r>
        <w:rPr>
          <w:rFonts w:ascii="宋体" w:hAnsi="宋体" w:cs="宋体"/>
          <w:szCs w:val="21"/>
          <w:highlight w:val="none"/>
        </w:rPr>
        <w:t>27</w:t>
      </w:r>
      <w:r>
        <w:rPr>
          <w:rFonts w:hint="eastAsia" w:ascii="宋体" w:hAnsi="宋体" w:cs="宋体"/>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6948EBD">
      <w:pPr>
        <w:spacing w:line="360" w:lineRule="auto"/>
        <w:ind w:firstLine="420" w:firstLineChars="200"/>
        <w:rPr>
          <w:rFonts w:ascii="宋体" w:hAnsi="宋体" w:cs="Courier New"/>
          <w:szCs w:val="21"/>
          <w:highlight w:val="none"/>
        </w:rPr>
      </w:pPr>
      <w:r>
        <w:rPr>
          <w:rFonts w:ascii="宋体" w:hAnsi="宋体" w:cs="宋体"/>
          <w:szCs w:val="21"/>
          <w:highlight w:val="none"/>
        </w:rPr>
        <w:t>27</w:t>
      </w:r>
      <w:r>
        <w:rPr>
          <w:rFonts w:hint="eastAsia" w:ascii="宋体" w:hAnsi="宋体" w:cs="宋体"/>
          <w:szCs w:val="21"/>
          <w:highlight w:val="none"/>
        </w:rPr>
        <w:t>.2采购代理机构应当在</w:t>
      </w:r>
      <w:r>
        <w:rPr>
          <w:rFonts w:hint="eastAsia" w:ascii="宋体" w:hAnsi="宋体" w:cs="宋体"/>
          <w:kern w:val="0"/>
          <w:szCs w:val="21"/>
          <w:highlight w:val="none"/>
        </w:rPr>
        <w:t>成交</w:t>
      </w:r>
      <w:r>
        <w:rPr>
          <w:rFonts w:hint="eastAsia" w:ascii="宋体" w:hAnsi="宋体" w:cs="宋体"/>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3" w:name="_Hlk66782294"/>
      <w:r>
        <w:rPr>
          <w:rFonts w:hint="eastAsia" w:ascii="宋体" w:hAnsi="宋体" w:cs="Courier New"/>
          <w:szCs w:val="21"/>
          <w:highlight w:val="none"/>
        </w:rPr>
        <w:t>成交供应商享受</w:t>
      </w:r>
      <w:r>
        <w:rPr>
          <w:rFonts w:hint="eastAsia" w:ascii="宋体" w:hAnsi="宋体"/>
          <w:szCs w:val="21"/>
          <w:highlight w:val="none"/>
        </w:rPr>
        <w:t>《政府采购促进中小企业发展管理办法》（财库〔2020〕46号）规定的中小企业扶持</w:t>
      </w:r>
      <w:r>
        <w:rPr>
          <w:rFonts w:hint="eastAsia" w:ascii="宋体" w:hAnsi="宋体" w:cs="Courier New"/>
          <w:szCs w:val="21"/>
          <w:highlight w:val="none"/>
        </w:rPr>
        <w:t>政策的，采购人、采购代理机构应当随成交结果公开成交供应商的《中小企业声明函》。</w:t>
      </w:r>
      <w:bookmarkEnd w:id="73"/>
    </w:p>
    <w:p w14:paraId="7BF14321">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27.3出现下列情形之一的，采购人或者采购代理机构应当终止竞争性磋商采购活动，发布项目终止公告并说明原因，重新开展采购活动：</w:t>
      </w:r>
    </w:p>
    <w:p w14:paraId="0EC9E128">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（1）因情况变化，不再符合规定的竞争性磋商采购方式适用情形的；</w:t>
      </w:r>
    </w:p>
    <w:p w14:paraId="715E4E03">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（2）出现影响采购公正的违法、违规行为的；</w:t>
      </w:r>
    </w:p>
    <w:p w14:paraId="0CC48E83">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（3）除“第四章 评审程序、评审方法和评审标准”第4.3条规定的情形外，在采购过程中符合要求的供应商或者报价未超过采购预算的供应商不足3家的。</w:t>
      </w:r>
    </w:p>
    <w:p w14:paraId="2522C56A">
      <w:pPr>
        <w:spacing w:line="360" w:lineRule="auto"/>
        <w:ind w:firstLine="420" w:firstLineChars="200"/>
        <w:rPr>
          <w:rFonts w:ascii="宋体" w:hAnsi="宋体" w:cs="宋体"/>
          <w:szCs w:val="21"/>
          <w:highlight w:val="none"/>
        </w:rPr>
      </w:pPr>
      <w:r>
        <w:rPr>
          <w:rFonts w:hint="eastAsia" w:ascii="宋体" w:hAnsi="宋体" w:cs="Courier New"/>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5DBBC82B">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28</w:t>
      </w:r>
      <w:r>
        <w:rPr>
          <w:rFonts w:hint="eastAsia" w:ascii="黑体" w:hAnsi="黑体" w:eastAsia="黑体" w:cs="宋体"/>
          <w:b/>
          <w:bCs/>
          <w:sz w:val="24"/>
          <w:highlight w:val="none"/>
        </w:rPr>
        <w:t>.履约保证金</w:t>
      </w:r>
    </w:p>
    <w:p w14:paraId="478CBB82">
      <w:pPr>
        <w:spacing w:line="360" w:lineRule="auto"/>
        <w:ind w:firstLine="424" w:firstLineChars="202"/>
        <w:rPr>
          <w:rFonts w:ascii="宋体" w:hAnsi="宋体" w:cs="宋体"/>
          <w:szCs w:val="21"/>
          <w:highlight w:val="none"/>
        </w:rPr>
      </w:pPr>
      <w:r>
        <w:rPr>
          <w:rFonts w:ascii="宋体" w:hAnsi="宋体" w:cs="宋体"/>
          <w:szCs w:val="21"/>
          <w:highlight w:val="none"/>
        </w:rPr>
        <w:t>28</w:t>
      </w:r>
      <w:r>
        <w:rPr>
          <w:rFonts w:hint="eastAsia" w:ascii="宋体" w:hAnsi="宋体" w:cs="宋体"/>
          <w:szCs w:val="21"/>
          <w:highlight w:val="none"/>
        </w:rPr>
        <w:t>.1履约保证金的金额、提交方式、缴纳期限、退付的时间和条件详见 “供应商须知前附表”。成交供应商未按规定提交履约保证金的，视为拒绝</w:t>
      </w:r>
      <w:r>
        <w:rPr>
          <w:rFonts w:ascii="宋体" w:hAnsi="宋体"/>
          <w:highlight w:val="none"/>
        </w:rPr>
        <w:t>与采购人</w:t>
      </w:r>
      <w:r>
        <w:rPr>
          <w:rFonts w:hint="eastAsia" w:ascii="宋体" w:hAnsi="宋体" w:cs="宋体"/>
          <w:szCs w:val="21"/>
          <w:highlight w:val="none"/>
        </w:rPr>
        <w:t>签订合同。</w:t>
      </w:r>
    </w:p>
    <w:p w14:paraId="2DD54915">
      <w:pPr>
        <w:spacing w:line="360" w:lineRule="auto"/>
        <w:ind w:firstLine="424" w:firstLineChars="202"/>
        <w:rPr>
          <w:rFonts w:ascii="宋体" w:hAnsi="宋体" w:cs="宋体"/>
          <w:szCs w:val="21"/>
          <w:highlight w:val="none"/>
        </w:rPr>
      </w:pPr>
      <w:r>
        <w:rPr>
          <w:rFonts w:ascii="宋体" w:hAnsi="宋体" w:cs="宋体"/>
          <w:szCs w:val="21"/>
          <w:highlight w:val="none"/>
        </w:rPr>
        <w:t>28</w:t>
      </w:r>
      <w:r>
        <w:rPr>
          <w:rFonts w:hint="eastAsia" w:ascii="宋体" w:hAnsi="宋体" w:cs="宋体"/>
          <w:szCs w:val="21"/>
          <w:highlight w:val="none"/>
        </w:rPr>
        <w:t>.2在履约保证金退还日期前，若成交供应商的开户名称、开户银行、账号有变动的，请以书面形式通知履约保证金收取单位，否则由此产生的后果由成交供应商自行承担。</w:t>
      </w:r>
    </w:p>
    <w:p w14:paraId="45ECFF65">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29</w:t>
      </w:r>
      <w:r>
        <w:rPr>
          <w:rFonts w:hint="eastAsia" w:ascii="黑体" w:hAnsi="黑体" w:eastAsia="黑体" w:cs="宋体"/>
          <w:b/>
          <w:bCs/>
          <w:sz w:val="24"/>
          <w:highlight w:val="none"/>
        </w:rPr>
        <w:t>.签订合同</w:t>
      </w:r>
    </w:p>
    <w:p w14:paraId="2BEB688A">
      <w:pPr>
        <w:spacing w:line="360" w:lineRule="auto"/>
        <w:ind w:firstLine="424" w:firstLineChars="202"/>
        <w:rPr>
          <w:rFonts w:ascii="宋体" w:hAnsi="宋体" w:cs="宋体"/>
          <w:szCs w:val="21"/>
          <w:highlight w:val="none"/>
        </w:rPr>
      </w:pPr>
      <w:r>
        <w:rPr>
          <w:rFonts w:hint="eastAsia" w:ascii="宋体" w:hAnsi="宋体" w:cs="宋体"/>
          <w:szCs w:val="21"/>
          <w:highlight w:val="none"/>
        </w:rPr>
        <w:t>29.1签订电子采购合同：成交供应商领取电子成交通知书后，在</w:t>
      </w:r>
      <w:r>
        <w:rPr>
          <w:rFonts w:hint="eastAsia" w:ascii="宋体" w:hAnsi="宋体" w:cs="宋体"/>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66A585DD">
      <w:pPr>
        <w:spacing w:line="360" w:lineRule="auto"/>
        <w:ind w:firstLine="424" w:firstLineChars="202"/>
        <w:rPr>
          <w:rFonts w:ascii="宋体" w:hAnsi="宋体" w:cs="宋体"/>
          <w:szCs w:val="21"/>
          <w:highlight w:val="none"/>
        </w:rPr>
      </w:pPr>
      <w:r>
        <w:rPr>
          <w:rFonts w:hint="eastAsia" w:ascii="宋体" w:hAnsi="宋体" w:cs="宋体"/>
          <w:szCs w:val="21"/>
          <w:highlight w:val="none"/>
        </w:rPr>
        <w:t>线下签订纸质合同：供应商领取成交通知书后，按“供应商须知前附表”规定向采购人出示相关证明材料，经采购人核验合格后方可签订合同。</w:t>
      </w:r>
    </w:p>
    <w:p w14:paraId="0642771E">
      <w:pPr>
        <w:spacing w:line="360" w:lineRule="auto"/>
        <w:ind w:firstLine="424" w:firstLineChars="202"/>
        <w:rPr>
          <w:rFonts w:ascii="宋体" w:hAnsi="宋体" w:cs="宋体"/>
          <w:szCs w:val="21"/>
          <w:highlight w:val="none"/>
        </w:rPr>
      </w:pPr>
      <w:r>
        <w:rPr>
          <w:rFonts w:hint="eastAsia" w:ascii="宋体" w:hAnsi="宋体" w:cs="宋体"/>
          <w:szCs w:val="21"/>
          <w:highlight w:val="none"/>
        </w:rPr>
        <w:t>29.2签订合同时间：按成交通知书规定的时间与采购人签订合同。</w:t>
      </w:r>
    </w:p>
    <w:p w14:paraId="5D9EEE4F">
      <w:pPr>
        <w:spacing w:line="360" w:lineRule="auto"/>
        <w:ind w:firstLine="424" w:firstLineChars="202"/>
        <w:rPr>
          <w:rFonts w:ascii="宋体" w:hAnsi="宋体" w:cs="宋体"/>
          <w:szCs w:val="21"/>
          <w:highlight w:val="none"/>
        </w:rPr>
      </w:pPr>
      <w:r>
        <w:rPr>
          <w:rFonts w:hint="eastAsia" w:ascii="宋体" w:hAnsi="宋体" w:cs="宋体"/>
          <w:szCs w:val="21"/>
          <w:highlight w:val="none"/>
        </w:rPr>
        <w:t>29.</w:t>
      </w:r>
      <w:r>
        <w:rPr>
          <w:rFonts w:ascii="宋体" w:hAnsi="宋体" w:cs="宋体"/>
          <w:szCs w:val="21"/>
          <w:highlight w:val="none"/>
        </w:rPr>
        <w:t>3</w:t>
      </w:r>
      <w:r>
        <w:rPr>
          <w:rFonts w:hint="eastAsia" w:ascii="宋体" w:hAnsi="宋体" w:cs="宋体"/>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DD3FB69">
      <w:pPr>
        <w:spacing w:line="360" w:lineRule="auto"/>
        <w:ind w:firstLine="424" w:firstLineChars="202"/>
        <w:rPr>
          <w:rFonts w:ascii="宋体" w:hAnsi="宋体" w:cs="宋体"/>
          <w:szCs w:val="21"/>
          <w:highlight w:val="none"/>
        </w:rPr>
      </w:pPr>
      <w:r>
        <w:rPr>
          <w:rFonts w:hint="eastAsia" w:ascii="宋体" w:hAnsi="宋体" w:cs="宋体"/>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72E0BC5">
      <w:pPr>
        <w:spacing w:line="360" w:lineRule="auto"/>
        <w:ind w:firstLine="424" w:firstLineChars="202"/>
        <w:rPr>
          <w:rFonts w:ascii="宋体" w:hAnsi="宋体" w:cs="宋体"/>
          <w:szCs w:val="21"/>
          <w:highlight w:val="none"/>
        </w:rPr>
      </w:pPr>
      <w:r>
        <w:rPr>
          <w:rFonts w:hint="eastAsia" w:ascii="宋体" w:hAnsi="宋体" w:cs="宋体"/>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2007B538">
      <w:pPr>
        <w:spacing w:line="360" w:lineRule="auto"/>
        <w:ind w:firstLine="424" w:firstLineChars="202"/>
        <w:rPr>
          <w:rFonts w:ascii="宋体" w:hAnsi="宋体" w:cs="宋体"/>
          <w:szCs w:val="21"/>
          <w:highlight w:val="none"/>
        </w:rPr>
      </w:pPr>
      <w:r>
        <w:rPr>
          <w:rFonts w:hint="eastAsia" w:ascii="宋体" w:hAnsi="宋体" w:cs="宋体"/>
          <w:szCs w:val="21"/>
          <w:highlight w:val="none"/>
        </w:rPr>
        <w:t>29.6如签订合同并生效后，供应商无故拒绝或延期，除按照合同条款处理外，将承担相应的法律责任。</w:t>
      </w:r>
    </w:p>
    <w:p w14:paraId="432EA1DB">
      <w:pPr>
        <w:spacing w:line="360" w:lineRule="auto"/>
        <w:ind w:firstLine="424" w:firstLineChars="202"/>
        <w:rPr>
          <w:rFonts w:ascii="宋体" w:hAnsi="宋体" w:cs="宋体"/>
          <w:szCs w:val="21"/>
          <w:highlight w:val="none"/>
        </w:rPr>
      </w:pPr>
      <w:r>
        <w:rPr>
          <w:rFonts w:hint="eastAsia" w:ascii="宋体" w:hAnsi="宋体" w:cs="宋体"/>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0AE0E51">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30</w:t>
      </w:r>
      <w:r>
        <w:rPr>
          <w:rFonts w:hint="eastAsia" w:ascii="黑体" w:hAnsi="黑体" w:eastAsia="黑体" w:cs="宋体"/>
          <w:b/>
          <w:bCs/>
          <w:sz w:val="24"/>
          <w:highlight w:val="none"/>
        </w:rPr>
        <w:t>.政府采购合同公告</w:t>
      </w:r>
    </w:p>
    <w:p w14:paraId="5ACC451A">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1099E1D">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31</w:t>
      </w:r>
      <w:r>
        <w:rPr>
          <w:rFonts w:hint="eastAsia" w:ascii="黑体" w:hAnsi="黑体" w:eastAsia="黑体" w:cs="宋体"/>
          <w:b/>
          <w:bCs/>
          <w:sz w:val="24"/>
          <w:highlight w:val="none"/>
        </w:rPr>
        <w:t>. 询问、质疑和投诉</w:t>
      </w:r>
    </w:p>
    <w:p w14:paraId="67649A09">
      <w:pPr>
        <w:pStyle w:val="5"/>
        <w:spacing w:line="360" w:lineRule="auto"/>
        <w:rPr>
          <w:rFonts w:ascii="宋体" w:hAnsi="宋体"/>
          <w:szCs w:val="21"/>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highlight w:val="none"/>
        </w:rPr>
        <w:t>但答复的内容不得涉及商业秘密</w:t>
      </w:r>
      <w:r>
        <w:rPr>
          <w:rFonts w:hint="eastAsia" w:ascii="宋体" w:hAnsi="宋体" w:cs="宋体"/>
          <w:highlight w:val="none"/>
        </w:rPr>
        <w:t>。</w:t>
      </w:r>
    </w:p>
    <w:p w14:paraId="2396CE56">
      <w:pPr>
        <w:spacing w:line="360" w:lineRule="auto"/>
        <w:ind w:firstLine="420" w:firstLineChars="200"/>
        <w:rPr>
          <w:rFonts w:ascii="宋体" w:hAnsi="宋体" w:cs="宋体"/>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highlight w:val="none"/>
          <w:shd w:val="clear" w:color="auto" w:fill="FFFFFF"/>
        </w:rPr>
        <w:t>接收质疑函的方式、联系部门、联系电话和通讯地址等信息</w:t>
      </w:r>
      <w:r>
        <w:rPr>
          <w:rFonts w:hint="eastAsia" w:ascii="宋体" w:hAnsi="宋体" w:cs="Arial"/>
          <w:highlight w:val="none"/>
          <w:shd w:val="clear" w:color="auto" w:fill="FFFFFF"/>
        </w:rPr>
        <w:t>详见</w:t>
      </w:r>
      <w:r>
        <w:rPr>
          <w:rFonts w:hint="eastAsia" w:ascii="宋体" w:hAnsi="宋体" w:cs="宋体"/>
          <w:szCs w:val="21"/>
          <w:highlight w:val="none"/>
        </w:rPr>
        <w:t>“供应商须知前附表”</w:t>
      </w:r>
      <w:r>
        <w:rPr>
          <w:rFonts w:hint="eastAsia" w:ascii="宋体" w:hAnsi="宋体" w:cs="宋体"/>
          <w:highlight w:val="none"/>
        </w:rPr>
        <w:t>。具体质疑起算时间如下：</w:t>
      </w:r>
    </w:p>
    <w:p w14:paraId="64567150">
      <w:pPr>
        <w:spacing w:line="360" w:lineRule="auto"/>
        <w:ind w:firstLine="420" w:firstLineChars="200"/>
        <w:rPr>
          <w:rFonts w:ascii="宋体" w:hAnsi="宋体" w:cs="宋体"/>
          <w:highlight w:val="none"/>
        </w:rPr>
      </w:pPr>
      <w:r>
        <w:rPr>
          <w:rFonts w:hint="eastAsia" w:ascii="宋体" w:hAnsi="宋体" w:cs="宋体"/>
          <w:highlight w:val="none"/>
        </w:rPr>
        <w:t>（1）对可以质疑的磋商文件提出质疑的，为收到磋商文件之日或者</w:t>
      </w:r>
      <w:r>
        <w:rPr>
          <w:rFonts w:hint="eastAsia" w:ascii="宋体" w:hAnsi="宋体"/>
          <w:highlight w:val="none"/>
        </w:rPr>
        <w:t>竞争性磋商公告期限届满之日</w:t>
      </w:r>
      <w:r>
        <w:rPr>
          <w:rFonts w:hint="eastAsia" w:ascii="宋体" w:hAnsi="宋体" w:cs="宋体"/>
          <w:highlight w:val="none"/>
        </w:rPr>
        <w:t>；</w:t>
      </w:r>
    </w:p>
    <w:p w14:paraId="4199C876">
      <w:pPr>
        <w:spacing w:line="360" w:lineRule="auto"/>
        <w:ind w:firstLine="420" w:firstLineChars="200"/>
        <w:rPr>
          <w:rFonts w:ascii="宋体" w:hAnsi="宋体" w:cs="宋体"/>
          <w:highlight w:val="none"/>
        </w:rPr>
      </w:pPr>
      <w:r>
        <w:rPr>
          <w:rFonts w:hint="eastAsia" w:ascii="宋体" w:hAnsi="宋体" w:cs="宋体"/>
          <w:highlight w:val="none"/>
        </w:rPr>
        <w:t>（2）对采购过程提出质疑的，为各采购程序环节结束之日；</w:t>
      </w:r>
    </w:p>
    <w:p w14:paraId="38E7584D">
      <w:pPr>
        <w:spacing w:line="360" w:lineRule="auto"/>
        <w:ind w:firstLine="420" w:firstLineChars="200"/>
        <w:rPr>
          <w:rFonts w:ascii="宋体" w:hAnsi="宋体" w:cs="宋体"/>
          <w:highlight w:val="none"/>
        </w:rPr>
      </w:pPr>
      <w:r>
        <w:rPr>
          <w:rFonts w:hint="eastAsia" w:ascii="宋体" w:hAnsi="宋体" w:cs="宋体"/>
          <w:highlight w:val="none"/>
        </w:rPr>
        <w:t>（3）对成交结果提出质疑的，为成交结果公告期限届满之日。</w:t>
      </w:r>
    </w:p>
    <w:p w14:paraId="761FFCA5">
      <w:pPr>
        <w:spacing w:line="360" w:lineRule="auto"/>
        <w:ind w:firstLine="420" w:firstLineChars="200"/>
        <w:rPr>
          <w:rFonts w:ascii="宋体" w:hAnsi="宋体" w:cs="宋体"/>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B759773">
      <w:pPr>
        <w:spacing w:line="360" w:lineRule="auto"/>
        <w:ind w:firstLine="420" w:firstLineChars="200"/>
        <w:rPr>
          <w:rFonts w:ascii="宋体" w:hAnsi="宋体" w:cs="宋体"/>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.4 供应商提出质疑应当提交质疑函和必要的证明材料，针对同一采购程序环节的质疑必须在法定质疑期内一次性提出。质疑函应当包括下列内容</w:t>
      </w:r>
      <w:r>
        <w:rPr>
          <w:rFonts w:hint="eastAsia" w:hAnsi="宋体"/>
          <w:bCs/>
          <w:highlight w:val="none"/>
        </w:rPr>
        <w:t>（质疑函格式后附）</w:t>
      </w:r>
      <w:r>
        <w:rPr>
          <w:rFonts w:hint="eastAsia" w:ascii="宋体" w:hAnsi="宋体" w:cs="宋体"/>
          <w:highlight w:val="none"/>
        </w:rPr>
        <w:t>：</w:t>
      </w:r>
    </w:p>
    <w:p w14:paraId="14BE1EB6">
      <w:pPr>
        <w:spacing w:line="360" w:lineRule="auto"/>
        <w:ind w:firstLine="420" w:firstLineChars="200"/>
        <w:rPr>
          <w:rFonts w:ascii="宋体" w:hAnsi="宋体" w:cs="宋体"/>
          <w:highlight w:val="none"/>
        </w:rPr>
      </w:pPr>
      <w:r>
        <w:rPr>
          <w:rFonts w:hint="eastAsia" w:ascii="宋体" w:hAnsi="宋体" w:cs="宋体"/>
          <w:highlight w:val="none"/>
        </w:rPr>
        <w:t>（1）供应商的姓名或者名称、地址、邮编、联系人及联系电话；</w:t>
      </w:r>
    </w:p>
    <w:p w14:paraId="3DCB24F4">
      <w:pPr>
        <w:spacing w:line="360" w:lineRule="auto"/>
        <w:ind w:firstLine="420" w:firstLineChars="200"/>
        <w:rPr>
          <w:rFonts w:ascii="宋体" w:hAnsi="宋体" w:cs="宋体"/>
          <w:highlight w:val="none"/>
        </w:rPr>
      </w:pPr>
      <w:r>
        <w:rPr>
          <w:rFonts w:hint="eastAsia" w:ascii="宋体" w:hAnsi="宋体" w:cs="宋体"/>
          <w:highlight w:val="none"/>
        </w:rPr>
        <w:t>（2）质疑项目的名称、编号；</w:t>
      </w:r>
    </w:p>
    <w:p w14:paraId="65B13935">
      <w:pPr>
        <w:spacing w:line="360" w:lineRule="auto"/>
        <w:ind w:firstLine="420" w:firstLineChars="200"/>
        <w:rPr>
          <w:rFonts w:ascii="宋体" w:hAnsi="宋体" w:cs="宋体"/>
          <w:highlight w:val="none"/>
        </w:rPr>
      </w:pPr>
      <w:r>
        <w:rPr>
          <w:rFonts w:hint="eastAsia" w:ascii="宋体" w:hAnsi="宋体" w:cs="宋体"/>
          <w:highlight w:val="none"/>
        </w:rPr>
        <w:t>（3）具体、明确的质疑事项和与质疑事项相关的请求；</w:t>
      </w:r>
    </w:p>
    <w:p w14:paraId="60352327">
      <w:pPr>
        <w:spacing w:line="360" w:lineRule="auto"/>
        <w:ind w:firstLine="420" w:firstLineChars="200"/>
        <w:rPr>
          <w:rFonts w:ascii="宋体" w:hAnsi="宋体" w:cs="宋体"/>
          <w:highlight w:val="none"/>
        </w:rPr>
      </w:pPr>
      <w:r>
        <w:rPr>
          <w:rFonts w:hint="eastAsia" w:ascii="宋体" w:hAnsi="宋体" w:cs="宋体"/>
          <w:highlight w:val="none"/>
        </w:rPr>
        <w:t>（4）事实依据；</w:t>
      </w:r>
    </w:p>
    <w:p w14:paraId="23ABC6E5">
      <w:pPr>
        <w:spacing w:line="360" w:lineRule="auto"/>
        <w:ind w:firstLine="420" w:firstLineChars="200"/>
        <w:rPr>
          <w:rFonts w:ascii="宋体" w:hAnsi="宋体" w:cs="宋体"/>
          <w:highlight w:val="none"/>
        </w:rPr>
      </w:pPr>
      <w:r>
        <w:rPr>
          <w:rFonts w:hint="eastAsia" w:ascii="宋体" w:hAnsi="宋体" w:cs="宋体"/>
          <w:highlight w:val="none"/>
        </w:rPr>
        <w:t>（5）必要的法律依据；</w:t>
      </w:r>
    </w:p>
    <w:p w14:paraId="51C43D68">
      <w:pPr>
        <w:spacing w:line="360" w:lineRule="auto"/>
        <w:ind w:firstLine="420" w:firstLineChars="200"/>
        <w:rPr>
          <w:rFonts w:ascii="宋体" w:hAnsi="宋体" w:cs="宋体"/>
          <w:highlight w:val="none"/>
        </w:rPr>
      </w:pPr>
      <w:r>
        <w:rPr>
          <w:rFonts w:hint="eastAsia" w:ascii="宋体" w:hAnsi="宋体" w:cs="宋体"/>
          <w:highlight w:val="none"/>
        </w:rPr>
        <w:t>（6）提出质疑的日期。</w:t>
      </w:r>
    </w:p>
    <w:p w14:paraId="04007F62">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14:paraId="3C6B3069">
      <w:pPr>
        <w:spacing w:line="360" w:lineRule="auto"/>
        <w:ind w:firstLine="420" w:firstLineChars="200"/>
        <w:rPr>
          <w:rFonts w:ascii="宋体" w:hAnsi="宋体" w:cs="宋体"/>
          <w:highlight w:val="none"/>
        </w:rPr>
      </w:pPr>
      <w:r>
        <w:rPr>
          <w:rFonts w:hint="eastAsia" w:ascii="宋体" w:hAnsi="宋体" w:cs="宋体"/>
          <w:highlight w:val="none"/>
        </w:rPr>
        <w:t>3</w:t>
      </w:r>
      <w:r>
        <w:rPr>
          <w:rFonts w:ascii="宋体" w:hAnsi="宋体" w:cs="宋体"/>
          <w:highlight w:val="none"/>
        </w:rPr>
        <w:t>1.5</w:t>
      </w:r>
      <w:r>
        <w:rPr>
          <w:rFonts w:hint="eastAsia" w:ascii="宋体" w:hAnsi="宋体" w:cs="宋体"/>
          <w:highlight w:val="none"/>
        </w:rPr>
        <w:t>采购人、采购代理机构认为供应商质疑不成立，或者成立但未对成交结果构成影响的，继续开展采购活动；认为供应商质疑成立且影响或者可能影响成交结果的，按照下列情况处理：</w:t>
      </w:r>
    </w:p>
    <w:p w14:paraId="2B8B56AE">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14:paraId="1FF76AC7">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14:paraId="194D2E90">
      <w:pPr>
        <w:spacing w:line="360" w:lineRule="auto"/>
        <w:ind w:firstLine="420" w:firstLineChars="200"/>
        <w:rPr>
          <w:rFonts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14:paraId="4003DBCD">
      <w:pPr>
        <w:spacing w:line="360" w:lineRule="auto"/>
        <w:ind w:firstLine="420" w:firstLineChars="200"/>
        <w:rPr>
          <w:rFonts w:ascii="宋体" w:hAnsi="宋体" w:cs="宋体"/>
          <w:szCs w:val="21"/>
          <w:highlight w:val="none"/>
        </w:rPr>
      </w:pPr>
      <w:r>
        <w:rPr>
          <w:rFonts w:ascii="宋体" w:hAnsi="宋体" w:cs="宋体"/>
          <w:highlight w:val="none"/>
        </w:rPr>
        <w:t>31</w:t>
      </w: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DABC159">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32</w:t>
      </w:r>
      <w:r>
        <w:rPr>
          <w:rFonts w:hint="eastAsia" w:ascii="黑体" w:hAnsi="黑体" w:eastAsia="黑体" w:cs="宋体"/>
          <w:b/>
          <w:bCs/>
          <w:sz w:val="24"/>
          <w:highlight w:val="none"/>
        </w:rPr>
        <w:t>.其他内容</w:t>
      </w:r>
    </w:p>
    <w:p w14:paraId="05E5BF2A">
      <w:pPr>
        <w:tabs>
          <w:tab w:val="left" w:pos="2835"/>
        </w:tabs>
        <w:spacing w:line="360" w:lineRule="auto"/>
        <w:ind w:firstLine="420" w:firstLineChars="200"/>
        <w:rPr>
          <w:rFonts w:ascii="宋体" w:hAnsi="宋体" w:cs="宋体"/>
          <w:szCs w:val="21"/>
          <w:highlight w:val="none"/>
        </w:rPr>
      </w:pPr>
      <w:r>
        <w:rPr>
          <w:rFonts w:ascii="宋体" w:hAnsi="宋体" w:cs="宋体"/>
          <w:szCs w:val="21"/>
          <w:highlight w:val="none"/>
        </w:rPr>
        <w:t>32</w:t>
      </w:r>
      <w:r>
        <w:rPr>
          <w:rFonts w:hint="eastAsia" w:ascii="宋体" w:hAnsi="宋体" w:cs="宋体"/>
          <w:szCs w:val="21"/>
          <w:highlight w:val="none"/>
        </w:rPr>
        <w:t>.1代理服务收取标准及缴费账户详见“供应商须知前附表”，供应商为联合体的，可以由联合体中的一方或者多方共同交纳代理服务费。</w:t>
      </w:r>
    </w:p>
    <w:p w14:paraId="74037BF5">
      <w:pPr>
        <w:tabs>
          <w:tab w:val="left" w:pos="2835"/>
        </w:tabs>
        <w:spacing w:line="360" w:lineRule="auto"/>
        <w:ind w:firstLine="420" w:firstLineChars="200"/>
        <w:rPr>
          <w:rFonts w:ascii="宋体" w:hAnsi="宋体" w:cs="宋体"/>
          <w:szCs w:val="21"/>
          <w:highlight w:val="none"/>
        </w:rPr>
      </w:pPr>
      <w:r>
        <w:rPr>
          <w:rFonts w:ascii="宋体" w:hAnsi="宋体" w:cs="宋体"/>
          <w:szCs w:val="21"/>
          <w:highlight w:val="none"/>
        </w:rPr>
        <w:t>32.2</w:t>
      </w:r>
      <w:r>
        <w:rPr>
          <w:rFonts w:hint="eastAsia" w:ascii="宋体" w:hAnsi="宋体" w:cs="宋体"/>
          <w:szCs w:val="21"/>
          <w:highlight w:val="none"/>
        </w:rPr>
        <w:t>代理服务费收费计算标准：</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B28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776B604">
            <w:pPr>
              <w:spacing w:line="360" w:lineRule="auto"/>
              <w:rPr>
                <w:rFonts w:ascii="宋体" w:hAnsi="宋体" w:cs="宋体"/>
                <w:szCs w:val="21"/>
                <w:highlight w:val="none"/>
              </w:rPr>
            </w:pPr>
            <w:r>
              <w:rPr>
                <w:rFonts w:hint="eastAsia" w:ascii="宋体" w:hAnsi="宋体" w:cs="宋体"/>
                <w:szCs w:val="21"/>
                <w:highlight w:val="none"/>
              </w:rPr>
              <w:t xml:space="preserve">               费率</w:t>
            </w:r>
          </w:p>
          <w:p w14:paraId="694515FF">
            <w:pPr>
              <w:spacing w:line="360" w:lineRule="auto"/>
              <w:rPr>
                <w:rFonts w:ascii="宋体" w:hAnsi="宋体" w:cs="宋体"/>
                <w:szCs w:val="21"/>
                <w:highlight w:val="none"/>
              </w:rPr>
            </w:pPr>
            <w:r>
              <w:rPr>
                <w:rFonts w:hint="eastAsia" w:ascii="宋体" w:hAnsi="宋体" w:cs="宋体"/>
                <w:szCs w:val="21"/>
                <w:highlight w:val="none"/>
              </w:rPr>
              <w:t>金额</w:t>
            </w:r>
          </w:p>
        </w:tc>
        <w:tc>
          <w:tcPr>
            <w:tcW w:w="1659" w:type="dxa"/>
            <w:vAlign w:val="center"/>
          </w:tcPr>
          <w:p w14:paraId="2B4C9671">
            <w:pPr>
              <w:spacing w:line="360" w:lineRule="auto"/>
              <w:ind w:firstLine="105" w:firstLineChars="50"/>
              <w:jc w:val="center"/>
              <w:rPr>
                <w:rFonts w:ascii="宋体" w:hAnsi="宋体" w:cs="宋体"/>
                <w:szCs w:val="21"/>
                <w:highlight w:val="none"/>
              </w:rPr>
            </w:pPr>
            <w:r>
              <w:rPr>
                <w:rFonts w:hint="eastAsia" w:ascii="宋体" w:hAnsi="宋体" w:cs="宋体"/>
                <w:szCs w:val="21"/>
                <w:highlight w:val="none"/>
              </w:rPr>
              <w:t>货物类</w:t>
            </w:r>
          </w:p>
        </w:tc>
        <w:tc>
          <w:tcPr>
            <w:tcW w:w="1532" w:type="dxa"/>
            <w:vAlign w:val="center"/>
          </w:tcPr>
          <w:p w14:paraId="231FFF30">
            <w:pPr>
              <w:spacing w:line="360" w:lineRule="auto"/>
              <w:jc w:val="center"/>
              <w:rPr>
                <w:rFonts w:ascii="宋体" w:hAnsi="宋体" w:cs="宋体"/>
                <w:szCs w:val="21"/>
                <w:highlight w:val="none"/>
              </w:rPr>
            </w:pPr>
            <w:r>
              <w:rPr>
                <w:rFonts w:hint="eastAsia" w:ascii="宋体" w:hAnsi="宋体" w:cs="宋体"/>
                <w:szCs w:val="21"/>
                <w:highlight w:val="none"/>
              </w:rPr>
              <w:t>服务类</w:t>
            </w:r>
          </w:p>
        </w:tc>
        <w:tc>
          <w:tcPr>
            <w:tcW w:w="1546" w:type="dxa"/>
            <w:vAlign w:val="center"/>
          </w:tcPr>
          <w:p w14:paraId="6BAF2814">
            <w:pPr>
              <w:spacing w:line="360" w:lineRule="auto"/>
              <w:jc w:val="center"/>
              <w:rPr>
                <w:rFonts w:ascii="宋体" w:hAnsi="宋体" w:cs="宋体"/>
                <w:szCs w:val="21"/>
                <w:highlight w:val="none"/>
              </w:rPr>
            </w:pPr>
            <w:r>
              <w:rPr>
                <w:rFonts w:hint="eastAsia" w:ascii="宋体" w:hAnsi="宋体" w:cs="宋体"/>
                <w:szCs w:val="21"/>
                <w:highlight w:val="none"/>
              </w:rPr>
              <w:t>工程类</w:t>
            </w:r>
          </w:p>
        </w:tc>
      </w:tr>
      <w:tr w14:paraId="3CF8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D94F6BA">
            <w:pPr>
              <w:spacing w:line="360" w:lineRule="auto"/>
              <w:rPr>
                <w:rFonts w:ascii="宋体" w:hAnsi="宋体" w:cs="宋体"/>
                <w:szCs w:val="21"/>
                <w:highlight w:val="none"/>
              </w:rPr>
            </w:pPr>
            <w:r>
              <w:rPr>
                <w:rFonts w:hint="eastAsia" w:ascii="宋体" w:hAnsi="宋体" w:cs="宋体"/>
                <w:szCs w:val="21"/>
                <w:highlight w:val="none"/>
              </w:rPr>
              <w:t>100万元以下</w:t>
            </w:r>
          </w:p>
        </w:tc>
        <w:tc>
          <w:tcPr>
            <w:tcW w:w="1659" w:type="dxa"/>
          </w:tcPr>
          <w:p w14:paraId="450604DC">
            <w:pPr>
              <w:spacing w:line="360" w:lineRule="auto"/>
              <w:rPr>
                <w:rFonts w:ascii="宋体" w:hAnsi="宋体" w:cs="宋体"/>
                <w:szCs w:val="21"/>
                <w:highlight w:val="none"/>
              </w:rPr>
            </w:pPr>
            <w:r>
              <w:rPr>
                <w:rFonts w:hint="eastAsia" w:ascii="宋体" w:hAnsi="宋体" w:cs="宋体"/>
                <w:kern w:val="0"/>
                <w:szCs w:val="21"/>
                <w:highlight w:val="none"/>
              </w:rPr>
              <w:t xml:space="preserve">  1.5%                </w:t>
            </w:r>
          </w:p>
        </w:tc>
        <w:tc>
          <w:tcPr>
            <w:tcW w:w="1532" w:type="dxa"/>
          </w:tcPr>
          <w:p w14:paraId="337477E8">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1.5%</w:t>
            </w:r>
          </w:p>
        </w:tc>
        <w:tc>
          <w:tcPr>
            <w:tcW w:w="1546" w:type="dxa"/>
          </w:tcPr>
          <w:p w14:paraId="45792D8F">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1.0% </w:t>
            </w:r>
          </w:p>
        </w:tc>
      </w:tr>
      <w:tr w14:paraId="5570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8086BF5">
            <w:pPr>
              <w:spacing w:line="360" w:lineRule="auto"/>
              <w:rPr>
                <w:rFonts w:ascii="宋体" w:hAnsi="宋体" w:cs="宋体"/>
                <w:szCs w:val="21"/>
                <w:highlight w:val="none"/>
              </w:rPr>
            </w:pPr>
            <w:r>
              <w:rPr>
                <w:rFonts w:hint="eastAsia" w:ascii="宋体" w:hAnsi="宋体" w:cs="宋体"/>
                <w:szCs w:val="21"/>
                <w:highlight w:val="none"/>
              </w:rPr>
              <w:t>100～500万元</w:t>
            </w:r>
          </w:p>
        </w:tc>
        <w:tc>
          <w:tcPr>
            <w:tcW w:w="1659" w:type="dxa"/>
          </w:tcPr>
          <w:p w14:paraId="100C84AC">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1.1%                 </w:t>
            </w:r>
          </w:p>
        </w:tc>
        <w:tc>
          <w:tcPr>
            <w:tcW w:w="1532" w:type="dxa"/>
          </w:tcPr>
          <w:p w14:paraId="5DB46305">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0.8%</w:t>
            </w:r>
          </w:p>
        </w:tc>
        <w:tc>
          <w:tcPr>
            <w:tcW w:w="1546" w:type="dxa"/>
          </w:tcPr>
          <w:p w14:paraId="2E12B8D4">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0.7% </w:t>
            </w:r>
          </w:p>
        </w:tc>
      </w:tr>
      <w:tr w14:paraId="6F0D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1524A3">
            <w:pPr>
              <w:spacing w:line="360" w:lineRule="auto"/>
              <w:rPr>
                <w:rFonts w:ascii="宋体" w:hAnsi="宋体" w:cs="宋体"/>
                <w:szCs w:val="21"/>
                <w:highlight w:val="none"/>
              </w:rPr>
            </w:pPr>
            <w:r>
              <w:rPr>
                <w:rFonts w:hint="eastAsia" w:ascii="宋体" w:hAnsi="宋体" w:cs="宋体"/>
                <w:szCs w:val="21"/>
                <w:highlight w:val="none"/>
              </w:rPr>
              <w:t>500～1000万元</w:t>
            </w:r>
          </w:p>
        </w:tc>
        <w:tc>
          <w:tcPr>
            <w:tcW w:w="1659" w:type="dxa"/>
          </w:tcPr>
          <w:p w14:paraId="1F2DF047">
            <w:pPr>
              <w:spacing w:line="360" w:lineRule="auto"/>
              <w:rPr>
                <w:rFonts w:ascii="宋体" w:hAnsi="宋体" w:cs="宋体"/>
                <w:szCs w:val="21"/>
                <w:highlight w:val="none"/>
              </w:rPr>
            </w:pPr>
            <w:r>
              <w:rPr>
                <w:rFonts w:hint="eastAsia" w:ascii="宋体" w:hAnsi="宋体" w:cs="宋体"/>
                <w:kern w:val="0"/>
                <w:szCs w:val="21"/>
                <w:highlight w:val="none"/>
              </w:rPr>
              <w:t xml:space="preserve">  0.8%                </w:t>
            </w:r>
          </w:p>
        </w:tc>
        <w:tc>
          <w:tcPr>
            <w:tcW w:w="1532" w:type="dxa"/>
          </w:tcPr>
          <w:p w14:paraId="45B52490">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0.45%</w:t>
            </w:r>
          </w:p>
        </w:tc>
        <w:tc>
          <w:tcPr>
            <w:tcW w:w="1546" w:type="dxa"/>
          </w:tcPr>
          <w:p w14:paraId="292451C5">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0.55%</w:t>
            </w:r>
          </w:p>
        </w:tc>
      </w:tr>
      <w:tr w14:paraId="1DB9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75E7671">
            <w:pPr>
              <w:spacing w:line="360" w:lineRule="auto"/>
              <w:rPr>
                <w:rFonts w:ascii="宋体" w:hAnsi="宋体" w:cs="宋体"/>
                <w:szCs w:val="21"/>
                <w:highlight w:val="none"/>
              </w:rPr>
            </w:pPr>
            <w:r>
              <w:rPr>
                <w:rFonts w:hint="eastAsia" w:ascii="宋体" w:hAnsi="宋体" w:cs="宋体"/>
                <w:szCs w:val="21"/>
                <w:highlight w:val="none"/>
              </w:rPr>
              <w:t>1000～5000万元</w:t>
            </w:r>
          </w:p>
        </w:tc>
        <w:tc>
          <w:tcPr>
            <w:tcW w:w="1659" w:type="dxa"/>
          </w:tcPr>
          <w:p w14:paraId="4744669C">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0.5%                </w:t>
            </w:r>
          </w:p>
        </w:tc>
        <w:tc>
          <w:tcPr>
            <w:tcW w:w="1532" w:type="dxa"/>
          </w:tcPr>
          <w:p w14:paraId="679D24C5">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0.25%</w:t>
            </w:r>
          </w:p>
        </w:tc>
        <w:tc>
          <w:tcPr>
            <w:tcW w:w="1546" w:type="dxa"/>
          </w:tcPr>
          <w:p w14:paraId="464F3E72">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0.35% </w:t>
            </w:r>
          </w:p>
        </w:tc>
      </w:tr>
      <w:tr w14:paraId="66E7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A1A014">
            <w:pPr>
              <w:spacing w:line="360" w:lineRule="auto"/>
              <w:rPr>
                <w:rFonts w:ascii="宋体" w:hAnsi="宋体" w:cs="宋体"/>
                <w:szCs w:val="21"/>
                <w:highlight w:val="none"/>
              </w:rPr>
            </w:pPr>
            <w:r>
              <w:rPr>
                <w:rFonts w:hint="eastAsia" w:ascii="宋体" w:hAnsi="宋体" w:cs="宋体"/>
                <w:szCs w:val="21"/>
                <w:highlight w:val="none"/>
              </w:rPr>
              <w:t>5000万元～1亿元</w:t>
            </w:r>
          </w:p>
        </w:tc>
        <w:tc>
          <w:tcPr>
            <w:tcW w:w="1659" w:type="dxa"/>
          </w:tcPr>
          <w:p w14:paraId="0E3BB041">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0.25%                 </w:t>
            </w:r>
          </w:p>
        </w:tc>
        <w:tc>
          <w:tcPr>
            <w:tcW w:w="1532" w:type="dxa"/>
          </w:tcPr>
          <w:p w14:paraId="5E161C3E">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0.1%</w:t>
            </w:r>
          </w:p>
        </w:tc>
        <w:tc>
          <w:tcPr>
            <w:tcW w:w="1546" w:type="dxa"/>
          </w:tcPr>
          <w:p w14:paraId="10565BCC">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0.2%</w:t>
            </w:r>
          </w:p>
        </w:tc>
      </w:tr>
      <w:tr w14:paraId="6F98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2269F86">
            <w:pPr>
              <w:spacing w:line="360" w:lineRule="auto"/>
              <w:rPr>
                <w:rFonts w:ascii="宋体" w:hAnsi="宋体" w:cs="宋体"/>
                <w:szCs w:val="21"/>
                <w:highlight w:val="none"/>
              </w:rPr>
            </w:pPr>
            <w:r>
              <w:rPr>
                <w:rFonts w:hint="eastAsia" w:ascii="宋体" w:hAnsi="宋体" w:cs="宋体"/>
                <w:szCs w:val="21"/>
                <w:highlight w:val="none"/>
              </w:rPr>
              <w:t>1～5亿元</w:t>
            </w:r>
          </w:p>
        </w:tc>
        <w:tc>
          <w:tcPr>
            <w:tcW w:w="1659" w:type="dxa"/>
          </w:tcPr>
          <w:p w14:paraId="6EA679ED">
            <w:pPr>
              <w:spacing w:line="360" w:lineRule="auto"/>
              <w:ind w:firstLine="210" w:firstLineChars="100"/>
              <w:rPr>
                <w:rFonts w:ascii="宋体" w:hAnsi="宋体" w:cs="宋体"/>
                <w:szCs w:val="21"/>
                <w:highlight w:val="none"/>
              </w:rPr>
            </w:pPr>
            <w:r>
              <w:rPr>
                <w:rFonts w:hint="eastAsia" w:ascii="宋体" w:hAnsi="宋体" w:cs="宋体"/>
                <w:szCs w:val="21"/>
                <w:highlight w:val="none"/>
              </w:rPr>
              <w:t>0.05%</w:t>
            </w:r>
          </w:p>
        </w:tc>
        <w:tc>
          <w:tcPr>
            <w:tcW w:w="1532" w:type="dxa"/>
          </w:tcPr>
          <w:p w14:paraId="7BEAD7B7">
            <w:pPr>
              <w:spacing w:line="360" w:lineRule="auto"/>
              <w:rPr>
                <w:rFonts w:ascii="宋体" w:hAnsi="宋体" w:cs="宋体"/>
                <w:szCs w:val="21"/>
                <w:highlight w:val="none"/>
              </w:rPr>
            </w:pPr>
            <w:r>
              <w:rPr>
                <w:rFonts w:hint="eastAsia" w:ascii="宋体" w:hAnsi="宋体" w:cs="宋体"/>
                <w:szCs w:val="21"/>
                <w:highlight w:val="none"/>
              </w:rPr>
              <w:t xml:space="preserve">  0.05%</w:t>
            </w:r>
          </w:p>
        </w:tc>
        <w:tc>
          <w:tcPr>
            <w:tcW w:w="1546" w:type="dxa"/>
          </w:tcPr>
          <w:p w14:paraId="750E9B35">
            <w:pPr>
              <w:spacing w:line="360" w:lineRule="auto"/>
              <w:rPr>
                <w:rFonts w:ascii="宋体" w:hAnsi="宋体" w:cs="宋体"/>
                <w:szCs w:val="21"/>
                <w:highlight w:val="none"/>
              </w:rPr>
            </w:pPr>
            <w:r>
              <w:rPr>
                <w:rFonts w:hint="eastAsia" w:ascii="宋体" w:hAnsi="宋体" w:cs="宋体"/>
                <w:szCs w:val="21"/>
                <w:highlight w:val="none"/>
              </w:rPr>
              <w:t xml:space="preserve">  0.05%</w:t>
            </w:r>
          </w:p>
        </w:tc>
      </w:tr>
      <w:tr w14:paraId="18EE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06A40B5">
            <w:pPr>
              <w:spacing w:line="360" w:lineRule="auto"/>
              <w:rPr>
                <w:rFonts w:ascii="宋体" w:hAnsi="宋体" w:cs="宋体"/>
                <w:szCs w:val="21"/>
                <w:highlight w:val="none"/>
              </w:rPr>
            </w:pPr>
            <w:r>
              <w:rPr>
                <w:rFonts w:hint="eastAsia" w:ascii="宋体" w:hAnsi="宋体" w:cs="宋体"/>
                <w:szCs w:val="21"/>
                <w:highlight w:val="none"/>
              </w:rPr>
              <w:t>5～10亿元</w:t>
            </w:r>
          </w:p>
        </w:tc>
        <w:tc>
          <w:tcPr>
            <w:tcW w:w="1659" w:type="dxa"/>
          </w:tcPr>
          <w:p w14:paraId="72E5F51F">
            <w:pPr>
              <w:spacing w:line="360" w:lineRule="auto"/>
              <w:ind w:firstLine="105" w:firstLineChars="50"/>
              <w:rPr>
                <w:rFonts w:ascii="宋体" w:hAnsi="宋体" w:cs="宋体"/>
                <w:szCs w:val="21"/>
                <w:highlight w:val="none"/>
              </w:rPr>
            </w:pPr>
            <w:r>
              <w:rPr>
                <w:rFonts w:hint="eastAsia" w:ascii="宋体" w:hAnsi="宋体" w:cs="宋体"/>
                <w:szCs w:val="21"/>
                <w:highlight w:val="none"/>
              </w:rPr>
              <w:t>0.035%</w:t>
            </w:r>
          </w:p>
        </w:tc>
        <w:tc>
          <w:tcPr>
            <w:tcW w:w="1532" w:type="dxa"/>
          </w:tcPr>
          <w:p w14:paraId="0AF13622">
            <w:pPr>
              <w:spacing w:line="360" w:lineRule="auto"/>
              <w:rPr>
                <w:rFonts w:ascii="宋体" w:hAnsi="宋体" w:cs="宋体"/>
                <w:szCs w:val="21"/>
                <w:highlight w:val="none"/>
              </w:rPr>
            </w:pPr>
            <w:r>
              <w:rPr>
                <w:rFonts w:hint="eastAsia" w:ascii="宋体" w:hAnsi="宋体" w:cs="宋体"/>
                <w:szCs w:val="21"/>
                <w:highlight w:val="none"/>
              </w:rPr>
              <w:t xml:space="preserve">  0.035%</w:t>
            </w:r>
          </w:p>
        </w:tc>
        <w:tc>
          <w:tcPr>
            <w:tcW w:w="1546" w:type="dxa"/>
          </w:tcPr>
          <w:p w14:paraId="1872A8D3">
            <w:pPr>
              <w:spacing w:line="360" w:lineRule="auto"/>
              <w:ind w:firstLine="105" w:firstLineChars="50"/>
              <w:rPr>
                <w:rFonts w:ascii="宋体" w:hAnsi="宋体" w:cs="宋体"/>
                <w:szCs w:val="21"/>
                <w:highlight w:val="none"/>
              </w:rPr>
            </w:pPr>
            <w:r>
              <w:rPr>
                <w:rFonts w:hint="eastAsia" w:ascii="宋体" w:hAnsi="宋体" w:cs="宋体"/>
                <w:szCs w:val="21"/>
                <w:highlight w:val="none"/>
              </w:rPr>
              <w:t>0.035%</w:t>
            </w:r>
          </w:p>
        </w:tc>
      </w:tr>
      <w:tr w14:paraId="17B3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A06CDE">
            <w:pPr>
              <w:spacing w:line="360" w:lineRule="auto"/>
              <w:rPr>
                <w:rFonts w:ascii="宋体" w:hAnsi="宋体" w:cs="宋体"/>
                <w:szCs w:val="21"/>
                <w:highlight w:val="none"/>
              </w:rPr>
            </w:pPr>
            <w:r>
              <w:rPr>
                <w:rFonts w:hint="eastAsia" w:ascii="宋体" w:hAnsi="宋体" w:cs="宋体"/>
                <w:szCs w:val="21"/>
                <w:highlight w:val="none"/>
              </w:rPr>
              <w:t>10～50亿元</w:t>
            </w:r>
          </w:p>
        </w:tc>
        <w:tc>
          <w:tcPr>
            <w:tcW w:w="1659" w:type="dxa"/>
          </w:tcPr>
          <w:p w14:paraId="664D555D">
            <w:pPr>
              <w:spacing w:line="360" w:lineRule="auto"/>
              <w:ind w:firstLine="105" w:firstLineChars="50"/>
              <w:rPr>
                <w:rFonts w:ascii="宋体" w:hAnsi="宋体" w:cs="宋体"/>
                <w:szCs w:val="21"/>
                <w:highlight w:val="none"/>
              </w:rPr>
            </w:pPr>
            <w:r>
              <w:rPr>
                <w:rFonts w:hint="eastAsia" w:ascii="宋体" w:hAnsi="宋体" w:cs="宋体"/>
                <w:szCs w:val="21"/>
                <w:highlight w:val="none"/>
              </w:rPr>
              <w:t>0.008%</w:t>
            </w:r>
          </w:p>
        </w:tc>
        <w:tc>
          <w:tcPr>
            <w:tcW w:w="1532" w:type="dxa"/>
          </w:tcPr>
          <w:p w14:paraId="29C3956D">
            <w:pPr>
              <w:spacing w:line="360" w:lineRule="auto"/>
              <w:ind w:firstLine="210" w:firstLineChars="100"/>
              <w:rPr>
                <w:rFonts w:ascii="宋体" w:hAnsi="宋体" w:cs="宋体"/>
                <w:szCs w:val="21"/>
                <w:highlight w:val="none"/>
              </w:rPr>
            </w:pPr>
            <w:r>
              <w:rPr>
                <w:rFonts w:hint="eastAsia" w:ascii="宋体" w:hAnsi="宋体" w:cs="宋体"/>
                <w:szCs w:val="21"/>
                <w:highlight w:val="none"/>
              </w:rPr>
              <w:t>0.008%</w:t>
            </w:r>
          </w:p>
        </w:tc>
        <w:tc>
          <w:tcPr>
            <w:tcW w:w="1546" w:type="dxa"/>
          </w:tcPr>
          <w:p w14:paraId="4C0E7C25">
            <w:pPr>
              <w:spacing w:line="360" w:lineRule="auto"/>
              <w:ind w:firstLine="105" w:firstLineChars="50"/>
              <w:rPr>
                <w:rFonts w:ascii="宋体" w:hAnsi="宋体" w:cs="宋体"/>
                <w:szCs w:val="21"/>
                <w:highlight w:val="none"/>
              </w:rPr>
            </w:pPr>
            <w:r>
              <w:rPr>
                <w:rFonts w:hint="eastAsia" w:ascii="宋体" w:hAnsi="宋体" w:cs="宋体"/>
                <w:szCs w:val="21"/>
                <w:highlight w:val="none"/>
              </w:rPr>
              <w:t>0.008%</w:t>
            </w:r>
          </w:p>
        </w:tc>
      </w:tr>
      <w:tr w14:paraId="775A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09F5510">
            <w:pPr>
              <w:spacing w:line="360" w:lineRule="auto"/>
              <w:rPr>
                <w:rFonts w:ascii="宋体" w:hAnsi="宋体" w:cs="宋体"/>
                <w:szCs w:val="21"/>
                <w:highlight w:val="none"/>
              </w:rPr>
            </w:pPr>
            <w:r>
              <w:rPr>
                <w:rFonts w:hint="eastAsia" w:ascii="宋体" w:hAnsi="宋体" w:cs="宋体"/>
                <w:szCs w:val="21"/>
                <w:highlight w:val="none"/>
              </w:rPr>
              <w:t>50～100亿元</w:t>
            </w:r>
          </w:p>
        </w:tc>
        <w:tc>
          <w:tcPr>
            <w:tcW w:w="1659" w:type="dxa"/>
          </w:tcPr>
          <w:p w14:paraId="56C70B6D">
            <w:pPr>
              <w:spacing w:line="360" w:lineRule="auto"/>
              <w:rPr>
                <w:rFonts w:ascii="宋体" w:hAnsi="宋体" w:cs="宋体"/>
                <w:szCs w:val="21"/>
                <w:highlight w:val="none"/>
              </w:rPr>
            </w:pPr>
            <w:r>
              <w:rPr>
                <w:rFonts w:hint="eastAsia" w:ascii="宋体" w:hAnsi="宋体" w:cs="宋体"/>
                <w:szCs w:val="21"/>
                <w:highlight w:val="none"/>
              </w:rPr>
              <w:t xml:space="preserve"> 0.006%</w:t>
            </w:r>
          </w:p>
        </w:tc>
        <w:tc>
          <w:tcPr>
            <w:tcW w:w="1532" w:type="dxa"/>
          </w:tcPr>
          <w:p w14:paraId="3BB9EE02">
            <w:pPr>
              <w:spacing w:line="360" w:lineRule="auto"/>
              <w:ind w:firstLine="210" w:firstLineChars="100"/>
              <w:rPr>
                <w:rFonts w:ascii="宋体" w:hAnsi="宋体" w:cs="宋体"/>
                <w:szCs w:val="21"/>
                <w:highlight w:val="none"/>
              </w:rPr>
            </w:pPr>
            <w:r>
              <w:rPr>
                <w:rFonts w:hint="eastAsia" w:ascii="宋体" w:hAnsi="宋体" w:cs="宋体"/>
                <w:szCs w:val="21"/>
                <w:highlight w:val="none"/>
              </w:rPr>
              <w:t>0.006%</w:t>
            </w:r>
          </w:p>
        </w:tc>
        <w:tc>
          <w:tcPr>
            <w:tcW w:w="1546" w:type="dxa"/>
          </w:tcPr>
          <w:p w14:paraId="21008233">
            <w:pPr>
              <w:spacing w:line="360" w:lineRule="auto"/>
              <w:ind w:firstLine="105" w:firstLineChars="50"/>
              <w:rPr>
                <w:rFonts w:ascii="宋体" w:hAnsi="宋体" w:cs="宋体"/>
                <w:szCs w:val="21"/>
                <w:highlight w:val="none"/>
              </w:rPr>
            </w:pPr>
            <w:r>
              <w:rPr>
                <w:rFonts w:hint="eastAsia" w:ascii="宋体" w:hAnsi="宋体" w:cs="宋体"/>
                <w:szCs w:val="21"/>
                <w:highlight w:val="none"/>
              </w:rPr>
              <w:t>0.006%</w:t>
            </w:r>
          </w:p>
        </w:tc>
      </w:tr>
      <w:tr w14:paraId="5F24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02263BB">
            <w:pPr>
              <w:spacing w:line="360" w:lineRule="auto"/>
              <w:rPr>
                <w:rFonts w:ascii="宋体" w:hAnsi="宋体" w:cs="宋体"/>
                <w:szCs w:val="21"/>
                <w:highlight w:val="none"/>
              </w:rPr>
            </w:pPr>
            <w:r>
              <w:rPr>
                <w:rFonts w:hint="eastAsia" w:ascii="宋体" w:hAnsi="宋体" w:cs="宋体"/>
                <w:szCs w:val="21"/>
                <w:highlight w:val="none"/>
              </w:rPr>
              <w:t>100亿以上</w:t>
            </w:r>
          </w:p>
        </w:tc>
        <w:tc>
          <w:tcPr>
            <w:tcW w:w="1659" w:type="dxa"/>
          </w:tcPr>
          <w:p w14:paraId="239A4AD6">
            <w:pPr>
              <w:spacing w:line="360" w:lineRule="auto"/>
              <w:rPr>
                <w:rFonts w:ascii="宋体" w:hAnsi="宋体" w:cs="宋体"/>
                <w:szCs w:val="21"/>
                <w:highlight w:val="none"/>
              </w:rPr>
            </w:pPr>
            <w:r>
              <w:rPr>
                <w:rFonts w:hint="eastAsia" w:ascii="宋体" w:hAnsi="宋体" w:cs="宋体"/>
                <w:szCs w:val="21"/>
                <w:highlight w:val="none"/>
              </w:rPr>
              <w:t xml:space="preserve"> 0.004%</w:t>
            </w:r>
          </w:p>
        </w:tc>
        <w:tc>
          <w:tcPr>
            <w:tcW w:w="1532" w:type="dxa"/>
          </w:tcPr>
          <w:p w14:paraId="617C44A4">
            <w:pPr>
              <w:spacing w:line="360" w:lineRule="auto"/>
              <w:ind w:firstLine="210" w:firstLineChars="100"/>
              <w:rPr>
                <w:rFonts w:ascii="宋体" w:hAnsi="宋体" w:cs="宋体"/>
                <w:szCs w:val="21"/>
                <w:highlight w:val="none"/>
              </w:rPr>
            </w:pPr>
            <w:r>
              <w:rPr>
                <w:rFonts w:hint="eastAsia" w:ascii="宋体" w:hAnsi="宋体" w:cs="宋体"/>
                <w:szCs w:val="21"/>
                <w:highlight w:val="none"/>
              </w:rPr>
              <w:t>0.004%</w:t>
            </w:r>
          </w:p>
        </w:tc>
        <w:tc>
          <w:tcPr>
            <w:tcW w:w="1546" w:type="dxa"/>
          </w:tcPr>
          <w:p w14:paraId="25538254">
            <w:pPr>
              <w:spacing w:line="360" w:lineRule="auto"/>
              <w:ind w:firstLine="105" w:firstLineChars="50"/>
              <w:rPr>
                <w:rFonts w:ascii="宋体" w:hAnsi="宋体" w:cs="宋体"/>
                <w:szCs w:val="21"/>
                <w:highlight w:val="none"/>
              </w:rPr>
            </w:pPr>
            <w:r>
              <w:rPr>
                <w:rFonts w:hint="eastAsia" w:ascii="宋体" w:hAnsi="宋体" w:cs="宋体"/>
                <w:szCs w:val="21"/>
                <w:highlight w:val="none"/>
              </w:rPr>
              <w:t>0.004%</w:t>
            </w:r>
          </w:p>
        </w:tc>
      </w:tr>
    </w:tbl>
    <w:p w14:paraId="0A9B2384">
      <w:pPr>
        <w:spacing w:line="360" w:lineRule="auto"/>
        <w:ind w:firstLine="420" w:firstLineChars="200"/>
        <w:rPr>
          <w:rFonts w:ascii="宋体" w:hAnsi="宋体" w:cs="宋体"/>
          <w:highlight w:val="none"/>
        </w:rPr>
      </w:pPr>
      <w:r>
        <w:rPr>
          <w:rFonts w:ascii="宋体" w:hAnsi="宋体" w:cs="宋体"/>
          <w:highlight w:val="none"/>
        </w:rPr>
        <w:t>注：</w:t>
      </w:r>
    </w:p>
    <w:p w14:paraId="249B67C4">
      <w:pPr>
        <w:spacing w:line="360" w:lineRule="auto"/>
        <w:ind w:firstLine="420" w:firstLineChars="200"/>
        <w:rPr>
          <w:rFonts w:ascii="宋体" w:hAnsi="宋体" w:cs="宋体"/>
          <w:highlight w:val="none"/>
        </w:rPr>
      </w:pPr>
      <w:r>
        <w:rPr>
          <w:rFonts w:hint="eastAsia" w:ascii="宋体" w:hAnsi="宋体" w:cs="宋体"/>
          <w:highlight w:val="none"/>
        </w:rPr>
        <w:t>（1）</w:t>
      </w:r>
      <w:r>
        <w:rPr>
          <w:rFonts w:ascii="宋体" w:hAnsi="宋体" w:cs="宋体"/>
          <w:highlight w:val="none"/>
        </w:rPr>
        <w:t>按本表费率计算的收费为</w:t>
      </w:r>
      <w:r>
        <w:rPr>
          <w:rFonts w:hint="eastAsia" w:ascii="宋体" w:hAnsi="宋体" w:cs="宋体"/>
          <w:highlight w:val="none"/>
        </w:rPr>
        <w:t>采购</w:t>
      </w:r>
      <w:r>
        <w:rPr>
          <w:rFonts w:ascii="宋体" w:hAnsi="宋体" w:cs="宋体"/>
          <w:highlight w:val="none"/>
        </w:rPr>
        <w:t>代理的收费基准价格</w:t>
      </w:r>
      <w:r>
        <w:rPr>
          <w:rFonts w:hint="eastAsia" w:ascii="宋体" w:hAnsi="宋体" w:cs="宋体"/>
          <w:highlight w:val="none"/>
        </w:rPr>
        <w:t>；</w:t>
      </w:r>
    </w:p>
    <w:p w14:paraId="7E72C8A9">
      <w:pPr>
        <w:spacing w:line="360" w:lineRule="auto"/>
        <w:ind w:firstLine="420" w:firstLineChars="200"/>
        <w:rPr>
          <w:rFonts w:ascii="宋体" w:hAnsi="宋体" w:cs="宋体"/>
          <w:highlight w:val="none"/>
        </w:rPr>
      </w:pPr>
      <w:r>
        <w:rPr>
          <w:rFonts w:hint="eastAsia" w:ascii="宋体" w:hAnsi="宋体" w:cs="宋体"/>
          <w:highlight w:val="none"/>
        </w:rPr>
        <w:t>（2）采购</w:t>
      </w:r>
      <w:r>
        <w:rPr>
          <w:rFonts w:ascii="宋体" w:hAnsi="宋体" w:cs="宋体"/>
          <w:highlight w:val="none"/>
        </w:rPr>
        <w:t>代理收费按差额定率累进法计算。</w:t>
      </w:r>
    </w:p>
    <w:p w14:paraId="4E4906E3">
      <w:pPr>
        <w:spacing w:line="360" w:lineRule="auto"/>
        <w:ind w:firstLine="420" w:firstLineChars="200"/>
        <w:rPr>
          <w:rFonts w:ascii="宋体" w:hAnsi="宋体" w:cs="宋体"/>
          <w:highlight w:val="none"/>
        </w:rPr>
      </w:pPr>
      <w:r>
        <w:rPr>
          <w:rFonts w:ascii="宋体" w:hAnsi="宋体" w:cs="宋体"/>
          <w:highlight w:val="none"/>
        </w:rPr>
        <w:t>例如：某</w:t>
      </w:r>
      <w:r>
        <w:rPr>
          <w:rFonts w:hint="eastAsia" w:ascii="宋体" w:hAnsi="宋体" w:cs="宋体"/>
          <w:highlight w:val="none"/>
        </w:rPr>
        <w:t>服务采购</w:t>
      </w:r>
      <w:r>
        <w:rPr>
          <w:rFonts w:ascii="宋体" w:hAnsi="宋体" w:cs="宋体"/>
          <w:highlight w:val="none"/>
        </w:rPr>
        <w:t>代理业务</w:t>
      </w:r>
      <w:r>
        <w:rPr>
          <w:rFonts w:hint="eastAsia" w:ascii="宋体" w:hAnsi="宋体" w:cs="宋体"/>
          <w:highlight w:val="none"/>
        </w:rPr>
        <w:t>成交</w:t>
      </w:r>
      <w:r>
        <w:rPr>
          <w:rFonts w:ascii="宋体" w:hAnsi="宋体" w:cs="宋体"/>
          <w:highlight w:val="none"/>
        </w:rPr>
        <w:t>金额</w:t>
      </w:r>
      <w:r>
        <w:rPr>
          <w:rFonts w:hint="eastAsia" w:ascii="宋体" w:hAnsi="宋体" w:cs="宋体"/>
          <w:highlight w:val="none"/>
        </w:rPr>
        <w:t>或者暂定价</w:t>
      </w:r>
      <w:r>
        <w:rPr>
          <w:rFonts w:ascii="宋体" w:hAnsi="宋体" w:cs="宋体"/>
          <w:highlight w:val="none"/>
        </w:rPr>
        <w:t>为150万元，计算</w:t>
      </w:r>
      <w:r>
        <w:rPr>
          <w:rFonts w:hint="eastAsia" w:ascii="宋体" w:hAnsi="宋体" w:cs="宋体"/>
          <w:highlight w:val="none"/>
        </w:rPr>
        <w:t>采购</w:t>
      </w:r>
      <w:r>
        <w:rPr>
          <w:rFonts w:ascii="宋体" w:hAnsi="宋体" w:cs="宋体"/>
          <w:highlight w:val="none"/>
        </w:rPr>
        <w:t>代理收费额如下：</w:t>
      </w:r>
    </w:p>
    <w:p w14:paraId="1D900640">
      <w:pPr>
        <w:spacing w:line="360" w:lineRule="auto"/>
        <w:ind w:firstLine="420" w:firstLineChars="200"/>
        <w:rPr>
          <w:rFonts w:ascii="宋体" w:hAnsi="宋体" w:cs="宋体"/>
          <w:highlight w:val="none"/>
        </w:rPr>
      </w:pPr>
      <w:r>
        <w:rPr>
          <w:rFonts w:ascii="宋体" w:hAnsi="宋体" w:cs="宋体"/>
          <w:highlight w:val="none"/>
        </w:rPr>
        <w:t>100 万元 ×l.5 %＝ 1.5 万元</w:t>
      </w:r>
    </w:p>
    <w:p w14:paraId="7AF24F60">
      <w:pPr>
        <w:spacing w:line="360" w:lineRule="auto"/>
        <w:ind w:firstLine="420" w:firstLineChars="200"/>
        <w:rPr>
          <w:rFonts w:ascii="宋体" w:hAnsi="宋体" w:cs="宋体"/>
          <w:highlight w:val="none"/>
        </w:rPr>
      </w:pPr>
      <w:r>
        <w:rPr>
          <w:rFonts w:ascii="宋体" w:hAnsi="宋体" w:cs="宋体"/>
          <w:highlight w:val="none"/>
        </w:rPr>
        <w:t>（ 150 － 100 ）万元 ×0.8%＝ 0.4万元</w:t>
      </w:r>
    </w:p>
    <w:p w14:paraId="337EF339">
      <w:pPr>
        <w:spacing w:line="360" w:lineRule="auto"/>
        <w:ind w:firstLine="420" w:firstLineChars="200"/>
        <w:rPr>
          <w:rFonts w:ascii="宋体" w:hAnsi="宋体" w:cs="宋体"/>
          <w:highlight w:val="none"/>
        </w:rPr>
      </w:pPr>
      <w:r>
        <w:rPr>
          <w:rFonts w:ascii="宋体" w:hAnsi="宋体" w:cs="宋体"/>
          <w:highlight w:val="none"/>
        </w:rPr>
        <w:t>合计收费＝ 1.5 ＋ 0.4＝ 1.9 万元</w:t>
      </w:r>
    </w:p>
    <w:p w14:paraId="7E435C56">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3</w:t>
      </w:r>
      <w:r>
        <w:rPr>
          <w:rFonts w:ascii="黑体" w:hAnsi="黑体" w:eastAsia="黑体" w:cs="宋体"/>
          <w:b/>
          <w:bCs/>
          <w:sz w:val="24"/>
          <w:highlight w:val="none"/>
        </w:rPr>
        <w:t>3.需要补充的其他内容</w:t>
      </w:r>
    </w:p>
    <w:p w14:paraId="7F285B8E">
      <w:pPr>
        <w:pStyle w:val="13"/>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w:t>
      </w:r>
      <w:r>
        <w:rPr>
          <w:rFonts w:hAnsi="宋体" w:cs="宋体"/>
          <w:kern w:val="2"/>
          <w:sz w:val="21"/>
          <w:highlight w:val="none"/>
        </w:rPr>
        <w:t>3.1</w:t>
      </w:r>
      <w:r>
        <w:rPr>
          <w:rFonts w:hint="eastAsia" w:hAnsi="宋体" w:cs="宋体"/>
          <w:kern w:val="2"/>
          <w:sz w:val="21"/>
          <w:highlight w:val="none"/>
        </w:rPr>
        <w:t>本磋商文件解释规则详见“供应商须知前附表”。</w:t>
      </w:r>
    </w:p>
    <w:p w14:paraId="592A118C">
      <w:pPr>
        <w:pStyle w:val="13"/>
        <w:spacing w:line="360" w:lineRule="auto"/>
        <w:ind w:firstLine="420" w:firstLineChars="200"/>
        <w:textAlignment w:val="center"/>
        <w:rPr>
          <w:rFonts w:hAnsi="宋体" w:cs="宋体"/>
          <w:kern w:val="2"/>
          <w:sz w:val="21"/>
          <w:highlight w:val="none"/>
        </w:rPr>
      </w:pPr>
      <w:r>
        <w:rPr>
          <w:rFonts w:hAnsi="宋体" w:cs="宋体"/>
          <w:kern w:val="2"/>
          <w:sz w:val="21"/>
          <w:highlight w:val="none"/>
        </w:rPr>
        <w:t>33.2</w:t>
      </w:r>
      <w:r>
        <w:rPr>
          <w:rFonts w:hint="eastAsia" w:hAnsi="宋体" w:cs="宋体"/>
          <w:kern w:val="2"/>
          <w:sz w:val="21"/>
          <w:highlight w:val="none"/>
        </w:rPr>
        <w:t xml:space="preserve"> 其他事项详见“供应商须知前附表”。</w:t>
      </w:r>
    </w:p>
    <w:p w14:paraId="2A94F0BC">
      <w:pPr>
        <w:pStyle w:val="13"/>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w:t>
      </w:r>
      <w:r>
        <w:rPr>
          <w:rFonts w:hAnsi="宋体" w:cs="宋体"/>
          <w:kern w:val="2"/>
          <w:sz w:val="21"/>
          <w:highlight w:val="none"/>
        </w:rPr>
        <w:t>3.3</w:t>
      </w:r>
      <w:r>
        <w:rPr>
          <w:rFonts w:hint="eastAsia" w:hAnsi="宋体" w:cs="宋体"/>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4D06199">
      <w:pPr>
        <w:pStyle w:val="13"/>
        <w:spacing w:line="360" w:lineRule="auto"/>
        <w:ind w:firstLine="420" w:firstLineChars="200"/>
        <w:contextualSpacing/>
        <w:rPr>
          <w:rFonts w:hAnsi="宋体"/>
          <w:sz w:val="21"/>
          <w:highlight w:val="none"/>
        </w:rPr>
      </w:pPr>
      <w:r>
        <w:rPr>
          <w:rFonts w:hint="eastAsia" w:hAnsi="宋体"/>
          <w:sz w:val="21"/>
          <w:highlight w:val="none"/>
        </w:rPr>
        <w:t>（1）在货物采购项目中，货物由中小企业制造，即货物由中小企业生产且使用该中小企业商号或者注册商标，不对其中涉及的工程承建商和服务的承接商作出要求；</w:t>
      </w:r>
    </w:p>
    <w:p w14:paraId="6D3D9D5B">
      <w:pPr>
        <w:pStyle w:val="13"/>
        <w:spacing w:line="360" w:lineRule="auto"/>
        <w:ind w:firstLine="420" w:firstLineChars="200"/>
        <w:contextualSpacing/>
        <w:rPr>
          <w:rFonts w:hAnsi="宋体"/>
          <w:sz w:val="21"/>
          <w:highlight w:val="none"/>
        </w:rPr>
      </w:pPr>
      <w:r>
        <w:rPr>
          <w:rFonts w:hint="eastAsia" w:hAnsi="宋体"/>
          <w:sz w:val="21"/>
          <w:highlight w:val="none"/>
        </w:rPr>
        <w:t>（2）在工程采购项目中，工程由中小企业承建，即工程施工单位为中小企业，不对其中涉及的货物的制造商和服务的承接商作出要求；</w:t>
      </w:r>
    </w:p>
    <w:p w14:paraId="1C70350F">
      <w:pPr>
        <w:pStyle w:val="13"/>
        <w:spacing w:line="360" w:lineRule="auto"/>
        <w:ind w:firstLine="420" w:firstLineChars="200"/>
        <w:contextualSpacing/>
        <w:rPr>
          <w:rFonts w:hAnsi="宋体"/>
          <w:sz w:val="21"/>
          <w:highlight w:val="none"/>
        </w:rPr>
      </w:pPr>
      <w:r>
        <w:rPr>
          <w:rFonts w:hint="eastAsia" w:hAnsi="宋体"/>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131179B">
      <w:pPr>
        <w:pStyle w:val="13"/>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7E097BE">
      <w:pPr>
        <w:pStyle w:val="13"/>
        <w:spacing w:line="360" w:lineRule="auto"/>
        <w:ind w:firstLine="420" w:firstLineChars="200"/>
        <w:textAlignment w:val="center"/>
        <w:rPr>
          <w:rFonts w:hAnsi="宋体"/>
          <w:b/>
          <w:highlight w:val="none"/>
        </w:rPr>
      </w:pPr>
      <w:r>
        <w:rPr>
          <w:rFonts w:hint="eastAsia" w:hAnsi="宋体" w:cs="宋体"/>
          <w:kern w:val="2"/>
          <w:sz w:val="21"/>
          <w:highlight w:val="none"/>
        </w:rPr>
        <w:t>依据本磋商文件规定享受扶持政策获得政府采购合同的，小微企业不得将合同分包给大中型企业，中型企业不得将合同分包给大型企业。</w:t>
      </w:r>
    </w:p>
    <w:p w14:paraId="48BF52B2">
      <w:pPr>
        <w:pStyle w:val="13"/>
        <w:spacing w:line="360" w:lineRule="auto"/>
        <w:ind w:firstLine="402" w:firstLineChars="200"/>
        <w:textAlignment w:val="center"/>
        <w:rPr>
          <w:b/>
          <w:bCs/>
          <w:sz w:val="18"/>
          <w:szCs w:val="18"/>
          <w:highlight w:val="none"/>
        </w:rPr>
      </w:pPr>
      <w:r>
        <w:rPr>
          <w:rFonts w:hAnsi="宋体"/>
          <w:b/>
          <w:highlight w:val="none"/>
        </w:rPr>
        <w:br w:type="page"/>
      </w:r>
    </w:p>
    <w:p w14:paraId="53D3B0CF">
      <w:pPr>
        <w:pStyle w:val="2"/>
        <w:jc w:val="center"/>
        <w:rPr>
          <w:highlight w:val="none"/>
        </w:rPr>
      </w:pPr>
      <w:bookmarkStart w:id="74" w:name="_Toc74323458"/>
      <w:r>
        <w:rPr>
          <w:rFonts w:hint="eastAsia"/>
          <w:highlight w:val="none"/>
        </w:rPr>
        <w:t>第三章 采购需求</w:t>
      </w:r>
      <w:bookmarkEnd w:id="74"/>
    </w:p>
    <w:p w14:paraId="02DC5F18">
      <w:pPr>
        <w:spacing w:line="440" w:lineRule="exact"/>
        <w:jc w:val="center"/>
        <w:rPr>
          <w:rFonts w:ascii="宋体" w:hAnsi="宋体"/>
          <w:b/>
          <w:sz w:val="32"/>
          <w:szCs w:val="32"/>
          <w:highlight w:val="none"/>
        </w:rPr>
      </w:pPr>
      <w:r>
        <w:rPr>
          <w:rFonts w:hint="eastAsia" w:ascii="宋体" w:hAnsi="宋体"/>
          <w:b/>
          <w:sz w:val="32"/>
          <w:szCs w:val="32"/>
          <w:highlight w:val="none"/>
        </w:rPr>
        <w:t>采购项目技术规格、参数及要求</w:t>
      </w:r>
    </w:p>
    <w:p w14:paraId="6EB03966">
      <w:pPr>
        <w:spacing w:line="360" w:lineRule="auto"/>
        <w:jc w:val="left"/>
        <w:rPr>
          <w:rFonts w:ascii="宋体" w:hAnsi="宋体" w:cs="宋体"/>
          <w:szCs w:val="21"/>
          <w:highlight w:val="none"/>
        </w:rPr>
      </w:pPr>
      <w:r>
        <w:rPr>
          <w:rFonts w:hint="eastAsia" w:ascii="宋体" w:hAnsi="宋体" w:cs="宋体"/>
          <w:szCs w:val="21"/>
          <w:highlight w:val="none"/>
        </w:rPr>
        <w:t>说明：</w:t>
      </w:r>
    </w:p>
    <w:p w14:paraId="693B34C5">
      <w:pPr>
        <w:spacing w:line="360" w:lineRule="auto"/>
        <w:ind w:firstLine="420" w:firstLineChars="200"/>
        <w:jc w:val="left"/>
        <w:rPr>
          <w:highlight w:val="none"/>
        </w:rPr>
      </w:pPr>
      <w:r>
        <w:rPr>
          <w:rFonts w:hint="eastAsia" w:ascii="宋体" w:hAnsi="宋体"/>
          <w:highlight w:val="none"/>
        </w:rPr>
        <w:t>1</w:t>
      </w:r>
      <w:r>
        <w:rPr>
          <w:rFonts w:hint="eastAsia"/>
          <w:highlight w:val="none"/>
        </w:rPr>
        <w:t>. 为落实政府采购政策需满足的要求</w:t>
      </w:r>
    </w:p>
    <w:p w14:paraId="2475C710">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本竞争性磋商采购文件所称中小企业必须符合《政府采购促进中小企业发展管理办法》（财库〔2020〕46号）的规定。</w:t>
      </w:r>
    </w:p>
    <w:p w14:paraId="4387CCDB">
      <w:pPr>
        <w:spacing w:line="360" w:lineRule="auto"/>
        <w:ind w:firstLine="424" w:firstLineChars="202"/>
        <w:jc w:val="left"/>
        <w:rPr>
          <w:rFonts w:ascii="宋体" w:hAnsi="宋体" w:cs="宋体"/>
          <w:szCs w:val="21"/>
          <w:highlight w:val="none"/>
        </w:rPr>
      </w:pPr>
      <w:r>
        <w:rPr>
          <w:rFonts w:hint="eastAsia" w:ascii="宋体" w:hAnsi="宋体" w:cs="宋体"/>
          <w:szCs w:val="21"/>
          <w:highlight w:val="none"/>
        </w:rPr>
        <w:t>2. “实质性要求”是指采购需求中带“▲”的条款或者不能负偏离的条款或者已经指明不满足按响应文件按无效处理的条款。</w:t>
      </w:r>
    </w:p>
    <w:p w14:paraId="366A8E01">
      <w:pPr>
        <w:spacing w:line="360" w:lineRule="auto"/>
        <w:ind w:firstLine="424" w:firstLineChars="202"/>
        <w:jc w:val="left"/>
        <w:rPr>
          <w:rFonts w:ascii="宋体" w:hAnsi="宋体" w:cs="宋体"/>
          <w:szCs w:val="21"/>
          <w:highlight w:val="none"/>
        </w:rPr>
      </w:pPr>
      <w:r>
        <w:rPr>
          <w:rFonts w:hint="eastAsia" w:ascii="宋体" w:hAnsi="宋体" w:cs="宋体"/>
          <w:szCs w:val="21"/>
          <w:highlight w:val="none"/>
        </w:rPr>
        <w:t>3.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6A71CFDD">
      <w:pPr>
        <w:spacing w:line="360" w:lineRule="auto"/>
        <w:ind w:firstLine="424" w:firstLineChars="202"/>
        <w:jc w:val="left"/>
        <w:rPr>
          <w:rFonts w:ascii="宋体" w:hAnsi="宋体"/>
          <w:szCs w:val="21"/>
          <w:highlight w:val="none"/>
        </w:rPr>
      </w:pPr>
      <w:r>
        <w:rPr>
          <w:rFonts w:hint="eastAsia" w:ascii="宋体" w:hAnsi="宋体" w:cs="宋体"/>
          <w:szCs w:val="21"/>
          <w:highlight w:val="none"/>
        </w:rPr>
        <w:t>4.</w:t>
      </w:r>
      <w:r>
        <w:rPr>
          <w:rFonts w:hint="eastAsia"/>
          <w:highlight w:val="none"/>
        </w:rPr>
        <w:t>供应商必须自行为其竞标产品侵犯他人的知识产权或者专利成果的行为承担相应法律责任。</w:t>
      </w:r>
    </w:p>
    <w:p w14:paraId="0A58BE9B">
      <w:pPr>
        <w:spacing w:line="360" w:lineRule="auto"/>
        <w:jc w:val="left"/>
        <w:rPr>
          <w:rFonts w:ascii="宋体" w:hAnsi="宋体" w:cs="Arial"/>
          <w:bCs/>
          <w:szCs w:val="21"/>
          <w:highlight w:val="none"/>
          <w:u w:val="single"/>
        </w:rPr>
      </w:pPr>
    </w:p>
    <w:p w14:paraId="39DC75F9">
      <w:pPr>
        <w:spacing w:line="360" w:lineRule="auto"/>
        <w:jc w:val="left"/>
        <w:rPr>
          <w:rFonts w:ascii="宋体" w:hAnsi="宋体" w:cs="Arial"/>
          <w:bCs/>
          <w:szCs w:val="21"/>
          <w:highlight w:val="none"/>
          <w:u w:val="single"/>
        </w:rPr>
      </w:pPr>
      <w:r>
        <w:rPr>
          <w:rFonts w:hint="eastAsia" w:ascii="宋体" w:hAnsi="宋体"/>
          <w:b/>
          <w:szCs w:val="21"/>
          <w:highlight w:val="none"/>
        </w:rPr>
        <w:t>所属行业：</w:t>
      </w:r>
      <w:r>
        <w:rPr>
          <w:rFonts w:hint="eastAsia" w:ascii="宋体" w:hAnsi="宋体" w:cs="宋体"/>
          <w:b/>
          <w:bCs/>
          <w:color w:val="000000"/>
          <w:szCs w:val="21"/>
          <w:highlight w:val="none"/>
        </w:rPr>
        <w:t>信息传输业</w:t>
      </w:r>
    </w:p>
    <w:tbl>
      <w:tblPr>
        <w:tblStyle w:val="22"/>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4"/>
        <w:gridCol w:w="850"/>
        <w:gridCol w:w="6521"/>
      </w:tblGrid>
      <w:tr w14:paraId="377CE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31" w:type="dxa"/>
            <w:vAlign w:val="center"/>
          </w:tcPr>
          <w:p w14:paraId="40E475CA">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134" w:type="dxa"/>
            <w:vAlign w:val="center"/>
          </w:tcPr>
          <w:p w14:paraId="6B156931">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标的的名称</w:t>
            </w:r>
          </w:p>
        </w:tc>
        <w:tc>
          <w:tcPr>
            <w:tcW w:w="850" w:type="dxa"/>
            <w:vAlign w:val="center"/>
          </w:tcPr>
          <w:p w14:paraId="3CB6BC2B">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数量及单位</w:t>
            </w:r>
          </w:p>
        </w:tc>
        <w:tc>
          <w:tcPr>
            <w:tcW w:w="6521" w:type="dxa"/>
            <w:vAlign w:val="center"/>
          </w:tcPr>
          <w:p w14:paraId="041AE99A">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技术要求</w:t>
            </w:r>
          </w:p>
        </w:tc>
      </w:tr>
      <w:tr w14:paraId="7CEB3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31" w:type="dxa"/>
            <w:vAlign w:val="center"/>
          </w:tcPr>
          <w:p w14:paraId="6E83120B">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1</w:t>
            </w:r>
          </w:p>
        </w:tc>
        <w:tc>
          <w:tcPr>
            <w:tcW w:w="1134" w:type="dxa"/>
            <w:vAlign w:val="center"/>
          </w:tcPr>
          <w:p w14:paraId="17EC8F94">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雷视云台一体机</w:t>
            </w:r>
          </w:p>
        </w:tc>
        <w:tc>
          <w:tcPr>
            <w:tcW w:w="850" w:type="dxa"/>
            <w:vAlign w:val="center"/>
          </w:tcPr>
          <w:p w14:paraId="69560195">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5台</w:t>
            </w:r>
          </w:p>
        </w:tc>
        <w:tc>
          <w:tcPr>
            <w:tcW w:w="6521" w:type="dxa"/>
            <w:vAlign w:val="center"/>
          </w:tcPr>
          <w:p w14:paraId="1F275391">
            <w:pPr>
              <w:widowControl/>
              <w:jc w:val="left"/>
              <w:textAlignment w:val="center"/>
              <w:rPr>
                <w:rFonts w:asciiTheme="minorEastAsia" w:hAnsiTheme="minorEastAsia" w:eastAsiaTheme="minorEastAsia"/>
                <w:szCs w:val="21"/>
                <w:highlight w:val="none"/>
              </w:rPr>
            </w:pPr>
            <w:r>
              <w:rPr>
                <w:rFonts w:hint="eastAsia" w:ascii="宋体" w:hAnsi="宋体" w:cs="宋体"/>
                <w:color w:val="000000"/>
                <w:kern w:val="0"/>
                <w:szCs w:val="21"/>
                <w:highlight w:val="none"/>
              </w:rPr>
              <w:t>1.适用于船舶卡口抓拍、桥梁防撞船舶抓拍。</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2.毫米波雷达 &amp;双</w:t>
            </w:r>
            <w:r>
              <w:rPr>
                <w:rFonts w:hint="eastAsia"/>
                <w:highlight w:val="none"/>
              </w:rPr>
              <w:t>≥</w:t>
            </w:r>
            <w:r>
              <w:rPr>
                <w:rFonts w:hint="eastAsia" w:ascii="宋体" w:hAnsi="宋体" w:cs="宋体"/>
                <w:color w:val="000000"/>
                <w:kern w:val="0"/>
                <w:szCs w:val="21"/>
                <w:highlight w:val="none"/>
              </w:rPr>
              <w:t>800万像素 1/1.8" CMOS&amp;23倍变焦机芯。</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T6~136/T1050/8：三镜头：5.9~135.7mm@F1.5，10-50mm @ F1.7，8mm @ F1.6。</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3.内置高频段毫米波雷达，支持全天候环境下工作，不受雨、雾、大风、灰尘、光照等影响。</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4.支持多目标检测及目标可视化，</w:t>
            </w:r>
            <w:r>
              <w:rPr>
                <w:rFonts w:hint="eastAsia"/>
                <w:highlight w:val="none"/>
              </w:rPr>
              <w:t>≥</w:t>
            </w:r>
            <w:r>
              <w:rPr>
                <w:rFonts w:hint="eastAsia" w:ascii="宋体" w:hAnsi="宋体" w:cs="宋体"/>
                <w:color w:val="000000"/>
                <w:kern w:val="0"/>
                <w:szCs w:val="21"/>
                <w:highlight w:val="none"/>
              </w:rPr>
              <w:t>800m船舶抓拍与船号识别（夜间配合外置激光补光灯，船舶长度＞20米，船号长度＞50cm）。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5.支持输出H.265和H.264码流，同时支持MJPEG编码，抓拍图片采用JPEG编码，图片质量可设。</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6.支持1个TF卡插槽，本地图片存储、自动覆盖、自动上传。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7.支持多目标检测，通过测量目标的速度，位置并进行分析，可输出目标ID、速度、位置等信息。</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8.支持来向和去向及切向目标同时检测。</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9.支持多种图片上传方式（云存储、FTP、SDK布防等）。</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10.具有防尘、防水滴、防浪涌等功能。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11.内含配件：电源适配器，支架。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12.支持正向安装、侧向安装。</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13.传感器类型：1/1.8”CMOS(*3)</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14.低照度：全景：</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彩色0.01Lux@(F1.2,AGC ON)</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黑白0.001Lux@(F1.2,AGC ON)</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15.特写：</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彩色：0.005Lux @ (F1.5，AGC ON)</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黑白：0.0005 Lux @(F1.5，AGC ON)</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快门：1/25秒至1/100,000秒</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16.视频压缩标准：H.264;H.265</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17.压缩输出码率：32 Kbps~16 Mbps</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18.抓拍图片格式：JPEG</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19.帧率：25fps</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20.图像设置：饱和度，亮度，对比度，白平衡，增益通过软件可调</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21.存储功能：TF</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22.支持协议：TCP，UDP，IPv4，IPv6，DNS，HTTP，HTTPS，FTP，RTP，RTSP，RTCP，SIP，ARP，SSL，NTP</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23.通用功能：心跳，密码保护，NTP校时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24.补光范围：800m（使用外置补光灯）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25.工作频率：24GHz</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26.测速范围：＜19m/s</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27.性能特点：支持全天候环境下工作，不受雨、雾、大风、灰尘、光照等影响</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28.扫频带宽：</w:t>
            </w:r>
            <w:r>
              <w:rPr>
                <w:rFonts w:hint="eastAsia"/>
                <w:highlight w:val="none"/>
              </w:rPr>
              <w:t>≥</w:t>
            </w:r>
            <w:r>
              <w:rPr>
                <w:rFonts w:hint="eastAsia" w:ascii="宋体" w:hAnsi="宋体" w:cs="宋体"/>
                <w:color w:val="000000"/>
                <w:kern w:val="0"/>
                <w:szCs w:val="21"/>
                <w:highlight w:val="none"/>
              </w:rPr>
              <w:t>60MHz</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29.水平角：</w:t>
            </w:r>
            <w:r>
              <w:rPr>
                <w:rFonts w:hint="eastAsia"/>
                <w:highlight w:val="none"/>
              </w:rPr>
              <w:t>≥</w:t>
            </w:r>
            <w:r>
              <w:rPr>
                <w:rFonts w:hint="eastAsia" w:ascii="宋体" w:hAnsi="宋体" w:cs="宋体"/>
                <w:color w:val="000000"/>
                <w:kern w:val="0"/>
                <w:szCs w:val="21"/>
                <w:highlight w:val="none"/>
              </w:rPr>
              <w:t>144deg</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30.俯仰角：</w:t>
            </w:r>
            <w:r>
              <w:rPr>
                <w:rFonts w:hint="eastAsia"/>
                <w:highlight w:val="none"/>
              </w:rPr>
              <w:t>≥</w:t>
            </w:r>
            <w:r>
              <w:rPr>
                <w:rFonts w:hint="eastAsia" w:ascii="宋体" w:hAnsi="宋体" w:cs="宋体"/>
                <w:color w:val="000000"/>
                <w:kern w:val="0"/>
                <w:szCs w:val="21"/>
                <w:highlight w:val="none"/>
              </w:rPr>
              <w:t>24deg</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31.角分辨率：</w:t>
            </w:r>
            <w:r>
              <w:rPr>
                <w:rFonts w:hint="eastAsia"/>
                <w:highlight w:val="none"/>
              </w:rPr>
              <w:t>≥</w:t>
            </w:r>
            <w:r>
              <w:rPr>
                <w:rFonts w:hint="eastAsia" w:ascii="宋体" w:hAnsi="宋体" w:cs="宋体"/>
                <w:color w:val="000000"/>
                <w:kern w:val="0"/>
                <w:szCs w:val="21"/>
                <w:highlight w:val="none"/>
              </w:rPr>
              <w:t>12deg</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32.作用距离：5m ~1000m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33.角精度：±1°</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34.速度精度：</w:t>
            </w:r>
            <w:r>
              <w:rPr>
                <w:rFonts w:hint="eastAsia"/>
                <w:highlight w:val="none"/>
              </w:rPr>
              <w:t>≥</w:t>
            </w:r>
            <w:r>
              <w:rPr>
                <w:rFonts w:hint="eastAsia" w:ascii="宋体" w:hAnsi="宋体" w:cs="宋体"/>
                <w:color w:val="000000"/>
                <w:kern w:val="0"/>
                <w:szCs w:val="21"/>
                <w:highlight w:val="none"/>
              </w:rPr>
              <w:t>0.07m/s</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35.探测目标：32MAX</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36.距离分辨率：</w:t>
            </w:r>
            <w:r>
              <w:rPr>
                <w:rFonts w:hint="eastAsia"/>
                <w:highlight w:val="none"/>
              </w:rPr>
              <w:t>≥</w:t>
            </w:r>
            <w:r>
              <w:rPr>
                <w:rFonts w:hint="eastAsia" w:ascii="宋体" w:hAnsi="宋体" w:cs="宋体"/>
                <w:color w:val="000000"/>
                <w:kern w:val="0"/>
                <w:szCs w:val="21"/>
                <w:highlight w:val="none"/>
              </w:rPr>
              <w:t>5m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37.测距精度：±2m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38.检测目标数：32MAX</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39.雷达检测功能：船舶检测</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40.自标定/自配准/自优化：支持部分自标定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41.内置LED补光灯：支持（夜间船号识别，需要外置补光）</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42.串口：1个RS-485接口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43.智能识别：800m船号识别（船号宽度＞50cm），800m船舶抓拍（船舶长度＞20米），夜晚加外置补光灯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44.网络接口：2个RJ45 100M /1000M自适应以太网口</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45.报警输出：1路继电器开关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46.水平速度：可配置，1°~128°/s，预置位速度：128°/s</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47.垂直速度：可配置，1°~62°/s，预置位速度：70°/s</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48.水平角度：360°无限位旋转</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49.垂直角度：-90°~90°</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50.预置位：256 个预置位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51.尺寸：约602mm×253mm×357mm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52.工作温度：-5°C~70°C</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53.工作湿度：5%~95%@40°C，无凝结</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54.电源：DC36V</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55.功耗：75W MAX</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56.重量：18±0.5kg</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57.防护等级：</w:t>
            </w:r>
            <w:r>
              <w:rPr>
                <w:rFonts w:hint="eastAsia"/>
                <w:szCs w:val="21"/>
                <w:highlight w:val="none"/>
              </w:rPr>
              <w:t>≥</w:t>
            </w:r>
            <w:r>
              <w:rPr>
                <w:rFonts w:hint="eastAsia" w:ascii="宋体" w:hAnsi="宋体" w:cs="宋体"/>
                <w:color w:val="000000"/>
                <w:kern w:val="0"/>
                <w:szCs w:val="21"/>
                <w:highlight w:val="none"/>
              </w:rPr>
              <w:t>IP66</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58.焦距：T6~136/T1050/8：三镜头：5.9~135.7mm@F1.5，10-50mm @ F1.7，8mm @ F1.6</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59.分辨率：全景（2台）：3840×2160，特写：2560×1440</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60.白平衡：自动/手动多种白平衡模式</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61.数字降噪：3D数字降噪 </w:t>
            </w:r>
          </w:p>
        </w:tc>
      </w:tr>
      <w:tr w14:paraId="63188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31" w:type="dxa"/>
            <w:vAlign w:val="center"/>
          </w:tcPr>
          <w:p w14:paraId="09ED99D0">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2</w:t>
            </w:r>
          </w:p>
        </w:tc>
        <w:tc>
          <w:tcPr>
            <w:tcW w:w="1134" w:type="dxa"/>
            <w:vAlign w:val="center"/>
          </w:tcPr>
          <w:p w14:paraId="4EBC33EB">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1000米激光探照灯</w:t>
            </w:r>
          </w:p>
        </w:tc>
        <w:tc>
          <w:tcPr>
            <w:tcW w:w="850" w:type="dxa"/>
            <w:vAlign w:val="center"/>
          </w:tcPr>
          <w:p w14:paraId="6003577F">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5台</w:t>
            </w:r>
          </w:p>
        </w:tc>
        <w:tc>
          <w:tcPr>
            <w:tcW w:w="6521" w:type="dxa"/>
            <w:vAlign w:val="center"/>
          </w:tcPr>
          <w:p w14:paraId="0D9B58D8">
            <w:pPr>
              <w:widowControl/>
              <w:jc w:val="left"/>
              <w:textAlignment w:val="center"/>
              <w:rPr>
                <w:rFonts w:asciiTheme="minorEastAsia" w:hAnsiTheme="minorEastAsia" w:eastAsiaTheme="minorEastAsia"/>
                <w:szCs w:val="21"/>
                <w:highlight w:val="none"/>
              </w:rPr>
            </w:pPr>
            <w:r>
              <w:rPr>
                <w:rFonts w:hint="eastAsia" w:ascii="宋体" w:hAnsi="宋体" w:cs="宋体"/>
                <w:color w:val="000000"/>
                <w:kern w:val="0"/>
                <w:szCs w:val="21"/>
                <w:highlight w:val="none"/>
              </w:rPr>
              <w:t>1.水平360度，垂直-25~+30°控制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2.压铸铝合金设计，防护等级</w:t>
            </w:r>
            <w:r>
              <w:rPr>
                <w:rFonts w:hint="eastAsia"/>
                <w:szCs w:val="21"/>
                <w:highlight w:val="none"/>
              </w:rPr>
              <w:t>≥</w:t>
            </w:r>
            <w:r>
              <w:rPr>
                <w:rFonts w:hint="eastAsia" w:ascii="宋体" w:hAnsi="宋体" w:cs="宋体"/>
                <w:color w:val="000000"/>
                <w:kern w:val="0"/>
                <w:szCs w:val="21"/>
                <w:highlight w:val="none"/>
              </w:rPr>
              <w:t>IP66</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3.有效距离≥800米(水面场景)。</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4.光纤匀化激光器</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激光安全距离，最小角度时300米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5.0.3~35°电动同步变焦，变倍时间≤10s</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6.工作温度：温度-5℃~55℃</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7.工作湿度：湿度5%~95%@40℃，无凝结</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8.电源：DC24V</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9.功耗：80WMAX </w:t>
            </w:r>
          </w:p>
        </w:tc>
      </w:tr>
      <w:tr w14:paraId="42268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531" w:type="dxa"/>
            <w:vAlign w:val="center"/>
          </w:tcPr>
          <w:p w14:paraId="31406C9A">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3</w:t>
            </w:r>
          </w:p>
        </w:tc>
        <w:tc>
          <w:tcPr>
            <w:tcW w:w="1134" w:type="dxa"/>
            <w:vAlign w:val="center"/>
          </w:tcPr>
          <w:p w14:paraId="646A299F">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船舶智能终端</w:t>
            </w:r>
          </w:p>
        </w:tc>
        <w:tc>
          <w:tcPr>
            <w:tcW w:w="850" w:type="dxa"/>
            <w:vAlign w:val="center"/>
          </w:tcPr>
          <w:p w14:paraId="64EB6187">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5台</w:t>
            </w:r>
          </w:p>
        </w:tc>
        <w:tc>
          <w:tcPr>
            <w:tcW w:w="6521" w:type="dxa"/>
            <w:vAlign w:val="center"/>
          </w:tcPr>
          <w:p w14:paraId="32BF2D4A">
            <w:pPr>
              <w:widowControl/>
              <w:jc w:val="left"/>
              <w:textAlignment w:val="center"/>
              <w:rPr>
                <w:rFonts w:asciiTheme="minorEastAsia" w:hAnsiTheme="minorEastAsia" w:eastAsiaTheme="minorEastAsia"/>
                <w:szCs w:val="21"/>
                <w:highlight w:val="none"/>
              </w:rPr>
            </w:pPr>
            <w:r>
              <w:rPr>
                <w:rFonts w:hint="eastAsia" w:ascii="宋体" w:hAnsi="宋体" w:cs="宋体"/>
                <w:color w:val="000000"/>
                <w:kern w:val="0"/>
                <w:szCs w:val="21"/>
                <w:highlight w:val="none"/>
              </w:rPr>
              <w:t>1.雷达视频联动，支持雷达坐标信息接入，和云台球机视频坐标进行标定融合转换。</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2.支持船舶号、船号识别功能。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3.内置</w:t>
            </w:r>
            <w:r>
              <w:rPr>
                <w:rFonts w:hint="eastAsia"/>
                <w:highlight w:val="none"/>
              </w:rPr>
              <w:t>≥</w:t>
            </w:r>
            <w:r>
              <w:rPr>
                <w:rFonts w:hint="eastAsia" w:ascii="宋体" w:hAnsi="宋体" w:cs="宋体"/>
                <w:color w:val="000000"/>
                <w:kern w:val="0"/>
                <w:szCs w:val="21"/>
                <w:highlight w:val="none"/>
              </w:rPr>
              <w:t>4T监控级硬盘，支持通道录像存储回放，硬盘最大支持32T。</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4.支持根据时间、通道 和事件类型等检索数据并可关联回放片段录像。</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5.可配置多种字符叠加、图片合成方式。</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6.支持选配4G、5G或GPS模块。</w:t>
            </w:r>
            <w:r>
              <w:rPr>
                <w:rFonts w:hint="eastAsia" w:ascii="宋体" w:hAnsi="宋体" w:cs="宋体"/>
                <w:color w:val="000000"/>
                <w:kern w:val="0"/>
                <w:szCs w:val="21"/>
                <w:highlight w:val="none"/>
              </w:rPr>
              <w:br w:type="textWrapping"/>
            </w:r>
            <w:r>
              <w:rPr>
                <w:rFonts w:hint="eastAsia" w:ascii="宋体" w:hAnsi="宋体" w:cs="宋体"/>
                <w:szCs w:val="21"/>
                <w:highlight w:val="none"/>
              </w:rPr>
              <w:t>▲</w:t>
            </w:r>
            <w:r>
              <w:rPr>
                <w:rFonts w:hint="eastAsia" w:ascii="宋体" w:hAnsi="宋体" w:cs="宋体"/>
                <w:color w:val="000000"/>
                <w:kern w:val="0"/>
                <w:szCs w:val="21"/>
                <w:highlight w:val="none"/>
              </w:rPr>
              <w:t>7.基于深度学习算法的视频智能分析设备，主要是将雷达坐标信息和云台相机视频坐标进行标定融合转换，以达到对目标一个长距离可视化检测，同时支持船舶号、船型识别，从而为重要设施场所的周边环境提供全天时、全天候安全保障。</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8.接口</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8.1通讯接口：2个RS-485接口,2个RS-232接口；10个RJ45 10M/100M/1000M自适应以太网口</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8.2触发输入：</w:t>
            </w:r>
            <w:r>
              <w:rPr>
                <w:rFonts w:hint="eastAsia"/>
                <w:highlight w:val="none"/>
              </w:rPr>
              <w:t>≥</w:t>
            </w:r>
            <w:r>
              <w:rPr>
                <w:rFonts w:hint="eastAsia" w:ascii="宋体" w:hAnsi="宋体" w:cs="宋体"/>
                <w:color w:val="000000"/>
                <w:kern w:val="0"/>
                <w:szCs w:val="21"/>
                <w:highlight w:val="none"/>
              </w:rPr>
              <w:t>2个报警输入</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8.3触发输出：</w:t>
            </w:r>
            <w:r>
              <w:rPr>
                <w:rFonts w:hint="eastAsia"/>
                <w:highlight w:val="none"/>
              </w:rPr>
              <w:t>≥</w:t>
            </w:r>
            <w:r>
              <w:rPr>
                <w:rFonts w:hint="eastAsia" w:ascii="宋体" w:hAnsi="宋体" w:cs="宋体"/>
                <w:color w:val="000000"/>
                <w:kern w:val="0"/>
                <w:szCs w:val="21"/>
                <w:highlight w:val="none"/>
              </w:rPr>
              <w:t>2个报警输出</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8.4音频接口：</w:t>
            </w:r>
            <w:r>
              <w:rPr>
                <w:rFonts w:hint="eastAsia"/>
                <w:highlight w:val="none"/>
              </w:rPr>
              <w:t>≥</w:t>
            </w:r>
            <w:r>
              <w:rPr>
                <w:rFonts w:hint="eastAsia" w:ascii="宋体" w:hAnsi="宋体" w:cs="宋体"/>
                <w:color w:val="000000"/>
                <w:kern w:val="0"/>
                <w:szCs w:val="21"/>
                <w:highlight w:val="none"/>
              </w:rPr>
              <w:t>1个音频输入、</w:t>
            </w:r>
            <w:r>
              <w:rPr>
                <w:rFonts w:hint="eastAsia"/>
                <w:highlight w:val="none"/>
              </w:rPr>
              <w:t>≥</w:t>
            </w:r>
            <w:r>
              <w:rPr>
                <w:rFonts w:hint="eastAsia" w:ascii="宋体" w:hAnsi="宋体" w:cs="宋体"/>
                <w:color w:val="000000"/>
                <w:kern w:val="0"/>
                <w:szCs w:val="21"/>
                <w:highlight w:val="none"/>
              </w:rPr>
              <w:t>1个音频输出</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8.5网口数量：</w:t>
            </w:r>
            <w:r>
              <w:rPr>
                <w:rFonts w:hint="eastAsia"/>
                <w:highlight w:val="none"/>
              </w:rPr>
              <w:t>≥</w:t>
            </w:r>
            <w:r>
              <w:rPr>
                <w:rFonts w:hint="eastAsia" w:ascii="宋体" w:hAnsi="宋体" w:cs="宋体"/>
                <w:color w:val="000000"/>
                <w:kern w:val="0"/>
                <w:szCs w:val="21"/>
                <w:highlight w:val="none"/>
              </w:rPr>
              <w:t>10</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8.6光纤接口数量：</w:t>
            </w:r>
            <w:r>
              <w:rPr>
                <w:rFonts w:hint="eastAsia"/>
                <w:highlight w:val="none"/>
              </w:rPr>
              <w:t>≥</w:t>
            </w:r>
            <w:r>
              <w:rPr>
                <w:rFonts w:hint="eastAsia" w:ascii="宋体" w:hAnsi="宋体" w:cs="宋体"/>
                <w:color w:val="000000"/>
                <w:kern w:val="0"/>
                <w:szCs w:val="21"/>
                <w:highlight w:val="none"/>
              </w:rPr>
              <w:t>2</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8.7硬盘盘位数量：</w:t>
            </w:r>
            <w:r>
              <w:rPr>
                <w:rFonts w:hint="eastAsia"/>
                <w:highlight w:val="none"/>
              </w:rPr>
              <w:t>≥</w:t>
            </w:r>
            <w:r>
              <w:rPr>
                <w:rFonts w:hint="eastAsia" w:ascii="宋体" w:hAnsi="宋体" w:cs="宋体"/>
                <w:color w:val="000000"/>
                <w:kern w:val="0"/>
                <w:szCs w:val="21"/>
                <w:highlight w:val="none"/>
              </w:rPr>
              <w:t>4</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8.8 USB数量：</w:t>
            </w:r>
            <w:r>
              <w:rPr>
                <w:rFonts w:hint="eastAsia"/>
                <w:highlight w:val="none"/>
              </w:rPr>
              <w:t>≥</w:t>
            </w:r>
            <w:r>
              <w:rPr>
                <w:rFonts w:hint="eastAsia" w:ascii="宋体" w:hAnsi="宋体" w:cs="宋体"/>
                <w:color w:val="000000"/>
                <w:kern w:val="0"/>
                <w:szCs w:val="21"/>
                <w:highlight w:val="none"/>
              </w:rPr>
              <w:t>1</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9.功能特性</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9.1支持协议：TCP/IP,HTTP,DNS,RTP,RTSP,NTP,支持FTP上传图片</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9.2通用功能：心跳,密码保护,NTP校时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9.3接入路数：</w:t>
            </w:r>
            <w:r>
              <w:rPr>
                <w:rFonts w:hint="eastAsia"/>
                <w:highlight w:val="none"/>
              </w:rPr>
              <w:t>≥</w:t>
            </w:r>
            <w:r>
              <w:rPr>
                <w:rFonts w:hint="eastAsia" w:ascii="宋体" w:hAnsi="宋体" w:cs="宋体"/>
                <w:color w:val="000000"/>
                <w:kern w:val="0"/>
                <w:szCs w:val="21"/>
                <w:highlight w:val="none"/>
              </w:rPr>
              <w:t>1路雷云前端</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10.一般规范</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10.1尺寸规格：约370mmx273mmx102.5mm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10.2工作温度：-5°C~70°C</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10.3工作湿度：5%~95%@40°C，无凝结</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10.4电源：DC12V±10%</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10.5功耗：60W MAX</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10.6重量：约6kg</w:t>
            </w:r>
          </w:p>
        </w:tc>
      </w:tr>
      <w:tr w14:paraId="58AC6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531" w:type="dxa"/>
            <w:vAlign w:val="center"/>
          </w:tcPr>
          <w:p w14:paraId="0A82736C">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4</w:t>
            </w:r>
          </w:p>
        </w:tc>
        <w:tc>
          <w:tcPr>
            <w:tcW w:w="1134" w:type="dxa"/>
            <w:vAlign w:val="center"/>
          </w:tcPr>
          <w:p w14:paraId="04F60C59">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原有旧监控平台存储扩容</w:t>
            </w:r>
          </w:p>
        </w:tc>
        <w:tc>
          <w:tcPr>
            <w:tcW w:w="850" w:type="dxa"/>
            <w:vAlign w:val="center"/>
          </w:tcPr>
          <w:p w14:paraId="55A4DB9B">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30块</w:t>
            </w:r>
          </w:p>
        </w:tc>
        <w:tc>
          <w:tcPr>
            <w:tcW w:w="6521" w:type="dxa"/>
            <w:vAlign w:val="center"/>
          </w:tcPr>
          <w:p w14:paraId="58A53A0A">
            <w:pPr>
              <w:pStyle w:val="8"/>
              <w:rPr>
                <w:rFonts w:asciiTheme="minorEastAsia" w:hAnsiTheme="minorEastAsia" w:eastAsiaTheme="minorEastAsia"/>
                <w:szCs w:val="21"/>
                <w:highlight w:val="none"/>
              </w:rPr>
            </w:pPr>
            <w:r>
              <w:rPr>
                <w:rFonts w:hint="eastAsia" w:ascii="宋体" w:hAnsi="宋体" w:cs="宋体"/>
                <w:color w:val="000000"/>
                <w:kern w:val="0"/>
                <w:szCs w:val="21"/>
                <w:highlight w:val="none"/>
              </w:rPr>
              <w:t>增加犀牛脚渔港15块+龙门渔港15块8TB容量硬盘，满足至少90天历史回放要求，硬盘参数如下：至少8TB容量，</w:t>
            </w:r>
            <w:r>
              <w:rPr>
                <w:rFonts w:hint="eastAsia"/>
                <w:highlight w:val="none"/>
              </w:rPr>
              <w:t>≥</w:t>
            </w:r>
            <w:r>
              <w:rPr>
                <w:rFonts w:hint="eastAsia" w:ascii="宋体" w:hAnsi="宋体" w:cs="宋体"/>
                <w:color w:val="000000"/>
                <w:kern w:val="0"/>
                <w:szCs w:val="21"/>
                <w:highlight w:val="none"/>
              </w:rPr>
              <w:t>3.5英寸，SATA3.0接口，7200RPM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2.空气盘， CMR传统磁记录</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3.传输速率</w:t>
            </w:r>
            <w:r>
              <w:rPr>
                <w:rFonts w:hint="eastAsia"/>
                <w:highlight w:val="none"/>
              </w:rPr>
              <w:t>≥</w:t>
            </w:r>
            <w:r>
              <w:rPr>
                <w:rFonts w:hint="eastAsia" w:ascii="宋体" w:hAnsi="宋体" w:cs="宋体"/>
                <w:color w:val="000000"/>
                <w:kern w:val="0"/>
                <w:szCs w:val="21"/>
                <w:highlight w:val="none"/>
              </w:rPr>
              <w:t>248 MB/s，要求存储视频能有效防止丢帧</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4.要求高级格式（AF）512e扇区技术，保障硬盘扇区4K对齐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5.满足7*24小时运行可靠性、安全性的需求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6.支持</w:t>
            </w:r>
            <w:r>
              <w:rPr>
                <w:rStyle w:val="27"/>
                <w:rFonts w:hint="eastAsia"/>
                <w:highlight w:val="none"/>
              </w:rPr>
              <w:t>1</w:t>
            </w:r>
            <w:r>
              <w:rPr>
                <w:rFonts w:hint="eastAsia" w:ascii="宋体" w:hAnsi="宋体" w:cs="宋体"/>
                <w:color w:val="000000"/>
                <w:kern w:val="0"/>
                <w:szCs w:val="21"/>
                <w:highlight w:val="none"/>
              </w:rPr>
              <w:t>年有限质保服务</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7.标称容量：</w:t>
            </w:r>
            <w:r>
              <w:rPr>
                <w:rFonts w:hint="eastAsia"/>
                <w:highlight w:val="none"/>
              </w:rPr>
              <w:t>≥</w:t>
            </w:r>
            <w:r>
              <w:rPr>
                <w:rFonts w:hint="eastAsia" w:ascii="宋体" w:hAnsi="宋体" w:cs="宋体"/>
                <w:color w:val="000000"/>
                <w:kern w:val="0"/>
                <w:szCs w:val="21"/>
                <w:highlight w:val="none"/>
              </w:rPr>
              <w:t>8TB</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8.外形规格：3.5-inch</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9.接口类型：SATA</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10.刻录技术：CMR</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11.转速：</w:t>
            </w:r>
            <w:r>
              <w:rPr>
                <w:rFonts w:hint="eastAsia"/>
                <w:highlight w:val="none"/>
              </w:rPr>
              <w:t>≥</w:t>
            </w:r>
            <w:r>
              <w:rPr>
                <w:rFonts w:hint="eastAsia" w:ascii="宋体" w:hAnsi="宋体" w:cs="宋体"/>
                <w:color w:val="000000"/>
                <w:kern w:val="0"/>
                <w:szCs w:val="21"/>
                <w:highlight w:val="none"/>
              </w:rPr>
              <w:t>7200RPM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12.缓存：</w:t>
            </w:r>
            <w:r>
              <w:rPr>
                <w:rFonts w:hint="eastAsia"/>
                <w:highlight w:val="none"/>
              </w:rPr>
              <w:t>≥</w:t>
            </w:r>
            <w:r>
              <w:rPr>
                <w:rFonts w:hint="eastAsia" w:ascii="宋体" w:hAnsi="宋体" w:cs="宋体"/>
                <w:color w:val="000000"/>
                <w:kern w:val="0"/>
                <w:szCs w:val="21"/>
                <w:highlight w:val="none"/>
              </w:rPr>
              <w:t>256MB</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13.最大读取速度：248MB/s</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14.接口传输速率（最大值）：6.0Gb/s</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15.平均读写功率（W）：9.29W</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16.加载/卸载周期：600,000</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17.MTBF：2,000,000</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18.年负荷（TB/年）：</w:t>
            </w:r>
            <w:r>
              <w:rPr>
                <w:rFonts w:hint="eastAsia"/>
                <w:highlight w:val="none"/>
              </w:rPr>
              <w:t>≥</w:t>
            </w:r>
            <w:r>
              <w:rPr>
                <w:rFonts w:hint="eastAsia" w:ascii="宋体" w:hAnsi="宋体" w:cs="宋体"/>
                <w:color w:val="000000"/>
                <w:kern w:val="0"/>
                <w:szCs w:val="21"/>
                <w:highlight w:val="none"/>
              </w:rPr>
              <w:t>550TB</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19.工作状态温度(°C)：5-60℃</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20.尺寸：约147mm(L)×101.6mm(W)×26.1mm(H) </w:t>
            </w:r>
          </w:p>
        </w:tc>
      </w:tr>
      <w:tr w14:paraId="5B05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531" w:type="dxa"/>
            <w:vAlign w:val="center"/>
          </w:tcPr>
          <w:p w14:paraId="5C71AF50">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5</w:t>
            </w:r>
          </w:p>
        </w:tc>
        <w:tc>
          <w:tcPr>
            <w:tcW w:w="1134" w:type="dxa"/>
            <w:vAlign w:val="center"/>
          </w:tcPr>
          <w:p w14:paraId="2503C9A6">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监控杆（带维护台）</w:t>
            </w:r>
          </w:p>
        </w:tc>
        <w:tc>
          <w:tcPr>
            <w:tcW w:w="850" w:type="dxa"/>
            <w:vAlign w:val="center"/>
          </w:tcPr>
          <w:p w14:paraId="7B5E2C1D">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5根</w:t>
            </w:r>
          </w:p>
        </w:tc>
        <w:tc>
          <w:tcPr>
            <w:tcW w:w="6521" w:type="dxa"/>
            <w:vAlign w:val="center"/>
          </w:tcPr>
          <w:p w14:paraId="02EDB827">
            <w:pPr>
              <w:widowControl/>
              <w:jc w:val="left"/>
              <w:textAlignment w:val="center"/>
              <w:rPr>
                <w:rFonts w:asciiTheme="minorEastAsia" w:hAnsiTheme="minorEastAsia" w:eastAsiaTheme="minorEastAsia"/>
                <w:szCs w:val="21"/>
                <w:highlight w:val="none"/>
              </w:rPr>
            </w:pPr>
            <w:r>
              <w:rPr>
                <w:rFonts w:hint="eastAsia" w:ascii="宋体" w:hAnsi="宋体" w:cs="宋体"/>
                <w:color w:val="000000"/>
                <w:kern w:val="0"/>
                <w:szCs w:val="21"/>
                <w:highlight w:val="none"/>
              </w:rPr>
              <w:t>≥15米镀锌监控杆，带爬梯维修平台，杆体规格不小于：140-260-4.5mm，法兰规格不小于：450*20mm，含安装底座。</w:t>
            </w:r>
          </w:p>
        </w:tc>
      </w:tr>
      <w:tr w14:paraId="12428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atLeast"/>
          <w:jc w:val="center"/>
        </w:trPr>
        <w:tc>
          <w:tcPr>
            <w:tcW w:w="531" w:type="dxa"/>
            <w:vAlign w:val="center"/>
          </w:tcPr>
          <w:p w14:paraId="00581E0B">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6</w:t>
            </w:r>
          </w:p>
        </w:tc>
        <w:tc>
          <w:tcPr>
            <w:tcW w:w="1134" w:type="dxa"/>
            <w:vAlign w:val="center"/>
          </w:tcPr>
          <w:p w14:paraId="615CF5A2">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设备箱</w:t>
            </w:r>
          </w:p>
        </w:tc>
        <w:tc>
          <w:tcPr>
            <w:tcW w:w="850" w:type="dxa"/>
            <w:vAlign w:val="center"/>
          </w:tcPr>
          <w:p w14:paraId="6E62A4F1">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5个</w:t>
            </w:r>
          </w:p>
        </w:tc>
        <w:tc>
          <w:tcPr>
            <w:tcW w:w="6521" w:type="dxa"/>
            <w:vAlign w:val="center"/>
          </w:tcPr>
          <w:p w14:paraId="5579BD95">
            <w:pPr>
              <w:pStyle w:val="8"/>
              <w:rPr>
                <w:rFonts w:asciiTheme="minorEastAsia" w:hAnsiTheme="minorEastAsia" w:eastAsiaTheme="minorEastAsia"/>
                <w:szCs w:val="21"/>
                <w:highlight w:val="none"/>
              </w:rPr>
            </w:pPr>
            <w:r>
              <w:rPr>
                <w:rFonts w:hint="eastAsia" w:ascii="宋体" w:hAnsi="宋体" w:cs="宋体"/>
                <w:color w:val="000000"/>
                <w:kern w:val="0"/>
                <w:szCs w:val="21"/>
                <w:highlight w:val="none"/>
              </w:rPr>
              <w:t>规格不低于550*650*400mm，镀锌板</w:t>
            </w:r>
            <w:r>
              <w:rPr>
                <w:rStyle w:val="27"/>
                <w:rFonts w:hint="eastAsia"/>
                <w:highlight w:val="none"/>
              </w:rPr>
              <w:t>≥</w:t>
            </w:r>
            <w:r>
              <w:rPr>
                <w:rFonts w:hint="eastAsia" w:ascii="宋体" w:hAnsi="宋体" w:cs="宋体"/>
                <w:color w:val="000000"/>
                <w:kern w:val="0"/>
                <w:szCs w:val="21"/>
                <w:highlight w:val="none"/>
              </w:rPr>
              <w:t>1.5mm喷塑，内含六位排插（参照或相当于公牛、2P空开（参照或相当于德力西）、恒温散热风扇、40KA电源防雷模块、熔纤盘、活动隔板、地排、收容文件夹、19英寸机架。</w:t>
            </w:r>
          </w:p>
        </w:tc>
      </w:tr>
      <w:tr w14:paraId="6864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1" w:type="dxa"/>
            <w:vAlign w:val="center"/>
          </w:tcPr>
          <w:p w14:paraId="3068380A">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7</w:t>
            </w:r>
          </w:p>
        </w:tc>
        <w:tc>
          <w:tcPr>
            <w:tcW w:w="1134" w:type="dxa"/>
            <w:vAlign w:val="center"/>
          </w:tcPr>
          <w:p w14:paraId="1C2C1F97">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线缆辅材</w:t>
            </w:r>
          </w:p>
        </w:tc>
        <w:tc>
          <w:tcPr>
            <w:tcW w:w="850" w:type="dxa"/>
            <w:vAlign w:val="center"/>
          </w:tcPr>
          <w:p w14:paraId="3296104C">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1批</w:t>
            </w:r>
          </w:p>
        </w:tc>
        <w:tc>
          <w:tcPr>
            <w:tcW w:w="6521" w:type="dxa"/>
            <w:vAlign w:val="center"/>
          </w:tcPr>
          <w:p w14:paraId="0ED84F57">
            <w:pPr>
              <w:widowControl/>
              <w:jc w:val="left"/>
              <w:textAlignment w:val="center"/>
              <w:rPr>
                <w:rFonts w:asciiTheme="minorEastAsia" w:hAnsiTheme="minorEastAsia" w:eastAsiaTheme="minorEastAsia"/>
                <w:szCs w:val="21"/>
                <w:highlight w:val="none"/>
              </w:rPr>
            </w:pPr>
            <w:r>
              <w:rPr>
                <w:rFonts w:hint="eastAsia" w:ascii="宋体" w:hAnsi="宋体" w:cs="宋体"/>
                <w:color w:val="000000"/>
                <w:kern w:val="0"/>
                <w:szCs w:val="21"/>
                <w:highlight w:val="none"/>
              </w:rPr>
              <w:t>包含电源接通、网络接入所需线缆及满足本项目安装需求的其它辅材等。</w:t>
            </w:r>
          </w:p>
        </w:tc>
      </w:tr>
      <w:tr w14:paraId="1FCA8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31" w:type="dxa"/>
            <w:vAlign w:val="center"/>
          </w:tcPr>
          <w:p w14:paraId="057015F3">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8</w:t>
            </w:r>
          </w:p>
        </w:tc>
        <w:tc>
          <w:tcPr>
            <w:tcW w:w="1134" w:type="dxa"/>
            <w:vAlign w:val="center"/>
          </w:tcPr>
          <w:p w14:paraId="06048295">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监控传输专线租用（100M）</w:t>
            </w:r>
          </w:p>
        </w:tc>
        <w:tc>
          <w:tcPr>
            <w:tcW w:w="850" w:type="dxa"/>
            <w:vAlign w:val="center"/>
          </w:tcPr>
          <w:p w14:paraId="20AE2C24">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5条</w:t>
            </w:r>
          </w:p>
        </w:tc>
        <w:tc>
          <w:tcPr>
            <w:tcW w:w="6521" w:type="dxa"/>
            <w:vAlign w:val="center"/>
          </w:tcPr>
          <w:p w14:paraId="089BC41C">
            <w:pPr>
              <w:widowControl/>
              <w:jc w:val="left"/>
              <w:textAlignment w:val="center"/>
              <w:rPr>
                <w:rFonts w:asciiTheme="minorEastAsia" w:hAnsiTheme="minorEastAsia" w:eastAsiaTheme="minorEastAsia"/>
                <w:szCs w:val="21"/>
                <w:highlight w:val="none"/>
              </w:rPr>
            </w:pPr>
            <w:r>
              <w:rPr>
                <w:rStyle w:val="66"/>
                <w:rFonts w:hint="default"/>
                <w:sz w:val="21"/>
                <w:szCs w:val="21"/>
                <w:highlight w:val="none"/>
              </w:rPr>
              <w:t>1.服务期：1年</w:t>
            </w:r>
            <w:r>
              <w:rPr>
                <w:rStyle w:val="66"/>
                <w:rFonts w:hint="default"/>
                <w:sz w:val="21"/>
                <w:szCs w:val="21"/>
                <w:highlight w:val="none"/>
              </w:rPr>
              <w:br w:type="textWrapping"/>
            </w:r>
            <w:r>
              <w:rPr>
                <w:rStyle w:val="66"/>
                <w:rFonts w:hint="default"/>
                <w:sz w:val="21"/>
                <w:szCs w:val="21"/>
                <w:highlight w:val="none"/>
              </w:rPr>
              <w:t>2.速率：上、下行不低于100Mbps；</w:t>
            </w:r>
            <w:r>
              <w:rPr>
                <w:rStyle w:val="66"/>
                <w:rFonts w:hint="default"/>
                <w:sz w:val="21"/>
                <w:szCs w:val="21"/>
                <w:highlight w:val="none"/>
              </w:rPr>
              <w:br w:type="textWrapping"/>
            </w:r>
            <w:r>
              <w:rPr>
                <w:rStyle w:val="66"/>
                <w:rFonts w:hint="default"/>
                <w:sz w:val="21"/>
                <w:szCs w:val="21"/>
                <w:highlight w:val="none"/>
              </w:rPr>
              <w:t>3.线路连接方式：点对点光纤专线线路或更先进的专用专线；</w:t>
            </w:r>
            <w:r>
              <w:rPr>
                <w:rStyle w:val="66"/>
                <w:rFonts w:hint="default"/>
                <w:sz w:val="21"/>
                <w:szCs w:val="21"/>
                <w:highlight w:val="none"/>
              </w:rPr>
              <w:br w:type="textWrapping"/>
            </w:r>
            <w:r>
              <w:rPr>
                <w:rStyle w:val="66"/>
                <w:rFonts w:hint="default"/>
                <w:sz w:val="21"/>
                <w:szCs w:val="21"/>
                <w:highlight w:val="none"/>
              </w:rPr>
              <w:t>4.线路技术指标：</w:t>
            </w:r>
            <w:r>
              <w:rPr>
                <w:rStyle w:val="66"/>
                <w:rFonts w:hint="default"/>
                <w:sz w:val="21"/>
                <w:szCs w:val="21"/>
                <w:highlight w:val="none"/>
              </w:rPr>
              <w:br w:type="textWrapping"/>
            </w:r>
            <w:r>
              <w:rPr>
                <w:rStyle w:val="66"/>
                <w:rFonts w:hint="default"/>
                <w:sz w:val="21"/>
                <w:szCs w:val="21"/>
                <w:highlight w:val="none"/>
              </w:rPr>
              <w:t>（1）线路可用率≥99.50%；</w:t>
            </w:r>
            <w:r>
              <w:rPr>
                <w:rStyle w:val="66"/>
                <w:rFonts w:hint="default"/>
                <w:sz w:val="21"/>
                <w:szCs w:val="21"/>
                <w:highlight w:val="none"/>
              </w:rPr>
              <w:br w:type="textWrapping"/>
            </w:r>
            <w:r>
              <w:rPr>
                <w:rStyle w:val="66"/>
                <w:rFonts w:hint="default"/>
                <w:sz w:val="21"/>
                <w:szCs w:val="21"/>
                <w:highlight w:val="none"/>
              </w:rPr>
              <w:t>（2）系统端到端的时延上限400ms，其中网络时延不超过50ms；</w:t>
            </w:r>
            <w:r>
              <w:rPr>
                <w:rStyle w:val="66"/>
                <w:rFonts w:hint="default"/>
                <w:sz w:val="21"/>
                <w:szCs w:val="21"/>
                <w:highlight w:val="none"/>
              </w:rPr>
              <w:br w:type="textWrapping"/>
            </w:r>
            <w:r>
              <w:rPr>
                <w:rStyle w:val="66"/>
                <w:rFonts w:hint="default"/>
                <w:sz w:val="21"/>
                <w:szCs w:val="21"/>
                <w:highlight w:val="none"/>
              </w:rPr>
              <w:t>（3）网络丢包率上限值为1×10</w:t>
            </w:r>
            <w:r>
              <w:rPr>
                <w:rStyle w:val="67"/>
                <w:rFonts w:hint="default"/>
                <w:sz w:val="21"/>
                <w:szCs w:val="21"/>
                <w:highlight w:val="none"/>
              </w:rPr>
              <w:t>-3</w:t>
            </w:r>
            <w:r>
              <w:rPr>
                <w:rStyle w:val="66"/>
                <w:rFonts w:hint="default"/>
                <w:sz w:val="21"/>
                <w:szCs w:val="21"/>
                <w:highlight w:val="none"/>
              </w:rPr>
              <w:t>；</w:t>
            </w:r>
            <w:r>
              <w:rPr>
                <w:rStyle w:val="66"/>
                <w:rFonts w:hint="default"/>
                <w:sz w:val="21"/>
                <w:szCs w:val="21"/>
                <w:highlight w:val="none"/>
              </w:rPr>
              <w:br w:type="textWrapping"/>
            </w:r>
            <w:r>
              <w:rPr>
                <w:rStyle w:val="66"/>
                <w:rFonts w:hint="default"/>
                <w:sz w:val="21"/>
                <w:szCs w:val="21"/>
                <w:highlight w:val="none"/>
              </w:rPr>
              <w:t>（4）包误差率上限值为1×10</w:t>
            </w:r>
            <w:r>
              <w:rPr>
                <w:rStyle w:val="67"/>
                <w:rFonts w:hint="default"/>
                <w:sz w:val="21"/>
                <w:szCs w:val="21"/>
                <w:highlight w:val="none"/>
              </w:rPr>
              <w:t>-4</w:t>
            </w:r>
            <w:r>
              <w:rPr>
                <w:rStyle w:val="66"/>
                <w:rFonts w:hint="default"/>
                <w:sz w:val="21"/>
                <w:szCs w:val="21"/>
                <w:highlight w:val="none"/>
              </w:rPr>
              <w:t>；</w:t>
            </w:r>
            <w:r>
              <w:rPr>
                <w:rStyle w:val="66"/>
                <w:rFonts w:hint="default"/>
                <w:sz w:val="21"/>
                <w:szCs w:val="21"/>
                <w:highlight w:val="none"/>
              </w:rPr>
              <w:br w:type="textWrapping"/>
            </w:r>
            <w:r>
              <w:rPr>
                <w:rStyle w:val="66"/>
                <w:rFonts w:hint="default"/>
                <w:sz w:val="21"/>
                <w:szCs w:val="21"/>
                <w:highlight w:val="none"/>
              </w:rPr>
              <w:t>5.具备自愈保护功能接入段节点业务恢复时间小于50ms。</w:t>
            </w:r>
          </w:p>
        </w:tc>
      </w:tr>
      <w:tr w14:paraId="6EEA5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531" w:type="dxa"/>
            <w:vAlign w:val="center"/>
          </w:tcPr>
          <w:p w14:paraId="1692B0E0">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9</w:t>
            </w:r>
          </w:p>
        </w:tc>
        <w:tc>
          <w:tcPr>
            <w:tcW w:w="1134" w:type="dxa"/>
            <w:vAlign w:val="center"/>
          </w:tcPr>
          <w:p w14:paraId="4F61DF68">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实施集成服务</w:t>
            </w:r>
          </w:p>
        </w:tc>
        <w:tc>
          <w:tcPr>
            <w:tcW w:w="850" w:type="dxa"/>
            <w:vAlign w:val="center"/>
          </w:tcPr>
          <w:p w14:paraId="4E8D893D">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1项</w:t>
            </w:r>
          </w:p>
        </w:tc>
        <w:tc>
          <w:tcPr>
            <w:tcW w:w="6521" w:type="dxa"/>
            <w:vAlign w:val="center"/>
          </w:tcPr>
          <w:p w14:paraId="16E9601B">
            <w:pPr>
              <w:widowControl/>
              <w:jc w:val="left"/>
              <w:textAlignment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包含主要设备及及相关配套部署安装、调试调通，监控点位基础施工、接电、开挖及回填，以及</w:t>
            </w:r>
            <w:r>
              <w:rPr>
                <w:rFonts w:hint="eastAsia" w:asciiTheme="minorEastAsia" w:hAnsiTheme="minorEastAsia" w:eastAsiaTheme="minorEastAsia"/>
                <w:szCs w:val="21"/>
                <w:highlight w:val="none"/>
                <w:lang w:val="en-US" w:eastAsia="zh-CN"/>
              </w:rPr>
              <w:t>为前端监控提供</w:t>
            </w:r>
            <w:r>
              <w:rPr>
                <w:rFonts w:hint="eastAsia" w:asciiTheme="minorEastAsia" w:hAnsiTheme="minorEastAsia" w:eastAsiaTheme="minorEastAsia"/>
                <w:szCs w:val="21"/>
                <w:highlight w:val="none"/>
              </w:rPr>
              <w:t>船舶智能识别应用</w:t>
            </w:r>
            <w:r>
              <w:rPr>
                <w:rFonts w:hint="eastAsia" w:asciiTheme="minorEastAsia" w:hAnsiTheme="minorEastAsia" w:eastAsiaTheme="minorEastAsia"/>
                <w:szCs w:val="21"/>
                <w:highlight w:val="none"/>
                <w:lang w:val="en-US" w:eastAsia="zh-CN"/>
              </w:rPr>
              <w:t>接入</w:t>
            </w:r>
            <w:r>
              <w:rPr>
                <w:rFonts w:hint="eastAsia" w:asciiTheme="minorEastAsia" w:hAnsiTheme="minorEastAsia" w:eastAsiaTheme="minorEastAsia"/>
                <w:szCs w:val="21"/>
                <w:highlight w:val="none"/>
              </w:rPr>
              <w:t>服务，</w:t>
            </w:r>
            <w:r>
              <w:rPr>
                <w:rFonts w:hint="eastAsia" w:asciiTheme="minorEastAsia" w:hAnsiTheme="minorEastAsia" w:eastAsiaTheme="minorEastAsia"/>
                <w:szCs w:val="21"/>
                <w:highlight w:val="none"/>
                <w:lang w:val="en-US" w:eastAsia="zh-CN"/>
              </w:rPr>
              <w:t>识别应用</w:t>
            </w:r>
            <w:r>
              <w:rPr>
                <w:rFonts w:hint="eastAsia" w:asciiTheme="minorEastAsia" w:hAnsiTheme="minorEastAsia" w:eastAsiaTheme="minorEastAsia"/>
                <w:szCs w:val="21"/>
                <w:highlight w:val="none"/>
              </w:rPr>
              <w:t>提供包含系统基础信息管理、地图应用服务、事件联动应用服务，船舶动态监管，对船舶主动感知识别及分析等功能</w:t>
            </w:r>
            <w:r>
              <w:rPr>
                <w:rFonts w:hint="eastAsia" w:asciiTheme="minorEastAsia" w:hAnsiTheme="minorEastAsia" w:eastAsiaTheme="minorEastAsia"/>
                <w:szCs w:val="21"/>
                <w:highlight w:val="none"/>
                <w:lang w:eastAsia="zh-CN"/>
              </w:rPr>
              <w:t>。</w:t>
            </w:r>
          </w:p>
        </w:tc>
      </w:tr>
      <w:tr w14:paraId="7D3C8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jc w:val="center"/>
        </w:trPr>
        <w:tc>
          <w:tcPr>
            <w:tcW w:w="531" w:type="dxa"/>
            <w:vAlign w:val="center"/>
          </w:tcPr>
          <w:p w14:paraId="3A5B2B61">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10</w:t>
            </w:r>
          </w:p>
        </w:tc>
        <w:tc>
          <w:tcPr>
            <w:tcW w:w="1134" w:type="dxa"/>
            <w:vAlign w:val="center"/>
          </w:tcPr>
          <w:p w14:paraId="2258A3AA">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渔港现有监控的维护</w:t>
            </w:r>
          </w:p>
        </w:tc>
        <w:tc>
          <w:tcPr>
            <w:tcW w:w="850" w:type="dxa"/>
            <w:vAlign w:val="center"/>
          </w:tcPr>
          <w:p w14:paraId="6C03E111">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rPr>
              <w:t>1项</w:t>
            </w:r>
          </w:p>
        </w:tc>
        <w:tc>
          <w:tcPr>
            <w:tcW w:w="6521" w:type="dxa"/>
            <w:vAlign w:val="center"/>
          </w:tcPr>
          <w:p w14:paraId="74DEE4C7">
            <w:pPr>
              <w:widowControl/>
              <w:jc w:val="left"/>
              <w:textAlignment w:val="center"/>
              <w:rPr>
                <w:rFonts w:asciiTheme="minorEastAsia" w:hAnsiTheme="minorEastAsia" w:eastAsiaTheme="minorEastAsia"/>
                <w:szCs w:val="21"/>
                <w:highlight w:val="none"/>
              </w:rPr>
            </w:pPr>
            <w:r>
              <w:rPr>
                <w:rFonts w:hint="eastAsia" w:ascii="宋体" w:hAnsi="宋体" w:cs="宋体"/>
                <w:color w:val="000000"/>
                <w:kern w:val="0"/>
                <w:szCs w:val="21"/>
                <w:highlight w:val="none"/>
              </w:rPr>
              <w:t>服务期1年，提供龙门渔港和犀牛脚渔港现有监控前端31个摄像头日常维护服务，包含故障修复、现场障碍清理等运维服务，同时包含新增5个点位1年电费代缴服务。</w:t>
            </w:r>
          </w:p>
        </w:tc>
      </w:tr>
    </w:tbl>
    <w:p w14:paraId="2838BBAE">
      <w:pPr>
        <w:tabs>
          <w:tab w:val="left" w:pos="180"/>
          <w:tab w:val="left" w:pos="1620"/>
        </w:tabs>
        <w:spacing w:line="360" w:lineRule="auto"/>
        <w:rPr>
          <w:rFonts w:ascii="宋体" w:hAnsi="宋体" w:cs="宋体"/>
          <w:b/>
          <w:bCs/>
          <w:szCs w:val="21"/>
          <w:highlight w:val="none"/>
        </w:rPr>
      </w:pPr>
    </w:p>
    <w:p w14:paraId="11DB4500">
      <w:pPr>
        <w:widowControl/>
        <w:spacing w:line="440" w:lineRule="exact"/>
        <w:ind w:left="420"/>
        <w:jc w:val="left"/>
        <w:rPr>
          <w:rFonts w:ascii="宋体" w:hAnsi="宋体"/>
          <w:b/>
          <w:color w:val="000000"/>
          <w:szCs w:val="21"/>
          <w:highlight w:val="none"/>
        </w:rPr>
      </w:pPr>
      <w:r>
        <w:rPr>
          <w:rFonts w:hint="eastAsia" w:ascii="宋体" w:hAnsi="宋体"/>
          <w:b/>
          <w:color w:val="000000"/>
          <w:szCs w:val="21"/>
          <w:highlight w:val="none"/>
        </w:rPr>
        <w:t>商务要求</w:t>
      </w:r>
    </w:p>
    <w:tbl>
      <w:tblPr>
        <w:tblStyle w:val="22"/>
        <w:tblW w:w="928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1"/>
        <w:gridCol w:w="7846"/>
      </w:tblGrid>
      <w:tr w14:paraId="0878E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41" w:type="dxa"/>
            <w:tcBorders>
              <w:top w:val="single" w:color="auto" w:sz="4" w:space="0"/>
              <w:left w:val="single" w:color="auto" w:sz="4" w:space="0"/>
              <w:bottom w:val="single" w:color="000000" w:sz="2" w:space="0"/>
              <w:right w:val="single" w:color="auto" w:sz="4" w:space="0"/>
            </w:tcBorders>
            <w:noWrap/>
            <w:vAlign w:val="center"/>
          </w:tcPr>
          <w:p w14:paraId="048CBE52">
            <w:pPr>
              <w:widowControl/>
              <w:kinsoku w:val="0"/>
              <w:autoSpaceDE w:val="0"/>
              <w:autoSpaceDN w:val="0"/>
              <w:adjustRightInd w:val="0"/>
              <w:snapToGrid w:val="0"/>
              <w:spacing w:line="260" w:lineRule="auto"/>
              <w:textAlignment w:val="baseline"/>
              <w:rPr>
                <w:rFonts w:ascii="宋体" w:hAnsi="宋体" w:cs="Arial"/>
                <w:snapToGrid w:val="0"/>
                <w:color w:val="000000"/>
                <w:kern w:val="0"/>
                <w:szCs w:val="21"/>
                <w:highlight w:val="none"/>
              </w:rPr>
            </w:pPr>
            <w:r>
              <w:rPr>
                <w:rFonts w:hint="eastAsia" w:ascii="宋体" w:hAnsi="宋体" w:cs="宋体"/>
                <w:b/>
                <w:color w:val="000000"/>
                <w:szCs w:val="21"/>
                <w:highlight w:val="none"/>
              </w:rPr>
              <w:t>▲</w:t>
            </w:r>
            <w:r>
              <w:rPr>
                <w:rFonts w:hint="eastAsia" w:ascii="宋体" w:hAnsi="宋体" w:cs="Arial"/>
                <w:snapToGrid w:val="0"/>
                <w:color w:val="000000"/>
                <w:kern w:val="0"/>
                <w:szCs w:val="21"/>
                <w:highlight w:val="none"/>
              </w:rPr>
              <w:t>服务期限及交付地点</w:t>
            </w:r>
          </w:p>
        </w:tc>
        <w:tc>
          <w:tcPr>
            <w:tcW w:w="7846" w:type="dxa"/>
            <w:tcBorders>
              <w:top w:val="single" w:color="000000" w:sz="2" w:space="0"/>
              <w:left w:val="single" w:color="auto" w:sz="4" w:space="0"/>
              <w:bottom w:val="single" w:color="000000" w:sz="2" w:space="0"/>
              <w:right w:val="single" w:color="000000" w:sz="2" w:space="0"/>
            </w:tcBorders>
            <w:noWrap/>
          </w:tcPr>
          <w:p w14:paraId="785C9E64">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szCs w:val="21"/>
                <w:highlight w:val="none"/>
              </w:rPr>
              <w:t>服务期限：自合同签订之日起</w:t>
            </w:r>
            <w:r>
              <w:rPr>
                <w:rFonts w:hint="eastAsia" w:ascii="宋体" w:hAnsi="宋体"/>
                <w:szCs w:val="21"/>
                <w:highlight w:val="none"/>
                <w:lang w:val="en-US" w:eastAsia="zh-CN"/>
              </w:rPr>
              <w:t>45</w:t>
            </w:r>
            <w:r>
              <w:rPr>
                <w:rFonts w:hint="eastAsia" w:ascii="宋体" w:hAnsi="宋体"/>
                <w:szCs w:val="21"/>
                <w:highlight w:val="none"/>
              </w:rPr>
              <w:t>个日历天内完成</w:t>
            </w:r>
            <w:r>
              <w:rPr>
                <w:rFonts w:hint="eastAsia" w:ascii="宋体" w:hAnsi="宋体" w:cs="宋体"/>
                <w:snapToGrid w:val="0"/>
                <w:color w:val="000000"/>
                <w:spacing w:val="12"/>
                <w:kern w:val="0"/>
                <w:szCs w:val="21"/>
                <w:highlight w:val="none"/>
              </w:rPr>
              <w:t>。</w:t>
            </w:r>
          </w:p>
          <w:p w14:paraId="26E66F1E">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snapToGrid w:val="0"/>
                <w:color w:val="000000"/>
                <w:spacing w:val="12"/>
                <w:kern w:val="0"/>
                <w:szCs w:val="21"/>
                <w:highlight w:val="none"/>
              </w:rPr>
              <w:t>交付地点：钦州市内采购人指定地点。</w:t>
            </w:r>
          </w:p>
        </w:tc>
      </w:tr>
      <w:tr w14:paraId="7E511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41" w:type="dxa"/>
            <w:tcBorders>
              <w:top w:val="single" w:color="auto" w:sz="4" w:space="0"/>
              <w:left w:val="single" w:color="auto" w:sz="4" w:space="0"/>
              <w:bottom w:val="single" w:color="000000" w:sz="2" w:space="0"/>
              <w:right w:val="single" w:color="auto" w:sz="4" w:space="0"/>
            </w:tcBorders>
            <w:noWrap/>
            <w:vAlign w:val="center"/>
          </w:tcPr>
          <w:p w14:paraId="660F8C55">
            <w:pPr>
              <w:widowControl/>
              <w:kinsoku w:val="0"/>
              <w:autoSpaceDE w:val="0"/>
              <w:autoSpaceDN w:val="0"/>
              <w:adjustRightInd w:val="0"/>
              <w:snapToGrid w:val="0"/>
              <w:spacing w:line="260" w:lineRule="auto"/>
              <w:jc w:val="center"/>
              <w:textAlignment w:val="baseline"/>
              <w:rPr>
                <w:rFonts w:ascii="宋体" w:hAnsi="宋体" w:cs="Arial"/>
                <w:snapToGrid w:val="0"/>
                <w:color w:val="000000"/>
                <w:kern w:val="0"/>
                <w:szCs w:val="21"/>
                <w:highlight w:val="none"/>
              </w:rPr>
            </w:pPr>
            <w:r>
              <w:rPr>
                <w:rFonts w:hint="eastAsia" w:ascii="宋体" w:hAnsi="宋体" w:cs="宋体"/>
                <w:b/>
                <w:color w:val="000000"/>
                <w:szCs w:val="21"/>
                <w:highlight w:val="none"/>
              </w:rPr>
              <w:t>▲</w:t>
            </w:r>
            <w:r>
              <w:rPr>
                <w:rFonts w:hint="eastAsia" w:ascii="宋体" w:hAnsi="宋体" w:cs="Arial"/>
                <w:snapToGrid w:val="0"/>
                <w:color w:val="000000"/>
                <w:kern w:val="0"/>
                <w:szCs w:val="21"/>
                <w:highlight w:val="none"/>
              </w:rPr>
              <w:t>售后服务要求</w:t>
            </w:r>
          </w:p>
        </w:tc>
        <w:tc>
          <w:tcPr>
            <w:tcW w:w="7846" w:type="dxa"/>
            <w:tcBorders>
              <w:top w:val="single" w:color="000000" w:sz="2" w:space="0"/>
              <w:left w:val="single" w:color="auto" w:sz="4" w:space="0"/>
              <w:bottom w:val="single" w:color="000000" w:sz="2" w:space="0"/>
              <w:right w:val="single" w:color="000000" w:sz="2" w:space="0"/>
            </w:tcBorders>
            <w:noWrap/>
          </w:tcPr>
          <w:p w14:paraId="478DDF9C">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b/>
                <w:color w:val="000000"/>
                <w:szCs w:val="21"/>
                <w:highlight w:val="none"/>
              </w:rPr>
              <w:t>▲</w:t>
            </w:r>
            <w:r>
              <w:rPr>
                <w:rFonts w:hint="eastAsia" w:ascii="宋体" w:hAnsi="宋体" w:cs="宋体"/>
                <w:snapToGrid w:val="0"/>
                <w:color w:val="000000"/>
                <w:spacing w:val="12"/>
                <w:kern w:val="0"/>
                <w:szCs w:val="21"/>
                <w:highlight w:val="none"/>
              </w:rPr>
              <w:t xml:space="preserve">1.提供 7×24 小时响应用户电话咨询服务，及时响应并解决问题或给出合理的意见与建议。 </w:t>
            </w:r>
          </w:p>
          <w:p w14:paraId="7AEC43F3">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b/>
                <w:color w:val="000000"/>
                <w:szCs w:val="21"/>
                <w:highlight w:val="none"/>
              </w:rPr>
              <w:t>▲</w:t>
            </w:r>
            <w:r>
              <w:rPr>
                <w:rFonts w:hint="eastAsia" w:ascii="宋体" w:hAnsi="宋体" w:cs="宋体"/>
                <w:snapToGrid w:val="0"/>
                <w:color w:val="000000"/>
                <w:spacing w:val="12"/>
                <w:kern w:val="0"/>
                <w:szCs w:val="21"/>
                <w:highlight w:val="none"/>
              </w:rPr>
              <w:t xml:space="preserve">2.服务响应时间：采购人在使用过程中若产品发生质量问题或故障，在接到采购人通知后，12 小时内响应。 </w:t>
            </w:r>
          </w:p>
          <w:p w14:paraId="010E1982">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b/>
                <w:color w:val="000000"/>
                <w:szCs w:val="21"/>
                <w:highlight w:val="none"/>
              </w:rPr>
              <w:t>▲</w:t>
            </w:r>
            <w:r>
              <w:rPr>
                <w:rFonts w:hint="eastAsia" w:ascii="宋体" w:hAnsi="宋体" w:cs="宋体"/>
                <w:snapToGrid w:val="0"/>
                <w:color w:val="000000"/>
                <w:spacing w:val="12"/>
                <w:kern w:val="0"/>
                <w:szCs w:val="21"/>
                <w:highlight w:val="none"/>
              </w:rPr>
              <w:t>3.人员培训要求：货物安装、调试、验收合格后，成交供应商应对采购单位的相关人员进行现场培训。培训内容包括基本操作、保养维修、常见故障及解决办法等。</w:t>
            </w:r>
          </w:p>
          <w:p w14:paraId="1BFAA1D0">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b/>
                <w:color w:val="000000"/>
                <w:szCs w:val="21"/>
                <w:highlight w:val="none"/>
              </w:rPr>
              <w:t>▲</w:t>
            </w:r>
            <w:r>
              <w:rPr>
                <w:rFonts w:hint="eastAsia" w:ascii="宋体" w:hAnsi="宋体" w:cs="宋体"/>
                <w:snapToGrid w:val="0"/>
                <w:color w:val="000000"/>
                <w:spacing w:val="12"/>
                <w:kern w:val="0"/>
                <w:szCs w:val="21"/>
                <w:highlight w:val="none"/>
              </w:rPr>
              <w:t>4.为保证售后服务质量，供应商应为本项目投入不少于10人的服务团队，并在响应文件中提供7×24小时技术支持电话服务及售后服务承诺书。</w:t>
            </w:r>
          </w:p>
          <w:p w14:paraId="7A66E7E6">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b/>
                <w:color w:val="000000"/>
                <w:szCs w:val="21"/>
                <w:highlight w:val="none"/>
              </w:rPr>
              <w:t>▲</w:t>
            </w:r>
            <w:r>
              <w:rPr>
                <w:rFonts w:hint="eastAsia" w:ascii="宋体" w:hAnsi="宋体" w:cs="宋体"/>
                <w:snapToGrid w:val="0"/>
                <w:color w:val="000000"/>
                <w:spacing w:val="12"/>
                <w:kern w:val="0"/>
                <w:szCs w:val="21"/>
                <w:highlight w:val="none"/>
              </w:rPr>
              <w:t>5.质保期：所有货物必须是全新合格产品，按国家有关产品“三包”规定执行“三包”，设备（货物、服务）质保期不少于一年，如生产厂家承诺质保期更长的，以厂家承诺为准。质保期内出现故障，需派出技术工程师到达现场勘察处理故障，并承担一切费用，质保期外发生维修只收材料成本费。</w:t>
            </w:r>
          </w:p>
        </w:tc>
      </w:tr>
      <w:tr w14:paraId="3C2FB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41" w:type="dxa"/>
            <w:tcBorders>
              <w:top w:val="single" w:color="auto" w:sz="4" w:space="0"/>
              <w:left w:val="single" w:color="auto" w:sz="4" w:space="0"/>
              <w:bottom w:val="single" w:color="000000" w:sz="2" w:space="0"/>
              <w:right w:val="single" w:color="auto" w:sz="4" w:space="0"/>
            </w:tcBorders>
            <w:noWrap/>
            <w:vAlign w:val="center"/>
          </w:tcPr>
          <w:p w14:paraId="6C8E4278">
            <w:pPr>
              <w:widowControl/>
              <w:kinsoku w:val="0"/>
              <w:autoSpaceDE w:val="0"/>
              <w:autoSpaceDN w:val="0"/>
              <w:adjustRightInd w:val="0"/>
              <w:snapToGrid w:val="0"/>
              <w:spacing w:line="260" w:lineRule="auto"/>
              <w:jc w:val="center"/>
              <w:textAlignment w:val="baseline"/>
              <w:rPr>
                <w:rFonts w:ascii="宋体" w:hAnsi="宋体" w:cs="宋体"/>
                <w:b/>
                <w:color w:val="000000"/>
                <w:szCs w:val="21"/>
                <w:highlight w:val="none"/>
              </w:rPr>
            </w:pPr>
            <w:r>
              <w:rPr>
                <w:rFonts w:hint="eastAsia" w:ascii="宋体" w:hAnsi="宋体" w:cs="宋体"/>
                <w:b/>
                <w:color w:val="000000"/>
                <w:szCs w:val="21"/>
                <w:highlight w:val="none"/>
              </w:rPr>
              <w:t>▲</w:t>
            </w:r>
            <w:r>
              <w:rPr>
                <w:rFonts w:hint="eastAsia" w:ascii="宋体" w:hAnsi="宋体" w:cs="宋体"/>
                <w:bCs/>
                <w:color w:val="000000"/>
                <w:szCs w:val="21"/>
                <w:highlight w:val="none"/>
              </w:rPr>
              <w:t>报价要求</w:t>
            </w:r>
          </w:p>
        </w:tc>
        <w:tc>
          <w:tcPr>
            <w:tcW w:w="7846" w:type="dxa"/>
            <w:tcBorders>
              <w:top w:val="single" w:color="000000" w:sz="2" w:space="0"/>
              <w:left w:val="single" w:color="auto" w:sz="4" w:space="0"/>
              <w:bottom w:val="single" w:color="000000" w:sz="2" w:space="0"/>
              <w:right w:val="single" w:color="000000" w:sz="2" w:space="0"/>
            </w:tcBorders>
            <w:noWrap/>
          </w:tcPr>
          <w:p w14:paraId="44057055">
            <w:pPr>
              <w:widowControl/>
              <w:kinsoku w:val="0"/>
              <w:autoSpaceDE w:val="0"/>
              <w:autoSpaceDN w:val="0"/>
              <w:adjustRightInd w:val="0"/>
              <w:spacing w:before="55" w:line="258" w:lineRule="auto"/>
              <w:ind w:left="112" w:right="144" w:firstLine="35"/>
              <w:jc w:val="left"/>
              <w:textAlignment w:val="baseline"/>
              <w:rPr>
                <w:rFonts w:ascii="宋体" w:hAnsi="宋体" w:cs="宋体"/>
                <w:b/>
                <w:color w:val="000000"/>
                <w:szCs w:val="21"/>
                <w:highlight w:val="none"/>
              </w:rPr>
            </w:pPr>
            <w:r>
              <w:rPr>
                <w:rFonts w:hint="eastAsia" w:ascii="宋体" w:hAnsi="宋体"/>
                <w:color w:val="000000"/>
                <w:szCs w:val="21"/>
                <w:highlight w:val="none"/>
              </w:rPr>
              <w:t>竞标报价为全包价，包括技术服务、系统升级产品及系统软件、设备价款，技术服务中的评估费、差旅费、餐费、编制费、印刷费等，系统软件和升级产品的安装、测试、培训和技术支持，货物的价格、货物的标准附件、备品备件、专用工具的价格、运输、装卸、安装、调试、培训、技术支持、售后服务等费用、必要的保险费用和各项税费、包含安装费用。即在合同实施时采购人认为项目的全部费用已包括在报价中，采购人不再支付报价以外的其他费用。</w:t>
            </w:r>
          </w:p>
        </w:tc>
      </w:tr>
      <w:tr w14:paraId="2DBFF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41" w:type="dxa"/>
            <w:tcBorders>
              <w:top w:val="single" w:color="auto" w:sz="4" w:space="0"/>
              <w:left w:val="single" w:color="auto" w:sz="4" w:space="0"/>
              <w:bottom w:val="single" w:color="000000" w:sz="2" w:space="0"/>
              <w:right w:val="single" w:color="auto" w:sz="4" w:space="0"/>
            </w:tcBorders>
            <w:noWrap/>
            <w:vAlign w:val="center"/>
          </w:tcPr>
          <w:p w14:paraId="10CA037E">
            <w:pPr>
              <w:widowControl/>
              <w:kinsoku w:val="0"/>
              <w:autoSpaceDE w:val="0"/>
              <w:autoSpaceDN w:val="0"/>
              <w:adjustRightInd w:val="0"/>
              <w:snapToGrid w:val="0"/>
              <w:spacing w:line="260" w:lineRule="auto"/>
              <w:jc w:val="center"/>
              <w:textAlignment w:val="baseline"/>
              <w:rPr>
                <w:rFonts w:ascii="宋体" w:hAnsi="宋体" w:cs="Arial"/>
                <w:snapToGrid w:val="0"/>
                <w:color w:val="000000"/>
                <w:kern w:val="0"/>
                <w:szCs w:val="21"/>
                <w:highlight w:val="none"/>
              </w:rPr>
            </w:pPr>
            <w:r>
              <w:rPr>
                <w:rFonts w:hint="eastAsia" w:ascii="宋体" w:hAnsi="宋体" w:cs="宋体"/>
                <w:b/>
                <w:color w:val="000000"/>
                <w:szCs w:val="21"/>
                <w:highlight w:val="none"/>
              </w:rPr>
              <w:t>▲</w:t>
            </w:r>
            <w:r>
              <w:rPr>
                <w:rFonts w:hint="eastAsia" w:ascii="宋体" w:hAnsi="宋体" w:cs="Arial"/>
                <w:snapToGrid w:val="0"/>
                <w:color w:val="000000"/>
                <w:kern w:val="0"/>
                <w:szCs w:val="21"/>
                <w:highlight w:val="none"/>
              </w:rPr>
              <w:t>付款条件</w:t>
            </w:r>
          </w:p>
        </w:tc>
        <w:tc>
          <w:tcPr>
            <w:tcW w:w="7846" w:type="dxa"/>
            <w:tcBorders>
              <w:top w:val="single" w:color="000000" w:sz="2" w:space="0"/>
              <w:left w:val="single" w:color="auto" w:sz="4" w:space="0"/>
              <w:bottom w:val="single" w:color="000000" w:sz="2" w:space="0"/>
              <w:right w:val="single" w:color="000000" w:sz="2" w:space="0"/>
            </w:tcBorders>
            <w:noWrap/>
          </w:tcPr>
          <w:p w14:paraId="4C5B4C12">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snapToGrid w:val="0"/>
                <w:color w:val="000000"/>
                <w:spacing w:val="12"/>
                <w:kern w:val="0"/>
                <w:szCs w:val="21"/>
                <w:highlight w:val="none"/>
              </w:rPr>
              <w:t>合同签订之日起15个工作日内支付预付款30%，项目验收交付后付合同总额的70%。具体以合同签订条款约定为准。</w:t>
            </w:r>
          </w:p>
        </w:tc>
      </w:tr>
      <w:tr w14:paraId="064D4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41" w:type="dxa"/>
            <w:tcBorders>
              <w:top w:val="single" w:color="auto" w:sz="4" w:space="0"/>
              <w:left w:val="single" w:color="auto" w:sz="4" w:space="0"/>
              <w:bottom w:val="single" w:color="000000" w:sz="2" w:space="0"/>
              <w:right w:val="single" w:color="auto" w:sz="4" w:space="0"/>
            </w:tcBorders>
            <w:noWrap/>
            <w:vAlign w:val="center"/>
          </w:tcPr>
          <w:p w14:paraId="31017F77">
            <w:pPr>
              <w:widowControl/>
              <w:kinsoku w:val="0"/>
              <w:autoSpaceDE w:val="0"/>
              <w:autoSpaceDN w:val="0"/>
              <w:adjustRightInd w:val="0"/>
              <w:snapToGrid w:val="0"/>
              <w:spacing w:line="260" w:lineRule="auto"/>
              <w:jc w:val="center"/>
              <w:textAlignment w:val="baseline"/>
              <w:rPr>
                <w:rFonts w:ascii="宋体" w:hAnsi="宋体" w:cs="Arial"/>
                <w:snapToGrid w:val="0"/>
                <w:color w:val="000000"/>
                <w:kern w:val="0"/>
                <w:szCs w:val="21"/>
                <w:highlight w:val="none"/>
              </w:rPr>
            </w:pPr>
            <w:r>
              <w:rPr>
                <w:rFonts w:hint="eastAsia" w:ascii="宋体" w:hAnsi="宋体" w:cs="宋体"/>
                <w:b/>
                <w:color w:val="000000"/>
                <w:szCs w:val="21"/>
                <w:highlight w:val="none"/>
              </w:rPr>
              <w:t>▲</w:t>
            </w:r>
            <w:r>
              <w:rPr>
                <w:rFonts w:hint="eastAsia" w:ascii="宋体" w:hAnsi="宋体" w:cs="Arial"/>
                <w:snapToGrid w:val="0"/>
                <w:color w:val="000000"/>
                <w:kern w:val="0"/>
                <w:szCs w:val="21"/>
                <w:highlight w:val="none"/>
              </w:rPr>
              <w:t>相关的维护管理服务</w:t>
            </w:r>
          </w:p>
        </w:tc>
        <w:tc>
          <w:tcPr>
            <w:tcW w:w="7846" w:type="dxa"/>
            <w:tcBorders>
              <w:top w:val="single" w:color="000000" w:sz="2" w:space="0"/>
              <w:left w:val="single" w:color="auto" w:sz="4" w:space="0"/>
              <w:bottom w:val="single" w:color="000000" w:sz="2" w:space="0"/>
              <w:right w:val="single" w:color="000000" w:sz="2" w:space="0"/>
            </w:tcBorders>
            <w:noWrap/>
          </w:tcPr>
          <w:p w14:paraId="4E9B26A7">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snapToGrid w:val="0"/>
                <w:color w:val="000000"/>
                <w:spacing w:val="12"/>
                <w:kern w:val="0"/>
                <w:szCs w:val="21"/>
                <w:highlight w:val="none"/>
              </w:rPr>
              <w:t>1.从设备拆封之日起，按国家的三包政策执行；</w:t>
            </w:r>
          </w:p>
          <w:p w14:paraId="691F58FD">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snapToGrid w:val="0"/>
                <w:color w:val="000000"/>
                <w:spacing w:val="12"/>
                <w:kern w:val="0"/>
                <w:szCs w:val="21"/>
                <w:highlight w:val="none"/>
              </w:rPr>
              <w:t>2.故障处理：对影响终端可用性的故障或突发事件进行处置，最大化保证终端可用率、杜绝信息安全事件、保证终端应用性能；</w:t>
            </w:r>
          </w:p>
          <w:p w14:paraId="7CEC289B">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snapToGrid w:val="0"/>
                <w:color w:val="000000"/>
                <w:spacing w:val="12"/>
                <w:kern w:val="0"/>
                <w:szCs w:val="21"/>
                <w:highlight w:val="none"/>
              </w:rPr>
              <w:t>3.运维管理：监控网络性能，解决网络问题。</w:t>
            </w:r>
          </w:p>
        </w:tc>
      </w:tr>
      <w:tr w14:paraId="39A54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41" w:type="dxa"/>
            <w:tcBorders>
              <w:top w:val="single" w:color="auto" w:sz="4" w:space="0"/>
              <w:left w:val="single" w:color="auto" w:sz="4" w:space="0"/>
              <w:bottom w:val="single" w:color="000000" w:sz="2" w:space="0"/>
              <w:right w:val="single" w:color="auto" w:sz="4" w:space="0"/>
            </w:tcBorders>
            <w:noWrap/>
          </w:tcPr>
          <w:p w14:paraId="0631BDDA">
            <w:pPr>
              <w:widowControl/>
              <w:kinsoku w:val="0"/>
              <w:autoSpaceDE w:val="0"/>
              <w:autoSpaceDN w:val="0"/>
              <w:adjustRightInd w:val="0"/>
              <w:snapToGrid w:val="0"/>
              <w:spacing w:line="260" w:lineRule="auto"/>
              <w:jc w:val="left"/>
              <w:textAlignment w:val="baseline"/>
              <w:rPr>
                <w:rFonts w:ascii="宋体" w:hAnsi="宋体" w:cs="宋体"/>
                <w:color w:val="000000"/>
                <w:kern w:val="0"/>
                <w:szCs w:val="21"/>
                <w:highlight w:val="none"/>
              </w:rPr>
            </w:pPr>
          </w:p>
          <w:p w14:paraId="00221457">
            <w:pPr>
              <w:widowControl/>
              <w:kinsoku w:val="0"/>
              <w:autoSpaceDE w:val="0"/>
              <w:autoSpaceDN w:val="0"/>
              <w:adjustRightInd w:val="0"/>
              <w:snapToGrid w:val="0"/>
              <w:spacing w:line="260" w:lineRule="auto"/>
              <w:jc w:val="left"/>
              <w:textAlignment w:val="baseline"/>
              <w:rPr>
                <w:rFonts w:ascii="宋体" w:hAnsi="宋体" w:cs="Arial"/>
                <w:snapToGrid w:val="0"/>
                <w:color w:val="000000"/>
                <w:kern w:val="0"/>
                <w:szCs w:val="21"/>
                <w:highlight w:val="none"/>
              </w:rPr>
            </w:pPr>
            <w:r>
              <w:rPr>
                <w:rFonts w:ascii="宋体" w:hAnsi="宋体" w:cs="宋体"/>
                <w:color w:val="000000"/>
                <w:kern w:val="0"/>
                <w:szCs w:val="21"/>
                <w:highlight w:val="none"/>
              </w:rPr>
              <w:t>▲</w:t>
            </w:r>
            <w:r>
              <w:rPr>
                <w:rFonts w:ascii="宋体" w:hAnsi="宋体" w:cs="宋体"/>
                <w:snapToGrid w:val="0"/>
                <w:color w:val="000000"/>
                <w:spacing w:val="9"/>
                <w:kern w:val="0"/>
                <w:szCs w:val="21"/>
                <w:highlight w:val="none"/>
              </w:rPr>
              <w:t>验</w:t>
            </w:r>
            <w:r>
              <w:rPr>
                <w:rFonts w:ascii="宋体" w:hAnsi="宋体" w:cs="宋体"/>
                <w:snapToGrid w:val="0"/>
                <w:color w:val="000000"/>
                <w:spacing w:val="7"/>
                <w:kern w:val="0"/>
                <w:szCs w:val="21"/>
                <w:highlight w:val="none"/>
              </w:rPr>
              <w:t>收</w:t>
            </w:r>
            <w:r>
              <w:rPr>
                <w:rFonts w:hint="eastAsia" w:ascii="宋体" w:hAnsi="宋体" w:cs="宋体"/>
                <w:snapToGrid w:val="0"/>
                <w:color w:val="000000"/>
                <w:spacing w:val="7"/>
                <w:kern w:val="0"/>
                <w:szCs w:val="21"/>
                <w:highlight w:val="none"/>
              </w:rPr>
              <w:t>标准</w:t>
            </w:r>
          </w:p>
        </w:tc>
        <w:tc>
          <w:tcPr>
            <w:tcW w:w="7846" w:type="dxa"/>
            <w:tcBorders>
              <w:top w:val="single" w:color="000000" w:sz="2" w:space="0"/>
              <w:left w:val="single" w:color="auto" w:sz="4" w:space="0"/>
              <w:bottom w:val="single" w:color="000000" w:sz="2" w:space="0"/>
              <w:right w:val="single" w:color="000000" w:sz="2" w:space="0"/>
            </w:tcBorders>
            <w:noWrap/>
          </w:tcPr>
          <w:p w14:paraId="26D771BB">
            <w:pPr>
              <w:widowControl/>
              <w:kinsoku w:val="0"/>
              <w:autoSpaceDE w:val="0"/>
              <w:autoSpaceDN w:val="0"/>
              <w:adjustRightIn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snapToGrid w:val="0"/>
                <w:color w:val="000000"/>
                <w:spacing w:val="12"/>
                <w:kern w:val="0"/>
                <w:szCs w:val="21"/>
                <w:highlight w:val="none"/>
              </w:rPr>
              <w:t>执行国际标准、国家标准、行业标准、地方标准或者其他标准、规范。多项标准的，按最新标准或较高标准执行及竞争性磋商文件要求的标准。</w:t>
            </w:r>
          </w:p>
        </w:tc>
      </w:tr>
      <w:tr w14:paraId="3BCC6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287" w:type="dxa"/>
            <w:gridSpan w:val="2"/>
            <w:noWrap/>
          </w:tcPr>
          <w:p w14:paraId="495971C1">
            <w:pPr>
              <w:widowControl/>
              <w:kinsoku w:val="0"/>
              <w:autoSpaceDE w:val="0"/>
              <w:autoSpaceDN w:val="0"/>
              <w:adjustRightInd w:val="0"/>
              <w:snapToGrid w:val="0"/>
              <w:spacing w:before="57" w:line="226" w:lineRule="auto"/>
              <w:ind w:firstLine="105" w:firstLineChars="50"/>
              <w:jc w:val="left"/>
              <w:textAlignment w:val="baseline"/>
              <w:rPr>
                <w:rFonts w:ascii="宋体" w:hAnsi="宋体" w:cs="宋体"/>
                <w:snapToGrid w:val="0"/>
                <w:color w:val="000000"/>
                <w:spacing w:val="12"/>
                <w:kern w:val="0"/>
                <w:szCs w:val="21"/>
                <w:highlight w:val="none"/>
              </w:rPr>
            </w:pPr>
            <w:r>
              <w:rPr>
                <w:rFonts w:hint="eastAsia" w:ascii="宋体" w:hAnsi="宋体" w:cs="宋体"/>
                <w:b/>
                <w:bCs/>
                <w:color w:val="000000"/>
                <w:szCs w:val="21"/>
                <w:highlight w:val="none"/>
              </w:rPr>
              <w:t>与实现项目目标相关的其他要求</w:t>
            </w:r>
          </w:p>
        </w:tc>
      </w:tr>
      <w:tr w14:paraId="7E38B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41" w:type="dxa"/>
            <w:noWrap/>
            <w:vAlign w:val="center"/>
          </w:tcPr>
          <w:p w14:paraId="5F0D69BD">
            <w:pPr>
              <w:wordWrap w:val="0"/>
              <w:spacing w:line="440" w:lineRule="exact"/>
              <w:jc w:val="center"/>
              <w:rPr>
                <w:rFonts w:ascii="宋体" w:hAnsi="宋体" w:cs="宋体"/>
                <w:snapToGrid w:val="0"/>
                <w:color w:val="000000"/>
                <w:spacing w:val="10"/>
                <w:kern w:val="0"/>
                <w:szCs w:val="21"/>
                <w:highlight w:val="none"/>
              </w:rPr>
            </w:pPr>
            <w:r>
              <w:rPr>
                <w:rFonts w:hint="eastAsia" w:ascii="宋体" w:hAnsi="宋体" w:cs="宋体"/>
                <w:b/>
                <w:bCs/>
                <w:color w:val="000000"/>
                <w:szCs w:val="21"/>
                <w:highlight w:val="none"/>
              </w:rPr>
              <w:t>管理体系要求</w:t>
            </w:r>
          </w:p>
        </w:tc>
        <w:tc>
          <w:tcPr>
            <w:tcW w:w="7846" w:type="dxa"/>
            <w:noWrap/>
            <w:vAlign w:val="center"/>
          </w:tcPr>
          <w:p w14:paraId="7D2F50ED">
            <w:pPr>
              <w:wordWrap w:val="0"/>
              <w:spacing w:line="440" w:lineRule="exact"/>
              <w:rPr>
                <w:rFonts w:ascii="宋体" w:hAnsi="宋体" w:cs="宋体"/>
                <w:snapToGrid w:val="0"/>
                <w:color w:val="000000"/>
                <w:spacing w:val="12"/>
                <w:kern w:val="0"/>
                <w:szCs w:val="21"/>
                <w:highlight w:val="none"/>
              </w:rPr>
            </w:pPr>
            <w:r>
              <w:rPr>
                <w:rFonts w:hint="eastAsia" w:ascii="宋体" w:hAnsi="宋体" w:cs="宋体"/>
                <w:color w:val="000000"/>
                <w:szCs w:val="21"/>
                <w:highlight w:val="none"/>
              </w:rPr>
              <w:t>见本采购文件“评审方法和评审标准”。</w:t>
            </w:r>
          </w:p>
        </w:tc>
      </w:tr>
      <w:tr w14:paraId="2920D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441" w:type="dxa"/>
            <w:noWrap/>
            <w:vAlign w:val="center"/>
          </w:tcPr>
          <w:p w14:paraId="423B69B2">
            <w:pPr>
              <w:wordWrap w:val="0"/>
              <w:spacing w:line="440" w:lineRule="exact"/>
              <w:jc w:val="center"/>
              <w:rPr>
                <w:rFonts w:ascii="宋体" w:hAnsi="宋体" w:cs="宋体"/>
                <w:snapToGrid w:val="0"/>
                <w:color w:val="000000"/>
                <w:spacing w:val="10"/>
                <w:kern w:val="0"/>
                <w:szCs w:val="21"/>
                <w:highlight w:val="none"/>
              </w:rPr>
            </w:pPr>
            <w:r>
              <w:rPr>
                <w:rFonts w:hint="eastAsia" w:ascii="宋体" w:hAnsi="宋体" w:cs="宋体"/>
                <w:b/>
                <w:bCs/>
                <w:color w:val="000000"/>
                <w:szCs w:val="21"/>
                <w:highlight w:val="none"/>
              </w:rPr>
              <w:t>业绩要求</w:t>
            </w:r>
          </w:p>
        </w:tc>
        <w:tc>
          <w:tcPr>
            <w:tcW w:w="7846" w:type="dxa"/>
            <w:noWrap/>
            <w:vAlign w:val="center"/>
          </w:tcPr>
          <w:p w14:paraId="3F340C3A">
            <w:pPr>
              <w:wordWrap w:val="0"/>
              <w:spacing w:line="440" w:lineRule="exact"/>
              <w:rPr>
                <w:rFonts w:ascii="宋体" w:hAnsi="宋体" w:cs="宋体"/>
                <w:snapToGrid w:val="0"/>
                <w:color w:val="000000"/>
                <w:spacing w:val="12"/>
                <w:kern w:val="0"/>
                <w:szCs w:val="21"/>
                <w:highlight w:val="none"/>
              </w:rPr>
            </w:pPr>
            <w:r>
              <w:rPr>
                <w:rFonts w:hint="eastAsia" w:ascii="宋体" w:hAnsi="宋体" w:cs="宋体"/>
                <w:color w:val="000000"/>
                <w:szCs w:val="21"/>
                <w:highlight w:val="none"/>
              </w:rPr>
              <w:t>见本采购文件“评审方法和评审标准”。</w:t>
            </w:r>
          </w:p>
        </w:tc>
      </w:tr>
      <w:tr w14:paraId="21B02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441" w:type="dxa"/>
            <w:noWrap/>
          </w:tcPr>
          <w:p w14:paraId="4550E5D5">
            <w:pPr>
              <w:widowControl/>
              <w:kinsoku w:val="0"/>
              <w:autoSpaceDE w:val="0"/>
              <w:autoSpaceDN w:val="0"/>
              <w:adjustRightInd w:val="0"/>
              <w:snapToGrid w:val="0"/>
              <w:jc w:val="center"/>
              <w:textAlignment w:val="baseline"/>
              <w:rPr>
                <w:rFonts w:ascii="宋体" w:hAnsi="宋体" w:cs="宋体"/>
                <w:b/>
                <w:bCs/>
                <w:color w:val="000000"/>
                <w:szCs w:val="21"/>
                <w:highlight w:val="none"/>
              </w:rPr>
            </w:pPr>
            <w:r>
              <w:rPr>
                <w:rFonts w:ascii="宋体" w:hAnsi="宋体" w:cs="宋体"/>
                <w:snapToGrid w:val="0"/>
                <w:color w:val="000000"/>
                <w:spacing w:val="10"/>
                <w:kern w:val="0"/>
                <w:szCs w:val="21"/>
                <w:highlight w:val="none"/>
              </w:rPr>
              <w:t>其他要求</w:t>
            </w:r>
          </w:p>
        </w:tc>
        <w:tc>
          <w:tcPr>
            <w:tcW w:w="7846" w:type="dxa"/>
            <w:noWrap/>
          </w:tcPr>
          <w:p w14:paraId="5803DF84">
            <w:pPr>
              <w:widowControl/>
              <w:kinsoku w:val="0"/>
              <w:autoSpaceDE w:val="0"/>
              <w:autoSpaceDN w:val="0"/>
              <w:adjustRightInd w:val="0"/>
              <w:snapToGrid w:val="0"/>
              <w:spacing w:before="57" w:line="226" w:lineRule="auto"/>
              <w:jc w:val="left"/>
              <w:textAlignment w:val="baseline"/>
              <w:rPr>
                <w:rFonts w:ascii="宋体" w:hAnsi="宋体" w:cs="宋体"/>
                <w:snapToGrid w:val="0"/>
                <w:color w:val="000000"/>
                <w:spacing w:val="10"/>
                <w:kern w:val="0"/>
                <w:szCs w:val="21"/>
                <w:highlight w:val="none"/>
              </w:rPr>
            </w:pPr>
            <w:r>
              <w:rPr>
                <w:rFonts w:hint="eastAsia" w:ascii="宋体" w:hAnsi="宋体" w:cs="宋体"/>
                <w:snapToGrid w:val="0"/>
                <w:color w:val="000000"/>
                <w:spacing w:val="10"/>
                <w:kern w:val="0"/>
                <w:szCs w:val="21"/>
                <w:highlight w:val="none"/>
              </w:rPr>
              <w:t>1.供应商在响应文件中提供</w:t>
            </w:r>
            <w:r>
              <w:rPr>
                <w:rFonts w:hint="eastAsia" w:ascii="宋体" w:hAnsi="宋体" w:cs="宋体"/>
                <w:szCs w:val="21"/>
                <w:highlight w:val="none"/>
              </w:rPr>
              <w:t>项目服务方案（包含但不限于技术方案</w:t>
            </w:r>
            <w:r>
              <w:rPr>
                <w:rFonts w:hint="eastAsia" w:ascii="宋体" w:hAnsi="宋体"/>
                <w:bCs/>
                <w:szCs w:val="21"/>
                <w:highlight w:val="none"/>
              </w:rPr>
              <w:t>、实施管理方案、售后服务方案等</w:t>
            </w:r>
            <w:r>
              <w:rPr>
                <w:rFonts w:hint="eastAsia" w:ascii="宋体" w:hAnsi="宋体" w:cs="宋体"/>
                <w:szCs w:val="21"/>
                <w:highlight w:val="none"/>
              </w:rPr>
              <w:t>）</w:t>
            </w:r>
            <w:r>
              <w:rPr>
                <w:rFonts w:hint="eastAsia" w:ascii="宋体" w:hAnsi="宋体" w:cs="宋体"/>
                <w:snapToGrid w:val="0"/>
                <w:color w:val="000000"/>
                <w:spacing w:val="10"/>
                <w:kern w:val="0"/>
                <w:szCs w:val="21"/>
                <w:highlight w:val="none"/>
              </w:rPr>
              <w:t>及拟投入人员、检测设备、车辆等相关材料。</w:t>
            </w:r>
          </w:p>
          <w:p w14:paraId="7E542528">
            <w:pPr>
              <w:widowControl/>
              <w:kinsoku w:val="0"/>
              <w:autoSpaceDE w:val="0"/>
              <w:autoSpaceDN w:val="0"/>
              <w:adjustRightInd w:val="0"/>
              <w:snapToGri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snapToGrid w:val="0"/>
                <w:color w:val="000000"/>
                <w:spacing w:val="12"/>
                <w:kern w:val="0"/>
                <w:szCs w:val="21"/>
                <w:highlight w:val="none"/>
              </w:rPr>
              <w:t>2.供应商应当保证其所提供服务包含的所有产品为符合国家知识产权法律法规要求的国产正规正版产品。</w:t>
            </w:r>
          </w:p>
          <w:p w14:paraId="0F6EF429">
            <w:pPr>
              <w:widowControl/>
              <w:kinsoku w:val="0"/>
              <w:autoSpaceDE w:val="0"/>
              <w:autoSpaceDN w:val="0"/>
              <w:adjustRightInd w:val="0"/>
              <w:snapToGrid w:val="0"/>
              <w:spacing w:before="55" w:line="258" w:lineRule="auto"/>
              <w:ind w:left="112" w:right="144" w:firstLine="35"/>
              <w:jc w:val="left"/>
              <w:textAlignment w:val="baseline"/>
              <w:rPr>
                <w:rFonts w:ascii="宋体" w:hAnsi="宋体" w:cs="宋体"/>
                <w:snapToGrid w:val="0"/>
                <w:color w:val="000000"/>
                <w:spacing w:val="12"/>
                <w:kern w:val="0"/>
                <w:szCs w:val="21"/>
                <w:highlight w:val="none"/>
              </w:rPr>
            </w:pPr>
            <w:r>
              <w:rPr>
                <w:rFonts w:hint="eastAsia" w:ascii="宋体" w:hAnsi="宋体" w:cs="宋体"/>
                <w:snapToGrid w:val="0"/>
                <w:color w:val="000000"/>
                <w:spacing w:val="12"/>
                <w:kern w:val="0"/>
                <w:szCs w:val="21"/>
                <w:highlight w:val="none"/>
              </w:rPr>
              <w:t>3.成交供应商提供服务产生的所有成果均属于采购人。</w:t>
            </w:r>
          </w:p>
          <w:p w14:paraId="72B2F2CC">
            <w:pPr>
              <w:widowControl/>
              <w:kinsoku w:val="0"/>
              <w:autoSpaceDE w:val="0"/>
              <w:autoSpaceDN w:val="0"/>
              <w:adjustRightInd w:val="0"/>
              <w:snapToGrid w:val="0"/>
              <w:spacing w:before="57" w:line="226" w:lineRule="auto"/>
              <w:ind w:firstLine="117" w:firstLineChars="50"/>
              <w:jc w:val="left"/>
              <w:textAlignment w:val="baseline"/>
              <w:rPr>
                <w:rFonts w:ascii="宋体" w:hAnsi="宋体" w:cs="宋体"/>
                <w:color w:val="000000"/>
                <w:szCs w:val="21"/>
                <w:highlight w:val="none"/>
              </w:rPr>
            </w:pPr>
            <w:r>
              <w:rPr>
                <w:rFonts w:hint="eastAsia" w:ascii="宋体" w:hAnsi="宋体" w:cs="宋体"/>
                <w:snapToGrid w:val="0"/>
                <w:color w:val="000000"/>
                <w:spacing w:val="12"/>
                <w:kern w:val="0"/>
                <w:szCs w:val="21"/>
                <w:highlight w:val="none"/>
              </w:rPr>
              <w:t>4.成交供应商提供的服务产品如果与竞标时承诺的服务产品不相符，采购人有权上报监督管理部门中止合同。</w:t>
            </w:r>
          </w:p>
        </w:tc>
      </w:tr>
    </w:tbl>
    <w:p w14:paraId="12E6B319">
      <w:pPr>
        <w:widowControl/>
        <w:jc w:val="left"/>
        <w:rPr>
          <w:rFonts w:ascii="黑体" w:hAnsi="黑体" w:eastAsia="黑体" w:cs="黑体"/>
          <w:sz w:val="32"/>
          <w:szCs w:val="32"/>
          <w:highlight w:val="none"/>
        </w:rPr>
      </w:pPr>
      <w:bookmarkStart w:id="183" w:name="_GoBack"/>
      <w:bookmarkEnd w:id="183"/>
      <w:r>
        <w:rPr>
          <w:rFonts w:ascii="宋体" w:hAnsi="宋体" w:cs="宋体"/>
          <w:b/>
          <w:bCs/>
          <w:szCs w:val="21"/>
          <w:highlight w:val="none"/>
        </w:rPr>
        <w:br w:type="page"/>
      </w:r>
      <w:r>
        <w:rPr>
          <w:rFonts w:hint="eastAsia" w:ascii="黑体" w:hAnsi="黑体" w:eastAsia="黑体" w:cs="黑体"/>
          <w:sz w:val="32"/>
          <w:szCs w:val="32"/>
          <w:highlight w:val="none"/>
        </w:rPr>
        <w:t>附件1：</w:t>
      </w:r>
    </w:p>
    <w:p w14:paraId="70B4A51F">
      <w:pPr>
        <w:pStyle w:val="10"/>
        <w:jc w:val="center"/>
        <w:rPr>
          <w:b/>
          <w:sz w:val="28"/>
          <w:szCs w:val="28"/>
          <w:highlight w:val="none"/>
        </w:rPr>
      </w:pPr>
      <w:r>
        <w:rPr>
          <w:rFonts w:hint="eastAsia"/>
          <w:b/>
          <w:sz w:val="28"/>
          <w:szCs w:val="28"/>
          <w:highlight w:val="none"/>
        </w:rPr>
        <w:t>中小企业划型标准规定</w:t>
      </w:r>
    </w:p>
    <w:p w14:paraId="0CAB8F98">
      <w:pPr>
        <w:pStyle w:val="10"/>
        <w:jc w:val="center"/>
        <w:rPr>
          <w:rFonts w:ascii="宋体" w:hAnsi="宋体"/>
          <w:szCs w:val="21"/>
          <w:highlight w:val="none"/>
        </w:rPr>
      </w:pPr>
      <w:r>
        <w:rPr>
          <w:rFonts w:hint="eastAsia" w:ascii="宋体" w:hAnsi="宋体"/>
          <w:szCs w:val="21"/>
          <w:highlight w:val="none"/>
        </w:rPr>
        <w:t>工信部联企业[2011]300号</w:t>
      </w:r>
    </w:p>
    <w:p w14:paraId="66803411">
      <w:pPr>
        <w:pStyle w:val="10"/>
        <w:rPr>
          <w:sz w:val="24"/>
          <w:szCs w:val="21"/>
          <w:highlight w:val="none"/>
        </w:rPr>
      </w:pPr>
    </w:p>
    <w:p w14:paraId="216662BF">
      <w:pPr>
        <w:pStyle w:val="10"/>
        <w:rPr>
          <w:szCs w:val="21"/>
          <w:highlight w:val="none"/>
        </w:rPr>
      </w:pPr>
      <w:r>
        <w:rPr>
          <w:rFonts w:hint="eastAsia"/>
          <w:szCs w:val="21"/>
          <w:highlight w:val="none"/>
        </w:rPr>
        <w:t>　　一、根据《中华人民共和国中小企业促进法》和《国务院关于进一步促进中小企业发展的若干意见》</w:t>
      </w:r>
      <w:r>
        <w:rPr>
          <w:szCs w:val="21"/>
          <w:highlight w:val="none"/>
        </w:rPr>
        <w:t>(</w:t>
      </w:r>
      <w:r>
        <w:rPr>
          <w:rFonts w:hint="eastAsia"/>
          <w:szCs w:val="21"/>
          <w:highlight w:val="none"/>
        </w:rPr>
        <w:t>国发</w:t>
      </w:r>
      <w:r>
        <w:rPr>
          <w:szCs w:val="21"/>
          <w:highlight w:val="none"/>
        </w:rPr>
        <w:t>[2009]36</w:t>
      </w:r>
      <w:r>
        <w:rPr>
          <w:rFonts w:hint="eastAsia"/>
          <w:szCs w:val="21"/>
          <w:highlight w:val="none"/>
        </w:rPr>
        <w:t>号</w:t>
      </w:r>
      <w:r>
        <w:rPr>
          <w:szCs w:val="21"/>
          <w:highlight w:val="none"/>
        </w:rPr>
        <w:t>)</w:t>
      </w:r>
      <w:r>
        <w:rPr>
          <w:rFonts w:hint="eastAsia"/>
          <w:szCs w:val="21"/>
          <w:highlight w:val="none"/>
        </w:rPr>
        <w:t>，制定本规定。</w:t>
      </w:r>
    </w:p>
    <w:p w14:paraId="276CF9BA">
      <w:pPr>
        <w:pStyle w:val="10"/>
        <w:rPr>
          <w:szCs w:val="21"/>
          <w:highlight w:val="none"/>
        </w:rPr>
      </w:pPr>
      <w:r>
        <w:rPr>
          <w:rFonts w:hint="eastAsia"/>
          <w:szCs w:val="21"/>
          <w:highlight w:val="none"/>
        </w:rPr>
        <w:t>　　二、中小企业划分为中型、小型、微型三种类型，具体标准根据企业从业人员、营业收入、资产总额等指标，结合行业特点制定。</w:t>
      </w:r>
    </w:p>
    <w:p w14:paraId="570ED5B7">
      <w:pPr>
        <w:pStyle w:val="10"/>
        <w:rPr>
          <w:szCs w:val="21"/>
          <w:highlight w:val="none"/>
        </w:rPr>
      </w:pPr>
      <w:r>
        <w:rPr>
          <w:rFonts w:hint="eastAsia"/>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2FB0F80">
      <w:pPr>
        <w:pStyle w:val="10"/>
        <w:rPr>
          <w:szCs w:val="21"/>
          <w:highlight w:val="none"/>
        </w:rPr>
      </w:pPr>
      <w:r>
        <w:rPr>
          <w:rFonts w:hint="eastAsia"/>
          <w:szCs w:val="21"/>
          <w:highlight w:val="none"/>
        </w:rPr>
        <w:t>　　四、各行业划型标准为：</w:t>
      </w:r>
    </w:p>
    <w:p w14:paraId="37B68B43">
      <w:pPr>
        <w:pStyle w:val="10"/>
        <w:rPr>
          <w:szCs w:val="21"/>
          <w:highlight w:val="none"/>
        </w:rPr>
      </w:pPr>
      <w:r>
        <w:rPr>
          <w:rFonts w:hint="eastAsia"/>
          <w:szCs w:val="21"/>
          <w:highlight w:val="none"/>
        </w:rPr>
        <w:t>　　（一）农、林、牧、渔业。营业收入</w:t>
      </w:r>
      <w:r>
        <w:rPr>
          <w:szCs w:val="21"/>
          <w:highlight w:val="none"/>
        </w:rPr>
        <w:t>20000</w:t>
      </w:r>
      <w:r>
        <w:rPr>
          <w:rFonts w:hint="eastAsia"/>
          <w:szCs w:val="21"/>
          <w:highlight w:val="none"/>
        </w:rPr>
        <w:t>万元以下的为中小微型企业。其中，营业收入</w:t>
      </w:r>
      <w:r>
        <w:rPr>
          <w:szCs w:val="21"/>
          <w:highlight w:val="none"/>
        </w:rPr>
        <w:t>500</w:t>
      </w:r>
      <w:r>
        <w:rPr>
          <w:rFonts w:hint="eastAsia"/>
          <w:szCs w:val="21"/>
          <w:highlight w:val="none"/>
        </w:rPr>
        <w:t>万元及以上的为中型企业，营业收入</w:t>
      </w:r>
      <w:r>
        <w:rPr>
          <w:szCs w:val="21"/>
          <w:highlight w:val="none"/>
        </w:rPr>
        <w:t>50</w:t>
      </w:r>
      <w:r>
        <w:rPr>
          <w:rFonts w:hint="eastAsia"/>
          <w:szCs w:val="21"/>
          <w:highlight w:val="none"/>
        </w:rPr>
        <w:t>万元及以上的为小型企业，营业收入</w:t>
      </w:r>
      <w:r>
        <w:rPr>
          <w:szCs w:val="21"/>
          <w:highlight w:val="none"/>
        </w:rPr>
        <w:t>50</w:t>
      </w:r>
      <w:r>
        <w:rPr>
          <w:rFonts w:hint="eastAsia"/>
          <w:szCs w:val="21"/>
          <w:highlight w:val="none"/>
        </w:rPr>
        <w:t>万元以下的为微型企业。</w:t>
      </w:r>
    </w:p>
    <w:p w14:paraId="5452E6A8">
      <w:pPr>
        <w:pStyle w:val="10"/>
        <w:rPr>
          <w:szCs w:val="21"/>
          <w:highlight w:val="none"/>
        </w:rPr>
      </w:pPr>
      <w:r>
        <w:rPr>
          <w:rFonts w:hint="eastAsia"/>
          <w:szCs w:val="21"/>
          <w:highlight w:val="none"/>
        </w:rPr>
        <w:t>　　（二）工业。从业人员</w:t>
      </w:r>
      <w:r>
        <w:rPr>
          <w:szCs w:val="21"/>
          <w:highlight w:val="none"/>
        </w:rPr>
        <w:t>1000</w:t>
      </w:r>
      <w:r>
        <w:rPr>
          <w:rFonts w:hint="eastAsia"/>
          <w:szCs w:val="21"/>
          <w:highlight w:val="none"/>
        </w:rPr>
        <w:t>人以下或营业收入</w:t>
      </w:r>
      <w:r>
        <w:rPr>
          <w:szCs w:val="21"/>
          <w:highlight w:val="none"/>
        </w:rPr>
        <w:t>40000</w:t>
      </w:r>
      <w:r>
        <w:rPr>
          <w:rFonts w:hint="eastAsia"/>
          <w:szCs w:val="21"/>
          <w:highlight w:val="none"/>
        </w:rPr>
        <w:t>万元以下的为中小微型企业。其中，从业人员</w:t>
      </w:r>
      <w:r>
        <w:rPr>
          <w:szCs w:val="21"/>
          <w:highlight w:val="none"/>
        </w:rPr>
        <w:t>300</w:t>
      </w:r>
      <w:r>
        <w:rPr>
          <w:rFonts w:hint="eastAsia"/>
          <w:szCs w:val="21"/>
          <w:highlight w:val="none"/>
        </w:rPr>
        <w:t>人及以上，且营业收入</w:t>
      </w:r>
      <w:r>
        <w:rPr>
          <w:szCs w:val="21"/>
          <w:highlight w:val="none"/>
        </w:rPr>
        <w:t>2000</w:t>
      </w:r>
      <w:r>
        <w:rPr>
          <w:rFonts w:hint="eastAsia"/>
          <w:szCs w:val="21"/>
          <w:highlight w:val="none"/>
        </w:rPr>
        <w:t>万元及以上的为中型企业；从业人员</w:t>
      </w:r>
      <w:r>
        <w:rPr>
          <w:szCs w:val="21"/>
          <w:highlight w:val="none"/>
        </w:rPr>
        <w:t>20</w:t>
      </w:r>
      <w:r>
        <w:rPr>
          <w:rFonts w:hint="eastAsia"/>
          <w:szCs w:val="21"/>
          <w:highlight w:val="none"/>
        </w:rPr>
        <w:t>人及以上，且营业收入</w:t>
      </w:r>
      <w:r>
        <w:rPr>
          <w:szCs w:val="21"/>
          <w:highlight w:val="none"/>
        </w:rPr>
        <w:t>300</w:t>
      </w:r>
      <w:r>
        <w:rPr>
          <w:rFonts w:hint="eastAsia"/>
          <w:szCs w:val="21"/>
          <w:highlight w:val="none"/>
        </w:rPr>
        <w:t>万元及以上的为小型企业；从业人员</w:t>
      </w:r>
      <w:r>
        <w:rPr>
          <w:szCs w:val="21"/>
          <w:highlight w:val="none"/>
        </w:rPr>
        <w:t>20</w:t>
      </w:r>
      <w:r>
        <w:rPr>
          <w:rFonts w:hint="eastAsia"/>
          <w:szCs w:val="21"/>
          <w:highlight w:val="none"/>
        </w:rPr>
        <w:t>人以下或营业收入</w:t>
      </w:r>
      <w:r>
        <w:rPr>
          <w:szCs w:val="21"/>
          <w:highlight w:val="none"/>
        </w:rPr>
        <w:t>300</w:t>
      </w:r>
      <w:r>
        <w:rPr>
          <w:rFonts w:hint="eastAsia"/>
          <w:szCs w:val="21"/>
          <w:highlight w:val="none"/>
        </w:rPr>
        <w:t>万元以下的为微型企业。</w:t>
      </w:r>
    </w:p>
    <w:p w14:paraId="125C8C69">
      <w:pPr>
        <w:pStyle w:val="10"/>
        <w:rPr>
          <w:szCs w:val="21"/>
          <w:highlight w:val="none"/>
        </w:rPr>
      </w:pPr>
      <w:r>
        <w:rPr>
          <w:rFonts w:hint="eastAsia"/>
          <w:szCs w:val="21"/>
          <w:highlight w:val="none"/>
        </w:rPr>
        <w:t>　　（三）建筑业。营业收入</w:t>
      </w:r>
      <w:r>
        <w:rPr>
          <w:szCs w:val="21"/>
          <w:highlight w:val="none"/>
        </w:rPr>
        <w:t>80000</w:t>
      </w:r>
      <w:r>
        <w:rPr>
          <w:rFonts w:hint="eastAsia"/>
          <w:szCs w:val="21"/>
          <w:highlight w:val="none"/>
        </w:rPr>
        <w:t>万元以下或资产总额</w:t>
      </w:r>
      <w:r>
        <w:rPr>
          <w:szCs w:val="21"/>
          <w:highlight w:val="none"/>
        </w:rPr>
        <w:t>80000</w:t>
      </w:r>
      <w:r>
        <w:rPr>
          <w:rFonts w:hint="eastAsia"/>
          <w:szCs w:val="21"/>
          <w:highlight w:val="none"/>
        </w:rPr>
        <w:t>万元以下的为中小微型企业。其中，营业收入</w:t>
      </w:r>
      <w:r>
        <w:rPr>
          <w:szCs w:val="21"/>
          <w:highlight w:val="none"/>
        </w:rPr>
        <w:t>6000</w:t>
      </w:r>
      <w:r>
        <w:rPr>
          <w:rFonts w:hint="eastAsia"/>
          <w:szCs w:val="21"/>
          <w:highlight w:val="none"/>
        </w:rPr>
        <w:t>万元及以上，且资产总额</w:t>
      </w:r>
      <w:r>
        <w:rPr>
          <w:szCs w:val="21"/>
          <w:highlight w:val="none"/>
        </w:rPr>
        <w:t>5000</w:t>
      </w:r>
      <w:r>
        <w:rPr>
          <w:rFonts w:hint="eastAsia"/>
          <w:szCs w:val="21"/>
          <w:highlight w:val="none"/>
        </w:rPr>
        <w:t>万元及以上的为中型企业；营业收入</w:t>
      </w:r>
      <w:r>
        <w:rPr>
          <w:szCs w:val="21"/>
          <w:highlight w:val="none"/>
        </w:rPr>
        <w:t>300</w:t>
      </w:r>
      <w:r>
        <w:rPr>
          <w:rFonts w:hint="eastAsia"/>
          <w:szCs w:val="21"/>
          <w:highlight w:val="none"/>
        </w:rPr>
        <w:t>万元及以上，且资产总额</w:t>
      </w:r>
      <w:r>
        <w:rPr>
          <w:szCs w:val="21"/>
          <w:highlight w:val="none"/>
        </w:rPr>
        <w:t>300</w:t>
      </w:r>
      <w:r>
        <w:rPr>
          <w:rFonts w:hint="eastAsia"/>
          <w:szCs w:val="21"/>
          <w:highlight w:val="none"/>
        </w:rPr>
        <w:t>万元及以上的为小型企业；营业收入</w:t>
      </w:r>
      <w:r>
        <w:rPr>
          <w:szCs w:val="21"/>
          <w:highlight w:val="none"/>
        </w:rPr>
        <w:t>300</w:t>
      </w:r>
      <w:r>
        <w:rPr>
          <w:rFonts w:hint="eastAsia"/>
          <w:szCs w:val="21"/>
          <w:highlight w:val="none"/>
        </w:rPr>
        <w:t>万元以下或资产总额</w:t>
      </w:r>
      <w:r>
        <w:rPr>
          <w:szCs w:val="21"/>
          <w:highlight w:val="none"/>
        </w:rPr>
        <w:t>300</w:t>
      </w:r>
      <w:r>
        <w:rPr>
          <w:rFonts w:hint="eastAsia"/>
          <w:szCs w:val="21"/>
          <w:highlight w:val="none"/>
        </w:rPr>
        <w:t>万元以下的为微型企业。</w:t>
      </w:r>
    </w:p>
    <w:p w14:paraId="2CFC86A9">
      <w:pPr>
        <w:pStyle w:val="10"/>
        <w:rPr>
          <w:szCs w:val="21"/>
          <w:highlight w:val="none"/>
        </w:rPr>
      </w:pPr>
      <w:r>
        <w:rPr>
          <w:rFonts w:hint="eastAsia"/>
          <w:szCs w:val="21"/>
          <w:highlight w:val="none"/>
        </w:rPr>
        <w:t>　　（四）批发业。从业人员</w:t>
      </w:r>
      <w:r>
        <w:rPr>
          <w:szCs w:val="21"/>
          <w:highlight w:val="none"/>
        </w:rPr>
        <w:t>200</w:t>
      </w:r>
      <w:r>
        <w:rPr>
          <w:rFonts w:hint="eastAsia"/>
          <w:szCs w:val="21"/>
          <w:highlight w:val="none"/>
        </w:rPr>
        <w:t>人以下或营业收入</w:t>
      </w:r>
      <w:r>
        <w:rPr>
          <w:szCs w:val="21"/>
          <w:highlight w:val="none"/>
        </w:rPr>
        <w:t>40000</w:t>
      </w:r>
      <w:r>
        <w:rPr>
          <w:rFonts w:hint="eastAsia"/>
          <w:szCs w:val="21"/>
          <w:highlight w:val="none"/>
        </w:rPr>
        <w:t>万元以下的为中小微型企业。其中，从业人员</w:t>
      </w:r>
      <w:r>
        <w:rPr>
          <w:szCs w:val="21"/>
          <w:highlight w:val="none"/>
        </w:rPr>
        <w:t>20</w:t>
      </w:r>
      <w:r>
        <w:rPr>
          <w:rFonts w:hint="eastAsia"/>
          <w:szCs w:val="21"/>
          <w:highlight w:val="none"/>
        </w:rPr>
        <w:t>人及以上，且营业收入</w:t>
      </w:r>
      <w:r>
        <w:rPr>
          <w:szCs w:val="21"/>
          <w:highlight w:val="none"/>
        </w:rPr>
        <w:t>5000</w:t>
      </w:r>
      <w:r>
        <w:rPr>
          <w:rFonts w:hint="eastAsia"/>
          <w:szCs w:val="21"/>
          <w:highlight w:val="none"/>
        </w:rPr>
        <w:t>万元及以上的为中型企业；从业人员</w:t>
      </w:r>
      <w:r>
        <w:rPr>
          <w:szCs w:val="21"/>
          <w:highlight w:val="none"/>
        </w:rPr>
        <w:t>5</w:t>
      </w:r>
      <w:r>
        <w:rPr>
          <w:rFonts w:hint="eastAsia"/>
          <w:szCs w:val="21"/>
          <w:highlight w:val="none"/>
        </w:rPr>
        <w:t>人及以上，且营业收入</w:t>
      </w:r>
      <w:r>
        <w:rPr>
          <w:szCs w:val="21"/>
          <w:highlight w:val="none"/>
        </w:rPr>
        <w:t>1000</w:t>
      </w:r>
      <w:r>
        <w:rPr>
          <w:rFonts w:hint="eastAsia"/>
          <w:szCs w:val="21"/>
          <w:highlight w:val="none"/>
        </w:rPr>
        <w:t>万元及以上的为小型企业；从业人员</w:t>
      </w:r>
      <w:r>
        <w:rPr>
          <w:szCs w:val="21"/>
          <w:highlight w:val="none"/>
        </w:rPr>
        <w:t>5</w:t>
      </w:r>
      <w:r>
        <w:rPr>
          <w:rFonts w:hint="eastAsia"/>
          <w:szCs w:val="21"/>
          <w:highlight w:val="none"/>
        </w:rPr>
        <w:t>人以下或营业收入</w:t>
      </w:r>
      <w:r>
        <w:rPr>
          <w:szCs w:val="21"/>
          <w:highlight w:val="none"/>
        </w:rPr>
        <w:t>1000</w:t>
      </w:r>
      <w:r>
        <w:rPr>
          <w:rFonts w:hint="eastAsia"/>
          <w:szCs w:val="21"/>
          <w:highlight w:val="none"/>
        </w:rPr>
        <w:t>万元以下的为微型企业。</w:t>
      </w:r>
    </w:p>
    <w:p w14:paraId="0A7766AC">
      <w:pPr>
        <w:pStyle w:val="10"/>
        <w:rPr>
          <w:szCs w:val="21"/>
          <w:highlight w:val="none"/>
        </w:rPr>
      </w:pPr>
      <w:r>
        <w:rPr>
          <w:rFonts w:hint="eastAsia"/>
          <w:szCs w:val="21"/>
          <w:highlight w:val="none"/>
        </w:rPr>
        <w:t>　　（五）零售业。从业人员</w:t>
      </w:r>
      <w:r>
        <w:rPr>
          <w:szCs w:val="21"/>
          <w:highlight w:val="none"/>
        </w:rPr>
        <w:t>300</w:t>
      </w:r>
      <w:r>
        <w:rPr>
          <w:rFonts w:hint="eastAsia"/>
          <w:szCs w:val="21"/>
          <w:highlight w:val="none"/>
        </w:rPr>
        <w:t>人以下或营业收入</w:t>
      </w:r>
      <w:r>
        <w:rPr>
          <w:szCs w:val="21"/>
          <w:highlight w:val="none"/>
        </w:rPr>
        <w:t>20000</w:t>
      </w:r>
      <w:r>
        <w:rPr>
          <w:rFonts w:hint="eastAsia"/>
          <w:szCs w:val="21"/>
          <w:highlight w:val="none"/>
        </w:rPr>
        <w:t>万元以下的为中小微型企业。其中，从业人员</w:t>
      </w:r>
      <w:r>
        <w:rPr>
          <w:szCs w:val="21"/>
          <w:highlight w:val="none"/>
        </w:rPr>
        <w:t>50</w:t>
      </w:r>
      <w:r>
        <w:rPr>
          <w:rFonts w:hint="eastAsia"/>
          <w:szCs w:val="21"/>
          <w:highlight w:val="none"/>
        </w:rPr>
        <w:t>人及以上，且营业收入</w:t>
      </w:r>
      <w:r>
        <w:rPr>
          <w:szCs w:val="21"/>
          <w:highlight w:val="none"/>
        </w:rPr>
        <w:t>500</w:t>
      </w:r>
      <w:r>
        <w:rPr>
          <w:rFonts w:hint="eastAsia"/>
          <w:szCs w:val="21"/>
          <w:highlight w:val="none"/>
        </w:rPr>
        <w:t>万元及以上的为中型企业；从业人员</w:t>
      </w:r>
      <w:r>
        <w:rPr>
          <w:szCs w:val="21"/>
          <w:highlight w:val="none"/>
        </w:rPr>
        <w:t>10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10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64E86E05">
      <w:pPr>
        <w:pStyle w:val="10"/>
        <w:rPr>
          <w:szCs w:val="21"/>
          <w:highlight w:val="none"/>
        </w:rPr>
      </w:pPr>
      <w:r>
        <w:rPr>
          <w:rFonts w:hint="eastAsia"/>
          <w:szCs w:val="21"/>
          <w:highlight w:val="none"/>
        </w:rPr>
        <w:t>　　（六）交通运输业。从业人员</w:t>
      </w:r>
      <w:r>
        <w:rPr>
          <w:szCs w:val="21"/>
          <w:highlight w:val="none"/>
        </w:rPr>
        <w:t>1000</w:t>
      </w:r>
      <w:r>
        <w:rPr>
          <w:rFonts w:hint="eastAsia"/>
          <w:szCs w:val="21"/>
          <w:highlight w:val="none"/>
        </w:rPr>
        <w:t>人以下或营业收入</w:t>
      </w:r>
      <w:r>
        <w:rPr>
          <w:szCs w:val="21"/>
          <w:highlight w:val="none"/>
        </w:rPr>
        <w:t>30000</w:t>
      </w:r>
      <w:r>
        <w:rPr>
          <w:rFonts w:hint="eastAsia"/>
          <w:szCs w:val="21"/>
          <w:highlight w:val="none"/>
        </w:rPr>
        <w:t>万元以下的为中小微型企业。其中，从业人员</w:t>
      </w:r>
      <w:r>
        <w:rPr>
          <w:szCs w:val="21"/>
          <w:highlight w:val="none"/>
        </w:rPr>
        <w:t>300</w:t>
      </w:r>
      <w:r>
        <w:rPr>
          <w:rFonts w:hint="eastAsia"/>
          <w:szCs w:val="21"/>
          <w:highlight w:val="none"/>
        </w:rPr>
        <w:t>人及以上，且营业收入</w:t>
      </w:r>
      <w:r>
        <w:rPr>
          <w:szCs w:val="21"/>
          <w:highlight w:val="none"/>
        </w:rPr>
        <w:t>3000</w:t>
      </w:r>
      <w:r>
        <w:rPr>
          <w:rFonts w:hint="eastAsia"/>
          <w:szCs w:val="21"/>
          <w:highlight w:val="none"/>
        </w:rPr>
        <w:t>万元及以上的为中型企业；从业人员</w:t>
      </w:r>
      <w:r>
        <w:rPr>
          <w:szCs w:val="21"/>
          <w:highlight w:val="none"/>
        </w:rPr>
        <w:t>20</w:t>
      </w:r>
      <w:r>
        <w:rPr>
          <w:rFonts w:hint="eastAsia"/>
          <w:szCs w:val="21"/>
          <w:highlight w:val="none"/>
        </w:rPr>
        <w:t>人及以上，且营业收入</w:t>
      </w:r>
      <w:r>
        <w:rPr>
          <w:szCs w:val="21"/>
          <w:highlight w:val="none"/>
        </w:rPr>
        <w:t>200</w:t>
      </w:r>
      <w:r>
        <w:rPr>
          <w:rFonts w:hint="eastAsia"/>
          <w:szCs w:val="21"/>
          <w:highlight w:val="none"/>
        </w:rPr>
        <w:t>万元及以上的为小型企业；从业人员</w:t>
      </w:r>
      <w:r>
        <w:rPr>
          <w:szCs w:val="21"/>
          <w:highlight w:val="none"/>
        </w:rPr>
        <w:t>20</w:t>
      </w:r>
      <w:r>
        <w:rPr>
          <w:rFonts w:hint="eastAsia"/>
          <w:szCs w:val="21"/>
          <w:highlight w:val="none"/>
        </w:rPr>
        <w:t>人以下或营业收入</w:t>
      </w:r>
      <w:r>
        <w:rPr>
          <w:szCs w:val="21"/>
          <w:highlight w:val="none"/>
        </w:rPr>
        <w:t>200</w:t>
      </w:r>
      <w:r>
        <w:rPr>
          <w:rFonts w:hint="eastAsia"/>
          <w:szCs w:val="21"/>
          <w:highlight w:val="none"/>
        </w:rPr>
        <w:t>万元以下的为微型企业。</w:t>
      </w:r>
    </w:p>
    <w:p w14:paraId="74236DC4">
      <w:pPr>
        <w:pStyle w:val="10"/>
        <w:rPr>
          <w:szCs w:val="21"/>
          <w:highlight w:val="none"/>
        </w:rPr>
      </w:pPr>
      <w:r>
        <w:rPr>
          <w:rFonts w:hint="eastAsia"/>
          <w:szCs w:val="21"/>
          <w:highlight w:val="none"/>
        </w:rPr>
        <w:t>　　（七）仓储业。从业人员</w:t>
      </w:r>
      <w:r>
        <w:rPr>
          <w:szCs w:val="21"/>
          <w:highlight w:val="none"/>
        </w:rPr>
        <w:t>200</w:t>
      </w:r>
      <w:r>
        <w:rPr>
          <w:rFonts w:hint="eastAsia"/>
          <w:szCs w:val="21"/>
          <w:highlight w:val="none"/>
        </w:rPr>
        <w:t>人以下或营业收入</w:t>
      </w:r>
      <w:r>
        <w:rPr>
          <w:szCs w:val="21"/>
          <w:highlight w:val="none"/>
        </w:rPr>
        <w:t>30000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人及以上，且营业收入</w:t>
      </w:r>
      <w:r>
        <w:rPr>
          <w:szCs w:val="21"/>
          <w:highlight w:val="none"/>
        </w:rPr>
        <w:t>1000</w:t>
      </w:r>
      <w:r>
        <w:rPr>
          <w:rFonts w:hint="eastAsia"/>
          <w:szCs w:val="21"/>
          <w:highlight w:val="none"/>
        </w:rPr>
        <w:t>万元及以上的为中型企业；从业人员</w:t>
      </w:r>
      <w:r>
        <w:rPr>
          <w:szCs w:val="21"/>
          <w:highlight w:val="none"/>
        </w:rPr>
        <w:t>20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20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31D8A4B3">
      <w:pPr>
        <w:pStyle w:val="10"/>
        <w:rPr>
          <w:szCs w:val="21"/>
          <w:highlight w:val="none"/>
        </w:rPr>
      </w:pPr>
      <w:r>
        <w:rPr>
          <w:rFonts w:hint="eastAsia"/>
          <w:szCs w:val="21"/>
          <w:highlight w:val="none"/>
        </w:rPr>
        <w:t>　　（八）邮政业。从业人员</w:t>
      </w:r>
      <w:r>
        <w:rPr>
          <w:szCs w:val="21"/>
          <w:highlight w:val="none"/>
        </w:rPr>
        <w:t>1000</w:t>
      </w:r>
      <w:r>
        <w:rPr>
          <w:rFonts w:hint="eastAsia"/>
          <w:szCs w:val="21"/>
          <w:highlight w:val="none"/>
        </w:rPr>
        <w:t>人以下或营业收入</w:t>
      </w:r>
      <w:r>
        <w:rPr>
          <w:szCs w:val="21"/>
          <w:highlight w:val="none"/>
        </w:rPr>
        <w:t>30000</w:t>
      </w:r>
      <w:r>
        <w:rPr>
          <w:rFonts w:hint="eastAsia"/>
          <w:szCs w:val="21"/>
          <w:highlight w:val="none"/>
        </w:rPr>
        <w:t>万元以下的为中小微型企业。其中，从业人员</w:t>
      </w:r>
      <w:r>
        <w:rPr>
          <w:szCs w:val="21"/>
          <w:highlight w:val="none"/>
        </w:rPr>
        <w:t>300</w:t>
      </w:r>
      <w:r>
        <w:rPr>
          <w:rFonts w:hint="eastAsia"/>
          <w:szCs w:val="21"/>
          <w:highlight w:val="none"/>
        </w:rPr>
        <w:t>人及以上，且营业收入</w:t>
      </w:r>
      <w:r>
        <w:rPr>
          <w:szCs w:val="21"/>
          <w:highlight w:val="none"/>
        </w:rPr>
        <w:t>2000</w:t>
      </w:r>
      <w:r>
        <w:rPr>
          <w:rFonts w:hint="eastAsia"/>
          <w:szCs w:val="21"/>
          <w:highlight w:val="none"/>
        </w:rPr>
        <w:t>万元及以上的为中型企业；从业人员</w:t>
      </w:r>
      <w:r>
        <w:rPr>
          <w:szCs w:val="21"/>
          <w:highlight w:val="none"/>
        </w:rPr>
        <w:t>20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20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7974866A">
      <w:pPr>
        <w:pStyle w:val="10"/>
        <w:rPr>
          <w:szCs w:val="21"/>
          <w:highlight w:val="none"/>
        </w:rPr>
      </w:pPr>
      <w:r>
        <w:rPr>
          <w:rFonts w:hint="eastAsia"/>
          <w:szCs w:val="21"/>
          <w:highlight w:val="none"/>
        </w:rPr>
        <w:t>　　（九）住宿业。从业人员</w:t>
      </w:r>
      <w:r>
        <w:rPr>
          <w:szCs w:val="21"/>
          <w:highlight w:val="none"/>
        </w:rPr>
        <w:t>300</w:t>
      </w:r>
      <w:r>
        <w:rPr>
          <w:rFonts w:hint="eastAsia"/>
          <w:szCs w:val="21"/>
          <w:highlight w:val="none"/>
        </w:rPr>
        <w:t>人以下或营业收入</w:t>
      </w:r>
      <w:r>
        <w:rPr>
          <w:szCs w:val="21"/>
          <w:highlight w:val="none"/>
        </w:rPr>
        <w:t>10000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人及以上，且营业收入</w:t>
      </w:r>
      <w:r>
        <w:rPr>
          <w:szCs w:val="21"/>
          <w:highlight w:val="none"/>
        </w:rPr>
        <w:t>2000</w:t>
      </w:r>
      <w:r>
        <w:rPr>
          <w:rFonts w:hint="eastAsia"/>
          <w:szCs w:val="21"/>
          <w:highlight w:val="none"/>
        </w:rPr>
        <w:t>万元及以上的为中型企业；从业人员</w:t>
      </w:r>
      <w:r>
        <w:rPr>
          <w:szCs w:val="21"/>
          <w:highlight w:val="none"/>
        </w:rPr>
        <w:t>10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10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5DC2803C">
      <w:pPr>
        <w:pStyle w:val="10"/>
        <w:rPr>
          <w:szCs w:val="21"/>
          <w:highlight w:val="none"/>
        </w:rPr>
      </w:pPr>
      <w:r>
        <w:rPr>
          <w:rFonts w:hint="eastAsia"/>
          <w:szCs w:val="21"/>
          <w:highlight w:val="none"/>
        </w:rPr>
        <w:t>　　（十）餐饮业。从业人员</w:t>
      </w:r>
      <w:r>
        <w:rPr>
          <w:szCs w:val="21"/>
          <w:highlight w:val="none"/>
        </w:rPr>
        <w:t>300</w:t>
      </w:r>
      <w:r>
        <w:rPr>
          <w:rFonts w:hint="eastAsia"/>
          <w:szCs w:val="21"/>
          <w:highlight w:val="none"/>
        </w:rPr>
        <w:t>人以下或营业收入</w:t>
      </w:r>
      <w:r>
        <w:rPr>
          <w:szCs w:val="21"/>
          <w:highlight w:val="none"/>
        </w:rPr>
        <w:t>10000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人及以上，且营业收入</w:t>
      </w:r>
      <w:r>
        <w:rPr>
          <w:szCs w:val="21"/>
          <w:highlight w:val="none"/>
        </w:rPr>
        <w:t>2000</w:t>
      </w:r>
      <w:r>
        <w:rPr>
          <w:rFonts w:hint="eastAsia"/>
          <w:szCs w:val="21"/>
          <w:highlight w:val="none"/>
        </w:rPr>
        <w:t>万元及以上的为中型企业；从业人员</w:t>
      </w:r>
      <w:r>
        <w:rPr>
          <w:szCs w:val="21"/>
          <w:highlight w:val="none"/>
        </w:rPr>
        <w:t>10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10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282FB99B">
      <w:pPr>
        <w:pStyle w:val="10"/>
        <w:rPr>
          <w:szCs w:val="21"/>
          <w:highlight w:val="none"/>
        </w:rPr>
      </w:pPr>
      <w:r>
        <w:rPr>
          <w:rFonts w:hint="eastAsia"/>
          <w:szCs w:val="21"/>
          <w:highlight w:val="none"/>
        </w:rPr>
        <w:t>　　（十一）信息传输业。从业人员</w:t>
      </w:r>
      <w:r>
        <w:rPr>
          <w:szCs w:val="21"/>
          <w:highlight w:val="none"/>
        </w:rPr>
        <w:t>2000</w:t>
      </w:r>
      <w:r>
        <w:rPr>
          <w:rFonts w:hint="eastAsia"/>
          <w:szCs w:val="21"/>
          <w:highlight w:val="none"/>
        </w:rPr>
        <w:t>人以下或营业收入</w:t>
      </w:r>
      <w:r>
        <w:rPr>
          <w:szCs w:val="21"/>
          <w:highlight w:val="none"/>
        </w:rPr>
        <w:t>100000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人及以上，且营业收入</w:t>
      </w:r>
      <w:r>
        <w:rPr>
          <w:szCs w:val="21"/>
          <w:highlight w:val="none"/>
        </w:rPr>
        <w:t>1000</w:t>
      </w:r>
      <w:r>
        <w:rPr>
          <w:rFonts w:hint="eastAsia"/>
          <w:szCs w:val="21"/>
          <w:highlight w:val="none"/>
        </w:rPr>
        <w:t>万元及以上的为中型企业；从业人员</w:t>
      </w:r>
      <w:r>
        <w:rPr>
          <w:szCs w:val="21"/>
          <w:highlight w:val="none"/>
        </w:rPr>
        <w:t>10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10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3C62F9DF">
      <w:pPr>
        <w:pStyle w:val="10"/>
        <w:rPr>
          <w:szCs w:val="21"/>
          <w:highlight w:val="none"/>
        </w:rPr>
      </w:pPr>
      <w:r>
        <w:rPr>
          <w:rFonts w:hint="eastAsia"/>
          <w:szCs w:val="21"/>
          <w:highlight w:val="none"/>
        </w:rPr>
        <w:t>　　（十二）软件和信息技术服务业。从业人员</w:t>
      </w:r>
      <w:r>
        <w:rPr>
          <w:szCs w:val="21"/>
          <w:highlight w:val="none"/>
        </w:rPr>
        <w:t>300</w:t>
      </w:r>
      <w:r>
        <w:rPr>
          <w:rFonts w:hint="eastAsia"/>
          <w:szCs w:val="21"/>
          <w:highlight w:val="none"/>
        </w:rPr>
        <w:t>人以下或营业收入</w:t>
      </w:r>
      <w:r>
        <w:rPr>
          <w:szCs w:val="21"/>
          <w:highlight w:val="none"/>
        </w:rPr>
        <w:t>10000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人及以上，且营业收入</w:t>
      </w:r>
      <w:r>
        <w:rPr>
          <w:szCs w:val="21"/>
          <w:highlight w:val="none"/>
        </w:rPr>
        <w:t>1000</w:t>
      </w:r>
      <w:r>
        <w:rPr>
          <w:rFonts w:hint="eastAsia"/>
          <w:szCs w:val="21"/>
          <w:highlight w:val="none"/>
        </w:rPr>
        <w:t>万元及以上的为中型企业；从业人员</w:t>
      </w:r>
      <w:r>
        <w:rPr>
          <w:szCs w:val="21"/>
          <w:highlight w:val="none"/>
        </w:rPr>
        <w:t>10</w:t>
      </w:r>
      <w:r>
        <w:rPr>
          <w:rFonts w:hint="eastAsia"/>
          <w:szCs w:val="21"/>
          <w:highlight w:val="none"/>
        </w:rPr>
        <w:t>人及以上，且营业收入</w:t>
      </w:r>
      <w:r>
        <w:rPr>
          <w:szCs w:val="21"/>
          <w:highlight w:val="none"/>
        </w:rPr>
        <w:t>50</w:t>
      </w:r>
      <w:r>
        <w:rPr>
          <w:rFonts w:hint="eastAsia"/>
          <w:szCs w:val="21"/>
          <w:highlight w:val="none"/>
        </w:rPr>
        <w:t>万元及以上的为小型企业；从业人员</w:t>
      </w:r>
      <w:r>
        <w:rPr>
          <w:szCs w:val="21"/>
          <w:highlight w:val="none"/>
        </w:rPr>
        <w:t>10</w:t>
      </w:r>
      <w:r>
        <w:rPr>
          <w:rFonts w:hint="eastAsia"/>
          <w:szCs w:val="21"/>
          <w:highlight w:val="none"/>
        </w:rPr>
        <w:t>人以下或营业收入</w:t>
      </w:r>
      <w:r>
        <w:rPr>
          <w:szCs w:val="21"/>
          <w:highlight w:val="none"/>
        </w:rPr>
        <w:t>50</w:t>
      </w:r>
      <w:r>
        <w:rPr>
          <w:rFonts w:hint="eastAsia"/>
          <w:szCs w:val="21"/>
          <w:highlight w:val="none"/>
        </w:rPr>
        <w:t>万元以下的为微型企业。</w:t>
      </w:r>
    </w:p>
    <w:p w14:paraId="6345E49F">
      <w:pPr>
        <w:pStyle w:val="10"/>
        <w:rPr>
          <w:szCs w:val="21"/>
          <w:highlight w:val="none"/>
        </w:rPr>
      </w:pPr>
      <w:r>
        <w:rPr>
          <w:rFonts w:hint="eastAsia"/>
          <w:szCs w:val="21"/>
          <w:highlight w:val="none"/>
        </w:rPr>
        <w:t>　　（十三）房地产开发经营。营业收入</w:t>
      </w:r>
      <w:r>
        <w:rPr>
          <w:szCs w:val="21"/>
          <w:highlight w:val="none"/>
        </w:rPr>
        <w:t>200000</w:t>
      </w:r>
      <w:r>
        <w:rPr>
          <w:rFonts w:hint="eastAsia"/>
          <w:szCs w:val="21"/>
          <w:highlight w:val="none"/>
        </w:rPr>
        <w:t>万元以下或资产总额</w:t>
      </w:r>
      <w:r>
        <w:rPr>
          <w:szCs w:val="21"/>
          <w:highlight w:val="none"/>
        </w:rPr>
        <w:t>10000</w:t>
      </w:r>
      <w:r>
        <w:rPr>
          <w:rFonts w:hint="eastAsia"/>
          <w:szCs w:val="21"/>
          <w:highlight w:val="none"/>
        </w:rPr>
        <w:t>万元以下的为中小微型企业。其中，营业收入</w:t>
      </w:r>
      <w:r>
        <w:rPr>
          <w:szCs w:val="21"/>
          <w:highlight w:val="none"/>
        </w:rPr>
        <w:t>1000</w:t>
      </w:r>
      <w:r>
        <w:rPr>
          <w:rFonts w:hint="eastAsia"/>
          <w:szCs w:val="21"/>
          <w:highlight w:val="none"/>
        </w:rPr>
        <w:t>万元及以上，且资产总额</w:t>
      </w:r>
      <w:r>
        <w:rPr>
          <w:szCs w:val="21"/>
          <w:highlight w:val="none"/>
        </w:rPr>
        <w:t>5000</w:t>
      </w:r>
      <w:r>
        <w:rPr>
          <w:rFonts w:hint="eastAsia"/>
          <w:szCs w:val="21"/>
          <w:highlight w:val="none"/>
        </w:rPr>
        <w:t>万元及以上的为中型企业；营业收入</w:t>
      </w:r>
      <w:r>
        <w:rPr>
          <w:szCs w:val="21"/>
          <w:highlight w:val="none"/>
        </w:rPr>
        <w:t>100</w:t>
      </w:r>
      <w:r>
        <w:rPr>
          <w:rFonts w:hint="eastAsia"/>
          <w:szCs w:val="21"/>
          <w:highlight w:val="none"/>
        </w:rPr>
        <w:t>万元及以上，且资产总额</w:t>
      </w:r>
      <w:r>
        <w:rPr>
          <w:szCs w:val="21"/>
          <w:highlight w:val="none"/>
        </w:rPr>
        <w:t>2000</w:t>
      </w:r>
      <w:r>
        <w:rPr>
          <w:rFonts w:hint="eastAsia"/>
          <w:szCs w:val="21"/>
          <w:highlight w:val="none"/>
        </w:rPr>
        <w:t>万元及以上的为小型企业；营业收入</w:t>
      </w:r>
      <w:r>
        <w:rPr>
          <w:szCs w:val="21"/>
          <w:highlight w:val="none"/>
        </w:rPr>
        <w:t>100</w:t>
      </w:r>
      <w:r>
        <w:rPr>
          <w:rFonts w:hint="eastAsia"/>
          <w:szCs w:val="21"/>
          <w:highlight w:val="none"/>
        </w:rPr>
        <w:t>万元以下或资产总额</w:t>
      </w:r>
      <w:r>
        <w:rPr>
          <w:szCs w:val="21"/>
          <w:highlight w:val="none"/>
        </w:rPr>
        <w:t>2000</w:t>
      </w:r>
      <w:r>
        <w:rPr>
          <w:rFonts w:hint="eastAsia"/>
          <w:szCs w:val="21"/>
          <w:highlight w:val="none"/>
        </w:rPr>
        <w:t>万元以下的为微型企业。</w:t>
      </w:r>
    </w:p>
    <w:p w14:paraId="064E62F1">
      <w:pPr>
        <w:pStyle w:val="10"/>
        <w:rPr>
          <w:szCs w:val="21"/>
          <w:highlight w:val="none"/>
        </w:rPr>
      </w:pPr>
      <w:r>
        <w:rPr>
          <w:rFonts w:hint="eastAsia"/>
          <w:szCs w:val="21"/>
          <w:highlight w:val="none"/>
        </w:rPr>
        <w:t>　　（十四）物业管理。从业人员</w:t>
      </w:r>
      <w:r>
        <w:rPr>
          <w:szCs w:val="21"/>
          <w:highlight w:val="none"/>
        </w:rPr>
        <w:t>1000</w:t>
      </w:r>
      <w:r>
        <w:rPr>
          <w:rFonts w:hint="eastAsia"/>
          <w:szCs w:val="21"/>
          <w:highlight w:val="none"/>
        </w:rPr>
        <w:t>人以下或营业收入</w:t>
      </w:r>
      <w:r>
        <w:rPr>
          <w:szCs w:val="21"/>
          <w:highlight w:val="none"/>
        </w:rPr>
        <w:t>5000</w:t>
      </w:r>
      <w:r>
        <w:rPr>
          <w:rFonts w:hint="eastAsia"/>
          <w:szCs w:val="21"/>
          <w:highlight w:val="none"/>
        </w:rPr>
        <w:t>万元以下的为中小微型企业。其中，从业人员</w:t>
      </w:r>
      <w:r>
        <w:rPr>
          <w:szCs w:val="21"/>
          <w:highlight w:val="none"/>
        </w:rPr>
        <w:t>300</w:t>
      </w:r>
      <w:r>
        <w:rPr>
          <w:rFonts w:hint="eastAsia"/>
          <w:szCs w:val="21"/>
          <w:highlight w:val="none"/>
        </w:rPr>
        <w:t>人及以上，且营业收入</w:t>
      </w:r>
      <w:r>
        <w:rPr>
          <w:szCs w:val="21"/>
          <w:highlight w:val="none"/>
        </w:rPr>
        <w:t>1000</w:t>
      </w:r>
      <w:r>
        <w:rPr>
          <w:rFonts w:hint="eastAsia"/>
          <w:szCs w:val="21"/>
          <w:highlight w:val="none"/>
        </w:rPr>
        <w:t>万元及以上的为中型企业；从业人员</w:t>
      </w:r>
      <w:r>
        <w:rPr>
          <w:szCs w:val="21"/>
          <w:highlight w:val="none"/>
        </w:rPr>
        <w:t>100</w:t>
      </w:r>
      <w:r>
        <w:rPr>
          <w:rFonts w:hint="eastAsia"/>
          <w:szCs w:val="21"/>
          <w:highlight w:val="none"/>
        </w:rPr>
        <w:t>人及以上，且营业收入</w:t>
      </w:r>
      <w:r>
        <w:rPr>
          <w:szCs w:val="21"/>
          <w:highlight w:val="none"/>
        </w:rPr>
        <w:t>500</w:t>
      </w:r>
      <w:r>
        <w:rPr>
          <w:rFonts w:hint="eastAsia"/>
          <w:szCs w:val="21"/>
          <w:highlight w:val="none"/>
        </w:rPr>
        <w:t>万元及以上的为小型企业；从业人员</w:t>
      </w:r>
      <w:r>
        <w:rPr>
          <w:szCs w:val="21"/>
          <w:highlight w:val="none"/>
        </w:rPr>
        <w:t>100</w:t>
      </w:r>
      <w:r>
        <w:rPr>
          <w:rFonts w:hint="eastAsia"/>
          <w:szCs w:val="21"/>
          <w:highlight w:val="none"/>
        </w:rPr>
        <w:t>人以下或营业收入</w:t>
      </w:r>
      <w:r>
        <w:rPr>
          <w:szCs w:val="21"/>
          <w:highlight w:val="none"/>
        </w:rPr>
        <w:t>500</w:t>
      </w:r>
      <w:r>
        <w:rPr>
          <w:rFonts w:hint="eastAsia"/>
          <w:szCs w:val="21"/>
          <w:highlight w:val="none"/>
        </w:rPr>
        <w:t>万元以下的为微型企业。</w:t>
      </w:r>
    </w:p>
    <w:p w14:paraId="766E4B83">
      <w:pPr>
        <w:pStyle w:val="10"/>
        <w:rPr>
          <w:szCs w:val="21"/>
          <w:highlight w:val="none"/>
        </w:rPr>
      </w:pPr>
      <w:r>
        <w:rPr>
          <w:rFonts w:hint="eastAsia"/>
          <w:szCs w:val="21"/>
          <w:highlight w:val="none"/>
        </w:rPr>
        <w:t>　　（十五）租赁和商务服务业。从业人员</w:t>
      </w:r>
      <w:r>
        <w:rPr>
          <w:szCs w:val="21"/>
          <w:highlight w:val="none"/>
        </w:rPr>
        <w:t>300</w:t>
      </w:r>
      <w:r>
        <w:rPr>
          <w:rFonts w:hint="eastAsia"/>
          <w:szCs w:val="21"/>
          <w:highlight w:val="none"/>
        </w:rPr>
        <w:t>人以下或资产总额</w:t>
      </w:r>
      <w:r>
        <w:rPr>
          <w:szCs w:val="21"/>
          <w:highlight w:val="none"/>
        </w:rPr>
        <w:t>120000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人及以上，且资产总额</w:t>
      </w:r>
      <w:r>
        <w:rPr>
          <w:szCs w:val="21"/>
          <w:highlight w:val="none"/>
        </w:rPr>
        <w:t>8000</w:t>
      </w:r>
      <w:r>
        <w:rPr>
          <w:rFonts w:hint="eastAsia"/>
          <w:szCs w:val="21"/>
          <w:highlight w:val="none"/>
        </w:rPr>
        <w:t>万元及以上的为中型企业；从业人员</w:t>
      </w:r>
      <w:r>
        <w:rPr>
          <w:szCs w:val="21"/>
          <w:highlight w:val="none"/>
        </w:rPr>
        <w:t>10</w:t>
      </w:r>
      <w:r>
        <w:rPr>
          <w:rFonts w:hint="eastAsia"/>
          <w:szCs w:val="21"/>
          <w:highlight w:val="none"/>
        </w:rPr>
        <w:t>人及以上，且资产总额</w:t>
      </w:r>
      <w:r>
        <w:rPr>
          <w:szCs w:val="21"/>
          <w:highlight w:val="none"/>
        </w:rPr>
        <w:t>100</w:t>
      </w:r>
      <w:r>
        <w:rPr>
          <w:rFonts w:hint="eastAsia"/>
          <w:szCs w:val="21"/>
          <w:highlight w:val="none"/>
        </w:rPr>
        <w:t>万元及以上的为小型企业；从业人员</w:t>
      </w:r>
      <w:r>
        <w:rPr>
          <w:szCs w:val="21"/>
          <w:highlight w:val="none"/>
        </w:rPr>
        <w:t>10</w:t>
      </w:r>
      <w:r>
        <w:rPr>
          <w:rFonts w:hint="eastAsia"/>
          <w:szCs w:val="21"/>
          <w:highlight w:val="none"/>
        </w:rPr>
        <w:t>人以下或资产总额</w:t>
      </w:r>
      <w:r>
        <w:rPr>
          <w:szCs w:val="21"/>
          <w:highlight w:val="none"/>
        </w:rPr>
        <w:t>100</w:t>
      </w:r>
      <w:r>
        <w:rPr>
          <w:rFonts w:hint="eastAsia"/>
          <w:szCs w:val="21"/>
          <w:highlight w:val="none"/>
        </w:rPr>
        <w:t>万元以下的为微型企业。</w:t>
      </w:r>
    </w:p>
    <w:p w14:paraId="120C82E2">
      <w:pPr>
        <w:pStyle w:val="10"/>
        <w:rPr>
          <w:szCs w:val="21"/>
          <w:highlight w:val="none"/>
        </w:rPr>
      </w:pPr>
      <w:r>
        <w:rPr>
          <w:rFonts w:hint="eastAsia"/>
          <w:szCs w:val="21"/>
          <w:highlight w:val="none"/>
        </w:rPr>
        <w:t>　　（十六）其他未列明行业。从业人员</w:t>
      </w:r>
      <w:r>
        <w:rPr>
          <w:szCs w:val="21"/>
          <w:highlight w:val="none"/>
        </w:rPr>
        <w:t>300</w:t>
      </w:r>
      <w:r>
        <w:rPr>
          <w:rFonts w:hint="eastAsia"/>
          <w:szCs w:val="21"/>
          <w:highlight w:val="none"/>
        </w:rPr>
        <w:t>人以下的为中小微型企业。其中，从业人员</w:t>
      </w:r>
      <w:r>
        <w:rPr>
          <w:szCs w:val="21"/>
          <w:highlight w:val="none"/>
        </w:rPr>
        <w:t>100</w:t>
      </w:r>
      <w:r>
        <w:rPr>
          <w:rFonts w:hint="eastAsia"/>
          <w:szCs w:val="21"/>
          <w:highlight w:val="none"/>
        </w:rPr>
        <w:t>人及以上的为中型企业；从业人员</w:t>
      </w:r>
      <w:r>
        <w:rPr>
          <w:szCs w:val="21"/>
          <w:highlight w:val="none"/>
        </w:rPr>
        <w:t>10</w:t>
      </w:r>
      <w:r>
        <w:rPr>
          <w:rFonts w:hint="eastAsia"/>
          <w:szCs w:val="21"/>
          <w:highlight w:val="none"/>
        </w:rPr>
        <w:t>人及以上的为小型企业；从业人员</w:t>
      </w:r>
      <w:r>
        <w:rPr>
          <w:szCs w:val="21"/>
          <w:highlight w:val="none"/>
        </w:rPr>
        <w:t>10</w:t>
      </w:r>
      <w:r>
        <w:rPr>
          <w:rFonts w:hint="eastAsia"/>
          <w:szCs w:val="21"/>
          <w:highlight w:val="none"/>
        </w:rPr>
        <w:t>人以下的为微型企业。</w:t>
      </w:r>
    </w:p>
    <w:p w14:paraId="700C70CC">
      <w:pPr>
        <w:pStyle w:val="10"/>
        <w:rPr>
          <w:szCs w:val="21"/>
          <w:highlight w:val="none"/>
        </w:rPr>
      </w:pPr>
      <w:r>
        <w:rPr>
          <w:rFonts w:hint="eastAsia"/>
          <w:szCs w:val="21"/>
          <w:highlight w:val="none"/>
        </w:rPr>
        <w:t>　　五、企业类型的划分以统计部门的统计数据为依据。</w:t>
      </w:r>
    </w:p>
    <w:p w14:paraId="3AF5BF38">
      <w:pPr>
        <w:pStyle w:val="10"/>
        <w:rPr>
          <w:szCs w:val="21"/>
          <w:highlight w:val="none"/>
        </w:rPr>
      </w:pPr>
      <w:r>
        <w:rPr>
          <w:rFonts w:hint="eastAsia"/>
          <w:szCs w:val="21"/>
          <w:highlight w:val="none"/>
        </w:rPr>
        <w:t>　　六、本规定适用于在中华人民共和国境内依法设立的各类所有制和各种组织形式的企业。个体工商户和本规定以外的行业，参照本规定进行划型。</w:t>
      </w:r>
    </w:p>
    <w:p w14:paraId="52526095">
      <w:pPr>
        <w:pStyle w:val="10"/>
        <w:rPr>
          <w:szCs w:val="21"/>
          <w:highlight w:val="none"/>
        </w:rPr>
      </w:pPr>
      <w:r>
        <w:rPr>
          <w:rFonts w:hint="eastAsia"/>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6BF1309">
      <w:pPr>
        <w:pStyle w:val="10"/>
        <w:rPr>
          <w:szCs w:val="21"/>
          <w:highlight w:val="none"/>
        </w:rPr>
      </w:pPr>
      <w:r>
        <w:rPr>
          <w:rFonts w:hint="eastAsia"/>
          <w:szCs w:val="21"/>
          <w:highlight w:val="none"/>
        </w:rPr>
        <w:t>　　八、本规定由工业和信息化部、国家统计局会同有关部门根据《国民经济行业分类》修订情况和企业发展变化情况适时修订。</w:t>
      </w:r>
    </w:p>
    <w:p w14:paraId="2438FDBB">
      <w:pPr>
        <w:pStyle w:val="10"/>
        <w:rPr>
          <w:szCs w:val="21"/>
          <w:highlight w:val="none"/>
        </w:rPr>
      </w:pPr>
      <w:r>
        <w:rPr>
          <w:rFonts w:hint="eastAsia"/>
          <w:szCs w:val="21"/>
          <w:highlight w:val="none"/>
        </w:rPr>
        <w:t>　　九、本规定由工业和信息化部、国家统计局会同有关部门负责解释。</w:t>
      </w:r>
    </w:p>
    <w:p w14:paraId="4D16029B">
      <w:pPr>
        <w:pStyle w:val="10"/>
        <w:ind w:firstLine="420"/>
        <w:rPr>
          <w:szCs w:val="21"/>
          <w:highlight w:val="none"/>
        </w:rPr>
      </w:pPr>
      <w:r>
        <w:rPr>
          <w:rFonts w:hint="eastAsia"/>
          <w:szCs w:val="21"/>
          <w:highlight w:val="none"/>
        </w:rPr>
        <w:t>十、本规定自发布之日起执行，原国家经贸委、原国家计委、财政部和国家统计局</w:t>
      </w:r>
      <w:r>
        <w:rPr>
          <w:szCs w:val="21"/>
          <w:highlight w:val="none"/>
        </w:rPr>
        <w:t>2003</w:t>
      </w:r>
      <w:r>
        <w:rPr>
          <w:rFonts w:hint="eastAsia"/>
          <w:szCs w:val="21"/>
          <w:highlight w:val="none"/>
        </w:rPr>
        <w:t>年颁布的《中小企业标准暂行规定》同时废止。</w:t>
      </w:r>
    </w:p>
    <w:p w14:paraId="235BE356">
      <w:pPr>
        <w:tabs>
          <w:tab w:val="left" w:pos="180"/>
          <w:tab w:val="left" w:pos="1620"/>
        </w:tabs>
        <w:spacing w:line="360" w:lineRule="auto"/>
        <w:ind w:firstLine="422" w:firstLineChars="200"/>
        <w:rPr>
          <w:rFonts w:ascii="宋体" w:hAnsi="宋体" w:cs="宋体"/>
          <w:b/>
          <w:bCs/>
          <w:szCs w:val="21"/>
          <w:highlight w:val="none"/>
        </w:rPr>
      </w:pPr>
    </w:p>
    <w:p w14:paraId="61FE2EA3">
      <w:pPr>
        <w:pStyle w:val="2"/>
        <w:jc w:val="center"/>
        <w:rPr>
          <w:highlight w:val="none"/>
        </w:rPr>
      </w:pPr>
      <w:bookmarkStart w:id="75" w:name="_Toc74323459"/>
      <w:r>
        <w:rPr>
          <w:rFonts w:hint="eastAsia"/>
          <w:highlight w:val="none"/>
        </w:rPr>
        <w:t>第四章  评审程序、评审方法和评审标准</w:t>
      </w:r>
      <w:bookmarkEnd w:id="75"/>
    </w:p>
    <w:p w14:paraId="751FA0F1">
      <w:pPr>
        <w:spacing w:line="360" w:lineRule="auto"/>
        <w:jc w:val="center"/>
        <w:rPr>
          <w:rFonts w:ascii="宋体" w:hAnsi="宋体"/>
          <w:b/>
          <w:sz w:val="32"/>
          <w:szCs w:val="32"/>
          <w:highlight w:val="none"/>
        </w:rPr>
      </w:pPr>
      <w:r>
        <w:rPr>
          <w:rFonts w:hint="eastAsia" w:ascii="宋体" w:hAnsi="宋体"/>
          <w:b/>
          <w:sz w:val="32"/>
          <w:szCs w:val="32"/>
          <w:highlight w:val="none"/>
        </w:rPr>
        <w:t>一、评审程序和评审方法</w:t>
      </w:r>
    </w:p>
    <w:p w14:paraId="5CB0D170">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1</w:t>
      </w:r>
      <w:r>
        <w:rPr>
          <w:rFonts w:hint="eastAsia" w:ascii="黑体" w:hAnsi="黑体" w:eastAsia="黑体" w:cs="宋体"/>
          <w:b/>
          <w:bCs/>
          <w:sz w:val="24"/>
          <w:highlight w:val="none"/>
        </w:rPr>
        <w:t>.资格审查</w:t>
      </w:r>
    </w:p>
    <w:p w14:paraId="242844D7">
      <w:pPr>
        <w:snapToGrid w:val="0"/>
        <w:spacing w:line="360" w:lineRule="auto"/>
        <w:ind w:firstLine="420" w:firstLineChars="200"/>
        <w:rPr>
          <w:rFonts w:ascii="宋体" w:hAnsi="宋体"/>
          <w:szCs w:val="21"/>
          <w:highlight w:val="none"/>
        </w:rPr>
      </w:pPr>
      <w:r>
        <w:rPr>
          <w:rFonts w:ascii="宋体" w:hAnsi="宋体" w:cs="宋体"/>
          <w:szCs w:val="21"/>
          <w:highlight w:val="none"/>
        </w:rPr>
        <w:t>1</w:t>
      </w:r>
      <w:r>
        <w:rPr>
          <w:rFonts w:hint="eastAsia" w:ascii="宋体" w:hAnsi="宋体" w:cs="宋体"/>
          <w:szCs w:val="21"/>
          <w:highlight w:val="none"/>
        </w:rPr>
        <w:t>.1</w:t>
      </w:r>
      <w:r>
        <w:rPr>
          <w:rFonts w:hint="eastAsia" w:ascii="宋体" w:hAnsi="宋体"/>
          <w:szCs w:val="21"/>
          <w:highlight w:val="none"/>
        </w:rPr>
        <w:t>响应文件开启后，磋商小组依法对供应商的资格证明文件进行审查。</w:t>
      </w:r>
    </w:p>
    <w:p w14:paraId="6D54915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注：</w:t>
      </w:r>
      <w:r>
        <w:rPr>
          <w:rFonts w:hint="eastAsia"/>
          <w:highlight w:val="none"/>
        </w:rPr>
        <w:t>磋商小组</w:t>
      </w:r>
      <w:r>
        <w:rPr>
          <w:rFonts w:hint="eastAsia" w:ascii="宋体" w:hAnsi="宋体" w:cs="宋体"/>
          <w:szCs w:val="21"/>
          <w:highlight w:val="none"/>
        </w:rPr>
        <w:t>在资格审查结束前，对供应商进行信用查询。</w:t>
      </w:r>
    </w:p>
    <w:p w14:paraId="646C3CBA">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（1）查询渠道： “信用中国”网站(www.creditchina.gov.cn)、中国政府采购网(www.ccgp.gov.cn)。</w:t>
      </w:r>
    </w:p>
    <w:p w14:paraId="7729D40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（2）信用查询截止时点：资格审查结束前。</w:t>
      </w:r>
    </w:p>
    <w:p w14:paraId="5A92427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（3）查询记录和证据留存方式：在查询网站中直接查询，截图另存为电子文档作为评审资料保存。</w:t>
      </w:r>
    </w:p>
    <w:p w14:paraId="5F23EB0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highlight w:val="none"/>
        </w:rPr>
        <w:t>。</w:t>
      </w:r>
    </w:p>
    <w:p w14:paraId="523B33A0">
      <w:pPr>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.2资格审查标准为本磋商文件中载明对供应商资格要求的条件。资格审查采用合格制，凡符合磋商文件规定的供应商资格要求的响应文件均通过资格审查。</w:t>
      </w:r>
    </w:p>
    <w:p w14:paraId="279E45AA">
      <w:pPr>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.3供应商有下列情形之一的，资格审查不通过，其响应文件按无效响应处理：</w:t>
      </w:r>
    </w:p>
    <w:p w14:paraId="1BB0AEFF">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）不具备磋商文件中规定的资格要求的；</w:t>
      </w:r>
    </w:p>
    <w:p w14:paraId="227A6A89">
      <w:pPr>
        <w:spacing w:line="360" w:lineRule="auto"/>
        <w:ind w:firstLine="420" w:firstLineChars="200"/>
        <w:rPr>
          <w:rFonts w:ascii="宋体" w:hAnsi="宋体" w:cs="宋体"/>
          <w:szCs w:val="21"/>
          <w:highlight w:val="none"/>
        </w:rPr>
      </w:pPr>
      <w:r>
        <w:rPr>
          <w:rFonts w:hint="eastAsia" w:ascii="宋体" w:hAnsi="宋体" w:cs="宋体"/>
          <w:szCs w:val="21"/>
          <w:highlight w:val="none"/>
        </w:rPr>
        <w:t>（2）未按磋商文件规定的方式获取本磋商文件的供应商；</w:t>
      </w:r>
    </w:p>
    <w:p w14:paraId="161EA36D">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）响应文件的资格证明文件缺少任一项“供应商须知前附表”资格证明文件规定的“必须提供”的文件资料的；</w:t>
      </w:r>
    </w:p>
    <w:p w14:paraId="2ED2A9EA">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）响应文件中的资格证明文件出现任一项不符合“供应商须知前附表”资格证明文件规定的“必须提供”的文件资料要求或者无效的；</w:t>
      </w:r>
    </w:p>
    <w:p w14:paraId="721C9E9A">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449D7920">
      <w:pPr>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.4通过资格审查的合格供应商不足3家的，不得进入符合性审查环节，</w:t>
      </w:r>
      <w:r>
        <w:rPr>
          <w:rFonts w:hint="eastAsia" w:ascii="宋体" w:hAnsi="宋体"/>
          <w:szCs w:val="21"/>
          <w:highlight w:val="none"/>
        </w:rPr>
        <w:t>采购人或者采购代理机构应当重新开展采购活动。</w:t>
      </w:r>
    </w:p>
    <w:p w14:paraId="3975013B">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.符合性审查</w:t>
      </w:r>
    </w:p>
    <w:p w14:paraId="5ABBFACE">
      <w:pPr>
        <w:spacing w:line="360" w:lineRule="auto"/>
        <w:ind w:firstLine="420" w:firstLineChars="200"/>
        <w:rPr>
          <w:rFonts w:ascii="宋体" w:hAnsi="宋体" w:cs="宋体"/>
          <w:szCs w:val="21"/>
          <w:highlight w:val="none"/>
        </w:rPr>
      </w:pPr>
      <w:bookmarkStart w:id="76" w:name="_Hlk42528882"/>
      <w:r>
        <w:rPr>
          <w:rFonts w:ascii="宋体" w:hAnsi="宋体" w:cs="宋体"/>
          <w:szCs w:val="21"/>
          <w:highlight w:val="none"/>
        </w:rPr>
        <w:t>2.1</w:t>
      </w:r>
      <w:r>
        <w:rPr>
          <w:rFonts w:hint="eastAsia" w:ascii="宋体" w:hAnsi="宋体" w:cs="宋体"/>
          <w:szCs w:val="21"/>
          <w:highlight w:val="none"/>
        </w:rPr>
        <w:t>由磋商小组对</w:t>
      </w:r>
      <w:r>
        <w:rPr>
          <w:rFonts w:hint="eastAsia" w:ascii="宋体" w:hAnsi="宋体"/>
          <w:szCs w:val="21"/>
          <w:highlight w:val="none"/>
        </w:rPr>
        <w:t>通过资格审查的合格供应商</w:t>
      </w:r>
      <w:r>
        <w:rPr>
          <w:rFonts w:hint="eastAsia" w:ascii="宋体" w:hAnsi="宋体" w:cs="宋体"/>
          <w:szCs w:val="21"/>
          <w:highlight w:val="none"/>
        </w:rPr>
        <w:t>的响应文件的竞标报价、商务、技术等实质性要求进行符合性审查，以确定其是否满足磋商文件的实质性要求。</w:t>
      </w:r>
    </w:p>
    <w:bookmarkEnd w:id="76"/>
    <w:p w14:paraId="5E05CFFC">
      <w:pPr>
        <w:spacing w:line="360" w:lineRule="auto"/>
        <w:ind w:firstLine="420" w:firstLineChars="200"/>
        <w:rPr>
          <w:rFonts w:ascii="宋体" w:hAnsi="宋体" w:cs="宋体"/>
          <w:szCs w:val="21"/>
          <w:highlight w:val="none"/>
        </w:rPr>
      </w:pPr>
      <w:r>
        <w:rPr>
          <w:rFonts w:ascii="宋体" w:hAnsi="宋体" w:cs="宋体"/>
          <w:szCs w:val="21"/>
          <w:highlight w:val="none"/>
        </w:rPr>
        <w:t>2.2</w:t>
      </w:r>
      <w:r>
        <w:rPr>
          <w:rFonts w:hint="eastAsia" w:ascii="宋体" w:hAnsi="宋体" w:cs="宋体"/>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3672B5">
      <w:pPr>
        <w:spacing w:line="360" w:lineRule="auto"/>
        <w:ind w:firstLine="420" w:firstLineChars="200"/>
        <w:rPr>
          <w:rFonts w:ascii="宋体" w:hAnsi="宋体" w:cs="宋体"/>
          <w:spacing w:val="-6"/>
          <w:szCs w:val="21"/>
          <w:highlight w:val="none"/>
        </w:rPr>
      </w:pPr>
      <w:r>
        <w:rPr>
          <w:rFonts w:ascii="宋体" w:hAnsi="宋体" w:cs="宋体"/>
          <w:szCs w:val="21"/>
          <w:highlight w:val="none"/>
        </w:rPr>
        <w:t>2</w:t>
      </w: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highlight w:val="none"/>
        </w:rPr>
        <w:t>签章</w:t>
      </w:r>
      <w:r>
        <w:rPr>
          <w:rFonts w:hint="eastAsia" w:ascii="宋体" w:hAnsi="宋体" w:cs="宋体"/>
          <w:spacing w:val="-6"/>
          <w:szCs w:val="21"/>
          <w:highlight w:val="none"/>
        </w:rPr>
        <w:t>。</w:t>
      </w:r>
    </w:p>
    <w:p w14:paraId="352F2D30">
      <w:pPr>
        <w:spacing w:line="360" w:lineRule="auto"/>
        <w:ind w:firstLine="420" w:firstLineChars="200"/>
        <w:rPr>
          <w:rFonts w:ascii="宋体" w:hAnsi="宋体" w:cs="宋体"/>
          <w:spacing w:val="-6"/>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71EAA08">
      <w:pPr>
        <w:spacing w:line="360" w:lineRule="auto"/>
        <w:ind w:firstLine="396" w:firstLineChars="200"/>
        <w:rPr>
          <w:rFonts w:ascii="宋体" w:hAnsi="宋体" w:cs="宋体"/>
          <w:szCs w:val="21"/>
          <w:highlight w:val="none"/>
        </w:rPr>
      </w:pPr>
      <w:r>
        <w:rPr>
          <w:rFonts w:ascii="宋体" w:hAnsi="宋体" w:cs="宋体"/>
          <w:spacing w:val="-6"/>
          <w:szCs w:val="21"/>
          <w:highlight w:val="none"/>
        </w:rPr>
        <w:t>2.4</w:t>
      </w:r>
      <w:r>
        <w:rPr>
          <w:rFonts w:hint="eastAsia" w:ascii="宋体" w:hAnsi="宋体" w:cs="宋体"/>
          <w:szCs w:val="21"/>
          <w:highlight w:val="none"/>
        </w:rPr>
        <w:t xml:space="preserve">首次响应文件报价出现前后不一致的，按照下列规定修正： </w:t>
      </w:r>
    </w:p>
    <w:p w14:paraId="3AB92F66">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3CDC4149">
      <w:pPr>
        <w:spacing w:line="360" w:lineRule="auto"/>
        <w:ind w:firstLine="420" w:firstLineChars="200"/>
        <w:rPr>
          <w:rFonts w:ascii="宋体" w:hAnsi="宋体" w:cs="宋体"/>
          <w:szCs w:val="21"/>
          <w:highlight w:val="none"/>
        </w:rPr>
      </w:pPr>
      <w:r>
        <w:rPr>
          <w:rFonts w:hint="eastAsia" w:ascii="宋体" w:hAnsi="宋体" w:cs="宋体"/>
          <w:szCs w:val="21"/>
          <w:highlight w:val="none"/>
        </w:rPr>
        <w:t>（2）大写金额和小写金额不一致的，以大写金额为准；</w:t>
      </w:r>
    </w:p>
    <w:p w14:paraId="1E31267F">
      <w:pPr>
        <w:spacing w:line="360" w:lineRule="auto"/>
        <w:ind w:firstLine="420" w:firstLineChars="200"/>
        <w:rPr>
          <w:rFonts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003D0D38">
      <w:pPr>
        <w:spacing w:line="360" w:lineRule="auto"/>
        <w:ind w:firstLine="420" w:firstLineChars="200"/>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407C74AE">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0050DF88">
      <w:pPr>
        <w:spacing w:line="360" w:lineRule="auto"/>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商务技术报价评审</w:t>
      </w:r>
    </w:p>
    <w:p w14:paraId="76792FDA">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7A833CCC">
      <w:pPr>
        <w:spacing w:line="360" w:lineRule="auto"/>
        <w:ind w:firstLine="420" w:firstLineChars="200"/>
        <w:rPr>
          <w:rFonts w:ascii="宋体" w:hAnsi="宋体" w:cs="宋体"/>
          <w:szCs w:val="21"/>
          <w:highlight w:val="none"/>
        </w:rPr>
      </w:pPr>
      <w:r>
        <w:rPr>
          <w:rFonts w:hint="eastAsia" w:ascii="宋体" w:hAnsi="宋体" w:cs="宋体"/>
          <w:szCs w:val="21"/>
          <w:highlight w:val="none"/>
        </w:rPr>
        <w:t>（1）商务技术评审</w:t>
      </w:r>
    </w:p>
    <w:p w14:paraId="14E1769A">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1）响应文件未按磋商文件要求签署、盖章；</w:t>
      </w:r>
    </w:p>
    <w:p w14:paraId="55A18AB9">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2）委托代理人未能出具有效身份证或者出具的身份证与授权委托书中的信息不符的； </w:t>
      </w:r>
    </w:p>
    <w:p w14:paraId="482501CA">
      <w:pPr>
        <w:spacing w:line="360" w:lineRule="auto"/>
        <w:ind w:firstLine="420" w:firstLineChars="200"/>
        <w:rPr>
          <w:rFonts w:ascii="宋体" w:hAnsi="宋体" w:cs="宋体"/>
          <w:szCs w:val="21"/>
          <w:highlight w:val="none"/>
        </w:rPr>
      </w:pPr>
      <w:r>
        <w:rPr>
          <w:rFonts w:hint="eastAsia" w:ascii="宋体" w:hAnsi="宋体" w:cs="宋体"/>
          <w:szCs w:val="21"/>
          <w:highlight w:val="none"/>
        </w:rPr>
        <w:t>3）提交的磋商保证金无效的或者未按照磋商文件的规定提交磋商保证金；</w:t>
      </w:r>
    </w:p>
    <w:p w14:paraId="784097FD">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6A46CDE">
      <w:pPr>
        <w:spacing w:line="360" w:lineRule="auto"/>
        <w:ind w:firstLine="420" w:firstLineChars="200"/>
        <w:rPr>
          <w:rFonts w:ascii="宋体" w:hAnsi="宋体" w:cs="宋体"/>
          <w:szCs w:val="21"/>
          <w:highlight w:val="none"/>
        </w:rPr>
      </w:pPr>
      <w:r>
        <w:rPr>
          <w:rFonts w:hint="eastAsia" w:ascii="宋体" w:hAnsi="宋体" w:cs="宋体"/>
          <w:szCs w:val="21"/>
          <w:highlight w:val="none"/>
        </w:rPr>
        <w:t>5）商务、技术要求允许负偏离的条款数超过“供应商须知前附表”规定项数的；</w:t>
      </w:r>
    </w:p>
    <w:p w14:paraId="146BC623">
      <w:pPr>
        <w:spacing w:line="360" w:lineRule="auto"/>
        <w:ind w:firstLine="420" w:firstLineChars="200"/>
        <w:rPr>
          <w:rFonts w:ascii="宋体" w:hAnsi="宋体" w:cs="宋体"/>
          <w:szCs w:val="21"/>
          <w:highlight w:val="none"/>
        </w:rPr>
      </w:pPr>
      <w:r>
        <w:rPr>
          <w:rFonts w:hint="eastAsia" w:ascii="宋体" w:hAnsi="宋体" w:cs="宋体"/>
          <w:szCs w:val="21"/>
          <w:highlight w:val="none"/>
        </w:rPr>
        <w:t>6）未对竞标有效期作出响应或者响应文件承诺的竞标有效期不满足磋商文件要求；</w:t>
      </w:r>
    </w:p>
    <w:p w14:paraId="4BA69220">
      <w:pPr>
        <w:spacing w:line="360" w:lineRule="auto"/>
        <w:ind w:firstLine="420" w:firstLineChars="200"/>
        <w:rPr>
          <w:rFonts w:ascii="宋体" w:hAnsi="宋体" w:cs="宋体"/>
          <w:szCs w:val="21"/>
          <w:highlight w:val="none"/>
        </w:rPr>
      </w:pPr>
      <w:r>
        <w:rPr>
          <w:rFonts w:hint="eastAsia" w:ascii="宋体" w:hAnsi="宋体" w:cs="宋体"/>
          <w:szCs w:val="21"/>
          <w:highlight w:val="none"/>
        </w:rPr>
        <w:t>7）响应文件的实质性内容未使用中文表述、使用计量单位不符合磋商文件要求；</w:t>
      </w:r>
    </w:p>
    <w:p w14:paraId="5CBE1C9C">
      <w:pPr>
        <w:spacing w:line="360" w:lineRule="auto"/>
        <w:ind w:firstLine="420" w:firstLineChars="200"/>
        <w:rPr>
          <w:rFonts w:ascii="宋体" w:hAnsi="宋体" w:cs="宋体"/>
          <w:szCs w:val="21"/>
          <w:highlight w:val="none"/>
        </w:rPr>
      </w:pPr>
      <w:r>
        <w:rPr>
          <w:rFonts w:hint="eastAsia" w:ascii="宋体" w:hAnsi="宋体" w:cs="宋体"/>
          <w:szCs w:val="21"/>
          <w:highlight w:val="none"/>
        </w:rPr>
        <w:t>8）响应文件中的文件资料因填写不齐全或者内容虚假或者出现其他情形而导致被磋商小组认定无效；</w:t>
      </w:r>
    </w:p>
    <w:p w14:paraId="6B36C953">
      <w:pPr>
        <w:spacing w:line="360" w:lineRule="auto"/>
        <w:ind w:firstLine="420" w:firstLineChars="200"/>
        <w:rPr>
          <w:rFonts w:ascii="宋体" w:hAnsi="宋体" w:cs="宋体"/>
          <w:szCs w:val="21"/>
          <w:highlight w:val="none"/>
        </w:rPr>
      </w:pPr>
      <w:r>
        <w:rPr>
          <w:rFonts w:hint="eastAsia" w:ascii="宋体" w:hAnsi="宋体" w:cs="宋体"/>
          <w:szCs w:val="21"/>
          <w:highlight w:val="none"/>
        </w:rPr>
        <w:t>9）响应文件含有采购人不能接受的附加条件；</w:t>
      </w:r>
    </w:p>
    <w:p w14:paraId="711FE2CB">
      <w:pPr>
        <w:spacing w:line="360" w:lineRule="auto"/>
        <w:ind w:firstLine="420" w:firstLineChars="200"/>
        <w:rPr>
          <w:rFonts w:ascii="宋体" w:hAnsi="宋体" w:cs="宋体"/>
          <w:szCs w:val="21"/>
          <w:highlight w:val="none"/>
        </w:rPr>
      </w:pPr>
      <w:r>
        <w:rPr>
          <w:rFonts w:hint="eastAsia" w:ascii="宋体" w:hAnsi="宋体" w:cs="宋体"/>
          <w:szCs w:val="21"/>
          <w:highlight w:val="none"/>
        </w:rPr>
        <w:t>10）属于“供应商须知正文”第7.</w:t>
      </w:r>
      <w:r>
        <w:rPr>
          <w:rFonts w:ascii="宋体" w:hAnsi="宋体" w:cs="宋体"/>
          <w:szCs w:val="21"/>
          <w:highlight w:val="none"/>
        </w:rPr>
        <w:t>5</w:t>
      </w:r>
      <w:r>
        <w:rPr>
          <w:rFonts w:hint="eastAsia" w:ascii="宋体" w:hAnsi="宋体" w:cs="宋体"/>
          <w:szCs w:val="21"/>
          <w:highlight w:val="none"/>
        </w:rPr>
        <w:t>条情形；</w:t>
      </w:r>
    </w:p>
    <w:p w14:paraId="735C7771">
      <w:pPr>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1）虚假竞标，或者出现其他情形而导致被磋商小组认定无效；</w:t>
      </w:r>
    </w:p>
    <w:p w14:paraId="62F1A97B">
      <w:pPr>
        <w:spacing w:line="360" w:lineRule="auto"/>
        <w:ind w:firstLine="420" w:firstLineChars="200"/>
        <w:rPr>
          <w:rFonts w:ascii="宋体" w:hAnsi="宋体" w:cs="宋体"/>
          <w:szCs w:val="21"/>
          <w:highlight w:val="none"/>
        </w:rPr>
      </w:pPr>
      <w:r>
        <w:rPr>
          <w:rFonts w:hint="eastAsia" w:ascii="宋体" w:hAnsi="宋体" w:cs="宋体"/>
          <w:szCs w:val="21"/>
          <w:highlight w:val="none"/>
        </w:rPr>
        <w:t>12）</w:t>
      </w:r>
      <w:bookmarkStart w:id="77" w:name="_Hlk71704147"/>
      <w:r>
        <w:rPr>
          <w:rFonts w:hint="eastAsia" w:ascii="宋体" w:hAnsi="宋体" w:cs="宋体"/>
          <w:szCs w:val="21"/>
          <w:highlight w:val="none"/>
        </w:rPr>
        <w:t>磋商文件未载明允许提供备选（替代）竞标方案或明确不允许提供备选（替代）竞标方案时，供应商提供了备选（替代）竞标方案的；</w:t>
      </w:r>
      <w:bookmarkEnd w:id="77"/>
    </w:p>
    <w:p w14:paraId="76B7C46A">
      <w:pPr>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3）响应文件标注的项目名称或者项目编号与磋商文件标注的项目名称或者项目编号不一致的；</w:t>
      </w:r>
    </w:p>
    <w:p w14:paraId="2B727E72">
      <w:pPr>
        <w:spacing w:line="360" w:lineRule="auto"/>
        <w:ind w:firstLine="420" w:firstLineChars="200"/>
        <w:rPr>
          <w:rFonts w:ascii="宋体" w:hAnsi="宋体" w:cs="宋体"/>
          <w:szCs w:val="21"/>
          <w:highlight w:val="none"/>
        </w:rPr>
      </w:pPr>
      <w:r>
        <w:rPr>
          <w:rFonts w:hint="eastAsia" w:ascii="宋体" w:hAnsi="宋体" w:cs="宋体"/>
          <w:szCs w:val="21"/>
          <w:highlight w:val="none"/>
        </w:rPr>
        <w:t>14）</w:t>
      </w:r>
      <w:r>
        <w:rPr>
          <w:rFonts w:hint="eastAsia" w:ascii="宋体" w:hAnsi="宋体"/>
          <w:szCs w:val="21"/>
          <w:highlight w:val="none"/>
        </w:rPr>
        <w:t>竞争性磋商文件明确不允许分包，响应文件拟分包的；</w:t>
      </w:r>
    </w:p>
    <w:p w14:paraId="56426CFE">
      <w:pPr>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5）未响应磋商文件实质性要求；</w:t>
      </w:r>
    </w:p>
    <w:p w14:paraId="104E1966">
      <w:pPr>
        <w:spacing w:line="360" w:lineRule="auto"/>
        <w:ind w:firstLine="420" w:firstLineChars="200"/>
        <w:rPr>
          <w:rFonts w:ascii="宋体" w:hAnsi="宋体" w:cs="宋体"/>
          <w:szCs w:val="21"/>
          <w:highlight w:val="none"/>
        </w:rPr>
      </w:pPr>
      <w:r>
        <w:rPr>
          <w:rFonts w:hint="eastAsia" w:ascii="宋体" w:hAnsi="宋体" w:cs="宋体"/>
          <w:szCs w:val="21"/>
          <w:highlight w:val="none"/>
        </w:rPr>
        <w:t>16）法律、法规和磋商文件规定的其他无效情形。</w:t>
      </w:r>
    </w:p>
    <w:p w14:paraId="7348456A">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）报价评审</w:t>
      </w:r>
    </w:p>
    <w:p w14:paraId="3399B88E">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1）响应文件未提供“供应商须知前附表” 报价文件中规定的“竞标报价表”；</w:t>
      </w:r>
    </w:p>
    <w:p w14:paraId="5BADDDC7">
      <w:pPr>
        <w:spacing w:line="360" w:lineRule="auto"/>
        <w:ind w:firstLine="420" w:firstLineChars="200"/>
        <w:rPr>
          <w:rFonts w:ascii="宋体" w:hAnsi="宋体" w:cs="宋体"/>
          <w:szCs w:val="21"/>
          <w:highlight w:val="none"/>
        </w:rPr>
      </w:pPr>
      <w:r>
        <w:rPr>
          <w:rFonts w:hint="eastAsia" w:ascii="宋体" w:hAnsi="宋体" w:cs="宋体"/>
          <w:szCs w:val="21"/>
          <w:highlight w:val="none"/>
        </w:rPr>
        <w:t>2）未采用人民币报价或者未按照磋商文件标明的币种报价；</w:t>
      </w:r>
    </w:p>
    <w:p w14:paraId="4C697700">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09391704">
      <w:pPr>
        <w:spacing w:line="360" w:lineRule="auto"/>
        <w:ind w:firstLine="420" w:firstLineChars="200"/>
        <w:rPr>
          <w:rFonts w:ascii="宋体" w:hAnsi="宋体" w:cs="宋体"/>
          <w:szCs w:val="21"/>
          <w:highlight w:val="none"/>
        </w:rPr>
      </w:pPr>
      <w:r>
        <w:rPr>
          <w:rFonts w:hint="eastAsia" w:ascii="宋体" w:hAnsi="宋体" w:cs="宋体"/>
          <w:szCs w:val="21"/>
          <w:highlight w:val="none"/>
        </w:rPr>
        <w:t>4）竞标报价（包含首次报价、最后报价）超过所竞标分标规定的采购预算金额或者最高限价的（如本项目公布了最高限价）；</w:t>
      </w:r>
      <w:bookmarkStart w:id="78" w:name="_Hlk42596405"/>
      <w:r>
        <w:rPr>
          <w:rFonts w:hint="eastAsia" w:ascii="宋体" w:hAnsi="宋体" w:cs="宋体"/>
          <w:szCs w:val="21"/>
          <w:highlight w:val="none"/>
        </w:rPr>
        <w:t>分项竞标报价（包含首次报价、最后报价）</w:t>
      </w:r>
      <w:bookmarkEnd w:id="78"/>
      <w:bookmarkStart w:id="79" w:name="_Hlk42596276"/>
      <w:r>
        <w:rPr>
          <w:rFonts w:hint="eastAsia" w:ascii="宋体" w:hAnsi="宋体" w:cs="宋体"/>
          <w:szCs w:val="21"/>
          <w:highlight w:val="none"/>
        </w:rPr>
        <w:t>超过磋商文件分项采购预算金额或者最高限价的</w:t>
      </w:r>
      <w:bookmarkEnd w:id="79"/>
      <w:r>
        <w:rPr>
          <w:rFonts w:hint="eastAsia" w:ascii="宋体" w:hAnsi="宋体" w:cs="宋体"/>
          <w:szCs w:val="21"/>
          <w:highlight w:val="none"/>
        </w:rPr>
        <w:t>（如本项目公布了最高限价）；</w:t>
      </w:r>
    </w:p>
    <w:p w14:paraId="36465D6E">
      <w:pPr>
        <w:spacing w:line="360" w:lineRule="auto"/>
        <w:ind w:firstLine="420" w:firstLineChars="200"/>
        <w:rPr>
          <w:rFonts w:ascii="宋体" w:hAnsi="宋体" w:cs="宋体"/>
          <w:szCs w:val="21"/>
          <w:highlight w:val="none"/>
        </w:rPr>
      </w:pPr>
      <w:r>
        <w:rPr>
          <w:rFonts w:hint="eastAsia" w:ascii="宋体" w:hAnsi="宋体" w:cs="宋体"/>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23949159">
      <w:pPr>
        <w:spacing w:line="360" w:lineRule="auto"/>
        <w:ind w:firstLine="420" w:firstLineChars="200"/>
        <w:rPr>
          <w:rFonts w:ascii="宋体" w:hAnsi="宋体" w:cs="宋体"/>
          <w:szCs w:val="21"/>
          <w:highlight w:val="none"/>
        </w:rPr>
      </w:pPr>
      <w:r>
        <w:rPr>
          <w:rFonts w:hint="eastAsia" w:ascii="宋体" w:hAnsi="宋体" w:cs="宋体"/>
          <w:szCs w:val="21"/>
          <w:highlight w:val="none"/>
        </w:rPr>
        <w:t>6）</w:t>
      </w:r>
      <w:r>
        <w:rPr>
          <w:rFonts w:hint="eastAsia" w:ascii="宋体" w:hAnsi="宋体"/>
          <w:szCs w:val="21"/>
          <w:highlight w:val="none"/>
        </w:rPr>
        <w:t>响应文件响应的标的数量及单位与竞争性磋商采购文件要求实质性不一致的。</w:t>
      </w:r>
    </w:p>
    <w:p w14:paraId="25B05D1B">
      <w:pPr>
        <w:spacing w:line="360" w:lineRule="auto"/>
        <w:ind w:firstLine="420" w:firstLineChars="200"/>
        <w:rPr>
          <w:rFonts w:ascii="宋体" w:hAnsi="宋体" w:cs="宋体"/>
          <w:szCs w:val="21"/>
          <w:highlight w:val="none"/>
        </w:rPr>
      </w:pPr>
      <w:r>
        <w:rPr>
          <w:rFonts w:ascii="宋体" w:hAnsi="宋体" w:cs="宋体"/>
          <w:szCs w:val="21"/>
          <w:highlight w:val="none"/>
        </w:rPr>
        <w:t>2.6</w:t>
      </w:r>
      <w:r>
        <w:rPr>
          <w:rFonts w:hint="eastAsia" w:ascii="宋体" w:hAnsi="宋体" w:cs="宋体"/>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728BA75">
      <w:pPr>
        <w:spacing w:line="360" w:lineRule="auto"/>
        <w:ind w:firstLine="420" w:firstLineChars="200"/>
        <w:rPr>
          <w:rFonts w:ascii="宋体" w:hAnsi="宋体" w:cs="宋体"/>
          <w:szCs w:val="21"/>
          <w:highlight w:val="none"/>
        </w:rPr>
      </w:pPr>
      <w:r>
        <w:rPr>
          <w:rFonts w:ascii="宋体" w:hAnsi="宋体" w:cs="宋体"/>
          <w:szCs w:val="21"/>
          <w:highlight w:val="none"/>
        </w:rPr>
        <w:t>2.7</w:t>
      </w:r>
      <w:r>
        <w:rPr>
          <w:rFonts w:hint="eastAsia" w:ascii="宋体" w:hAnsi="宋体"/>
          <w:szCs w:val="21"/>
          <w:highlight w:val="none"/>
        </w:rPr>
        <w:t>通过符合性审查的合格供应商不足3家的，不得进入磋商环节，采购人或者采购代理机构应当重新开展采购活动。</w:t>
      </w:r>
    </w:p>
    <w:p w14:paraId="3DB16FB9">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3</w:t>
      </w:r>
      <w:r>
        <w:rPr>
          <w:rFonts w:hint="eastAsia" w:ascii="黑体" w:hAnsi="黑体" w:eastAsia="黑体" w:cs="宋体"/>
          <w:b/>
          <w:bCs/>
          <w:sz w:val="24"/>
          <w:highlight w:val="none"/>
        </w:rPr>
        <w:t>.磋商程序</w:t>
      </w:r>
    </w:p>
    <w:p w14:paraId="147F99C1">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.1</w:t>
      </w:r>
      <w:r>
        <w:rPr>
          <w:rFonts w:hint="eastAsia" w:ascii="宋体" w:hAnsi="宋体" w:cs="宋体"/>
          <w:kern w:val="0"/>
          <w:szCs w:val="21"/>
          <w:highlight w:val="none"/>
        </w:rPr>
        <w:t>磋商小组</w:t>
      </w:r>
      <w:r>
        <w:rPr>
          <w:rFonts w:hint="eastAsia" w:ascii="宋体" w:hAnsi="宋体" w:cs="宋体"/>
          <w:szCs w:val="21"/>
          <w:highlight w:val="none"/>
        </w:rPr>
        <w:t>集中与单一供应商分别进行磋商，并给予所有参加磋商的供应商平等的磋商机会。符合磋商资格的供应商必须在接到磋商通知后</w:t>
      </w:r>
      <w:r>
        <w:rPr>
          <w:highlight w:val="none"/>
        </w:rPr>
        <w:t>在规定时间内在广西政府采购云平台上参加</w:t>
      </w:r>
      <w:r>
        <w:rPr>
          <w:rFonts w:hint="eastAsia"/>
          <w:highlight w:val="none"/>
        </w:rPr>
        <w:t>磋商</w:t>
      </w:r>
      <w:r>
        <w:rPr>
          <w:rFonts w:hint="eastAsia" w:ascii="宋体" w:hAnsi="宋体" w:cs="宋体"/>
          <w:szCs w:val="21"/>
          <w:highlight w:val="none"/>
        </w:rPr>
        <w:t>，未在规定时间内参加磋商的视同放弃参加磋商权利，其响应文件按无效响应处理。</w:t>
      </w:r>
    </w:p>
    <w:p w14:paraId="2C3AA4A2">
      <w:pPr>
        <w:spacing w:line="360" w:lineRule="auto"/>
        <w:ind w:firstLine="420" w:firstLineChars="200"/>
        <w:rPr>
          <w:rFonts w:ascii="宋体" w:hAnsi="宋体" w:cs="宋体"/>
          <w:szCs w:val="21"/>
          <w:highlight w:val="none"/>
        </w:rPr>
      </w:pPr>
      <w:r>
        <w:rPr>
          <w:rFonts w:ascii="宋体" w:hAnsi="宋体" w:cs="宋体"/>
          <w:szCs w:val="21"/>
          <w:highlight w:val="none"/>
        </w:rPr>
        <w:t>3.2</w:t>
      </w:r>
      <w:r>
        <w:rPr>
          <w:rFonts w:hint="eastAsia" w:ascii="宋体" w:hAnsi="宋体" w:cs="宋体"/>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86BBDA6">
      <w:pPr>
        <w:spacing w:line="360" w:lineRule="auto"/>
        <w:ind w:firstLine="420" w:firstLineChars="200"/>
        <w:rPr>
          <w:rFonts w:ascii="宋体" w:hAnsi="宋体" w:cs="宋体"/>
          <w:szCs w:val="21"/>
          <w:highlight w:val="none"/>
        </w:rPr>
      </w:pPr>
      <w:r>
        <w:rPr>
          <w:rFonts w:ascii="宋体" w:hAnsi="宋体" w:cs="宋体"/>
          <w:szCs w:val="21"/>
          <w:highlight w:val="none"/>
        </w:rPr>
        <w:t>3.3</w:t>
      </w:r>
      <w:r>
        <w:rPr>
          <w:rFonts w:hint="eastAsia" w:ascii="宋体" w:hAnsi="宋体" w:cs="宋体"/>
          <w:szCs w:val="21"/>
          <w:highlight w:val="none"/>
        </w:rPr>
        <w:t>对磋商文件作出的实质性变动是磋商文件的有效组成部分，由磋商小组及时以电子澄清函形式同时通知所有参加磋商的供应商。</w:t>
      </w:r>
    </w:p>
    <w:p w14:paraId="1F5B470F">
      <w:pPr>
        <w:spacing w:line="360" w:lineRule="auto"/>
        <w:ind w:firstLine="420" w:firstLineChars="200"/>
        <w:rPr>
          <w:rFonts w:ascii="宋体" w:hAnsi="宋体" w:cs="宋体"/>
          <w:szCs w:val="21"/>
          <w:highlight w:val="none"/>
        </w:rPr>
      </w:pPr>
      <w:r>
        <w:rPr>
          <w:rFonts w:ascii="宋体" w:hAnsi="宋体" w:cs="宋体"/>
          <w:szCs w:val="21"/>
          <w:highlight w:val="none"/>
        </w:rPr>
        <w:t>3.4</w:t>
      </w:r>
      <w:r>
        <w:rPr>
          <w:rFonts w:hint="eastAsia" w:ascii="宋体" w:hAnsi="宋体" w:cs="宋体"/>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43E3B62">
      <w:pPr>
        <w:spacing w:line="360" w:lineRule="auto"/>
        <w:ind w:firstLine="420" w:firstLineChars="200"/>
        <w:rPr>
          <w:rFonts w:ascii="宋体" w:hAnsi="宋体" w:cs="宋体"/>
          <w:szCs w:val="21"/>
          <w:highlight w:val="none"/>
        </w:rPr>
      </w:pPr>
      <w:r>
        <w:rPr>
          <w:rFonts w:ascii="宋体" w:hAnsi="宋体" w:cs="宋体"/>
          <w:szCs w:val="21"/>
          <w:highlight w:val="none"/>
        </w:rPr>
        <w:t>3.5</w:t>
      </w:r>
      <w:r>
        <w:rPr>
          <w:rFonts w:hint="eastAsia" w:ascii="宋体" w:hAnsi="宋体" w:cs="宋体"/>
          <w:szCs w:val="21"/>
          <w:highlight w:val="none"/>
        </w:rPr>
        <w:t>磋商中，</w:t>
      </w:r>
      <w:r>
        <w:rPr>
          <w:rFonts w:hint="eastAsia" w:ascii="宋体" w:hAnsi="宋体" w:cs="宋体"/>
          <w:spacing w:val="-6"/>
          <w:szCs w:val="21"/>
          <w:highlight w:val="none"/>
        </w:rPr>
        <w:t>磋商的任何一方不得透露与磋商有关的其他供应商的技术资料、价格和其他信息。</w:t>
      </w:r>
    </w:p>
    <w:p w14:paraId="0FFB4B52">
      <w:pPr>
        <w:widowControl/>
        <w:tabs>
          <w:tab w:val="left" w:pos="540"/>
        </w:tabs>
        <w:spacing w:line="360" w:lineRule="auto"/>
        <w:ind w:firstLine="420" w:firstLineChars="200"/>
        <w:jc w:val="left"/>
        <w:rPr>
          <w:rFonts w:ascii="宋体" w:hAnsi="宋体" w:cs="宋体"/>
          <w:szCs w:val="21"/>
          <w:highlight w:val="none"/>
        </w:rPr>
      </w:pPr>
      <w:r>
        <w:rPr>
          <w:rFonts w:ascii="宋体" w:hAnsi="宋体" w:cs="宋体"/>
          <w:szCs w:val="21"/>
          <w:highlight w:val="none"/>
        </w:rPr>
        <w:t>3.6</w:t>
      </w:r>
      <w:r>
        <w:rPr>
          <w:rFonts w:hint="eastAsia" w:ascii="宋体" w:hAnsi="宋体" w:cs="宋体"/>
          <w:szCs w:val="21"/>
          <w:highlight w:val="none"/>
        </w:rPr>
        <w:t>采购代理机构对磋商过程和重要磋商内容进行记录。</w:t>
      </w:r>
    </w:p>
    <w:p w14:paraId="1480998A">
      <w:pPr>
        <w:tabs>
          <w:tab w:val="left" w:pos="2835"/>
        </w:tabs>
        <w:spacing w:line="360" w:lineRule="auto"/>
        <w:ind w:firstLine="420" w:firstLineChars="200"/>
        <w:rPr>
          <w:highlight w:val="none"/>
        </w:rPr>
      </w:pPr>
      <w:r>
        <w:rPr>
          <w:rFonts w:hint="eastAsia" w:ascii="宋体" w:hAnsi="宋体" w:cs="宋体"/>
          <w:szCs w:val="21"/>
          <w:highlight w:val="none"/>
        </w:rPr>
        <w:t>3</w:t>
      </w:r>
      <w:r>
        <w:rPr>
          <w:rFonts w:ascii="宋体" w:hAnsi="宋体" w:cs="宋体"/>
          <w:szCs w:val="21"/>
          <w:highlight w:val="none"/>
        </w:rPr>
        <w:t>.7</w:t>
      </w:r>
      <w:r>
        <w:rPr>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237E1C9">
      <w:pPr>
        <w:tabs>
          <w:tab w:val="left" w:pos="2835"/>
        </w:tabs>
        <w:spacing w:line="360" w:lineRule="auto"/>
        <w:ind w:firstLine="420" w:firstLineChars="200"/>
        <w:rPr>
          <w:rFonts w:ascii="宋体" w:hAnsi="宋体" w:cs="宋体"/>
          <w:szCs w:val="21"/>
          <w:highlight w:val="none"/>
        </w:rPr>
      </w:pPr>
      <w:r>
        <w:rPr>
          <w:highlight w:val="none"/>
        </w:rPr>
        <w:t>3.8除本章第3.7条情形</w:t>
      </w:r>
      <w:r>
        <w:rPr>
          <w:rFonts w:hint="eastAsia"/>
          <w:highlight w:val="none"/>
        </w:rPr>
        <w:t>外，</w:t>
      </w:r>
      <w:r>
        <w:rPr>
          <w:rFonts w:hint="eastAsia" w:ascii="宋体" w:hAnsi="宋体"/>
          <w:szCs w:val="21"/>
          <w:highlight w:val="none"/>
        </w:rPr>
        <w:t>对磋商过程提交的响应文件进行有效性、完整性和响应程度审查，通过审查的合格供应商不足3家的，采购人或者采购代理机构应当重新开展采购活动。</w:t>
      </w:r>
    </w:p>
    <w:p w14:paraId="25BF32D5">
      <w:pPr>
        <w:spacing w:line="360" w:lineRule="auto"/>
        <w:ind w:firstLine="482" w:firstLineChars="200"/>
        <w:rPr>
          <w:rFonts w:ascii="宋体" w:hAnsi="宋体" w:cs="宋体"/>
          <w:szCs w:val="21"/>
          <w:highlight w:val="none"/>
        </w:rPr>
      </w:pPr>
      <w:r>
        <w:rPr>
          <w:rFonts w:ascii="黑体" w:hAnsi="黑体" w:eastAsia="黑体" w:cs="宋体"/>
          <w:b/>
          <w:bCs/>
          <w:sz w:val="24"/>
          <w:highlight w:val="none"/>
        </w:rPr>
        <w:t>4.</w:t>
      </w:r>
      <w:r>
        <w:rPr>
          <w:rFonts w:hint="eastAsia" w:ascii="黑体" w:hAnsi="黑体" w:eastAsia="黑体" w:cs="宋体"/>
          <w:b/>
          <w:bCs/>
          <w:sz w:val="24"/>
          <w:highlight w:val="none"/>
        </w:rPr>
        <w:t xml:space="preserve"> 最后报价</w:t>
      </w:r>
    </w:p>
    <w:p w14:paraId="55BE1F09">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highlight w:val="none"/>
        </w:rPr>
        <w:t>4.3</w:t>
      </w:r>
      <w:r>
        <w:rPr>
          <w:rFonts w:hint="eastAsia" w:ascii="宋体" w:hAnsi="宋体" w:cs="宋体"/>
          <w:szCs w:val="21"/>
          <w:highlight w:val="none"/>
        </w:rPr>
        <w:t>条外，提交最后报价的供应商不得少于3家，否则必须重新采购。</w:t>
      </w:r>
    </w:p>
    <w:p w14:paraId="1B5FA6B1">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45431D5D">
      <w:pPr>
        <w:spacing w:line="360" w:lineRule="auto"/>
        <w:ind w:firstLine="420" w:firstLineChars="200"/>
        <w:rPr>
          <w:rFonts w:ascii="宋体" w:hAnsi="宋体" w:cs="宋体"/>
          <w:szCs w:val="21"/>
          <w:highlight w:val="none"/>
        </w:rPr>
      </w:pPr>
      <w:r>
        <w:rPr>
          <w:rFonts w:ascii="宋体" w:hAnsi="宋体" w:cs="宋体"/>
          <w:szCs w:val="21"/>
          <w:highlight w:val="none"/>
        </w:rPr>
        <w:t>4.3</w:t>
      </w:r>
      <w:r>
        <w:rPr>
          <w:rFonts w:hint="eastAsia" w:ascii="宋体" w:hAnsi="宋体" w:cs="宋体"/>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highlight w:val="none"/>
        </w:rPr>
        <w:t>本</w:t>
      </w:r>
      <w:r>
        <w:rPr>
          <w:rFonts w:ascii="宋体" w:hAnsi="宋体" w:cs="宋体"/>
          <w:szCs w:val="21"/>
          <w:highlight w:val="none"/>
        </w:rPr>
        <w:t>章第3.7条情</w:t>
      </w:r>
      <w:r>
        <w:rPr>
          <w:highlight w:val="none"/>
        </w:rPr>
        <w:t>形的，</w:t>
      </w:r>
      <w:r>
        <w:rPr>
          <w:rFonts w:hint="eastAsia" w:ascii="宋体" w:hAnsi="宋体" w:cs="宋体"/>
          <w:szCs w:val="21"/>
          <w:highlight w:val="none"/>
        </w:rPr>
        <w:t>提交最后报价的供应商可以为2家。</w:t>
      </w:r>
    </w:p>
    <w:p w14:paraId="3BC4E742">
      <w:pPr>
        <w:spacing w:line="360" w:lineRule="auto"/>
        <w:ind w:firstLine="420" w:firstLineChars="200"/>
        <w:rPr>
          <w:rFonts w:ascii="宋体" w:hAnsi="宋体" w:cs="宋体"/>
          <w:szCs w:val="21"/>
          <w:highlight w:val="none"/>
        </w:rPr>
      </w:pPr>
      <w:r>
        <w:rPr>
          <w:rFonts w:ascii="宋体" w:hAnsi="宋体" w:cs="宋体"/>
          <w:szCs w:val="21"/>
          <w:highlight w:val="none"/>
        </w:rPr>
        <w:t>4.4</w:t>
      </w:r>
      <w:r>
        <w:rPr>
          <w:rFonts w:hint="eastAsia" w:ascii="宋体" w:hAnsi="宋体" w:cs="宋体"/>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423BC970">
      <w:pPr>
        <w:spacing w:line="360" w:lineRule="auto"/>
        <w:ind w:firstLine="420" w:firstLineChars="200"/>
        <w:rPr>
          <w:rFonts w:ascii="宋体" w:hAnsi="宋体" w:cs="宋体"/>
          <w:szCs w:val="21"/>
          <w:highlight w:val="none"/>
        </w:rPr>
      </w:pPr>
      <w:r>
        <w:rPr>
          <w:rFonts w:ascii="宋体" w:hAnsi="宋体" w:cs="宋体"/>
          <w:szCs w:val="21"/>
          <w:highlight w:val="none"/>
        </w:rPr>
        <w:t>4.5</w:t>
      </w:r>
      <w:r>
        <w:rPr>
          <w:rFonts w:hint="eastAsia" w:ascii="宋体" w:hAnsi="宋体" w:cs="宋体"/>
          <w:szCs w:val="21"/>
          <w:highlight w:val="none"/>
        </w:rPr>
        <w:t>供应商未在规定时间内提交最后报价的，视同退出磋商，其响应文件按无效处理。</w:t>
      </w:r>
    </w:p>
    <w:p w14:paraId="4CE0A05F">
      <w:pPr>
        <w:spacing w:line="360" w:lineRule="auto"/>
        <w:ind w:firstLine="420" w:firstLineChars="200"/>
        <w:rPr>
          <w:rFonts w:ascii="宋体" w:hAnsi="宋体" w:cs="宋体"/>
          <w:szCs w:val="21"/>
          <w:highlight w:val="none"/>
        </w:rPr>
      </w:pPr>
      <w:r>
        <w:rPr>
          <w:rFonts w:ascii="宋体" w:hAnsi="宋体" w:cs="宋体"/>
          <w:szCs w:val="21"/>
          <w:highlight w:val="none"/>
        </w:rPr>
        <w:t>4.6</w:t>
      </w:r>
      <w:r>
        <w:rPr>
          <w:rFonts w:hint="eastAsia" w:ascii="宋体" w:hAnsi="宋体" w:cs="宋体"/>
          <w:szCs w:val="21"/>
          <w:highlight w:val="none"/>
        </w:rPr>
        <w:t>最后报价统一开启后，磋商小组对最后报价进行有效性、完整性和响应程度的审查。</w:t>
      </w:r>
    </w:p>
    <w:p w14:paraId="58A077D8">
      <w:pPr>
        <w:spacing w:line="360" w:lineRule="auto"/>
        <w:ind w:firstLine="420" w:firstLineChars="200"/>
        <w:rPr>
          <w:rFonts w:ascii="宋体" w:hAnsi="宋体" w:cs="宋体"/>
          <w:szCs w:val="21"/>
          <w:highlight w:val="none"/>
        </w:rPr>
      </w:pPr>
      <w:r>
        <w:rPr>
          <w:rFonts w:ascii="宋体" w:hAnsi="宋体" w:cs="宋体"/>
          <w:szCs w:val="21"/>
          <w:highlight w:val="none"/>
        </w:rPr>
        <w:t>4.7</w:t>
      </w:r>
      <w:r>
        <w:rPr>
          <w:rFonts w:hint="eastAsia" w:ascii="宋体" w:hAnsi="宋体" w:cs="宋体"/>
          <w:szCs w:val="21"/>
          <w:highlight w:val="none"/>
        </w:rPr>
        <w:t>最后报价出现前后不一致的，按照本章第</w:t>
      </w:r>
      <w:r>
        <w:rPr>
          <w:rFonts w:ascii="宋体" w:hAnsi="宋体" w:cs="宋体"/>
          <w:szCs w:val="21"/>
          <w:highlight w:val="none"/>
        </w:rPr>
        <w:t>2.4</w:t>
      </w:r>
      <w:r>
        <w:rPr>
          <w:rFonts w:hint="eastAsia" w:ascii="宋体" w:hAnsi="宋体" w:cs="宋体"/>
          <w:szCs w:val="21"/>
          <w:highlight w:val="none"/>
        </w:rPr>
        <w:t xml:space="preserve">条的规定修正。 </w:t>
      </w:r>
    </w:p>
    <w:p w14:paraId="7738847E">
      <w:pPr>
        <w:spacing w:line="360" w:lineRule="auto"/>
        <w:ind w:firstLine="420" w:firstLineChars="200"/>
        <w:rPr>
          <w:rFonts w:ascii="宋体" w:hAnsi="宋体" w:cs="宋体"/>
          <w:szCs w:val="21"/>
          <w:highlight w:val="none"/>
        </w:rPr>
      </w:pPr>
      <w:r>
        <w:rPr>
          <w:rFonts w:ascii="宋体" w:hAnsi="宋体" w:cs="宋体"/>
          <w:szCs w:val="21"/>
          <w:highlight w:val="none"/>
        </w:rPr>
        <w:t>4.8</w:t>
      </w:r>
      <w:r>
        <w:rPr>
          <w:rFonts w:hint="eastAsia" w:ascii="宋体" w:hAnsi="宋体" w:cs="宋体"/>
          <w:szCs w:val="21"/>
          <w:highlight w:val="none"/>
        </w:rPr>
        <w:t>修正后的报价出现下列情形的，按无效响应处理：</w:t>
      </w:r>
    </w:p>
    <w:p w14:paraId="58F32946">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（1）供应商不确认的（全流程电子化评标采取在线确认）；</w:t>
      </w:r>
    </w:p>
    <w:p w14:paraId="1DC226F4">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（2）经供应商确认修正后的竞标报价（包含首次报价、最后报价）超过所竞标分标规定的采购预算金额或者最高限价的（如本项目公布了最高限价）；</w:t>
      </w:r>
    </w:p>
    <w:p w14:paraId="5728A751">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（3）经供应商确认修正后的竞标报价（包含首次报价、最后报价）超过分项采购预算金额或者最高限价的（如本项目公布了最高限价）。</w:t>
      </w:r>
    </w:p>
    <w:p w14:paraId="0876C28C">
      <w:pPr>
        <w:spacing w:line="360" w:lineRule="auto"/>
        <w:ind w:firstLine="420" w:firstLineChars="200"/>
        <w:rPr>
          <w:rFonts w:ascii="宋体" w:hAnsi="宋体" w:cs="宋体"/>
          <w:szCs w:val="21"/>
          <w:highlight w:val="none"/>
        </w:rPr>
      </w:pPr>
      <w:r>
        <w:rPr>
          <w:rFonts w:ascii="宋体" w:hAnsi="宋体" w:cs="宋体"/>
          <w:szCs w:val="21"/>
          <w:highlight w:val="none"/>
        </w:rPr>
        <w:t>4.9</w:t>
      </w:r>
      <w:r>
        <w:rPr>
          <w:rFonts w:hint="eastAsia" w:ascii="宋体" w:hAnsi="宋体" w:cs="宋体"/>
          <w:szCs w:val="21"/>
          <w:highlight w:val="none"/>
        </w:rPr>
        <w:t>经供应商确认修正后的最后报价作为评审及签订合同的依据。</w:t>
      </w:r>
    </w:p>
    <w:p w14:paraId="520ABC72">
      <w:pPr>
        <w:spacing w:line="360" w:lineRule="auto"/>
        <w:ind w:firstLine="420" w:firstLineChars="200"/>
        <w:rPr>
          <w:rFonts w:ascii="宋体" w:hAnsi="宋体" w:cs="宋体"/>
          <w:szCs w:val="21"/>
          <w:highlight w:val="none"/>
        </w:rPr>
      </w:pPr>
      <w:r>
        <w:rPr>
          <w:rFonts w:hint="eastAsia" w:ascii="宋体" w:hAnsi="宋体" w:cs="宋体"/>
          <w:szCs w:val="21"/>
          <w:highlight w:val="none"/>
        </w:rPr>
        <w:t>4.10供应商出现最后报价按无效响应处理或者响应文件按无效处理时</w:t>
      </w:r>
      <w:r>
        <w:rPr>
          <w:rFonts w:hint="eastAsia" w:ascii="宋体" w:hAnsi="宋体"/>
          <w:sz w:val="22"/>
          <w:szCs w:val="22"/>
          <w:highlight w:val="none"/>
        </w:rPr>
        <w:t>，磋商小组应当告知有关供应商</w:t>
      </w:r>
      <w:r>
        <w:rPr>
          <w:rFonts w:hint="eastAsia" w:ascii="宋体" w:hAnsi="宋体" w:cs="宋体"/>
          <w:szCs w:val="21"/>
          <w:highlight w:val="none"/>
        </w:rPr>
        <w:t>。</w:t>
      </w:r>
    </w:p>
    <w:p w14:paraId="08BF5C8A">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1最后报价结束后，磋商小组不得再与供应商进行任何形式的商谈。</w:t>
      </w:r>
    </w:p>
    <w:p w14:paraId="54E52223">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5</w:t>
      </w:r>
      <w:r>
        <w:rPr>
          <w:rFonts w:ascii="黑体" w:hAnsi="黑体" w:eastAsia="黑体" w:cs="宋体"/>
          <w:b/>
          <w:bCs/>
          <w:sz w:val="24"/>
          <w:highlight w:val="none"/>
        </w:rPr>
        <w:t>.</w:t>
      </w:r>
      <w:r>
        <w:rPr>
          <w:rFonts w:hint="eastAsia" w:ascii="黑体" w:hAnsi="黑体" w:eastAsia="黑体" w:cs="宋体"/>
          <w:b/>
          <w:bCs/>
          <w:sz w:val="24"/>
          <w:highlight w:val="none"/>
        </w:rPr>
        <w:t>比较与评价</w:t>
      </w:r>
    </w:p>
    <w:p w14:paraId="670D288F">
      <w:pPr>
        <w:spacing w:line="360" w:lineRule="auto"/>
        <w:ind w:firstLine="420" w:firstLineChars="200"/>
        <w:rPr>
          <w:rFonts w:ascii="宋体" w:hAnsi="宋体" w:cs="宋体"/>
          <w:szCs w:val="21"/>
          <w:highlight w:val="none"/>
        </w:rPr>
      </w:pPr>
      <w:r>
        <w:rPr>
          <w:rFonts w:ascii="宋体" w:hAnsi="宋体" w:cs="宋体"/>
          <w:szCs w:val="21"/>
          <w:highlight w:val="none"/>
        </w:rPr>
        <w:t>5.1</w:t>
      </w:r>
      <w:r>
        <w:rPr>
          <w:rFonts w:hint="eastAsia" w:ascii="宋体" w:hAnsi="宋体" w:cs="宋体"/>
          <w:szCs w:val="21"/>
          <w:highlight w:val="none"/>
        </w:rPr>
        <w:t>评审方法：综合评分法。</w:t>
      </w:r>
    </w:p>
    <w:p w14:paraId="2668C7B3">
      <w:pPr>
        <w:spacing w:line="360" w:lineRule="auto"/>
        <w:ind w:firstLine="420" w:firstLineChars="200"/>
        <w:rPr>
          <w:rFonts w:ascii="宋体" w:hAnsi="宋体" w:cs="宋体"/>
          <w:szCs w:val="21"/>
          <w:highlight w:val="none"/>
        </w:rPr>
      </w:pPr>
      <w:r>
        <w:rPr>
          <w:rFonts w:ascii="宋体" w:hAnsi="宋体" w:cs="宋体"/>
          <w:szCs w:val="21"/>
          <w:highlight w:val="none"/>
        </w:rPr>
        <w:t>5.2</w:t>
      </w:r>
      <w:r>
        <w:rPr>
          <w:rFonts w:hint="eastAsia" w:ascii="宋体" w:hAnsi="宋体" w:cs="宋体"/>
          <w:szCs w:val="21"/>
          <w:highlight w:val="none"/>
        </w:rPr>
        <w:t>经磋商确定最终采购需求和提交最后报价的供应商后，由磋商小组采用综合评分法对提交最后报价的供应商的响应文件和最后报价进行综合评分。</w:t>
      </w:r>
    </w:p>
    <w:p w14:paraId="454AFB2D">
      <w:pPr>
        <w:spacing w:line="360" w:lineRule="auto"/>
        <w:ind w:firstLine="420" w:firstLineChars="200"/>
        <w:rPr>
          <w:rFonts w:ascii="宋体" w:hAnsi="宋体" w:cs="宋体"/>
          <w:szCs w:val="21"/>
          <w:highlight w:val="none"/>
        </w:rPr>
      </w:pPr>
      <w:r>
        <w:rPr>
          <w:rFonts w:ascii="宋体" w:hAnsi="宋体" w:cs="宋体"/>
          <w:szCs w:val="21"/>
          <w:highlight w:val="none"/>
        </w:rPr>
        <w:t>5.3</w:t>
      </w:r>
      <w:r>
        <w:rPr>
          <w:rFonts w:hint="eastAsia" w:ascii="宋体" w:hAnsi="宋体" w:cs="宋体"/>
          <w:szCs w:val="21"/>
          <w:highlight w:val="none"/>
        </w:rPr>
        <w:t>评审时，磋商小组各成员应当独立对每个有效响应的文件进行评价、打分，然后汇总每个供应商每项评分因素的得分。</w:t>
      </w:r>
    </w:p>
    <w:p w14:paraId="7111DD87">
      <w:pPr>
        <w:spacing w:line="360" w:lineRule="auto"/>
        <w:ind w:firstLine="420" w:firstLineChars="200"/>
        <w:rPr>
          <w:rFonts w:ascii="宋体" w:hAnsi="宋体" w:cs="宋体"/>
          <w:szCs w:val="21"/>
          <w:highlight w:val="none"/>
        </w:rPr>
      </w:pPr>
      <w:r>
        <w:rPr>
          <w:rFonts w:hint="eastAsia" w:ascii="宋体" w:hAnsi="宋体" w:cs="宋体"/>
          <w:szCs w:val="21"/>
          <w:highlight w:val="none"/>
        </w:rPr>
        <w:t>（1）磋商小组按照磋商文件中规定的评审标准计算各供应商的报价得分。项目评审过程中，不得去掉最后报价中的最高报价和最低报价。</w:t>
      </w:r>
    </w:p>
    <w:p w14:paraId="7AC8AF6A">
      <w:pPr>
        <w:spacing w:line="360" w:lineRule="auto"/>
        <w:ind w:firstLine="420" w:firstLineChars="200"/>
        <w:rPr>
          <w:rFonts w:ascii="宋体" w:hAnsi="宋体" w:cs="宋体"/>
          <w:szCs w:val="21"/>
          <w:highlight w:val="none"/>
        </w:rPr>
      </w:pPr>
      <w:r>
        <w:rPr>
          <w:rFonts w:hint="eastAsia" w:ascii="宋体" w:hAnsi="宋体" w:cs="宋体"/>
          <w:szCs w:val="21"/>
          <w:highlight w:val="none"/>
        </w:rPr>
        <w:t>（2）各供应商的得分为磋商小组所有成员的有效评分的算术平均数。</w:t>
      </w:r>
    </w:p>
    <w:p w14:paraId="0927C495">
      <w:pPr>
        <w:spacing w:line="360" w:lineRule="auto"/>
        <w:ind w:firstLine="420" w:firstLineChars="200"/>
        <w:rPr>
          <w:rFonts w:ascii="宋体" w:hAnsi="宋体" w:cs="宋体"/>
          <w:szCs w:val="21"/>
          <w:highlight w:val="none"/>
        </w:rPr>
      </w:pPr>
      <w:r>
        <w:rPr>
          <w:rFonts w:ascii="宋体" w:hAnsi="宋体" w:cs="宋体"/>
          <w:szCs w:val="21"/>
          <w:highlight w:val="none"/>
        </w:rPr>
        <w:t>5.4</w:t>
      </w:r>
      <w:r>
        <w:rPr>
          <w:rFonts w:hint="eastAsia" w:ascii="宋体" w:hAnsi="宋体" w:cs="宋体"/>
          <w:szCs w:val="21"/>
          <w:highlight w:val="none"/>
        </w:rPr>
        <w:t>评审价为供应商的最后报价进行政策性扣除后的价格，评审价只是作为评审时使用。最终成交供应商的成交金额等于最后报价（如有修正，以确认修正后的最后报价为准）。</w:t>
      </w:r>
    </w:p>
    <w:p w14:paraId="6508DEA8">
      <w:pPr>
        <w:spacing w:line="360" w:lineRule="auto"/>
        <w:ind w:firstLine="420" w:firstLineChars="200"/>
        <w:rPr>
          <w:rFonts w:ascii="宋体" w:hAnsi="宋体"/>
          <w:kern w:val="0"/>
          <w:szCs w:val="21"/>
          <w:highlight w:val="none"/>
        </w:rPr>
      </w:pPr>
      <w:r>
        <w:rPr>
          <w:rFonts w:ascii="宋体" w:hAnsi="宋体" w:cs="宋体"/>
          <w:szCs w:val="21"/>
          <w:highlight w:val="none"/>
        </w:rPr>
        <w:t>5.5</w:t>
      </w:r>
      <w:r>
        <w:rPr>
          <w:rFonts w:hint="eastAsia" w:ascii="宋体" w:hAnsi="宋体" w:cs="宋体"/>
          <w:szCs w:val="21"/>
          <w:highlight w:val="none"/>
        </w:rPr>
        <w:t>由磋商小组根据综合评分情况，按照评审得分由高到低顺序推荐3名以上成交候选供应商，并编写评</w:t>
      </w:r>
      <w:r>
        <w:rPr>
          <w:rFonts w:hint="eastAsia" w:ascii="宋体" w:hAnsi="宋体"/>
          <w:kern w:val="0"/>
          <w:szCs w:val="21"/>
          <w:highlight w:val="none"/>
        </w:rPr>
        <w:t>审报告。符合本章第</w:t>
      </w:r>
      <w:r>
        <w:rPr>
          <w:rFonts w:ascii="宋体" w:hAnsi="宋体"/>
          <w:kern w:val="0"/>
          <w:szCs w:val="21"/>
          <w:highlight w:val="none"/>
        </w:rPr>
        <w:t>4.3</w:t>
      </w:r>
      <w:r>
        <w:rPr>
          <w:rFonts w:hint="eastAsia" w:ascii="宋体" w:hAnsi="宋体"/>
          <w:kern w:val="0"/>
          <w:szCs w:val="21"/>
          <w:highlight w:val="none"/>
        </w:rPr>
        <w:t>条情形的，可以推荐2家成交候选供应商。评审得分相同的，按照最后报价由低到高的顺序推荐。评审得分且最后报价相同的，按照技术指标优劣顺序推荐。</w:t>
      </w:r>
    </w:p>
    <w:p w14:paraId="2BB85F9F">
      <w:pPr>
        <w:spacing w:line="360" w:lineRule="auto"/>
        <w:ind w:firstLine="420" w:firstLineChars="200"/>
        <w:rPr>
          <w:rFonts w:ascii="宋体" w:hAnsi="宋体" w:cs="宋体"/>
          <w:szCs w:val="21"/>
          <w:highlight w:val="none"/>
        </w:rPr>
      </w:pPr>
      <w:r>
        <w:rPr>
          <w:rFonts w:ascii="宋体" w:hAnsi="宋体"/>
          <w:kern w:val="0"/>
          <w:szCs w:val="21"/>
          <w:highlight w:val="none"/>
        </w:rPr>
        <w:t>5.6</w:t>
      </w:r>
      <w:r>
        <w:rPr>
          <w:rFonts w:hint="eastAsia" w:ascii="宋体" w:hAnsi="宋体"/>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0D3F6DE">
      <w:pPr>
        <w:spacing w:line="360" w:lineRule="auto"/>
        <w:jc w:val="center"/>
        <w:rPr>
          <w:rFonts w:ascii="宋体" w:hAnsi="宋体"/>
          <w:b/>
          <w:sz w:val="32"/>
          <w:szCs w:val="32"/>
          <w:highlight w:val="none"/>
        </w:rPr>
      </w:pPr>
      <w:r>
        <w:rPr>
          <w:rFonts w:hint="eastAsia" w:ascii="宋体" w:hAnsi="宋体"/>
          <w:b/>
          <w:sz w:val="32"/>
          <w:szCs w:val="32"/>
          <w:highlight w:val="none"/>
        </w:rPr>
        <w:t>二、评审标准</w:t>
      </w:r>
    </w:p>
    <w:p w14:paraId="5BCBDAB1">
      <w:pPr>
        <w:spacing w:line="360" w:lineRule="auto"/>
        <w:ind w:firstLine="420" w:firstLineChars="200"/>
        <w:rPr>
          <w:rFonts w:ascii="宋体" w:hAnsi="宋体"/>
          <w:bCs/>
          <w:szCs w:val="21"/>
          <w:highlight w:val="none"/>
        </w:rPr>
      </w:pPr>
      <w:r>
        <w:rPr>
          <w:rFonts w:hint="eastAsia" w:ascii="宋体" w:hAnsi="宋体"/>
          <w:bCs/>
          <w:szCs w:val="21"/>
          <w:highlight w:val="none"/>
        </w:rPr>
        <w:t>6</w:t>
      </w:r>
      <w:r>
        <w:rPr>
          <w:rFonts w:ascii="宋体" w:hAnsi="宋体"/>
          <w:bCs/>
          <w:szCs w:val="21"/>
          <w:highlight w:val="none"/>
        </w:rPr>
        <w:t>.</w:t>
      </w:r>
      <w:r>
        <w:rPr>
          <w:rFonts w:hint="eastAsia" w:ascii="宋体" w:hAnsi="宋体"/>
          <w:bCs/>
          <w:szCs w:val="21"/>
          <w:highlight w:val="none"/>
        </w:rPr>
        <w:t>评审依据：磋商小组将以磋商响应文件为评审依据，对供应商的报价、技术、商务等方面内容按百分制打分。（计分方法按四舍五入取至百分位）</w:t>
      </w:r>
    </w:p>
    <w:p w14:paraId="11A432A1">
      <w:pPr>
        <w:spacing w:line="360" w:lineRule="auto"/>
        <w:ind w:firstLine="420" w:firstLineChars="200"/>
        <w:rPr>
          <w:rFonts w:ascii="宋体" w:hAnsi="宋体"/>
          <w:bCs/>
          <w:szCs w:val="21"/>
          <w:highlight w:val="none"/>
        </w:rPr>
      </w:pPr>
    </w:p>
    <w:p w14:paraId="2B6936CA">
      <w:pPr>
        <w:spacing w:line="360" w:lineRule="auto"/>
        <w:ind w:firstLine="420" w:firstLineChars="200"/>
        <w:rPr>
          <w:rFonts w:ascii="宋体" w:hAnsi="宋体"/>
          <w:bCs/>
          <w:szCs w:val="21"/>
          <w:highlight w:val="none"/>
        </w:rPr>
      </w:pPr>
    </w:p>
    <w:p w14:paraId="6170A2E5">
      <w:pPr>
        <w:pStyle w:val="13"/>
        <w:tabs>
          <w:tab w:val="left" w:pos="180"/>
        </w:tabs>
        <w:spacing w:line="440" w:lineRule="exact"/>
        <w:ind w:firstLine="480" w:firstLineChars="200"/>
        <w:outlineLvl w:val="0"/>
        <w:rPr>
          <w:rFonts w:ascii="仿宋_GB2312" w:hAnsi="仿宋_GB2312" w:eastAsia="仿宋_GB2312" w:cs="仿宋_GB2312"/>
          <w:sz w:val="24"/>
          <w:szCs w:val="24"/>
          <w:highlight w:val="none"/>
        </w:rPr>
      </w:pPr>
    </w:p>
    <w:tbl>
      <w:tblPr>
        <w:tblStyle w:val="22"/>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374"/>
        <w:gridCol w:w="6771"/>
        <w:gridCol w:w="960"/>
      </w:tblGrid>
      <w:tr w14:paraId="3D30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Align w:val="center"/>
          </w:tcPr>
          <w:p w14:paraId="590D588D">
            <w:pPr>
              <w:widowControl/>
              <w:spacing w:beforeLines="20" w:afterLines="20" w:line="360" w:lineRule="exact"/>
              <w:jc w:val="center"/>
              <w:rPr>
                <w:rFonts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序号</w:t>
            </w:r>
          </w:p>
        </w:tc>
        <w:tc>
          <w:tcPr>
            <w:tcW w:w="1374" w:type="dxa"/>
            <w:vAlign w:val="center"/>
          </w:tcPr>
          <w:p w14:paraId="3998B700">
            <w:pPr>
              <w:widowControl/>
              <w:spacing w:beforeLines="20" w:afterLines="20" w:line="360" w:lineRule="exact"/>
              <w:jc w:val="center"/>
              <w:rPr>
                <w:rFonts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评审因素</w:t>
            </w:r>
          </w:p>
        </w:tc>
        <w:tc>
          <w:tcPr>
            <w:tcW w:w="6771" w:type="dxa"/>
            <w:vAlign w:val="center"/>
          </w:tcPr>
          <w:p w14:paraId="757D2FCB">
            <w:pPr>
              <w:widowControl/>
              <w:spacing w:beforeLines="20" w:afterLines="20" w:line="360" w:lineRule="exact"/>
              <w:jc w:val="center"/>
              <w:rPr>
                <w:rFonts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评审因素具体内容</w:t>
            </w:r>
          </w:p>
        </w:tc>
        <w:tc>
          <w:tcPr>
            <w:tcW w:w="960" w:type="dxa"/>
            <w:vAlign w:val="center"/>
          </w:tcPr>
          <w:p w14:paraId="25E70CB4">
            <w:pPr>
              <w:widowControl/>
              <w:spacing w:beforeLines="20" w:afterLines="20" w:line="360" w:lineRule="exact"/>
              <w:jc w:val="center"/>
              <w:rPr>
                <w:rFonts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分值</w:t>
            </w:r>
          </w:p>
        </w:tc>
      </w:tr>
      <w:tr w14:paraId="725A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Align w:val="center"/>
          </w:tcPr>
          <w:p w14:paraId="21581687">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p>
        </w:tc>
        <w:tc>
          <w:tcPr>
            <w:tcW w:w="1374" w:type="dxa"/>
            <w:vAlign w:val="center"/>
          </w:tcPr>
          <w:p w14:paraId="5A28E3DA">
            <w:pPr>
              <w:widowControl/>
              <w:spacing w:beforeLines="20" w:afterLines="20"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kern w:val="0"/>
                <w:szCs w:val="21"/>
                <w:highlight w:val="none"/>
              </w:rPr>
              <w:t>价格分（10分）</w:t>
            </w:r>
          </w:p>
        </w:tc>
        <w:tc>
          <w:tcPr>
            <w:tcW w:w="6771" w:type="dxa"/>
          </w:tcPr>
          <w:p w14:paraId="7A38DDA2">
            <w:pPr>
              <w:spacing w:line="440" w:lineRule="exact"/>
              <w:ind w:firstLine="420" w:firstLineChars="200"/>
              <w:rPr>
                <w:rFonts w:ascii="宋体" w:hAnsi="宋体"/>
                <w:szCs w:val="21"/>
                <w:highlight w:val="none"/>
              </w:rPr>
            </w:pPr>
            <w:r>
              <w:rPr>
                <w:rFonts w:hint="eastAsia" w:ascii="宋体" w:hAnsi="宋体"/>
                <w:bCs/>
                <w:szCs w:val="21"/>
                <w:highlight w:val="none"/>
              </w:rPr>
              <w:t>1.</w:t>
            </w:r>
            <w:r>
              <w:rPr>
                <w:rFonts w:hint="eastAsia" w:ascii="宋体" w:hAnsi="宋体"/>
                <w:szCs w:val="21"/>
                <w:highlight w:val="none"/>
              </w:rPr>
              <w:t>评审报价为供应商的最后报价进行政策性扣除后的价格，评审报价只是作为评审时使用。最终成交供应商的成交金额等于最后报价（如有修正，以确认修正后的最后报价为准）。</w:t>
            </w:r>
          </w:p>
          <w:p w14:paraId="47D6BC1A">
            <w:pPr>
              <w:spacing w:line="440" w:lineRule="exact"/>
              <w:ind w:firstLine="420" w:firstLineChars="200"/>
              <w:rPr>
                <w:rFonts w:ascii="宋体" w:hAnsi="宋体"/>
                <w:kern w:val="0"/>
                <w:szCs w:val="21"/>
                <w:highlight w:val="none"/>
              </w:rPr>
            </w:pPr>
            <w:r>
              <w:rPr>
                <w:rFonts w:hint="eastAsia" w:ascii="宋体" w:hAnsi="宋体"/>
                <w:bCs/>
                <w:szCs w:val="21"/>
                <w:highlight w:val="none"/>
              </w:rPr>
              <w:t>2.政府采购政策性扣除计算方法</w:t>
            </w:r>
          </w:p>
          <w:p w14:paraId="42A68732">
            <w:pPr>
              <w:spacing w:line="440" w:lineRule="exact"/>
              <w:ind w:firstLine="420" w:firstLineChars="200"/>
              <w:rPr>
                <w:rFonts w:ascii="宋体" w:hAnsi="宋体"/>
                <w:bCs/>
                <w:color w:val="000000"/>
                <w:szCs w:val="21"/>
                <w:highlight w:val="none"/>
              </w:rPr>
            </w:pPr>
            <w:r>
              <w:rPr>
                <w:rFonts w:hint="eastAsia" w:ascii="宋体" w:hAnsi="宋体"/>
                <w:szCs w:val="21"/>
                <w:highlight w:val="none"/>
              </w:rPr>
              <w:t>（1）</w:t>
            </w:r>
            <w:r>
              <w:rPr>
                <w:rFonts w:hint="eastAsia" w:ascii="宋体" w:hAnsi="宋体"/>
                <w:bCs/>
                <w:color w:val="000000"/>
                <w:szCs w:val="21"/>
                <w:highlight w:val="none"/>
              </w:rPr>
              <w:t>根据</w:t>
            </w:r>
            <w:r>
              <w:rPr>
                <w:rFonts w:hint="eastAsia" w:ascii="宋体" w:hAnsi="宋体"/>
                <w:bCs/>
                <w:szCs w:val="21"/>
                <w:highlight w:val="none"/>
              </w:rPr>
              <w:t>《政府采购促进中小企业发展管理办法》（财库〔2020〕46号）的规定</w:t>
            </w:r>
            <w:r>
              <w:rPr>
                <w:rFonts w:hint="eastAsia" w:ascii="宋体" w:hAnsi="宋体"/>
                <w:bCs/>
                <w:color w:val="000000"/>
                <w:szCs w:val="21"/>
                <w:highlight w:val="none"/>
              </w:rPr>
              <w:t>，供应商在其响应文件中提供《中小企业声明函》，且服务全部由小微企业承接，对供应商的竞标报价给予10%的扣除，扣除后的价格为评审价，即评审价=竞标报价×（1-1</w:t>
            </w:r>
            <w:r>
              <w:rPr>
                <w:rFonts w:ascii="宋体" w:hAnsi="宋体"/>
                <w:bCs/>
                <w:color w:val="000000"/>
                <w:szCs w:val="21"/>
                <w:highlight w:val="none"/>
              </w:rPr>
              <w:t>0</w:t>
            </w:r>
            <w:r>
              <w:rPr>
                <w:rFonts w:hint="eastAsia" w:ascii="宋体" w:hAnsi="宋体"/>
                <w:bCs/>
                <w:color w:val="000000"/>
                <w:szCs w:val="21"/>
                <w:highlight w:val="none"/>
              </w:rPr>
              <w:t>%）。</w:t>
            </w:r>
          </w:p>
          <w:p w14:paraId="3F58D7AE">
            <w:pPr>
              <w:spacing w:line="48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000000"/>
                <w:szCs w:val="21"/>
                <w:highlight w:val="none"/>
              </w:rPr>
              <w:t>监狱企业属于小型、微型企业的，</w:t>
            </w:r>
            <w:r>
              <w:rPr>
                <w:rFonts w:hint="eastAsia" w:ascii="宋体" w:hAnsi="宋体"/>
                <w:color w:val="000000"/>
                <w:szCs w:val="21"/>
                <w:highlight w:val="none"/>
              </w:rPr>
              <w:t>不重复享受政策。</w:t>
            </w:r>
          </w:p>
          <w:p w14:paraId="14EA14F5">
            <w:pPr>
              <w:spacing w:line="480" w:lineRule="exact"/>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2338322">
            <w:pPr>
              <w:spacing w:line="480" w:lineRule="exact"/>
              <w:ind w:firstLine="420" w:firstLineChars="200"/>
              <w:rPr>
                <w:rFonts w:ascii="宋体" w:hAnsi="宋体" w:cs="Courier New"/>
                <w:bCs/>
                <w:color w:val="000000"/>
                <w:szCs w:val="21"/>
                <w:highlight w:val="none"/>
              </w:rPr>
            </w:pPr>
            <w:r>
              <w:rPr>
                <w:rFonts w:hint="eastAsia" w:ascii="宋体" w:hAnsi="宋体" w:cs="Courier New"/>
                <w:bCs/>
                <w:color w:val="000000"/>
                <w:szCs w:val="21"/>
                <w:highlight w:val="none"/>
              </w:rPr>
              <w:t>（</w:t>
            </w:r>
            <w:r>
              <w:rPr>
                <w:rFonts w:ascii="宋体" w:hAnsi="宋体" w:cs="Courier New"/>
                <w:bCs/>
                <w:color w:val="000000"/>
                <w:szCs w:val="21"/>
                <w:highlight w:val="none"/>
              </w:rPr>
              <w:t>5</w:t>
            </w:r>
            <w:r>
              <w:rPr>
                <w:rFonts w:hint="eastAsia" w:ascii="宋体" w:hAnsi="宋体" w:cs="Courier New"/>
                <w:bCs/>
                <w:color w:val="000000"/>
                <w:szCs w:val="21"/>
                <w:highlight w:val="none"/>
              </w:rPr>
              <w:t>）除上述情况外，评审价=竞标报价。以进入比较与评价环节的最低的评审价为基准价，基准价得分为</w:t>
            </w:r>
            <w:r>
              <w:rPr>
                <w:rFonts w:hint="eastAsia" w:ascii="宋体" w:hAnsi="宋体" w:cs="Courier New"/>
                <w:bCs/>
                <w:color w:val="000000"/>
                <w:szCs w:val="21"/>
                <w:highlight w:val="none"/>
                <w:u w:val="single"/>
              </w:rPr>
              <w:t xml:space="preserve">10分 </w:t>
            </w:r>
            <w:r>
              <w:rPr>
                <w:rFonts w:hint="eastAsia" w:ascii="宋体" w:hAnsi="宋体" w:cs="Courier New"/>
                <w:bCs/>
                <w:color w:val="000000"/>
                <w:szCs w:val="21"/>
                <w:highlight w:val="none"/>
              </w:rPr>
              <w:t>。</w:t>
            </w:r>
          </w:p>
          <w:p w14:paraId="6EED1F25">
            <w:pPr>
              <w:spacing w:line="480" w:lineRule="exact"/>
              <w:ind w:firstLine="420" w:firstLineChars="200"/>
              <w:rPr>
                <w:rFonts w:ascii="宋体" w:hAnsi="宋体" w:cs="Courier New"/>
                <w:bCs/>
                <w:color w:val="000000"/>
                <w:szCs w:val="21"/>
                <w:highlight w:val="none"/>
              </w:rPr>
            </w:pPr>
            <w:r>
              <w:rPr>
                <w:rFonts w:hint="eastAsia" w:ascii="宋体" w:hAnsi="宋体" w:cs="Courier New"/>
                <w:bCs/>
                <w:color w:val="000000"/>
                <w:szCs w:val="21"/>
                <w:highlight w:val="none"/>
              </w:rPr>
              <w:t>（</w:t>
            </w:r>
            <w:r>
              <w:rPr>
                <w:rFonts w:ascii="宋体" w:hAnsi="宋体" w:cs="Courier New"/>
                <w:bCs/>
                <w:color w:val="000000"/>
                <w:szCs w:val="21"/>
                <w:highlight w:val="none"/>
              </w:rPr>
              <w:t>6</w:t>
            </w:r>
            <w:r>
              <w:rPr>
                <w:rFonts w:hint="eastAsia" w:ascii="宋体" w:hAnsi="宋体" w:cs="Courier New"/>
                <w:bCs/>
                <w:color w:val="000000"/>
                <w:szCs w:val="21"/>
                <w:highlight w:val="none"/>
              </w:rPr>
              <w:t>）价格分计算公式：</w:t>
            </w:r>
          </w:p>
          <w:p w14:paraId="7AC82A18">
            <w:pPr>
              <w:pStyle w:val="13"/>
              <w:widowControl/>
              <w:spacing w:beforeLines="20" w:afterLines="20" w:line="360" w:lineRule="exact"/>
              <w:ind w:firstLine="420"/>
              <w:rPr>
                <w:rFonts w:asciiTheme="minorEastAsia" w:hAnsiTheme="minorEastAsia" w:eastAsiaTheme="minorEastAsia" w:cstheme="minorEastAsia"/>
                <w:sz w:val="21"/>
                <w:highlight w:val="none"/>
              </w:rPr>
            </w:pPr>
            <w:r>
              <w:rPr>
                <w:rFonts w:hint="eastAsia" w:hAnsi="宋体" w:cs="Courier New"/>
                <w:bCs/>
                <w:color w:val="000000"/>
                <w:highlight w:val="none"/>
              </w:rPr>
              <w:t>报价得分=（基准价/最后报价）×</w:t>
            </w:r>
            <w:r>
              <w:rPr>
                <w:rFonts w:hint="eastAsia" w:hAnsi="宋体" w:cs="Courier New"/>
                <w:bCs/>
                <w:color w:val="000000"/>
                <w:highlight w:val="none"/>
                <w:u w:val="single"/>
              </w:rPr>
              <w:t>10分</w:t>
            </w:r>
          </w:p>
        </w:tc>
        <w:tc>
          <w:tcPr>
            <w:tcW w:w="960" w:type="dxa"/>
            <w:vAlign w:val="center"/>
          </w:tcPr>
          <w:p w14:paraId="6794D57A">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10分</w:t>
            </w:r>
          </w:p>
        </w:tc>
      </w:tr>
      <w:tr w14:paraId="73A7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Merge w:val="restart"/>
            <w:vAlign w:val="center"/>
          </w:tcPr>
          <w:p w14:paraId="3B3F6901">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p>
        </w:tc>
        <w:tc>
          <w:tcPr>
            <w:tcW w:w="1374" w:type="dxa"/>
            <w:vAlign w:val="center"/>
          </w:tcPr>
          <w:p w14:paraId="2BC7CCCD">
            <w:pPr>
              <w:widowControl/>
              <w:spacing w:beforeLines="20" w:afterLines="20" w:line="360" w:lineRule="exact"/>
              <w:jc w:val="center"/>
              <w:rPr>
                <w:rFonts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技术分（80分）</w:t>
            </w:r>
          </w:p>
        </w:tc>
        <w:tc>
          <w:tcPr>
            <w:tcW w:w="7731" w:type="dxa"/>
            <w:gridSpan w:val="2"/>
            <w:vAlign w:val="center"/>
          </w:tcPr>
          <w:p w14:paraId="6AE08E51">
            <w:pPr>
              <w:widowControl/>
              <w:spacing w:beforeLines="20" w:afterLines="20" w:line="360" w:lineRule="exact"/>
              <w:jc w:val="center"/>
              <w:rPr>
                <w:rFonts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评审因素</w:t>
            </w:r>
          </w:p>
        </w:tc>
      </w:tr>
      <w:tr w14:paraId="5EA3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Merge w:val="continue"/>
            <w:vAlign w:val="center"/>
          </w:tcPr>
          <w:p w14:paraId="46D45699">
            <w:pPr>
              <w:widowControl/>
              <w:spacing w:beforeLines="20" w:afterLines="20" w:line="360" w:lineRule="exact"/>
              <w:jc w:val="center"/>
              <w:rPr>
                <w:rFonts w:asciiTheme="minorEastAsia" w:hAnsiTheme="minorEastAsia" w:eastAsiaTheme="minorEastAsia" w:cstheme="minorEastAsia"/>
                <w:kern w:val="0"/>
                <w:szCs w:val="21"/>
                <w:highlight w:val="none"/>
              </w:rPr>
            </w:pPr>
          </w:p>
        </w:tc>
        <w:tc>
          <w:tcPr>
            <w:tcW w:w="1374" w:type="dxa"/>
            <w:shd w:val="clear" w:color="auto" w:fill="auto"/>
            <w:vAlign w:val="center"/>
          </w:tcPr>
          <w:p w14:paraId="62430E6C">
            <w:pPr>
              <w:widowControl/>
              <w:spacing w:beforeLines="20" w:afterLines="20" w:line="360" w:lineRule="exact"/>
              <w:jc w:val="center"/>
              <w:rPr>
                <w:rFonts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技术方案</w:t>
            </w:r>
          </w:p>
        </w:tc>
        <w:tc>
          <w:tcPr>
            <w:tcW w:w="6771" w:type="dxa"/>
            <w:shd w:val="clear" w:color="auto" w:fill="auto"/>
            <w:vAlign w:val="center"/>
          </w:tcPr>
          <w:p w14:paraId="1BE49555">
            <w:pPr>
              <w:pStyle w:val="13"/>
              <w:widowControl/>
              <w:spacing w:beforeLines="20" w:afterLines="20" w:line="360" w:lineRule="exact"/>
              <w:ind w:firstLine="420"/>
              <w:rPr>
                <w:rFonts w:asciiTheme="minorEastAsia" w:hAnsiTheme="minorEastAsia" w:eastAsiaTheme="minorEastAsia" w:cstheme="minorEastAsia"/>
                <w:bCs/>
                <w:sz w:val="21"/>
                <w:highlight w:val="none"/>
              </w:rPr>
            </w:pPr>
            <w:r>
              <w:rPr>
                <w:rFonts w:hint="eastAsia" w:asciiTheme="minorEastAsia" w:hAnsiTheme="minorEastAsia" w:eastAsiaTheme="minorEastAsia" w:cstheme="minorEastAsia"/>
                <w:b/>
                <w:bCs/>
                <w:sz w:val="21"/>
                <w:highlight w:val="none"/>
              </w:rPr>
              <w:t>一档（7分）：</w:t>
            </w:r>
            <w:r>
              <w:rPr>
                <w:rFonts w:hint="eastAsia" w:asciiTheme="minorEastAsia" w:hAnsiTheme="minorEastAsia" w:eastAsiaTheme="minorEastAsia" w:cstheme="minorEastAsia"/>
                <w:bCs/>
                <w:sz w:val="21"/>
                <w:highlight w:val="none"/>
              </w:rPr>
              <w:t>方案简单粗略，未提供网络拓扑图，技术要求描述基本合理的；</w:t>
            </w:r>
          </w:p>
          <w:p w14:paraId="4AE23C36">
            <w:pPr>
              <w:pStyle w:val="13"/>
              <w:widowControl/>
              <w:spacing w:beforeLines="20" w:afterLines="20" w:line="360" w:lineRule="exact"/>
              <w:ind w:firstLine="420"/>
              <w:rPr>
                <w:rFonts w:asciiTheme="minorEastAsia" w:hAnsiTheme="minorEastAsia" w:eastAsiaTheme="minorEastAsia" w:cstheme="minorEastAsia"/>
                <w:bCs/>
                <w:sz w:val="21"/>
                <w:highlight w:val="none"/>
              </w:rPr>
            </w:pPr>
            <w:r>
              <w:rPr>
                <w:rFonts w:hint="eastAsia" w:asciiTheme="minorEastAsia" w:hAnsiTheme="minorEastAsia" w:eastAsiaTheme="minorEastAsia" w:cstheme="minorEastAsia"/>
                <w:b/>
                <w:sz w:val="21"/>
                <w:highlight w:val="none"/>
              </w:rPr>
              <w:t>二档（14分）：</w:t>
            </w:r>
            <w:r>
              <w:rPr>
                <w:rFonts w:hint="eastAsia" w:asciiTheme="minorEastAsia" w:hAnsiTheme="minorEastAsia" w:eastAsiaTheme="minorEastAsia" w:cstheme="minorEastAsia"/>
                <w:bCs/>
                <w:sz w:val="21"/>
                <w:highlight w:val="none"/>
              </w:rPr>
              <w:t>方案合理、可行，满足技术要求，提供较完整的网络拓扑图和网络接入技术，且能考虑到项目实际情况的；</w:t>
            </w:r>
          </w:p>
          <w:p w14:paraId="0FD867FE">
            <w:pPr>
              <w:pStyle w:val="13"/>
              <w:widowControl/>
              <w:spacing w:beforeLines="20" w:afterLines="20" w:line="360" w:lineRule="exact"/>
              <w:ind w:firstLine="420"/>
              <w:rPr>
                <w:rFonts w:asciiTheme="minorEastAsia" w:hAnsiTheme="minorEastAsia" w:eastAsiaTheme="minorEastAsia" w:cstheme="minorEastAsia"/>
                <w:bCs/>
                <w:sz w:val="21"/>
                <w:highlight w:val="none"/>
              </w:rPr>
            </w:pPr>
            <w:r>
              <w:rPr>
                <w:rFonts w:hint="eastAsia" w:asciiTheme="minorEastAsia" w:hAnsiTheme="minorEastAsia" w:eastAsiaTheme="minorEastAsia" w:cstheme="minorEastAsia"/>
                <w:b/>
                <w:sz w:val="21"/>
                <w:highlight w:val="none"/>
              </w:rPr>
              <w:t>三档（20分）：</w:t>
            </w:r>
            <w:r>
              <w:rPr>
                <w:rFonts w:hint="eastAsia" w:asciiTheme="minorEastAsia" w:hAnsiTheme="minorEastAsia" w:eastAsiaTheme="minorEastAsia" w:cstheme="minorEastAsia"/>
                <w:bCs/>
                <w:sz w:val="21"/>
                <w:highlight w:val="none"/>
              </w:rPr>
              <w:t>技术方案全面、描述详细，提供清晰的网络拓扑图，方案满足采购人的技术要求，并提供网络设备方案和产品说明，提供网络割接方案，同时方案描述包含线路接口方式、线路安全性、可靠性、保密性等，线路接入方案需简单易操作，能提供无线应急接入方案，确保各摄像头网点均能及时有效接入到监控中心，所有网络具有端到端全程网管监控功能，可实行实时监控。</w:t>
            </w:r>
          </w:p>
          <w:p w14:paraId="7934D2C8">
            <w:pPr>
              <w:pStyle w:val="13"/>
              <w:widowControl/>
              <w:spacing w:beforeLines="20" w:afterLines="20" w:line="360" w:lineRule="exact"/>
              <w:ind w:firstLine="420"/>
              <w:rPr>
                <w:rFonts w:asciiTheme="minorEastAsia" w:hAnsiTheme="minorEastAsia" w:eastAsiaTheme="minorEastAsia" w:cstheme="minorEastAsia"/>
                <w:sz w:val="21"/>
                <w:highlight w:val="none"/>
              </w:rPr>
            </w:pPr>
            <w:r>
              <w:rPr>
                <w:rFonts w:hint="eastAsia" w:asciiTheme="minorEastAsia" w:hAnsiTheme="minorEastAsia" w:eastAsiaTheme="minorEastAsia" w:cstheme="minorEastAsia"/>
                <w:bCs/>
                <w:sz w:val="21"/>
                <w:highlight w:val="none"/>
              </w:rPr>
              <w:t>备注：不提供或未满足入一档条件得0分。</w:t>
            </w:r>
          </w:p>
        </w:tc>
        <w:tc>
          <w:tcPr>
            <w:tcW w:w="960" w:type="dxa"/>
            <w:vAlign w:val="center"/>
          </w:tcPr>
          <w:p w14:paraId="4A9BFD01">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20分</w:t>
            </w:r>
          </w:p>
        </w:tc>
      </w:tr>
      <w:tr w14:paraId="7070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Merge w:val="continue"/>
            <w:vAlign w:val="center"/>
          </w:tcPr>
          <w:p w14:paraId="33AA726A">
            <w:pPr>
              <w:widowControl/>
              <w:spacing w:beforeLines="20" w:afterLines="20" w:line="360" w:lineRule="exact"/>
              <w:jc w:val="center"/>
              <w:rPr>
                <w:rFonts w:asciiTheme="minorEastAsia" w:hAnsiTheme="minorEastAsia" w:eastAsiaTheme="minorEastAsia" w:cstheme="minorEastAsia"/>
                <w:kern w:val="0"/>
                <w:szCs w:val="21"/>
                <w:highlight w:val="none"/>
              </w:rPr>
            </w:pPr>
          </w:p>
        </w:tc>
        <w:tc>
          <w:tcPr>
            <w:tcW w:w="1374" w:type="dxa"/>
            <w:shd w:val="clear" w:color="auto" w:fill="auto"/>
            <w:vAlign w:val="center"/>
          </w:tcPr>
          <w:p w14:paraId="3B210328">
            <w:pPr>
              <w:widowControl/>
              <w:spacing w:beforeLines="20" w:afterLines="20" w:line="360" w:lineRule="exact"/>
              <w:jc w:val="center"/>
              <w:rPr>
                <w:rFonts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rPr>
              <w:t>实施管理方案</w:t>
            </w:r>
          </w:p>
        </w:tc>
        <w:tc>
          <w:tcPr>
            <w:tcW w:w="6771" w:type="dxa"/>
            <w:shd w:val="clear" w:color="auto" w:fill="auto"/>
            <w:vAlign w:val="center"/>
          </w:tcPr>
          <w:p w14:paraId="387D449F">
            <w:pPr>
              <w:pStyle w:val="13"/>
              <w:widowControl/>
              <w:spacing w:beforeLines="20" w:afterLines="20" w:line="360" w:lineRule="exact"/>
              <w:ind w:firstLine="420"/>
              <w:rPr>
                <w:rFonts w:asciiTheme="minorEastAsia" w:hAnsiTheme="minorEastAsia" w:eastAsiaTheme="minorEastAsia" w:cstheme="minorEastAsia"/>
                <w:bCs/>
                <w:sz w:val="21"/>
                <w:highlight w:val="none"/>
              </w:rPr>
            </w:pPr>
            <w:r>
              <w:rPr>
                <w:rFonts w:hint="eastAsia" w:asciiTheme="minorEastAsia" w:hAnsiTheme="minorEastAsia" w:eastAsiaTheme="minorEastAsia" w:cstheme="minorEastAsia"/>
                <w:b/>
                <w:bCs/>
                <w:sz w:val="21"/>
                <w:highlight w:val="none"/>
              </w:rPr>
              <w:t>一档（7分）：</w:t>
            </w:r>
            <w:r>
              <w:rPr>
                <w:rFonts w:hint="eastAsia" w:asciiTheme="minorEastAsia" w:hAnsiTheme="minorEastAsia" w:eastAsiaTheme="minorEastAsia" w:cstheme="minorEastAsia"/>
                <w:bCs/>
                <w:sz w:val="21"/>
                <w:highlight w:val="none"/>
              </w:rPr>
              <w:t>有基本的安装进度计划和保证措施，有基本的安全控制措施及实施质量控制保证方案，项目管理组织机构基本满足要求；</w:t>
            </w:r>
          </w:p>
          <w:p w14:paraId="4C64A731">
            <w:pPr>
              <w:pStyle w:val="13"/>
              <w:widowControl/>
              <w:spacing w:beforeLines="20" w:afterLines="20" w:line="360" w:lineRule="exact"/>
              <w:ind w:firstLine="420"/>
              <w:rPr>
                <w:rFonts w:asciiTheme="minorEastAsia" w:hAnsiTheme="minorEastAsia" w:eastAsiaTheme="minorEastAsia" w:cstheme="minorEastAsia"/>
                <w:bCs/>
                <w:sz w:val="21"/>
                <w:highlight w:val="none"/>
              </w:rPr>
            </w:pPr>
            <w:r>
              <w:rPr>
                <w:rFonts w:hint="eastAsia" w:asciiTheme="minorEastAsia" w:hAnsiTheme="minorEastAsia" w:eastAsiaTheme="minorEastAsia" w:cstheme="minorEastAsia"/>
                <w:b/>
                <w:sz w:val="21"/>
                <w:highlight w:val="none"/>
              </w:rPr>
              <w:t>二档（14分）：</w:t>
            </w:r>
            <w:r>
              <w:rPr>
                <w:rFonts w:hint="eastAsia" w:asciiTheme="minorEastAsia" w:hAnsiTheme="minorEastAsia" w:eastAsiaTheme="minorEastAsia" w:cstheme="minorEastAsia"/>
                <w:bCs/>
                <w:sz w:val="21"/>
                <w:highlight w:val="none"/>
              </w:rPr>
              <w:t>有较好的安装进度计划和保证措施，有较好的安全控制措施、实施质量控制方案及实施质量保证措施及质量管理程序，项目管理组织机构满足要求，安排基本合理；</w:t>
            </w:r>
          </w:p>
          <w:p w14:paraId="59486630">
            <w:pPr>
              <w:pStyle w:val="13"/>
              <w:widowControl/>
              <w:spacing w:beforeLines="20" w:afterLines="20" w:line="360" w:lineRule="exact"/>
              <w:ind w:firstLine="420"/>
              <w:rPr>
                <w:rFonts w:asciiTheme="minorEastAsia" w:hAnsiTheme="minorEastAsia" w:eastAsiaTheme="minorEastAsia" w:cstheme="minorEastAsia"/>
                <w:bCs/>
                <w:sz w:val="21"/>
                <w:highlight w:val="none"/>
              </w:rPr>
            </w:pPr>
            <w:r>
              <w:rPr>
                <w:rFonts w:hint="eastAsia" w:asciiTheme="minorEastAsia" w:hAnsiTheme="minorEastAsia" w:eastAsiaTheme="minorEastAsia" w:cstheme="minorEastAsia"/>
                <w:b/>
                <w:sz w:val="21"/>
                <w:highlight w:val="none"/>
              </w:rPr>
              <w:t>三档（21分）：</w:t>
            </w:r>
            <w:r>
              <w:rPr>
                <w:rFonts w:hint="eastAsia" w:asciiTheme="minorEastAsia" w:hAnsiTheme="minorEastAsia" w:eastAsiaTheme="minorEastAsia" w:cstheme="minorEastAsia"/>
                <w:bCs/>
                <w:sz w:val="21"/>
                <w:highlight w:val="none"/>
              </w:rPr>
              <w:t>项目实施组织方案完整，考虑周全，安装进度计划和保证措施完善，项目实施计划可行明晰，项目管理组织机构职能完全满足要求，安排合理清晰，方案能够根据项目实施方案及进度安排，具有工程项目安全管理规范、实施质量保证措施及质量管理程序，实施方案中含有光缆资源情况、工作程序和步骤、管理和协调方法、关键步骤的思路和要点等。</w:t>
            </w:r>
          </w:p>
          <w:p w14:paraId="5216E104">
            <w:pPr>
              <w:pStyle w:val="13"/>
              <w:widowControl/>
              <w:spacing w:beforeLines="20" w:afterLines="20" w:line="360" w:lineRule="exact"/>
              <w:ind w:firstLine="420"/>
              <w:rPr>
                <w:rFonts w:asciiTheme="minorEastAsia" w:hAnsiTheme="minorEastAsia" w:eastAsiaTheme="minorEastAsia" w:cstheme="minorEastAsia"/>
                <w:bCs/>
                <w:sz w:val="21"/>
                <w:highlight w:val="none"/>
              </w:rPr>
            </w:pPr>
            <w:r>
              <w:rPr>
                <w:rFonts w:hint="eastAsia" w:asciiTheme="minorEastAsia" w:hAnsiTheme="minorEastAsia" w:eastAsiaTheme="minorEastAsia" w:cstheme="minorEastAsia"/>
                <w:bCs/>
                <w:sz w:val="21"/>
                <w:highlight w:val="none"/>
              </w:rPr>
              <w:t>备注：不提供或未满足入一档条件得0分。</w:t>
            </w:r>
          </w:p>
        </w:tc>
        <w:tc>
          <w:tcPr>
            <w:tcW w:w="960" w:type="dxa"/>
            <w:vAlign w:val="center"/>
          </w:tcPr>
          <w:p w14:paraId="6DED2AFB">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21分</w:t>
            </w:r>
          </w:p>
        </w:tc>
      </w:tr>
      <w:tr w14:paraId="0532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Merge w:val="continue"/>
            <w:vAlign w:val="center"/>
          </w:tcPr>
          <w:p w14:paraId="0396B392">
            <w:pPr>
              <w:widowControl/>
              <w:spacing w:beforeLines="20" w:afterLines="20" w:line="360" w:lineRule="exact"/>
              <w:jc w:val="center"/>
              <w:rPr>
                <w:rFonts w:asciiTheme="minorEastAsia" w:hAnsiTheme="minorEastAsia" w:eastAsiaTheme="minorEastAsia" w:cstheme="minorEastAsia"/>
                <w:kern w:val="0"/>
                <w:szCs w:val="21"/>
                <w:highlight w:val="none"/>
              </w:rPr>
            </w:pPr>
          </w:p>
        </w:tc>
        <w:tc>
          <w:tcPr>
            <w:tcW w:w="1374" w:type="dxa"/>
            <w:shd w:val="clear" w:color="auto" w:fill="auto"/>
            <w:vAlign w:val="center"/>
          </w:tcPr>
          <w:p w14:paraId="40E02280">
            <w:pPr>
              <w:widowControl/>
              <w:spacing w:beforeLines="20" w:afterLines="20" w:line="360" w:lineRule="exact"/>
              <w:jc w:val="center"/>
              <w:rPr>
                <w:rFonts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rPr>
              <w:t>售后服务</w:t>
            </w:r>
            <w:r>
              <w:rPr>
                <w:rFonts w:hint="eastAsia" w:asciiTheme="minorEastAsia" w:hAnsiTheme="minorEastAsia" w:eastAsiaTheme="minorEastAsia" w:cstheme="minorEastAsia"/>
                <w:bCs/>
                <w:kern w:val="0"/>
                <w:szCs w:val="21"/>
                <w:highlight w:val="none"/>
              </w:rPr>
              <w:t>方案</w:t>
            </w:r>
          </w:p>
        </w:tc>
        <w:tc>
          <w:tcPr>
            <w:tcW w:w="6771" w:type="dxa"/>
            <w:shd w:val="clear" w:color="auto" w:fill="auto"/>
            <w:vAlign w:val="center"/>
          </w:tcPr>
          <w:p w14:paraId="296F570A">
            <w:pPr>
              <w:pStyle w:val="13"/>
              <w:widowControl/>
              <w:spacing w:beforeLines="20" w:afterLines="20" w:line="360" w:lineRule="exact"/>
              <w:ind w:firstLine="420"/>
              <w:rPr>
                <w:rFonts w:asciiTheme="minorEastAsia" w:hAnsiTheme="minorEastAsia" w:eastAsiaTheme="minorEastAsia" w:cstheme="minorEastAsia"/>
                <w:bCs/>
                <w:sz w:val="21"/>
                <w:highlight w:val="none"/>
              </w:rPr>
            </w:pPr>
            <w:r>
              <w:rPr>
                <w:rFonts w:hint="eastAsia" w:asciiTheme="minorEastAsia" w:hAnsiTheme="minorEastAsia" w:eastAsiaTheme="minorEastAsia" w:cstheme="minorEastAsia"/>
                <w:b/>
                <w:bCs/>
                <w:sz w:val="21"/>
                <w:highlight w:val="none"/>
              </w:rPr>
              <w:t>一档（8分）：</w:t>
            </w:r>
            <w:r>
              <w:rPr>
                <w:rFonts w:hint="eastAsia" w:asciiTheme="minorEastAsia" w:hAnsiTheme="minorEastAsia" w:eastAsiaTheme="minorEastAsia" w:cstheme="minorEastAsia"/>
                <w:bCs/>
                <w:sz w:val="21"/>
                <w:highlight w:val="none"/>
              </w:rPr>
              <w:t>售后服务方案描述较为粗略、基本合理，承诺的响应时间、故障到场时间、一般故障排除时间基本达到服务需求；</w:t>
            </w:r>
          </w:p>
          <w:p w14:paraId="36798AF7">
            <w:pPr>
              <w:pStyle w:val="13"/>
              <w:widowControl/>
              <w:spacing w:beforeLines="20" w:afterLines="20" w:line="360" w:lineRule="exact"/>
              <w:ind w:firstLine="420"/>
              <w:rPr>
                <w:rFonts w:asciiTheme="minorEastAsia" w:hAnsiTheme="minorEastAsia" w:eastAsiaTheme="minorEastAsia" w:cstheme="minorEastAsia"/>
                <w:bCs/>
                <w:sz w:val="21"/>
                <w:highlight w:val="none"/>
              </w:rPr>
            </w:pPr>
            <w:r>
              <w:rPr>
                <w:rFonts w:hint="eastAsia" w:asciiTheme="minorEastAsia" w:hAnsiTheme="minorEastAsia" w:eastAsiaTheme="minorEastAsia" w:cstheme="minorEastAsia"/>
                <w:b/>
                <w:sz w:val="21"/>
                <w:highlight w:val="none"/>
              </w:rPr>
              <w:t>二档（16分）：</w:t>
            </w:r>
            <w:r>
              <w:rPr>
                <w:rFonts w:hint="eastAsia" w:asciiTheme="minorEastAsia" w:hAnsiTheme="minorEastAsia" w:eastAsiaTheme="minorEastAsia" w:cstheme="minorEastAsia"/>
                <w:bCs/>
                <w:sz w:val="21"/>
                <w:highlight w:val="none"/>
              </w:rPr>
              <w:t>售后服务方案描述较好，表述清晰，措施有效可行，承诺的响应时间、一般故障排除时间满足服务需求，技术培训方案较完善，提供故障处理流程；</w:t>
            </w:r>
          </w:p>
          <w:p w14:paraId="5BC30271">
            <w:pPr>
              <w:pStyle w:val="13"/>
              <w:widowControl/>
              <w:spacing w:beforeLines="20" w:afterLines="20" w:line="360" w:lineRule="exact"/>
              <w:ind w:firstLine="420"/>
              <w:rPr>
                <w:rFonts w:asciiTheme="minorEastAsia" w:hAnsiTheme="minorEastAsia" w:eastAsiaTheme="minorEastAsia" w:cstheme="minorEastAsia"/>
                <w:bCs/>
                <w:sz w:val="21"/>
                <w:highlight w:val="none"/>
              </w:rPr>
            </w:pPr>
            <w:r>
              <w:rPr>
                <w:rFonts w:hint="eastAsia" w:asciiTheme="minorEastAsia" w:hAnsiTheme="minorEastAsia" w:eastAsiaTheme="minorEastAsia" w:cstheme="minorEastAsia"/>
                <w:b/>
                <w:sz w:val="21"/>
                <w:highlight w:val="none"/>
              </w:rPr>
              <w:t>三档（24分）：</w:t>
            </w:r>
            <w:r>
              <w:rPr>
                <w:rFonts w:hint="eastAsia" w:asciiTheme="minorEastAsia" w:hAnsiTheme="minorEastAsia" w:eastAsiaTheme="minorEastAsia" w:cstheme="minorEastAsia"/>
                <w:bCs/>
                <w:sz w:val="21"/>
                <w:highlight w:val="none"/>
              </w:rPr>
              <w:t>在二档的基础上</w:t>
            </w:r>
            <w:r>
              <w:rPr>
                <w:rFonts w:hint="eastAsia" w:asciiTheme="minorEastAsia" w:hAnsiTheme="minorEastAsia" w:eastAsiaTheme="minorEastAsia" w:cstheme="minorEastAsia"/>
                <w:b/>
                <w:sz w:val="21"/>
                <w:highlight w:val="none"/>
              </w:rPr>
              <w:t>，</w:t>
            </w:r>
            <w:r>
              <w:rPr>
                <w:rFonts w:hint="eastAsia" w:asciiTheme="minorEastAsia" w:hAnsiTheme="minorEastAsia" w:eastAsiaTheme="minorEastAsia" w:cstheme="minorEastAsia"/>
                <w:bCs/>
                <w:sz w:val="21"/>
                <w:highlight w:val="none"/>
              </w:rPr>
              <w:t>供应商有完整的售后维护，包括对项目维护的技术支持体系、售后服务响应时间、备品备件库、例行回访制度、新人培训服务等内容。</w:t>
            </w:r>
          </w:p>
          <w:p w14:paraId="42D3E5D5">
            <w:pPr>
              <w:pStyle w:val="13"/>
              <w:widowControl/>
              <w:spacing w:beforeLines="20" w:afterLines="20" w:line="360" w:lineRule="exact"/>
              <w:ind w:firstLine="420"/>
              <w:rPr>
                <w:rFonts w:asciiTheme="minorEastAsia" w:hAnsiTheme="minorEastAsia" w:eastAsiaTheme="minorEastAsia" w:cstheme="minorEastAsia"/>
                <w:bCs/>
                <w:sz w:val="21"/>
                <w:highlight w:val="none"/>
              </w:rPr>
            </w:pPr>
            <w:r>
              <w:rPr>
                <w:rFonts w:hint="eastAsia" w:asciiTheme="minorEastAsia" w:hAnsiTheme="minorEastAsia" w:eastAsiaTheme="minorEastAsia" w:cstheme="minorEastAsia"/>
                <w:bCs/>
                <w:sz w:val="21"/>
                <w:highlight w:val="none"/>
              </w:rPr>
              <w:t>备注：不提供或未满足入一档条件得0分。</w:t>
            </w:r>
          </w:p>
        </w:tc>
        <w:tc>
          <w:tcPr>
            <w:tcW w:w="960" w:type="dxa"/>
            <w:vAlign w:val="center"/>
          </w:tcPr>
          <w:p w14:paraId="0BE681B0">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24分</w:t>
            </w:r>
          </w:p>
        </w:tc>
      </w:tr>
      <w:tr w14:paraId="145F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Merge w:val="continue"/>
            <w:vAlign w:val="center"/>
          </w:tcPr>
          <w:p w14:paraId="3257E425">
            <w:pPr>
              <w:widowControl/>
              <w:spacing w:beforeLines="20" w:afterLines="20" w:line="360" w:lineRule="exact"/>
              <w:jc w:val="center"/>
              <w:rPr>
                <w:rFonts w:asciiTheme="minorEastAsia" w:hAnsiTheme="minorEastAsia" w:eastAsiaTheme="minorEastAsia" w:cstheme="minorEastAsia"/>
                <w:kern w:val="0"/>
                <w:szCs w:val="21"/>
                <w:highlight w:val="none"/>
              </w:rPr>
            </w:pPr>
          </w:p>
        </w:tc>
        <w:tc>
          <w:tcPr>
            <w:tcW w:w="1374" w:type="dxa"/>
            <w:shd w:val="clear" w:color="auto" w:fill="auto"/>
            <w:vAlign w:val="center"/>
          </w:tcPr>
          <w:p w14:paraId="5D7CC6CB">
            <w:pPr>
              <w:widowControl/>
              <w:spacing w:beforeLines="20" w:afterLines="20" w:line="360" w:lineRule="exact"/>
              <w:jc w:val="center"/>
              <w:rPr>
                <w:rFonts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rPr>
              <w:t>运维人员服务能力</w:t>
            </w:r>
          </w:p>
        </w:tc>
        <w:tc>
          <w:tcPr>
            <w:tcW w:w="6771" w:type="dxa"/>
            <w:shd w:val="clear" w:color="auto" w:fill="auto"/>
            <w:vAlign w:val="center"/>
          </w:tcPr>
          <w:p w14:paraId="318B6498">
            <w:pPr>
              <w:widowControl/>
              <w:spacing w:beforeLines="20" w:afterLines="20"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（1）配备1名专职的项目经理（本项满分3分）</w:t>
            </w:r>
          </w:p>
          <w:p w14:paraId="0C7341B9">
            <w:pPr>
              <w:widowControl/>
              <w:spacing w:beforeLines="20" w:afterLines="20"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具备经评审的项目管理专业中级工程师证书的，加0.5分，具备经评审的项目管理专业高级</w:t>
            </w:r>
            <w:bookmarkStart w:id="80" w:name="OLE_LINK6"/>
            <w:r>
              <w:rPr>
                <w:rFonts w:hint="eastAsia" w:asciiTheme="minorEastAsia" w:hAnsiTheme="minorEastAsia" w:eastAsiaTheme="minorEastAsia" w:cstheme="minorEastAsia"/>
                <w:szCs w:val="21"/>
                <w:highlight w:val="none"/>
              </w:rPr>
              <w:t>及以上</w:t>
            </w:r>
            <w:bookmarkEnd w:id="80"/>
            <w:r>
              <w:rPr>
                <w:rFonts w:hint="eastAsia" w:asciiTheme="minorEastAsia" w:hAnsiTheme="minorEastAsia" w:eastAsiaTheme="minorEastAsia" w:cstheme="minorEastAsia"/>
                <w:szCs w:val="21"/>
                <w:highlight w:val="none"/>
              </w:rPr>
              <w:t>工程师证书的，加1分；</w:t>
            </w:r>
          </w:p>
          <w:p w14:paraId="14B24B32">
            <w:pPr>
              <w:widowControl/>
              <w:spacing w:beforeLines="20" w:afterLines="20"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具备经评审的通信类专业中级工程师职称证书的，加0.5分，具备经评审的通信类专业高级及以上工程师职称证书的，加1分；</w:t>
            </w:r>
          </w:p>
          <w:p w14:paraId="11D18B56">
            <w:pPr>
              <w:widowControl/>
              <w:spacing w:beforeLines="20" w:afterLines="20"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具备网络安全能力认证（Ⅰ级）及以上证书的，加1分；</w:t>
            </w:r>
          </w:p>
          <w:p w14:paraId="77806F9C">
            <w:pPr>
              <w:widowControl/>
              <w:spacing w:beforeLines="20" w:afterLines="20"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（2）拟投入运维技术人员团队（本项满分12分）</w:t>
            </w:r>
          </w:p>
          <w:p w14:paraId="1412F755">
            <w:pPr>
              <w:widowControl/>
              <w:spacing w:beforeLines="20" w:afterLines="20"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拟投入运维人员（项目经理除外）中，具备通信专业中级及以上的职称或职业资格证书的，每人得1分，满分6分；</w:t>
            </w:r>
          </w:p>
          <w:p w14:paraId="5F70B4CE">
            <w:pPr>
              <w:widowControl/>
              <w:spacing w:beforeLines="20" w:afterLines="20"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拟投入运维人员（项目经理除外）中，具备信息系统、网络规划、网络信息安全、项目管理、售后服务等相关专业职称或职业资格或具有国家认可认证资格机构颁发专业能力认证技术人员的，每提供1类专业相关证书的，提供高级及以上的得1分，中级得0.5分，满分6分（拟投入人员多人拥有同类证书的按最高级别的计分，不以人数累加计分）；</w:t>
            </w:r>
          </w:p>
          <w:p w14:paraId="16216F7C">
            <w:pPr>
              <w:widowControl/>
              <w:spacing w:beforeLines="20" w:afterLines="20"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w:t>
            </w:r>
          </w:p>
          <w:p w14:paraId="3A51EE2F">
            <w:pPr>
              <w:widowControl/>
              <w:spacing w:beforeLines="20" w:afterLines="20"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1.以上人员须在响应文件中提供有效的职称证书扫描件或电子证书，并加盖供应商公章，否则不予记分。</w:t>
            </w:r>
          </w:p>
          <w:p w14:paraId="3FDE0D87">
            <w:pPr>
              <w:widowControl/>
              <w:spacing w:beforeLines="20" w:afterLines="20" w:line="360" w:lineRule="exact"/>
              <w:ind w:firstLine="420" w:firstLineChars="200"/>
              <w:rPr>
                <w:rFonts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szCs w:val="21"/>
                <w:highlight w:val="none"/>
              </w:rPr>
              <w:t>2.供应商拟投入运维技术人员必须为本单位在职员工，应提供包括但不限于2024年10月至首次响应文件提交截止时间内任意连续3个月依法缴纳社保或公积金或劳动合同等证明材料的扫描件（或其他有效电子</w:t>
            </w:r>
            <w:r>
              <w:rPr>
                <w:rFonts w:hint="eastAsia" w:asciiTheme="minorEastAsia" w:hAnsiTheme="minorEastAsia" w:eastAsiaTheme="minorEastAsia" w:cstheme="minorEastAsia"/>
                <w:szCs w:val="21"/>
                <w:highlight w:val="none"/>
                <w:lang w:val="en-US" w:eastAsia="zh-CN"/>
              </w:rPr>
              <w:t>证</w:t>
            </w:r>
            <w:r>
              <w:rPr>
                <w:rFonts w:hint="eastAsia" w:asciiTheme="minorEastAsia" w:hAnsiTheme="minorEastAsia" w:eastAsiaTheme="minorEastAsia" w:cstheme="minorEastAsia"/>
                <w:szCs w:val="21"/>
                <w:highlight w:val="none"/>
              </w:rPr>
              <w:t>件）。</w:t>
            </w:r>
          </w:p>
        </w:tc>
        <w:tc>
          <w:tcPr>
            <w:tcW w:w="960" w:type="dxa"/>
            <w:vAlign w:val="center"/>
          </w:tcPr>
          <w:p w14:paraId="181D1089">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15分</w:t>
            </w:r>
          </w:p>
        </w:tc>
      </w:tr>
      <w:tr w14:paraId="6F5D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Align w:val="center"/>
          </w:tcPr>
          <w:p w14:paraId="68E82F11">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p>
        </w:tc>
        <w:tc>
          <w:tcPr>
            <w:tcW w:w="1374" w:type="dxa"/>
            <w:vAlign w:val="center"/>
          </w:tcPr>
          <w:p w14:paraId="0F442A4A">
            <w:pPr>
              <w:widowControl/>
              <w:spacing w:beforeLines="20" w:afterLines="20"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商务分（10分）</w:t>
            </w:r>
          </w:p>
        </w:tc>
        <w:tc>
          <w:tcPr>
            <w:tcW w:w="7731" w:type="dxa"/>
            <w:gridSpan w:val="2"/>
            <w:vAlign w:val="center"/>
          </w:tcPr>
          <w:p w14:paraId="7F97D8AC">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kern w:val="0"/>
                <w:szCs w:val="21"/>
                <w:highlight w:val="none"/>
              </w:rPr>
              <w:t>评审因素</w:t>
            </w:r>
          </w:p>
        </w:tc>
      </w:tr>
      <w:tr w14:paraId="2352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Merge w:val="restart"/>
            <w:vAlign w:val="center"/>
          </w:tcPr>
          <w:p w14:paraId="68CB1557">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3.1</w:t>
            </w:r>
          </w:p>
        </w:tc>
        <w:tc>
          <w:tcPr>
            <w:tcW w:w="1374" w:type="dxa"/>
            <w:vMerge w:val="restart"/>
            <w:vAlign w:val="center"/>
          </w:tcPr>
          <w:p w14:paraId="37BF6A8C">
            <w:pPr>
              <w:widowControl/>
              <w:spacing w:beforeLines="20" w:afterLines="20" w:line="36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企业实力分</w:t>
            </w:r>
          </w:p>
        </w:tc>
        <w:tc>
          <w:tcPr>
            <w:tcW w:w="6771" w:type="dxa"/>
          </w:tcPr>
          <w:p w14:paraId="339D070F">
            <w:pPr>
              <w:widowControl/>
              <w:spacing w:beforeLines="20" w:afterLines="20" w:line="360" w:lineRule="exact"/>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供应商具备有效的ISO9001质量保证体系认证书、GB/T 31950-2023诚信管理体系认证、IS027040数据存储安全管理体系认证、ISO27001信息安全管理体系认证证书，以提供有效的证书扫描件（或有效的电子证书）以及在国家市场监督管理总局/全国认证认可信息公共服务平台网站（http://cx.cnca.cn/CertECloud/index/index/page）截图查询记录并加盖公章为准，每提供一份证书得1分，满分4分，未按以上要求提供不予记分。</w:t>
            </w:r>
          </w:p>
        </w:tc>
        <w:tc>
          <w:tcPr>
            <w:tcW w:w="960" w:type="dxa"/>
            <w:vAlign w:val="center"/>
          </w:tcPr>
          <w:p w14:paraId="6F4DC1BF">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4分</w:t>
            </w:r>
          </w:p>
        </w:tc>
      </w:tr>
      <w:tr w14:paraId="68E8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Merge w:val="continue"/>
            <w:vAlign w:val="center"/>
          </w:tcPr>
          <w:p w14:paraId="390CF508">
            <w:pPr>
              <w:widowControl/>
              <w:spacing w:beforeLines="20" w:afterLines="20" w:line="360" w:lineRule="exact"/>
              <w:jc w:val="center"/>
              <w:rPr>
                <w:rFonts w:asciiTheme="minorEastAsia" w:hAnsiTheme="minorEastAsia" w:eastAsiaTheme="minorEastAsia" w:cstheme="minorEastAsia"/>
                <w:kern w:val="0"/>
                <w:szCs w:val="21"/>
                <w:highlight w:val="none"/>
              </w:rPr>
            </w:pPr>
          </w:p>
        </w:tc>
        <w:tc>
          <w:tcPr>
            <w:tcW w:w="1374" w:type="dxa"/>
            <w:vMerge w:val="continue"/>
            <w:vAlign w:val="center"/>
          </w:tcPr>
          <w:p w14:paraId="1B83A4AC">
            <w:pPr>
              <w:widowControl/>
              <w:spacing w:beforeLines="20" w:afterLines="20" w:line="360" w:lineRule="exact"/>
              <w:jc w:val="center"/>
              <w:rPr>
                <w:rFonts w:asciiTheme="minorEastAsia" w:hAnsiTheme="minorEastAsia" w:eastAsiaTheme="minorEastAsia" w:cstheme="minorEastAsia"/>
                <w:bCs/>
                <w:szCs w:val="21"/>
                <w:highlight w:val="none"/>
              </w:rPr>
            </w:pPr>
          </w:p>
        </w:tc>
        <w:tc>
          <w:tcPr>
            <w:tcW w:w="6771" w:type="dxa"/>
          </w:tcPr>
          <w:p w14:paraId="5B9F3777">
            <w:pPr>
              <w:widowControl/>
              <w:spacing w:beforeLines="20" w:afterLines="20" w:line="360" w:lineRule="exact"/>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供应商具备实施过程中对监控设备或数据传输网络性能的精准检测能力，能提供相关检测仪器设备对应的性能校验/校准证书的（响应文件中需提供有效期内由国家认可的第三方检测机构出具的证书复印件/扫描件），提供1项得1分，满分3分。</w:t>
            </w:r>
          </w:p>
        </w:tc>
        <w:tc>
          <w:tcPr>
            <w:tcW w:w="960" w:type="dxa"/>
            <w:vAlign w:val="center"/>
          </w:tcPr>
          <w:p w14:paraId="29F828A8">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3分</w:t>
            </w:r>
          </w:p>
        </w:tc>
      </w:tr>
      <w:tr w14:paraId="2AF7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Align w:val="center"/>
          </w:tcPr>
          <w:p w14:paraId="35F93248">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3.2</w:t>
            </w:r>
          </w:p>
        </w:tc>
        <w:tc>
          <w:tcPr>
            <w:tcW w:w="1374" w:type="dxa"/>
            <w:vAlign w:val="center"/>
          </w:tcPr>
          <w:p w14:paraId="1F36D46B">
            <w:pPr>
              <w:widowControl/>
              <w:spacing w:beforeLines="20" w:afterLines="20" w:line="36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kern w:val="0"/>
                <w:szCs w:val="21"/>
                <w:highlight w:val="none"/>
              </w:rPr>
              <w:t>业绩分</w:t>
            </w:r>
          </w:p>
        </w:tc>
        <w:tc>
          <w:tcPr>
            <w:tcW w:w="6771" w:type="dxa"/>
          </w:tcPr>
          <w:p w14:paraId="123C7CF9">
            <w:pPr>
              <w:widowControl/>
              <w:spacing w:beforeLines="20" w:afterLines="20"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提供2022年以来类似项目业绩,每个业绩得1分，满分得3分。以提供合同关键页扫描件为准，关键页包括合同名称、标的、合同金额、服务期限,签字盖章页等，以上证明文件内容清晰可辨并加盖单位公章，否则不予记分。</w:t>
            </w:r>
          </w:p>
        </w:tc>
        <w:tc>
          <w:tcPr>
            <w:tcW w:w="960" w:type="dxa"/>
            <w:vAlign w:val="center"/>
          </w:tcPr>
          <w:p w14:paraId="2A55F721">
            <w:pPr>
              <w:widowControl/>
              <w:spacing w:beforeLines="20" w:afterLines="20"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3分</w:t>
            </w:r>
          </w:p>
        </w:tc>
      </w:tr>
      <w:tr w14:paraId="57B6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75" w:type="dxa"/>
            <w:gridSpan w:val="4"/>
            <w:vAlign w:val="center"/>
          </w:tcPr>
          <w:p w14:paraId="4B105492">
            <w:pPr>
              <w:widowControl/>
              <w:spacing w:beforeLines="20" w:afterLines="20" w:line="360" w:lineRule="exact"/>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根据采购法释义，银行、保险、石油石化、电力、电信等行业特殊情况的，可以以分支机构名义参与竞标；若供应商为分支机构，使用其上级公司（直接管理关系或为法人单位）相关资质（如人员资格证书、企业/单位认证证书、荣誉或奖项、财务状况证明等），须提供上级公司针对本项目相关授权或许可证明文件扫描件，否则视为未提供。</w:t>
            </w:r>
          </w:p>
        </w:tc>
      </w:tr>
      <w:tr w14:paraId="4C26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5" w:type="dxa"/>
            <w:gridSpan w:val="4"/>
            <w:vAlign w:val="center"/>
          </w:tcPr>
          <w:p w14:paraId="5440D66D">
            <w:pPr>
              <w:widowControl/>
              <w:spacing w:beforeLines="20" w:afterLines="20" w:line="360" w:lineRule="exac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Cs/>
                <w:szCs w:val="21"/>
                <w:highlight w:val="none"/>
              </w:rPr>
              <w:t>总得分＝1＋2＋3</w:t>
            </w:r>
          </w:p>
        </w:tc>
      </w:tr>
    </w:tbl>
    <w:p w14:paraId="1FD1A326">
      <w:pPr>
        <w:spacing w:line="360" w:lineRule="auto"/>
        <w:ind w:firstLine="420" w:firstLineChars="200"/>
        <w:rPr>
          <w:rFonts w:ascii="宋体" w:hAnsi="宋体"/>
          <w:bCs/>
          <w:szCs w:val="21"/>
          <w:highlight w:val="none"/>
        </w:rPr>
      </w:pPr>
    </w:p>
    <w:p w14:paraId="002D1FB8">
      <w:pPr>
        <w:spacing w:line="360" w:lineRule="auto"/>
        <w:ind w:firstLine="420" w:firstLineChars="200"/>
        <w:rPr>
          <w:rFonts w:ascii="宋体" w:hAnsi="宋体"/>
          <w:bCs/>
          <w:szCs w:val="21"/>
          <w:highlight w:val="none"/>
        </w:rPr>
      </w:pPr>
    </w:p>
    <w:p w14:paraId="2D12D0D3">
      <w:pPr>
        <w:spacing w:line="360" w:lineRule="auto"/>
        <w:ind w:firstLine="420" w:firstLineChars="200"/>
        <w:rPr>
          <w:rFonts w:ascii="宋体" w:hAnsi="宋体"/>
          <w:szCs w:val="21"/>
          <w:highlight w:val="none"/>
        </w:rPr>
      </w:pPr>
      <w:r>
        <w:rPr>
          <w:rFonts w:ascii="宋体" w:hAnsi="宋体"/>
          <w:bCs/>
          <w:szCs w:val="21"/>
          <w:highlight w:val="none"/>
        </w:rPr>
        <w:t>7.</w:t>
      </w:r>
      <w:r>
        <w:rPr>
          <w:rFonts w:hint="eastAsia" w:ascii="宋体" w:hAnsi="宋体"/>
          <w:bCs/>
          <w:szCs w:val="21"/>
          <w:highlight w:val="none"/>
        </w:rPr>
        <w:t>由磋商小组根据综合评分情况，按照评审得分由高到低顺序推荐3名以上成交候选供应商，并编写评审报告，</w:t>
      </w:r>
      <w:r>
        <w:rPr>
          <w:rFonts w:hint="eastAsia" w:ascii="宋体" w:hAnsi="宋体" w:cs="宋体"/>
          <w:highlight w:val="none"/>
        </w:rPr>
        <w:t>评审报告</w:t>
      </w:r>
      <w:r>
        <w:rPr>
          <w:rFonts w:hint="eastAsia" w:hAnsi="宋体"/>
          <w:highlight w:val="none"/>
        </w:rPr>
        <w:t>通过电子交易平台向采购人、采购代理机构提交。</w:t>
      </w:r>
      <w:r>
        <w:rPr>
          <w:rFonts w:hint="eastAsia" w:ascii="宋体" w:hAnsi="宋体"/>
          <w:bCs/>
          <w:szCs w:val="21"/>
          <w:highlight w:val="none"/>
        </w:rPr>
        <w:t>符合本章第</w:t>
      </w:r>
      <w:r>
        <w:rPr>
          <w:rFonts w:ascii="宋体" w:hAnsi="宋体"/>
          <w:bCs/>
          <w:szCs w:val="21"/>
          <w:highlight w:val="none"/>
        </w:rPr>
        <w:t>4.3</w:t>
      </w:r>
      <w:r>
        <w:rPr>
          <w:rFonts w:hint="eastAsia" w:ascii="宋体" w:hAnsi="宋体"/>
          <w:bCs/>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2DE3F4FE">
      <w:pPr>
        <w:spacing w:line="400" w:lineRule="exact"/>
        <w:ind w:firstLine="420" w:firstLineChars="200"/>
        <w:rPr>
          <w:rFonts w:ascii="宋体" w:hAnsi="宋体" w:cs="宋体"/>
          <w:highlight w:val="none"/>
        </w:rPr>
      </w:pPr>
    </w:p>
    <w:p w14:paraId="0FC780F5">
      <w:pPr>
        <w:spacing w:line="400" w:lineRule="exact"/>
        <w:ind w:firstLine="420" w:firstLineChars="200"/>
        <w:rPr>
          <w:rFonts w:ascii="宋体" w:hAnsi="宋体" w:cs="宋体"/>
          <w:highlight w:val="none"/>
        </w:rPr>
      </w:pPr>
    </w:p>
    <w:p w14:paraId="0EE40EB2">
      <w:pPr>
        <w:pStyle w:val="3"/>
        <w:rPr>
          <w:highlight w:val="none"/>
        </w:rPr>
      </w:pPr>
    </w:p>
    <w:p w14:paraId="30AC33B7">
      <w:pPr>
        <w:pStyle w:val="2"/>
        <w:jc w:val="center"/>
        <w:rPr>
          <w:highlight w:val="none"/>
        </w:rPr>
      </w:pPr>
      <w:r>
        <w:rPr>
          <w:highlight w:val="none"/>
        </w:rPr>
        <w:br w:type="page"/>
      </w:r>
    </w:p>
    <w:p w14:paraId="2FC4BE83">
      <w:pPr>
        <w:rPr>
          <w:highlight w:val="none"/>
        </w:rPr>
      </w:pPr>
    </w:p>
    <w:p w14:paraId="02EB79D7">
      <w:pPr>
        <w:rPr>
          <w:highlight w:val="none"/>
        </w:rPr>
      </w:pPr>
    </w:p>
    <w:p w14:paraId="2ADC8172">
      <w:pPr>
        <w:rPr>
          <w:highlight w:val="none"/>
        </w:rPr>
      </w:pPr>
    </w:p>
    <w:p w14:paraId="46CFBE5C">
      <w:pPr>
        <w:rPr>
          <w:highlight w:val="none"/>
        </w:rPr>
      </w:pPr>
    </w:p>
    <w:p w14:paraId="75B95528">
      <w:pPr>
        <w:rPr>
          <w:highlight w:val="none"/>
        </w:rPr>
      </w:pPr>
    </w:p>
    <w:p w14:paraId="12368B6B">
      <w:pPr>
        <w:rPr>
          <w:highlight w:val="none"/>
        </w:rPr>
      </w:pPr>
    </w:p>
    <w:p w14:paraId="24A5838E">
      <w:pPr>
        <w:rPr>
          <w:highlight w:val="none"/>
        </w:rPr>
      </w:pPr>
    </w:p>
    <w:p w14:paraId="3A9F0CA9">
      <w:pPr>
        <w:rPr>
          <w:highlight w:val="none"/>
        </w:rPr>
      </w:pPr>
    </w:p>
    <w:p w14:paraId="0BEECA63">
      <w:pPr>
        <w:rPr>
          <w:highlight w:val="none"/>
        </w:rPr>
      </w:pPr>
    </w:p>
    <w:p w14:paraId="13F2C4F1">
      <w:pPr>
        <w:rPr>
          <w:highlight w:val="none"/>
        </w:rPr>
      </w:pPr>
    </w:p>
    <w:p w14:paraId="08D9F143">
      <w:pPr>
        <w:rPr>
          <w:highlight w:val="none"/>
        </w:rPr>
      </w:pPr>
    </w:p>
    <w:p w14:paraId="5F8C8D80">
      <w:pPr>
        <w:rPr>
          <w:highlight w:val="none"/>
        </w:rPr>
      </w:pPr>
    </w:p>
    <w:p w14:paraId="4B60E299">
      <w:pPr>
        <w:rPr>
          <w:highlight w:val="none"/>
        </w:rPr>
      </w:pPr>
    </w:p>
    <w:p w14:paraId="41AE917E">
      <w:pPr>
        <w:pStyle w:val="2"/>
        <w:jc w:val="center"/>
        <w:rPr>
          <w:highlight w:val="none"/>
        </w:rPr>
      </w:pPr>
      <w:bookmarkStart w:id="81" w:name="_Toc74323460"/>
      <w:r>
        <w:rPr>
          <w:rFonts w:hint="eastAsia"/>
          <w:highlight w:val="none"/>
        </w:rPr>
        <w:t>第五章 响应文件格式</w:t>
      </w:r>
      <w:bookmarkEnd w:id="81"/>
    </w:p>
    <w:p w14:paraId="58109604">
      <w:pPr>
        <w:spacing w:line="240" w:lineRule="atLeast"/>
        <w:rPr>
          <w:rFonts w:ascii="宋体" w:hAnsi="宋体"/>
          <w:b/>
          <w:sz w:val="32"/>
          <w:szCs w:val="32"/>
          <w:highlight w:val="none"/>
        </w:rPr>
      </w:pPr>
    </w:p>
    <w:p w14:paraId="5860327B">
      <w:pPr>
        <w:spacing w:line="240" w:lineRule="atLeast"/>
        <w:rPr>
          <w:rFonts w:ascii="宋体" w:hAnsi="宋体"/>
          <w:b/>
          <w:sz w:val="32"/>
          <w:szCs w:val="32"/>
          <w:highlight w:val="none"/>
        </w:rPr>
      </w:pPr>
    </w:p>
    <w:p w14:paraId="402FF0DF">
      <w:pPr>
        <w:spacing w:line="240" w:lineRule="atLeast"/>
        <w:rPr>
          <w:rFonts w:ascii="宋体" w:hAnsi="宋体"/>
          <w:b/>
          <w:sz w:val="32"/>
          <w:szCs w:val="32"/>
          <w:highlight w:val="none"/>
        </w:rPr>
      </w:pPr>
    </w:p>
    <w:p w14:paraId="1F8BF1E2">
      <w:pPr>
        <w:spacing w:line="240" w:lineRule="atLeast"/>
        <w:rPr>
          <w:rFonts w:ascii="宋体" w:hAnsi="宋体"/>
          <w:b/>
          <w:sz w:val="32"/>
          <w:szCs w:val="32"/>
          <w:highlight w:val="none"/>
        </w:rPr>
      </w:pPr>
    </w:p>
    <w:p w14:paraId="73D8A718">
      <w:pPr>
        <w:spacing w:line="240" w:lineRule="atLeast"/>
        <w:rPr>
          <w:rFonts w:ascii="宋体" w:hAnsi="宋体"/>
          <w:b/>
          <w:sz w:val="32"/>
          <w:szCs w:val="32"/>
          <w:highlight w:val="none"/>
        </w:rPr>
      </w:pPr>
    </w:p>
    <w:p w14:paraId="0E15A004">
      <w:pPr>
        <w:spacing w:line="240" w:lineRule="atLeast"/>
        <w:rPr>
          <w:rFonts w:ascii="宋体" w:hAnsi="宋体"/>
          <w:b/>
          <w:sz w:val="32"/>
          <w:szCs w:val="32"/>
          <w:highlight w:val="none"/>
        </w:rPr>
      </w:pPr>
    </w:p>
    <w:p w14:paraId="1CE77310">
      <w:pPr>
        <w:spacing w:line="240" w:lineRule="atLeast"/>
        <w:rPr>
          <w:rFonts w:ascii="宋体" w:hAnsi="宋体"/>
          <w:b/>
          <w:sz w:val="32"/>
          <w:szCs w:val="32"/>
          <w:highlight w:val="none"/>
        </w:rPr>
      </w:pPr>
    </w:p>
    <w:p w14:paraId="6678DFA3">
      <w:pPr>
        <w:spacing w:line="240" w:lineRule="atLeast"/>
        <w:rPr>
          <w:rFonts w:ascii="宋体" w:hAnsi="宋体"/>
          <w:b/>
          <w:sz w:val="32"/>
          <w:szCs w:val="32"/>
          <w:highlight w:val="none"/>
        </w:rPr>
      </w:pPr>
    </w:p>
    <w:p w14:paraId="5F717EDA">
      <w:pPr>
        <w:spacing w:line="240" w:lineRule="atLeast"/>
        <w:rPr>
          <w:rFonts w:ascii="宋体" w:hAnsi="宋体"/>
          <w:b/>
          <w:sz w:val="32"/>
          <w:szCs w:val="32"/>
          <w:highlight w:val="none"/>
        </w:rPr>
      </w:pPr>
    </w:p>
    <w:p w14:paraId="10628A5D">
      <w:pPr>
        <w:spacing w:line="240" w:lineRule="atLeast"/>
        <w:rPr>
          <w:rFonts w:ascii="宋体" w:hAnsi="宋体"/>
          <w:b/>
          <w:sz w:val="32"/>
          <w:szCs w:val="32"/>
          <w:highlight w:val="none"/>
        </w:rPr>
      </w:pPr>
    </w:p>
    <w:p w14:paraId="22AFB10B">
      <w:pPr>
        <w:spacing w:line="240" w:lineRule="atLeast"/>
        <w:rPr>
          <w:rFonts w:ascii="宋体" w:hAnsi="宋体"/>
          <w:b/>
          <w:sz w:val="32"/>
          <w:szCs w:val="32"/>
          <w:highlight w:val="none"/>
        </w:rPr>
      </w:pPr>
    </w:p>
    <w:p w14:paraId="686C8053">
      <w:pPr>
        <w:snapToGrid w:val="0"/>
        <w:spacing w:before="50" w:after="50"/>
        <w:outlineLvl w:val="1"/>
        <w:rPr>
          <w:rFonts w:ascii="宋体" w:hAnsi="宋体"/>
          <w:b/>
          <w:bCs/>
          <w:sz w:val="24"/>
          <w:highlight w:val="none"/>
        </w:rPr>
      </w:pPr>
    </w:p>
    <w:p w14:paraId="274E46D4">
      <w:pPr>
        <w:snapToGrid w:val="0"/>
        <w:spacing w:beforeLines="50" w:after="50"/>
        <w:jc w:val="center"/>
        <w:rPr>
          <w:rFonts w:ascii="仿宋_GB2312" w:hAnsi="仿宋_GB2312" w:eastAsia="仿宋_GB2312" w:cs="仿宋_GB2312"/>
          <w:bCs/>
          <w:sz w:val="32"/>
          <w:szCs w:val="32"/>
          <w:highlight w:val="none"/>
        </w:rPr>
      </w:pPr>
    </w:p>
    <w:p w14:paraId="4AF699F9">
      <w:pPr>
        <w:rPr>
          <w:b/>
          <w:sz w:val="32"/>
          <w:szCs w:val="32"/>
          <w:highlight w:val="none"/>
        </w:rPr>
      </w:pPr>
      <w:bookmarkStart w:id="82" w:name="_Toc71366186"/>
      <w:bookmarkStart w:id="83" w:name="_Toc44229899"/>
      <w:bookmarkStart w:id="84" w:name="_Toc31728084"/>
      <w:bookmarkStart w:id="85" w:name="_Toc35611438"/>
      <w:bookmarkStart w:id="86" w:name="_Toc31723070"/>
      <w:bookmarkStart w:id="87" w:name="_Toc35611516"/>
      <w:r>
        <w:rPr>
          <w:b/>
          <w:sz w:val="32"/>
          <w:szCs w:val="32"/>
          <w:highlight w:val="none"/>
        </w:rPr>
        <w:br w:type="page"/>
      </w:r>
      <w:r>
        <w:rPr>
          <w:rFonts w:hint="eastAsia"/>
          <w:b/>
          <w:sz w:val="32"/>
          <w:szCs w:val="32"/>
          <w:highlight w:val="none"/>
        </w:rPr>
        <w:t>一、资格证明文件格式</w:t>
      </w:r>
      <w:bookmarkEnd w:id="82"/>
      <w:bookmarkEnd w:id="83"/>
      <w:bookmarkEnd w:id="84"/>
      <w:bookmarkEnd w:id="85"/>
      <w:bookmarkEnd w:id="86"/>
      <w:bookmarkEnd w:id="87"/>
    </w:p>
    <w:p w14:paraId="0C075D59">
      <w:pPr>
        <w:snapToGrid w:val="0"/>
        <w:spacing w:beforeLines="50" w:after="50" w:line="360" w:lineRule="auto"/>
        <w:jc w:val="left"/>
        <w:rPr>
          <w:rFonts w:ascii="宋体" w:hAnsi="宋体"/>
          <w:b/>
          <w:sz w:val="24"/>
          <w:highlight w:val="none"/>
        </w:rPr>
      </w:pPr>
      <w:r>
        <w:rPr>
          <w:rFonts w:hint="eastAsia" w:ascii="宋体" w:hAnsi="宋体"/>
          <w:b/>
          <w:sz w:val="32"/>
          <w:szCs w:val="32"/>
          <w:highlight w:val="none"/>
        </w:rPr>
        <w:t>1.资格证明文件封面格式：</w:t>
      </w:r>
    </w:p>
    <w:p w14:paraId="6AB39082">
      <w:pPr>
        <w:snapToGrid w:val="0"/>
        <w:spacing w:beforeLines="50" w:after="50"/>
        <w:jc w:val="center"/>
        <w:rPr>
          <w:rFonts w:ascii="宋体" w:hAnsi="宋体"/>
          <w:sz w:val="44"/>
          <w:szCs w:val="44"/>
          <w:highlight w:val="none"/>
        </w:rPr>
      </w:pPr>
    </w:p>
    <w:p w14:paraId="42A65EE8">
      <w:pPr>
        <w:snapToGrid w:val="0"/>
        <w:spacing w:beforeLines="50" w:after="50"/>
        <w:jc w:val="center"/>
        <w:rPr>
          <w:rFonts w:ascii="宋体" w:hAnsi="宋体"/>
          <w:sz w:val="44"/>
          <w:szCs w:val="44"/>
          <w:highlight w:val="none"/>
        </w:rPr>
      </w:pPr>
      <w:r>
        <w:rPr>
          <w:rFonts w:hint="eastAsia" w:ascii="宋体" w:hAnsi="宋体"/>
          <w:sz w:val="44"/>
          <w:szCs w:val="44"/>
          <w:highlight w:val="none"/>
        </w:rPr>
        <w:t>电 子 响 应 文 件</w:t>
      </w:r>
    </w:p>
    <w:p w14:paraId="4EC2C177">
      <w:pPr>
        <w:snapToGrid w:val="0"/>
        <w:spacing w:beforeLines="50" w:after="50"/>
        <w:rPr>
          <w:rFonts w:ascii="宋体" w:hAnsi="宋体"/>
          <w:sz w:val="24"/>
          <w:szCs w:val="20"/>
          <w:highlight w:val="none"/>
        </w:rPr>
      </w:pPr>
    </w:p>
    <w:p w14:paraId="252E5463">
      <w:pPr>
        <w:snapToGrid w:val="0"/>
        <w:spacing w:beforeLines="50" w:after="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资  格  证  明  文  件</w:t>
      </w:r>
    </w:p>
    <w:p w14:paraId="7237866E">
      <w:pPr>
        <w:snapToGrid w:val="0"/>
        <w:spacing w:beforeLines="50" w:after="50"/>
        <w:rPr>
          <w:rFonts w:ascii="宋体" w:hAnsi="宋体"/>
          <w:bCs/>
          <w:sz w:val="24"/>
          <w:szCs w:val="20"/>
          <w:highlight w:val="none"/>
        </w:rPr>
      </w:pPr>
    </w:p>
    <w:p w14:paraId="53DA1048">
      <w:pPr>
        <w:snapToGrid w:val="0"/>
        <w:spacing w:beforeLines="50" w:after="50"/>
        <w:rPr>
          <w:rFonts w:ascii="宋体" w:hAnsi="宋体"/>
          <w:bCs/>
          <w:sz w:val="24"/>
          <w:szCs w:val="20"/>
          <w:highlight w:val="none"/>
        </w:rPr>
      </w:pPr>
    </w:p>
    <w:p w14:paraId="4ECFECE4">
      <w:pPr>
        <w:snapToGrid w:val="0"/>
        <w:spacing w:beforeLines="50" w:after="50"/>
        <w:rPr>
          <w:rFonts w:ascii="宋体" w:hAnsi="宋体"/>
          <w:bCs/>
          <w:sz w:val="24"/>
          <w:szCs w:val="20"/>
          <w:highlight w:val="none"/>
        </w:rPr>
      </w:pPr>
    </w:p>
    <w:p w14:paraId="3ACCFD55">
      <w:pPr>
        <w:snapToGrid w:val="0"/>
        <w:spacing w:beforeLines="50" w:after="50"/>
        <w:rPr>
          <w:rFonts w:ascii="宋体" w:hAnsi="宋体"/>
          <w:bCs/>
          <w:sz w:val="24"/>
          <w:szCs w:val="20"/>
          <w:highlight w:val="none"/>
        </w:rPr>
      </w:pPr>
    </w:p>
    <w:p w14:paraId="63AB29CD">
      <w:pPr>
        <w:snapToGrid w:val="0"/>
        <w:spacing w:beforeLines="50" w:after="50"/>
        <w:rPr>
          <w:rFonts w:ascii="宋体" w:hAnsi="宋体"/>
          <w:bCs/>
          <w:sz w:val="24"/>
          <w:szCs w:val="20"/>
          <w:highlight w:val="none"/>
        </w:rPr>
      </w:pPr>
    </w:p>
    <w:p w14:paraId="763AB8D3">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项目名称：</w:t>
      </w:r>
    </w:p>
    <w:p w14:paraId="6C44614E">
      <w:pPr>
        <w:snapToGrid w:val="0"/>
        <w:spacing w:beforeLines="50" w:after="50"/>
        <w:ind w:firstLine="720" w:firstLineChars="225"/>
        <w:rPr>
          <w:rFonts w:ascii="宋体" w:hAnsi="宋体" w:cs="仿宋_GB2312"/>
          <w:bCs/>
          <w:sz w:val="32"/>
          <w:szCs w:val="32"/>
          <w:highlight w:val="none"/>
        </w:rPr>
      </w:pPr>
    </w:p>
    <w:p w14:paraId="1E5E780D">
      <w:pPr>
        <w:snapToGrid w:val="0"/>
        <w:spacing w:beforeLines="50" w:after="50"/>
        <w:ind w:firstLine="720" w:firstLineChars="225"/>
        <w:rPr>
          <w:rFonts w:ascii="宋体" w:hAnsi="宋体" w:cs="仿宋_GB2312"/>
          <w:bCs/>
          <w:sz w:val="32"/>
          <w:szCs w:val="32"/>
          <w:highlight w:val="none"/>
        </w:rPr>
      </w:pPr>
      <w:r>
        <w:rPr>
          <w:rFonts w:hint="eastAsia" w:ascii="宋体" w:hAnsi="宋体" w:cs="仿宋_GB2312"/>
          <w:bCs/>
          <w:sz w:val="32"/>
          <w:szCs w:val="32"/>
          <w:highlight w:val="none"/>
        </w:rPr>
        <w:t>项目编号：</w:t>
      </w:r>
    </w:p>
    <w:p w14:paraId="46C549F5">
      <w:pPr>
        <w:snapToGrid w:val="0"/>
        <w:spacing w:beforeLines="50" w:after="50"/>
        <w:ind w:firstLine="720" w:firstLineChars="225"/>
        <w:rPr>
          <w:rFonts w:ascii="宋体" w:hAnsi="宋体" w:cs="仿宋_GB2312"/>
          <w:bCs/>
          <w:sz w:val="32"/>
          <w:szCs w:val="32"/>
          <w:highlight w:val="none"/>
        </w:rPr>
      </w:pPr>
    </w:p>
    <w:p w14:paraId="36F212C1">
      <w:pPr>
        <w:snapToGrid w:val="0"/>
        <w:spacing w:beforeLines="50" w:after="50"/>
        <w:ind w:firstLine="720" w:firstLineChars="225"/>
        <w:rPr>
          <w:rFonts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14:paraId="7C27E623">
      <w:pPr>
        <w:snapToGrid w:val="0"/>
        <w:spacing w:beforeLines="50" w:after="50"/>
        <w:ind w:firstLine="720" w:firstLineChars="225"/>
        <w:rPr>
          <w:rFonts w:ascii="宋体" w:hAnsi="宋体" w:cs="仿宋_GB2312"/>
          <w:bCs/>
          <w:sz w:val="32"/>
          <w:szCs w:val="32"/>
          <w:highlight w:val="none"/>
        </w:rPr>
      </w:pPr>
    </w:p>
    <w:p w14:paraId="21E31821">
      <w:pPr>
        <w:pStyle w:val="5"/>
        <w:snapToGrid w:val="0"/>
        <w:spacing w:before="50" w:after="50"/>
        <w:ind w:firstLine="720" w:firstLineChars="225"/>
        <w:rPr>
          <w:rFonts w:ascii="宋体" w:hAnsi="宋体" w:cs="仿宋_GB2312"/>
          <w:bCs/>
          <w:sz w:val="32"/>
          <w:szCs w:val="32"/>
          <w:highlight w:val="none"/>
        </w:rPr>
      </w:pPr>
      <w:r>
        <w:rPr>
          <w:rFonts w:hint="eastAsia" w:ascii="宋体" w:hAnsi="宋体" w:cs="仿宋_GB2312"/>
          <w:bCs/>
          <w:sz w:val="32"/>
          <w:szCs w:val="32"/>
          <w:highlight w:val="none"/>
        </w:rPr>
        <w:t>供应商名称：</w:t>
      </w:r>
    </w:p>
    <w:p w14:paraId="322E25C2">
      <w:pPr>
        <w:snapToGrid w:val="0"/>
        <w:spacing w:beforeLines="50" w:after="50"/>
        <w:ind w:firstLine="640" w:firstLineChars="200"/>
        <w:rPr>
          <w:rFonts w:ascii="宋体" w:hAnsi="宋体" w:cs="仿宋_GB2312"/>
          <w:bCs/>
          <w:sz w:val="32"/>
          <w:szCs w:val="32"/>
          <w:highlight w:val="none"/>
        </w:rPr>
      </w:pPr>
    </w:p>
    <w:p w14:paraId="1C40EA05">
      <w:pPr>
        <w:pStyle w:val="5"/>
        <w:snapToGrid w:val="0"/>
        <w:spacing w:before="50" w:after="50"/>
        <w:ind w:firstLine="720" w:firstLineChars="225"/>
        <w:rPr>
          <w:rFonts w:ascii="宋体" w:hAnsi="宋体" w:cs="仿宋_GB2312"/>
          <w:bCs/>
          <w:sz w:val="32"/>
          <w:szCs w:val="32"/>
          <w:highlight w:val="none"/>
        </w:rPr>
      </w:pPr>
    </w:p>
    <w:p w14:paraId="002F4F30">
      <w:pPr>
        <w:pStyle w:val="5"/>
        <w:snapToGrid w:val="0"/>
        <w:spacing w:before="50" w:after="50"/>
        <w:ind w:firstLine="720" w:firstLineChars="225"/>
        <w:rPr>
          <w:rFonts w:ascii="宋体" w:hAnsi="宋体" w:cs="仿宋_GB2312"/>
          <w:bCs/>
          <w:sz w:val="32"/>
          <w:szCs w:val="32"/>
          <w:highlight w:val="none"/>
        </w:rPr>
      </w:pPr>
    </w:p>
    <w:p w14:paraId="1E810D5D">
      <w:pPr>
        <w:pStyle w:val="5"/>
        <w:snapToGrid w:val="0"/>
        <w:spacing w:before="50" w:after="50"/>
        <w:ind w:firstLine="1280" w:firstLineChars="400"/>
        <w:rPr>
          <w:rFonts w:ascii="宋体" w:hAnsi="宋体" w:cs="仿宋_GB2312"/>
          <w:bCs/>
          <w:sz w:val="32"/>
          <w:szCs w:val="32"/>
          <w:highlight w:val="none"/>
        </w:rPr>
      </w:pPr>
    </w:p>
    <w:p w14:paraId="320D7790">
      <w:pPr>
        <w:snapToGrid w:val="0"/>
        <w:spacing w:beforeLines="50" w:after="50"/>
        <w:jc w:val="center"/>
        <w:rPr>
          <w:rFonts w:ascii="宋体" w:hAnsi="宋体" w:cs="仿宋_GB2312"/>
          <w:sz w:val="32"/>
          <w:szCs w:val="32"/>
          <w:highlight w:val="none"/>
        </w:rPr>
      </w:pPr>
      <w:r>
        <w:rPr>
          <w:rFonts w:hint="eastAsia" w:ascii="宋体" w:hAnsi="宋体" w:cs="仿宋_GB2312"/>
          <w:sz w:val="32"/>
          <w:szCs w:val="32"/>
          <w:highlight w:val="none"/>
        </w:rPr>
        <w:t>年    月    日</w:t>
      </w:r>
    </w:p>
    <w:p w14:paraId="564F7EC2">
      <w:pPr>
        <w:snapToGrid w:val="0"/>
        <w:spacing w:beforeLines="50" w:after="50" w:line="360" w:lineRule="auto"/>
        <w:ind w:left="142"/>
        <w:jc w:val="left"/>
        <w:rPr>
          <w:rFonts w:ascii="宋体" w:hAnsi="宋体"/>
          <w:b/>
          <w:bCs/>
          <w:sz w:val="32"/>
          <w:szCs w:val="32"/>
          <w:highlight w:val="none"/>
        </w:rPr>
      </w:pPr>
      <w:r>
        <w:rPr>
          <w:rFonts w:ascii="宋体" w:hAnsi="宋体"/>
          <w:sz w:val="24"/>
          <w:highlight w:val="none"/>
        </w:rPr>
        <w:br w:type="page"/>
      </w:r>
      <w:r>
        <w:rPr>
          <w:rFonts w:hint="eastAsia" w:ascii="宋体" w:hAnsi="宋体"/>
          <w:b/>
          <w:bCs/>
          <w:sz w:val="32"/>
          <w:szCs w:val="32"/>
          <w:highlight w:val="none"/>
        </w:rPr>
        <w:t>2.资格证明文件目录</w:t>
      </w:r>
    </w:p>
    <w:p w14:paraId="09FC2A87">
      <w:pPr>
        <w:snapToGrid w:val="0"/>
        <w:spacing w:beforeLines="50" w:after="50" w:line="360" w:lineRule="auto"/>
        <w:ind w:firstLine="645"/>
        <w:rPr>
          <w:rFonts w:ascii="宋体" w:hAnsi="宋体"/>
          <w:sz w:val="32"/>
          <w:szCs w:val="32"/>
          <w:highlight w:val="none"/>
        </w:rPr>
      </w:pPr>
      <w:r>
        <w:rPr>
          <w:rFonts w:hint="eastAsia" w:ascii="宋体" w:hAnsi="宋体"/>
          <w:sz w:val="32"/>
          <w:szCs w:val="32"/>
          <w:highlight w:val="none"/>
        </w:rPr>
        <w:t>根据磋商文件规定及供应商提供的材料自行编写目录（部分格式后附）。</w:t>
      </w:r>
    </w:p>
    <w:p w14:paraId="4B39E7D7">
      <w:pPr>
        <w:snapToGrid w:val="0"/>
        <w:spacing w:beforeLines="50" w:after="50"/>
        <w:rPr>
          <w:rFonts w:ascii="宋体" w:hAnsi="宋体"/>
          <w:sz w:val="24"/>
          <w:szCs w:val="20"/>
          <w:highlight w:val="none"/>
        </w:rPr>
      </w:pPr>
    </w:p>
    <w:p w14:paraId="4F2E2ECA">
      <w:pPr>
        <w:spacing w:line="300" w:lineRule="auto"/>
        <w:rPr>
          <w:rFonts w:ascii="宋体" w:hAnsi="宋体"/>
          <w:szCs w:val="21"/>
          <w:highlight w:val="none"/>
        </w:rPr>
      </w:pPr>
    </w:p>
    <w:p w14:paraId="2DE77EAA">
      <w:pPr>
        <w:spacing w:line="300" w:lineRule="auto"/>
        <w:rPr>
          <w:rFonts w:ascii="宋体" w:hAnsi="宋体"/>
          <w:szCs w:val="21"/>
          <w:highlight w:val="none"/>
        </w:rPr>
      </w:pPr>
    </w:p>
    <w:p w14:paraId="00899AA3">
      <w:pPr>
        <w:spacing w:line="300" w:lineRule="auto"/>
        <w:rPr>
          <w:rFonts w:ascii="宋体" w:hAnsi="宋体"/>
          <w:szCs w:val="21"/>
          <w:highlight w:val="none"/>
        </w:rPr>
      </w:pPr>
    </w:p>
    <w:p w14:paraId="5A79572A">
      <w:pPr>
        <w:spacing w:line="300" w:lineRule="auto"/>
        <w:rPr>
          <w:rFonts w:ascii="宋体" w:hAnsi="宋体"/>
          <w:szCs w:val="21"/>
          <w:highlight w:val="none"/>
        </w:rPr>
      </w:pPr>
    </w:p>
    <w:p w14:paraId="78DDE8E0">
      <w:pPr>
        <w:spacing w:line="300" w:lineRule="auto"/>
        <w:rPr>
          <w:rFonts w:ascii="宋体" w:hAnsi="宋体"/>
          <w:szCs w:val="21"/>
          <w:highlight w:val="none"/>
        </w:rPr>
      </w:pPr>
    </w:p>
    <w:p w14:paraId="1B89720C">
      <w:pPr>
        <w:spacing w:line="300" w:lineRule="auto"/>
        <w:rPr>
          <w:rFonts w:ascii="宋体" w:hAnsi="宋体"/>
          <w:szCs w:val="21"/>
          <w:highlight w:val="none"/>
        </w:rPr>
      </w:pPr>
    </w:p>
    <w:p w14:paraId="2952D8D1">
      <w:pPr>
        <w:spacing w:line="300" w:lineRule="auto"/>
        <w:rPr>
          <w:rFonts w:ascii="宋体" w:hAnsi="宋体"/>
          <w:szCs w:val="21"/>
          <w:highlight w:val="none"/>
        </w:rPr>
      </w:pPr>
    </w:p>
    <w:p w14:paraId="4054E4EC">
      <w:pPr>
        <w:spacing w:line="300" w:lineRule="auto"/>
        <w:rPr>
          <w:rFonts w:ascii="宋体" w:hAnsi="宋体"/>
          <w:szCs w:val="21"/>
          <w:highlight w:val="none"/>
        </w:rPr>
      </w:pPr>
    </w:p>
    <w:p w14:paraId="391E4EAD">
      <w:pPr>
        <w:spacing w:line="300" w:lineRule="auto"/>
        <w:rPr>
          <w:rFonts w:ascii="宋体" w:hAnsi="宋体"/>
          <w:szCs w:val="21"/>
          <w:highlight w:val="none"/>
        </w:rPr>
      </w:pPr>
    </w:p>
    <w:p w14:paraId="4C4CB93D">
      <w:pPr>
        <w:spacing w:line="300" w:lineRule="auto"/>
        <w:rPr>
          <w:rFonts w:ascii="宋体" w:hAnsi="宋体"/>
          <w:szCs w:val="21"/>
          <w:highlight w:val="none"/>
        </w:rPr>
      </w:pPr>
    </w:p>
    <w:p w14:paraId="45A7CE1F">
      <w:pPr>
        <w:spacing w:line="300" w:lineRule="auto"/>
        <w:rPr>
          <w:rFonts w:ascii="宋体" w:hAnsi="宋体"/>
          <w:szCs w:val="21"/>
          <w:highlight w:val="none"/>
        </w:rPr>
      </w:pPr>
    </w:p>
    <w:p w14:paraId="31110582">
      <w:pPr>
        <w:spacing w:line="300" w:lineRule="auto"/>
        <w:rPr>
          <w:rFonts w:ascii="宋体" w:hAnsi="宋体"/>
          <w:szCs w:val="21"/>
          <w:highlight w:val="none"/>
        </w:rPr>
      </w:pPr>
    </w:p>
    <w:p w14:paraId="487BD179">
      <w:pPr>
        <w:spacing w:line="300" w:lineRule="auto"/>
        <w:rPr>
          <w:rFonts w:ascii="宋体" w:hAnsi="宋体"/>
          <w:szCs w:val="21"/>
          <w:highlight w:val="none"/>
        </w:rPr>
      </w:pPr>
    </w:p>
    <w:p w14:paraId="000AAB47">
      <w:pPr>
        <w:spacing w:line="300" w:lineRule="auto"/>
        <w:rPr>
          <w:rFonts w:ascii="宋体" w:hAnsi="宋体"/>
          <w:szCs w:val="21"/>
          <w:highlight w:val="none"/>
        </w:rPr>
      </w:pPr>
    </w:p>
    <w:p w14:paraId="5D0136AA">
      <w:pPr>
        <w:spacing w:line="300" w:lineRule="auto"/>
        <w:rPr>
          <w:rFonts w:ascii="宋体" w:hAnsi="宋体"/>
          <w:szCs w:val="21"/>
          <w:highlight w:val="none"/>
        </w:rPr>
      </w:pPr>
    </w:p>
    <w:p w14:paraId="40071FEE">
      <w:pPr>
        <w:spacing w:line="320" w:lineRule="exact"/>
        <w:jc w:val="left"/>
        <w:rPr>
          <w:rFonts w:ascii="宋体" w:hAnsi="宋体"/>
          <w:szCs w:val="21"/>
          <w:highlight w:val="none"/>
        </w:rPr>
      </w:pPr>
      <w:r>
        <w:rPr>
          <w:rFonts w:ascii="宋体" w:hAnsi="宋体"/>
          <w:szCs w:val="21"/>
          <w:highlight w:val="none"/>
        </w:rPr>
        <w:br w:type="page"/>
      </w:r>
    </w:p>
    <w:p w14:paraId="4B0F2585">
      <w:pPr>
        <w:snapToGrid w:val="0"/>
        <w:spacing w:beforeLines="50" w:after="50"/>
        <w:jc w:val="left"/>
        <w:rPr>
          <w:rFonts w:ascii="宋体" w:hAnsi="宋体"/>
          <w:b/>
          <w:sz w:val="24"/>
          <w:highlight w:val="none"/>
        </w:rPr>
      </w:pPr>
      <w:r>
        <w:rPr>
          <w:rFonts w:hint="eastAsia" w:ascii="宋体" w:hAnsi="宋体"/>
          <w:b/>
          <w:sz w:val="24"/>
          <w:highlight w:val="none"/>
        </w:rPr>
        <w:t>3.</w:t>
      </w:r>
      <w:r>
        <w:rPr>
          <w:rFonts w:hint="eastAsia" w:ascii="宋体" w:hAnsi="宋体"/>
          <w:b/>
          <w:sz w:val="28"/>
          <w:szCs w:val="28"/>
          <w:highlight w:val="none"/>
        </w:rPr>
        <w:t>供应商直接控股股东信息表</w:t>
      </w:r>
    </w:p>
    <w:p w14:paraId="575179EC">
      <w:pPr>
        <w:snapToGrid w:val="0"/>
        <w:spacing w:before="50" w:afterLines="50"/>
        <w:jc w:val="center"/>
        <w:rPr>
          <w:rFonts w:ascii="宋体" w:hAnsi="宋体"/>
          <w:b/>
          <w:sz w:val="28"/>
          <w:szCs w:val="28"/>
          <w:highlight w:val="none"/>
        </w:rPr>
      </w:pPr>
    </w:p>
    <w:p w14:paraId="1AB72844">
      <w:pPr>
        <w:snapToGrid w:val="0"/>
        <w:spacing w:before="50" w:afterLines="50" w:line="360" w:lineRule="auto"/>
        <w:jc w:val="center"/>
        <w:rPr>
          <w:rFonts w:ascii="宋体" w:hAnsi="宋体"/>
          <w:b/>
          <w:sz w:val="32"/>
          <w:szCs w:val="32"/>
          <w:highlight w:val="none"/>
        </w:rPr>
      </w:pPr>
      <w:r>
        <w:rPr>
          <w:rFonts w:hint="eastAsia" w:ascii="宋体" w:hAnsi="宋体"/>
          <w:b/>
          <w:sz w:val="32"/>
          <w:szCs w:val="32"/>
          <w:highlight w:val="none"/>
        </w:rPr>
        <w:t>供应商直接控股股东信息表</w:t>
      </w:r>
    </w:p>
    <w:tbl>
      <w:tblPr>
        <w:tblStyle w:val="22"/>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DA73CE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D1F5A4A">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7946AB">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BD06F1D">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0EDECF">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1B3AE3">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045FCAA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5F6191">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887151">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F096D9">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2A0A09">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A603B2">
            <w:pPr>
              <w:spacing w:line="360" w:lineRule="auto"/>
              <w:jc w:val="center"/>
              <w:rPr>
                <w:rFonts w:ascii="宋体" w:hAnsi="宋体" w:cs="宋体"/>
                <w:kern w:val="0"/>
                <w:sz w:val="24"/>
                <w:highlight w:val="none"/>
              </w:rPr>
            </w:pPr>
          </w:p>
        </w:tc>
      </w:tr>
      <w:tr w14:paraId="695E4B4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0C211">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3F5D6F">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B2D321">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FB6C45">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B6590A">
            <w:pPr>
              <w:spacing w:line="360" w:lineRule="auto"/>
              <w:jc w:val="center"/>
              <w:rPr>
                <w:rFonts w:ascii="宋体" w:hAnsi="宋体" w:cs="宋体"/>
                <w:kern w:val="0"/>
                <w:sz w:val="24"/>
                <w:highlight w:val="none"/>
              </w:rPr>
            </w:pPr>
          </w:p>
        </w:tc>
      </w:tr>
      <w:tr w14:paraId="015243C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387BD1">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46594F">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0011AA">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9B26D2">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D60EF7">
            <w:pPr>
              <w:spacing w:line="360" w:lineRule="auto"/>
              <w:jc w:val="center"/>
              <w:rPr>
                <w:rFonts w:ascii="宋体" w:hAnsi="宋体" w:cs="宋体"/>
                <w:kern w:val="0"/>
                <w:sz w:val="24"/>
                <w:highlight w:val="none"/>
              </w:rPr>
            </w:pPr>
          </w:p>
        </w:tc>
      </w:tr>
      <w:tr w14:paraId="4588EA1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E889CF">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1FF3AE">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94E577">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2B4477">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830EE1">
            <w:pPr>
              <w:spacing w:line="360" w:lineRule="auto"/>
              <w:jc w:val="center"/>
              <w:rPr>
                <w:rFonts w:ascii="宋体" w:hAnsi="宋体" w:cs="宋体"/>
                <w:kern w:val="0"/>
                <w:sz w:val="24"/>
                <w:highlight w:val="none"/>
              </w:rPr>
            </w:pPr>
          </w:p>
        </w:tc>
      </w:tr>
    </w:tbl>
    <w:p w14:paraId="0E3C54ED">
      <w:pPr>
        <w:snapToGrid w:val="0"/>
        <w:spacing w:line="360" w:lineRule="auto"/>
        <w:jc w:val="left"/>
        <w:rPr>
          <w:rFonts w:ascii="宋体" w:hAnsi="宋体"/>
          <w:sz w:val="24"/>
          <w:highlight w:val="none"/>
        </w:rPr>
      </w:pPr>
      <w:r>
        <w:rPr>
          <w:rFonts w:hint="eastAsia" w:ascii="宋体" w:hAnsi="宋体"/>
          <w:sz w:val="24"/>
          <w:highlight w:val="none"/>
        </w:rPr>
        <w:t>注：</w:t>
      </w:r>
    </w:p>
    <w:p w14:paraId="4CE34B52">
      <w:pPr>
        <w:snapToGrid w:val="0"/>
        <w:spacing w:line="360" w:lineRule="auto"/>
        <w:jc w:val="left"/>
        <w:rPr>
          <w:rFonts w:ascii="宋体" w:hAnsi="宋体"/>
          <w:sz w:val="24"/>
          <w:highlight w:val="none"/>
        </w:rPr>
      </w:pPr>
      <w:r>
        <w:rPr>
          <w:rFonts w:hint="eastAsia" w:ascii="宋体" w:hAnsi="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5C4EA48">
      <w:pPr>
        <w:snapToGrid w:val="0"/>
        <w:spacing w:line="360" w:lineRule="auto"/>
        <w:jc w:val="left"/>
        <w:rPr>
          <w:rFonts w:ascii="宋体" w:hAnsi="宋体"/>
          <w:sz w:val="24"/>
          <w:highlight w:val="none"/>
        </w:rPr>
      </w:pPr>
      <w:r>
        <w:rPr>
          <w:rFonts w:hint="eastAsia" w:ascii="宋体" w:hAnsi="宋体"/>
          <w:sz w:val="24"/>
          <w:highlight w:val="none"/>
        </w:rPr>
        <w:t>2.本表所指的控股关系仅限于直接控股关系，不包括间接的控股关系。公司实际控制人与公司之间的关系不属于本表所指的直接控股关系。</w:t>
      </w:r>
    </w:p>
    <w:p w14:paraId="604D62A9">
      <w:pPr>
        <w:snapToGrid w:val="0"/>
        <w:spacing w:line="360" w:lineRule="auto"/>
        <w:jc w:val="left"/>
        <w:rPr>
          <w:rFonts w:ascii="宋体" w:hAnsi="宋体"/>
          <w:sz w:val="24"/>
          <w:highlight w:val="none"/>
        </w:rPr>
      </w:pPr>
      <w:r>
        <w:rPr>
          <w:rFonts w:hint="eastAsia" w:ascii="宋体" w:hAnsi="宋体"/>
          <w:sz w:val="24"/>
          <w:highlight w:val="none"/>
        </w:rPr>
        <w:t>3.供应商不存在直接控股股东的，则在“</w:t>
      </w:r>
      <w:r>
        <w:rPr>
          <w:rFonts w:hint="eastAsia" w:ascii="宋体" w:hAnsi="宋体" w:cs="宋体"/>
          <w:b/>
          <w:bCs/>
          <w:kern w:val="0"/>
          <w:sz w:val="24"/>
          <w:highlight w:val="none"/>
        </w:rPr>
        <w:t>直接控股股东名称</w:t>
      </w:r>
      <w:r>
        <w:rPr>
          <w:rFonts w:hint="eastAsia" w:ascii="宋体" w:hAnsi="宋体"/>
          <w:sz w:val="24"/>
          <w:highlight w:val="none"/>
        </w:rPr>
        <w:t>”中填“无”。</w:t>
      </w:r>
    </w:p>
    <w:p w14:paraId="476F6144">
      <w:pPr>
        <w:snapToGrid w:val="0"/>
        <w:spacing w:line="360" w:lineRule="auto"/>
        <w:jc w:val="left"/>
        <w:rPr>
          <w:rFonts w:ascii="宋体" w:hAnsi="宋体"/>
          <w:sz w:val="24"/>
          <w:highlight w:val="none"/>
        </w:rPr>
      </w:pPr>
    </w:p>
    <w:p w14:paraId="64DDCD24">
      <w:pPr>
        <w:snapToGrid w:val="0"/>
        <w:spacing w:line="360" w:lineRule="auto"/>
        <w:jc w:val="left"/>
        <w:rPr>
          <w:rFonts w:ascii="宋体" w:hAnsi="宋体"/>
          <w:sz w:val="24"/>
          <w:highlight w:val="none"/>
        </w:rPr>
      </w:pPr>
    </w:p>
    <w:p w14:paraId="0B1E4DB6">
      <w:pPr>
        <w:snapToGrid w:val="0"/>
        <w:spacing w:line="360" w:lineRule="auto"/>
        <w:jc w:val="left"/>
        <w:rPr>
          <w:rFonts w:ascii="宋体" w:hAnsi="宋体"/>
          <w:sz w:val="24"/>
          <w:highlight w:val="none"/>
        </w:rPr>
      </w:pPr>
    </w:p>
    <w:p w14:paraId="7BF0F210">
      <w:pPr>
        <w:snapToGrid w:val="0"/>
        <w:spacing w:line="360" w:lineRule="auto"/>
        <w:ind w:left="-2" w:leftChars="-1" w:right="-817" w:rightChars="-389"/>
        <w:rPr>
          <w:rFonts w:ascii="宋体" w:hAnsi="宋体"/>
          <w:sz w:val="24"/>
          <w:highlight w:val="none"/>
        </w:rPr>
      </w:pPr>
      <w:r>
        <w:rPr>
          <w:rFonts w:hint="eastAsia" w:ascii="宋体" w:hAnsi="宋体"/>
          <w:sz w:val="24"/>
          <w:highlight w:val="none"/>
        </w:rPr>
        <w:t xml:space="preserve">             法定代表人或者委托代理人（签字或者电子签名）：</w:t>
      </w:r>
    </w:p>
    <w:p w14:paraId="76AFC365">
      <w:pPr>
        <w:snapToGrid w:val="0"/>
        <w:spacing w:line="360" w:lineRule="auto"/>
        <w:ind w:left="-3" w:leftChars="-15" w:right="-817" w:rightChars="-389" w:hanging="28" w:hangingChars="12"/>
        <w:rPr>
          <w:rFonts w:ascii="宋体" w:hAnsi="宋体"/>
          <w:sz w:val="24"/>
          <w:highlight w:val="none"/>
        </w:rPr>
      </w:pPr>
      <w:r>
        <w:rPr>
          <w:rFonts w:hint="eastAsia" w:ascii="宋体" w:hAnsi="宋体"/>
          <w:sz w:val="24"/>
          <w:highlight w:val="none"/>
        </w:rPr>
        <w:t xml:space="preserve">                                    供应商名称（电子签章）：</w:t>
      </w:r>
    </w:p>
    <w:p w14:paraId="77D3FDB2">
      <w:pPr>
        <w:snapToGrid w:val="0"/>
        <w:spacing w:line="360" w:lineRule="auto"/>
        <w:jc w:val="left"/>
        <w:rPr>
          <w:rFonts w:ascii="宋体" w:hAnsi="宋体"/>
          <w:szCs w:val="21"/>
          <w:highlight w:val="none"/>
        </w:rPr>
      </w:pPr>
      <w:r>
        <w:rPr>
          <w:rFonts w:hint="eastAsia" w:ascii="宋体" w:hAnsi="宋体"/>
          <w:sz w:val="24"/>
          <w:highlight w:val="none"/>
        </w:rPr>
        <w:t xml:space="preserve">                                    日期：    年   月   日</w:t>
      </w:r>
    </w:p>
    <w:p w14:paraId="0B33ECBC">
      <w:pPr>
        <w:snapToGrid w:val="0"/>
        <w:jc w:val="center"/>
        <w:rPr>
          <w:rFonts w:ascii="宋体" w:hAnsi="宋体"/>
          <w:b/>
          <w:sz w:val="28"/>
          <w:szCs w:val="28"/>
          <w:highlight w:val="none"/>
        </w:rPr>
      </w:pPr>
    </w:p>
    <w:p w14:paraId="364AC92F">
      <w:pPr>
        <w:snapToGrid w:val="0"/>
        <w:spacing w:line="360" w:lineRule="auto"/>
        <w:jc w:val="left"/>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24"/>
          <w:highlight w:val="none"/>
        </w:rPr>
        <w:t>4.</w:t>
      </w:r>
      <w:r>
        <w:rPr>
          <w:rFonts w:hint="eastAsia" w:ascii="宋体" w:hAnsi="宋体"/>
          <w:b/>
          <w:sz w:val="28"/>
          <w:szCs w:val="28"/>
          <w:highlight w:val="none"/>
        </w:rPr>
        <w:t>供应商直接管理关系信息表</w:t>
      </w:r>
    </w:p>
    <w:p w14:paraId="2576D6AE">
      <w:pPr>
        <w:snapToGrid w:val="0"/>
        <w:spacing w:line="360" w:lineRule="auto"/>
        <w:jc w:val="center"/>
        <w:rPr>
          <w:rFonts w:ascii="宋体" w:hAnsi="宋体"/>
          <w:sz w:val="32"/>
          <w:szCs w:val="32"/>
          <w:highlight w:val="none"/>
        </w:rPr>
      </w:pPr>
      <w:r>
        <w:rPr>
          <w:rFonts w:hint="eastAsia" w:ascii="宋体" w:hAnsi="宋体"/>
          <w:b/>
          <w:sz w:val="32"/>
          <w:szCs w:val="32"/>
          <w:highlight w:val="none"/>
        </w:rPr>
        <w:t>供应商直接管理关系信息表</w:t>
      </w:r>
    </w:p>
    <w:tbl>
      <w:tblPr>
        <w:tblStyle w:val="2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B20B32F">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875D07D">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988B71">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F763FB">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A011C3">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2790E00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45AD7C">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C4A9EA">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98131B">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B52269">
            <w:pPr>
              <w:spacing w:line="360" w:lineRule="auto"/>
              <w:jc w:val="center"/>
              <w:rPr>
                <w:rFonts w:ascii="宋体" w:hAnsi="宋体" w:cs="宋体"/>
                <w:kern w:val="0"/>
                <w:sz w:val="24"/>
                <w:highlight w:val="none"/>
              </w:rPr>
            </w:pPr>
          </w:p>
        </w:tc>
      </w:tr>
      <w:tr w14:paraId="23C1802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47112D">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88AC58">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5ADB76">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45942A">
            <w:pPr>
              <w:spacing w:line="360" w:lineRule="auto"/>
              <w:jc w:val="center"/>
              <w:rPr>
                <w:rFonts w:ascii="宋体" w:hAnsi="宋体" w:cs="宋体"/>
                <w:kern w:val="0"/>
                <w:sz w:val="24"/>
                <w:highlight w:val="none"/>
              </w:rPr>
            </w:pPr>
          </w:p>
        </w:tc>
      </w:tr>
      <w:tr w14:paraId="5DEE6D0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075E5E">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09C26F">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B0DCC2">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8C3B4F">
            <w:pPr>
              <w:spacing w:line="360" w:lineRule="auto"/>
              <w:jc w:val="center"/>
              <w:rPr>
                <w:rFonts w:ascii="宋体" w:hAnsi="宋体" w:cs="宋体"/>
                <w:kern w:val="0"/>
                <w:sz w:val="24"/>
                <w:highlight w:val="none"/>
              </w:rPr>
            </w:pPr>
          </w:p>
        </w:tc>
      </w:tr>
      <w:tr w14:paraId="6F38D66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88AF5D">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255EB7">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AA0D65">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3ED5DF">
            <w:pPr>
              <w:spacing w:line="360" w:lineRule="auto"/>
              <w:jc w:val="center"/>
              <w:rPr>
                <w:rFonts w:ascii="宋体" w:hAnsi="宋体" w:cs="宋体"/>
                <w:kern w:val="0"/>
                <w:sz w:val="24"/>
                <w:highlight w:val="none"/>
              </w:rPr>
            </w:pPr>
          </w:p>
        </w:tc>
      </w:tr>
    </w:tbl>
    <w:p w14:paraId="28CF09E2">
      <w:pPr>
        <w:snapToGrid w:val="0"/>
        <w:spacing w:line="360" w:lineRule="auto"/>
        <w:jc w:val="left"/>
        <w:rPr>
          <w:rFonts w:ascii="宋体" w:hAnsi="宋体"/>
          <w:sz w:val="24"/>
          <w:highlight w:val="none"/>
        </w:rPr>
      </w:pPr>
      <w:r>
        <w:rPr>
          <w:rFonts w:hint="eastAsia" w:ascii="宋体" w:hAnsi="宋体"/>
          <w:sz w:val="24"/>
          <w:highlight w:val="none"/>
        </w:rPr>
        <w:t>注：</w:t>
      </w:r>
    </w:p>
    <w:p w14:paraId="07E5AD08">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1.管理关系：是指不具有出资持股关系的其他单位之间存在的管理与被管理关系，如一些上下级关系的事业单位和团体组织。</w:t>
      </w:r>
    </w:p>
    <w:p w14:paraId="3EEF9175">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pacing w:val="-6"/>
          <w:sz w:val="24"/>
          <w:highlight w:val="none"/>
        </w:rPr>
        <w:t>本表所指的管理关系仅限于直接管理关系，不包括间接的管理关系。</w:t>
      </w:r>
    </w:p>
    <w:p w14:paraId="12CD4B1F">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3.供应商不存在直接管理关系的，则在“</w:t>
      </w:r>
      <w:r>
        <w:rPr>
          <w:rFonts w:hint="eastAsia" w:ascii="宋体" w:hAnsi="宋体" w:cs="宋体"/>
          <w:b/>
          <w:bCs/>
          <w:kern w:val="0"/>
          <w:sz w:val="24"/>
          <w:highlight w:val="none"/>
        </w:rPr>
        <w:t>直接管理关系单位名称</w:t>
      </w:r>
      <w:r>
        <w:rPr>
          <w:rFonts w:hint="eastAsia" w:ascii="宋体" w:hAnsi="宋体"/>
          <w:sz w:val="24"/>
          <w:highlight w:val="none"/>
        </w:rPr>
        <w:t>”中填“无”。</w:t>
      </w:r>
    </w:p>
    <w:p w14:paraId="22F76E3F">
      <w:pPr>
        <w:snapToGrid w:val="0"/>
        <w:spacing w:line="360" w:lineRule="auto"/>
        <w:jc w:val="left"/>
        <w:rPr>
          <w:rFonts w:ascii="宋体" w:hAnsi="宋体"/>
          <w:sz w:val="24"/>
          <w:highlight w:val="none"/>
        </w:rPr>
      </w:pPr>
    </w:p>
    <w:p w14:paraId="67096EFB">
      <w:pPr>
        <w:snapToGrid w:val="0"/>
        <w:spacing w:line="360" w:lineRule="auto"/>
        <w:jc w:val="left"/>
        <w:rPr>
          <w:rFonts w:ascii="宋体" w:hAnsi="宋体"/>
          <w:sz w:val="24"/>
          <w:highlight w:val="none"/>
        </w:rPr>
      </w:pPr>
    </w:p>
    <w:p w14:paraId="333C2187">
      <w:pPr>
        <w:snapToGrid w:val="0"/>
        <w:spacing w:line="360" w:lineRule="auto"/>
        <w:jc w:val="left"/>
        <w:rPr>
          <w:rFonts w:ascii="宋体" w:hAnsi="宋体"/>
          <w:sz w:val="24"/>
          <w:highlight w:val="none"/>
        </w:rPr>
      </w:pPr>
    </w:p>
    <w:p w14:paraId="7C609A44">
      <w:pPr>
        <w:snapToGrid w:val="0"/>
        <w:spacing w:line="360" w:lineRule="auto"/>
        <w:jc w:val="left"/>
        <w:rPr>
          <w:sz w:val="24"/>
          <w:highlight w:val="none"/>
        </w:rPr>
      </w:pPr>
    </w:p>
    <w:p w14:paraId="28413D29">
      <w:pPr>
        <w:snapToGrid w:val="0"/>
        <w:spacing w:line="360" w:lineRule="auto"/>
        <w:ind w:left="-2" w:leftChars="-1" w:right="-817" w:rightChars="-389"/>
        <w:rPr>
          <w:rFonts w:ascii="宋体" w:hAnsi="宋体"/>
          <w:sz w:val="24"/>
          <w:highlight w:val="none"/>
        </w:rPr>
      </w:pPr>
      <w:r>
        <w:rPr>
          <w:rFonts w:hint="eastAsia" w:ascii="宋体" w:hAnsi="宋体"/>
          <w:sz w:val="24"/>
          <w:highlight w:val="none"/>
        </w:rPr>
        <w:t xml:space="preserve">            法定代表人或者委托代理人（签字或者电子签名）：</w:t>
      </w:r>
    </w:p>
    <w:p w14:paraId="3755F9A5">
      <w:pPr>
        <w:snapToGrid w:val="0"/>
        <w:spacing w:line="360" w:lineRule="auto"/>
        <w:ind w:left="-3" w:leftChars="-15" w:right="-817" w:rightChars="-389" w:hanging="28" w:hangingChars="12"/>
        <w:rPr>
          <w:rFonts w:ascii="宋体" w:hAnsi="宋体"/>
          <w:sz w:val="24"/>
          <w:highlight w:val="none"/>
        </w:rPr>
      </w:pPr>
      <w:r>
        <w:rPr>
          <w:rFonts w:hint="eastAsia" w:ascii="宋体" w:hAnsi="宋体"/>
          <w:sz w:val="24"/>
          <w:highlight w:val="none"/>
        </w:rPr>
        <w:t xml:space="preserve">                                  供应商名称（电子签章）：</w:t>
      </w:r>
    </w:p>
    <w:p w14:paraId="330AECB8">
      <w:pPr>
        <w:snapToGrid w:val="0"/>
        <w:spacing w:line="360" w:lineRule="auto"/>
        <w:ind w:right="480" w:firstLine="240" w:firstLineChars="100"/>
        <w:jc w:val="left"/>
        <w:rPr>
          <w:rFonts w:ascii="宋体" w:hAnsi="宋体"/>
          <w:szCs w:val="21"/>
          <w:highlight w:val="none"/>
        </w:rPr>
      </w:pPr>
      <w:r>
        <w:rPr>
          <w:rFonts w:hint="eastAsia" w:ascii="宋体" w:hAnsi="宋体"/>
          <w:sz w:val="24"/>
          <w:highlight w:val="none"/>
        </w:rPr>
        <w:t xml:space="preserve">                                日期：    年   月   日</w:t>
      </w:r>
    </w:p>
    <w:p w14:paraId="4F63FD7C">
      <w:pPr>
        <w:snapToGrid w:val="0"/>
        <w:spacing w:beforeLines="50" w:after="50"/>
        <w:jc w:val="left"/>
        <w:rPr>
          <w:rFonts w:ascii="宋体" w:hAnsi="宋体"/>
          <w:sz w:val="24"/>
          <w:highlight w:val="none"/>
        </w:rPr>
      </w:pPr>
    </w:p>
    <w:p w14:paraId="53AF65B5">
      <w:pPr>
        <w:snapToGrid w:val="0"/>
        <w:spacing w:before="50" w:afterLines="50"/>
        <w:jc w:val="left"/>
        <w:rPr>
          <w:rFonts w:ascii="宋体" w:hAnsi="宋体"/>
          <w:szCs w:val="21"/>
          <w:highlight w:val="none"/>
        </w:rPr>
      </w:pPr>
    </w:p>
    <w:p w14:paraId="759CD483">
      <w:pPr>
        <w:snapToGrid w:val="0"/>
        <w:spacing w:beforeLines="50" w:after="50"/>
        <w:jc w:val="left"/>
        <w:rPr>
          <w:rFonts w:ascii="宋体" w:hAnsi="宋体"/>
          <w:b/>
          <w:sz w:val="24"/>
          <w:szCs w:val="20"/>
          <w:highlight w:val="none"/>
        </w:rPr>
      </w:pPr>
    </w:p>
    <w:p w14:paraId="7AE08582">
      <w:pPr>
        <w:snapToGrid w:val="0"/>
        <w:spacing w:beforeLines="50" w:after="50"/>
        <w:ind w:left="142"/>
        <w:jc w:val="left"/>
        <w:rPr>
          <w:rFonts w:ascii="宋体" w:hAnsi="宋体"/>
          <w:b/>
          <w:sz w:val="24"/>
          <w:highlight w:val="none"/>
        </w:rPr>
      </w:pPr>
    </w:p>
    <w:p w14:paraId="0F152EEC">
      <w:pPr>
        <w:snapToGrid w:val="0"/>
        <w:spacing w:beforeLines="50" w:after="50"/>
        <w:ind w:left="142"/>
        <w:jc w:val="left"/>
        <w:rPr>
          <w:rFonts w:ascii="宋体" w:hAnsi="宋体"/>
          <w:b/>
          <w:sz w:val="24"/>
          <w:highlight w:val="none"/>
        </w:rPr>
      </w:pPr>
    </w:p>
    <w:p w14:paraId="6E95C392">
      <w:pPr>
        <w:snapToGrid w:val="0"/>
        <w:spacing w:beforeLines="50" w:after="50"/>
        <w:ind w:left="142"/>
        <w:jc w:val="left"/>
        <w:rPr>
          <w:rFonts w:ascii="宋体" w:hAnsi="宋体"/>
          <w:b/>
          <w:sz w:val="24"/>
          <w:highlight w:val="none"/>
        </w:rPr>
      </w:pPr>
    </w:p>
    <w:p w14:paraId="7D3F00FE">
      <w:pPr>
        <w:snapToGrid w:val="0"/>
        <w:spacing w:beforeLines="50" w:after="50"/>
        <w:ind w:left="142"/>
        <w:jc w:val="left"/>
        <w:rPr>
          <w:rFonts w:ascii="宋体" w:hAnsi="宋体"/>
          <w:b/>
          <w:sz w:val="24"/>
          <w:highlight w:val="none"/>
        </w:rPr>
      </w:pPr>
    </w:p>
    <w:p w14:paraId="52DE32DF">
      <w:pPr>
        <w:snapToGrid w:val="0"/>
        <w:spacing w:beforeLines="50" w:after="50"/>
        <w:ind w:left="142"/>
        <w:jc w:val="left"/>
        <w:rPr>
          <w:rFonts w:ascii="宋体" w:hAnsi="宋体"/>
          <w:b/>
          <w:sz w:val="24"/>
          <w:highlight w:val="none"/>
        </w:rPr>
      </w:pPr>
    </w:p>
    <w:p w14:paraId="4B0B4347">
      <w:pPr>
        <w:snapToGrid w:val="0"/>
        <w:spacing w:beforeLines="50" w:after="50"/>
        <w:ind w:left="142"/>
        <w:jc w:val="left"/>
        <w:rPr>
          <w:rFonts w:ascii="宋体" w:hAnsi="宋体"/>
          <w:b/>
          <w:sz w:val="24"/>
          <w:szCs w:val="20"/>
          <w:highlight w:val="none"/>
        </w:rPr>
      </w:pPr>
      <w:r>
        <w:rPr>
          <w:rFonts w:hint="eastAsia" w:ascii="宋体" w:hAnsi="宋体"/>
          <w:b/>
          <w:sz w:val="24"/>
          <w:highlight w:val="none"/>
        </w:rPr>
        <w:t>5.竞标声明</w:t>
      </w:r>
    </w:p>
    <w:p w14:paraId="7907D84B">
      <w:pPr>
        <w:spacing w:line="320" w:lineRule="exact"/>
        <w:jc w:val="center"/>
        <w:rPr>
          <w:rFonts w:ascii="宋体" w:hAnsi="宋体"/>
          <w:sz w:val="28"/>
          <w:szCs w:val="28"/>
          <w:highlight w:val="none"/>
        </w:rPr>
      </w:pPr>
    </w:p>
    <w:p w14:paraId="49CE5E6D">
      <w:pPr>
        <w:spacing w:line="320" w:lineRule="exact"/>
        <w:jc w:val="center"/>
        <w:rPr>
          <w:rFonts w:ascii="宋体" w:hAnsi="宋体"/>
          <w:b/>
          <w:sz w:val="32"/>
          <w:szCs w:val="32"/>
          <w:highlight w:val="none"/>
        </w:rPr>
      </w:pPr>
      <w:r>
        <w:rPr>
          <w:rFonts w:hint="eastAsia" w:ascii="宋体" w:hAnsi="宋体"/>
          <w:b/>
          <w:sz w:val="32"/>
          <w:szCs w:val="32"/>
          <w:highlight w:val="none"/>
        </w:rPr>
        <w:t>竞标声明</w:t>
      </w:r>
    </w:p>
    <w:p w14:paraId="4AD970AF">
      <w:pPr>
        <w:spacing w:line="320" w:lineRule="exact"/>
        <w:jc w:val="center"/>
        <w:rPr>
          <w:rFonts w:ascii="宋体" w:hAnsi="宋体"/>
          <w:sz w:val="24"/>
          <w:szCs w:val="20"/>
          <w:highlight w:val="none"/>
        </w:rPr>
      </w:pPr>
    </w:p>
    <w:p w14:paraId="25E803F3">
      <w:pPr>
        <w:spacing w:line="360" w:lineRule="auto"/>
        <w:contextualSpacing/>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（采购人名称）</w:t>
      </w:r>
      <w:r>
        <w:rPr>
          <w:rFonts w:hint="eastAsia" w:ascii="宋体" w:hAnsi="宋体" w:cs="宋体"/>
          <w:sz w:val="24"/>
          <w:highlight w:val="none"/>
        </w:rPr>
        <w:t>：</w:t>
      </w:r>
    </w:p>
    <w:p w14:paraId="0FD878F2">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u w:val="single"/>
        </w:rPr>
        <w:t>（供应商名称）</w:t>
      </w:r>
      <w:r>
        <w:rPr>
          <w:rFonts w:hint="eastAsia" w:ascii="宋体" w:hAnsi="宋体" w:cs="宋体"/>
          <w:sz w:val="24"/>
          <w:highlight w:val="none"/>
        </w:rPr>
        <w:t>系中华人民共和国合法供应商，经营地址。</w:t>
      </w:r>
    </w:p>
    <w:p w14:paraId="439EB29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我方愿意参加贵方组织的</w:t>
      </w:r>
      <w:r>
        <w:rPr>
          <w:rFonts w:hint="eastAsia" w:ascii="宋体" w:hAnsi="宋体" w:cs="宋体"/>
          <w:sz w:val="24"/>
          <w:highlight w:val="none"/>
          <w:u w:val="single"/>
        </w:rPr>
        <w:t>（项目名称）</w:t>
      </w:r>
      <w:r>
        <w:rPr>
          <w:rFonts w:hint="eastAsia" w:ascii="宋体" w:hAnsi="宋体" w:cs="宋体"/>
          <w:sz w:val="24"/>
          <w:highlight w:val="none"/>
        </w:rPr>
        <w:t>项目的竞标，为便于贵方公正、择优地确定成交供应商及其竞标产品和服务，我方就本次竞标有关事项郑重声明如下：</w:t>
      </w:r>
    </w:p>
    <w:p w14:paraId="1BF3389B">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1.我方向贵方提交的所有响应文件、资料都是准确的和真实的。</w:t>
      </w:r>
    </w:p>
    <w:p w14:paraId="36284B1D">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sz w:val="24"/>
          <w:highlight w:val="none"/>
        </w:rPr>
        <w:t>我方不是为本次采购项目提供整体设计、规范编制或者项目管理、监理、检测等服务的供应商</w:t>
      </w:r>
      <w:r>
        <w:rPr>
          <w:rFonts w:hint="eastAsia" w:ascii="宋体" w:hAnsi="宋体" w:cs="宋体"/>
          <w:sz w:val="24"/>
          <w:highlight w:val="none"/>
        </w:rPr>
        <w:t>。</w:t>
      </w:r>
    </w:p>
    <w:p w14:paraId="770F213B">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3.在此，我方宣布同意如下：</w:t>
      </w:r>
    </w:p>
    <w:p w14:paraId="157DA604">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（1）将按磋商文件的约定履行合同责任和义务；</w:t>
      </w:r>
    </w:p>
    <w:p w14:paraId="6BB23AD2">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（2）已详细审查全部磋商文件，包括澄清或者更正公告（如有）；</w:t>
      </w:r>
    </w:p>
    <w:p w14:paraId="4A5DD191">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（3）同意提供按照贵方可能要求的与磋商有关的一切数据或者资料；</w:t>
      </w:r>
    </w:p>
    <w:p w14:paraId="4C7C618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（4）响应磋商文件规定的竞标有效期。</w:t>
      </w:r>
    </w:p>
    <w:p w14:paraId="1BDBEB09">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4.我方承诺符合《中华人民共和国政府采购法》第二十二条规定：</w:t>
      </w:r>
    </w:p>
    <w:p w14:paraId="2BB6827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（1）具有独立承担民事责任的能力；</w:t>
      </w:r>
    </w:p>
    <w:p w14:paraId="4992439B">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（2）具有良好的商业信誉和健全的财务会计制度；</w:t>
      </w:r>
    </w:p>
    <w:p w14:paraId="6F031A4F">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（3）具有履行合同所必需的设备和专业技术能力；</w:t>
      </w:r>
    </w:p>
    <w:p w14:paraId="5299C825">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（4）有依法缴纳税收和社会保障资金的良好记录；</w:t>
      </w:r>
    </w:p>
    <w:p w14:paraId="5A7B9919">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AAAB248">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（6）法律、行政法规规定的其他条件。</w:t>
      </w:r>
    </w:p>
    <w:p w14:paraId="3510ABF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E3F8A6B">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FE6A17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14:paraId="4D6F67F2">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p>
    <w:p w14:paraId="79C6984F">
      <w:pPr>
        <w:pStyle w:val="13"/>
        <w:spacing w:line="360" w:lineRule="auto"/>
        <w:ind w:firstLine="480" w:firstLineChars="200"/>
        <w:contextualSpacing/>
        <w:rPr>
          <w:rFonts w:hAnsi="宋体" w:cs="宋体"/>
          <w:sz w:val="24"/>
          <w:szCs w:val="24"/>
          <w:highlight w:val="none"/>
          <w:u w:val="single"/>
        </w:rPr>
      </w:pPr>
      <w:r>
        <w:rPr>
          <w:rFonts w:hint="eastAsia" w:hAnsi="宋体" w:cs="宋体"/>
          <w:sz w:val="24"/>
          <w:szCs w:val="24"/>
          <w:highlight w:val="none"/>
        </w:rPr>
        <w:t>7.与本磋商有关的一切正式往来信函请寄：邮政编号：</w:t>
      </w:r>
    </w:p>
    <w:p w14:paraId="77339573">
      <w:pPr>
        <w:pStyle w:val="13"/>
        <w:spacing w:line="360" w:lineRule="auto"/>
        <w:ind w:firstLine="480" w:firstLineChars="200"/>
        <w:contextualSpacing/>
        <w:rPr>
          <w:rFonts w:hAnsi="宋体" w:cs="宋体"/>
          <w:sz w:val="24"/>
          <w:szCs w:val="24"/>
          <w:highlight w:val="none"/>
        </w:rPr>
      </w:pPr>
      <w:r>
        <w:rPr>
          <w:rFonts w:hint="eastAsia" w:hAnsi="宋体" w:cs="宋体"/>
          <w:sz w:val="24"/>
          <w:szCs w:val="24"/>
          <w:highlight w:val="none"/>
        </w:rPr>
        <w:t>电话/传真： 电子邮箱：</w:t>
      </w:r>
    </w:p>
    <w:p w14:paraId="3516BFA6">
      <w:pPr>
        <w:pStyle w:val="12"/>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开户银行：  账号：</w:t>
      </w:r>
    </w:p>
    <w:p w14:paraId="74FB7C17">
      <w:pPr>
        <w:pStyle w:val="12"/>
        <w:tabs>
          <w:tab w:val="left" w:pos="939"/>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8.以上事项如有虚假或者隐瞒，我方愿意承担一切后果，并不再寻求任何旨在减轻或者免除法律责任的辩解。</w:t>
      </w:r>
    </w:p>
    <w:p w14:paraId="7FDC4A01">
      <w:pPr>
        <w:pStyle w:val="12"/>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特此承诺。</w:t>
      </w:r>
    </w:p>
    <w:p w14:paraId="1F1811ED">
      <w:pPr>
        <w:spacing w:line="360" w:lineRule="auto"/>
        <w:contextualSpacing/>
        <w:jc w:val="left"/>
        <w:rPr>
          <w:rFonts w:ascii="宋体" w:hAnsi="宋体"/>
          <w:b/>
          <w:sz w:val="24"/>
          <w:highlight w:val="none"/>
        </w:rPr>
      </w:pPr>
      <w:r>
        <w:rPr>
          <w:rFonts w:hint="eastAsia" w:ascii="宋体" w:hAnsi="宋体" w:cs="宋体"/>
          <w:b/>
          <w:sz w:val="24"/>
          <w:highlight w:val="none"/>
        </w:rPr>
        <w:t>注：</w:t>
      </w:r>
      <w:r>
        <w:rPr>
          <w:rFonts w:hint="eastAsia" w:ascii="宋体" w:hAnsi="宋体"/>
          <w:b/>
          <w:sz w:val="24"/>
          <w:highlight w:val="none"/>
        </w:rPr>
        <w:t>如为联合体竞标，盖章处须加盖联合体牵头人电子签章并由联合体牵头人法定代表人分别签字或者盖章或者电子签名，否则响应文件按无效处理。</w:t>
      </w:r>
    </w:p>
    <w:p w14:paraId="613A7DEE">
      <w:pPr>
        <w:spacing w:line="360" w:lineRule="auto"/>
        <w:contextualSpacing/>
        <w:jc w:val="left"/>
        <w:rPr>
          <w:rFonts w:ascii="宋体" w:hAnsi="宋体" w:cs="宋体"/>
          <w:szCs w:val="21"/>
          <w:highlight w:val="none"/>
        </w:rPr>
      </w:pPr>
    </w:p>
    <w:p w14:paraId="121F0556">
      <w:pPr>
        <w:spacing w:line="360" w:lineRule="auto"/>
        <w:ind w:firstLine="1575" w:firstLineChars="750"/>
        <w:contextualSpacing/>
        <w:rPr>
          <w:highlight w:val="none"/>
        </w:rPr>
      </w:pPr>
      <w:r>
        <w:rPr>
          <w:rFonts w:hint="eastAsia"/>
          <w:highlight w:val="none"/>
        </w:rPr>
        <w:t>法定代表人或者委托代理人（签字或者电子签名）：</w:t>
      </w:r>
    </w:p>
    <w:p w14:paraId="7AF5D96A">
      <w:pPr>
        <w:spacing w:line="360" w:lineRule="auto"/>
        <w:ind w:firstLine="3780" w:firstLineChars="1800"/>
        <w:contextualSpacing/>
        <w:rPr>
          <w:rFonts w:ascii="宋体" w:hAnsi="宋体" w:cs="宋体"/>
          <w:szCs w:val="21"/>
          <w:highlight w:val="none"/>
          <w:u w:val="single"/>
        </w:rPr>
      </w:pPr>
      <w:r>
        <w:rPr>
          <w:rFonts w:hint="eastAsia"/>
          <w:highlight w:val="none"/>
        </w:rPr>
        <w:t>供应商名称（电子签章）：</w:t>
      </w:r>
    </w:p>
    <w:p w14:paraId="0B01C637">
      <w:pPr>
        <w:pStyle w:val="12"/>
        <w:tabs>
          <w:tab w:val="left" w:pos="939"/>
        </w:tabs>
        <w:spacing w:line="360" w:lineRule="auto"/>
        <w:ind w:left="0" w:leftChars="0" w:firstLine="420" w:firstLineChars="200"/>
        <w:rPr>
          <w:sz w:val="24"/>
          <w:highlight w:val="none"/>
        </w:rPr>
      </w:pPr>
      <w:r>
        <w:rPr>
          <w:rFonts w:hint="eastAsia"/>
          <w:highlight w:val="none"/>
        </w:rPr>
        <w:t xml:space="preserve"> 年    月    日</w:t>
      </w:r>
    </w:p>
    <w:p w14:paraId="0F34BDA7">
      <w:pPr>
        <w:pStyle w:val="5"/>
        <w:overflowPunct w:val="0"/>
        <w:spacing w:line="520" w:lineRule="exact"/>
        <w:ind w:firstLine="0"/>
        <w:rPr>
          <w:rFonts w:ascii="宋体" w:hAnsi="宋体"/>
          <w:b/>
          <w:bCs/>
          <w:sz w:val="32"/>
          <w:szCs w:val="32"/>
          <w:highlight w:val="none"/>
        </w:rPr>
      </w:pPr>
    </w:p>
    <w:p w14:paraId="1B643E97">
      <w:pPr>
        <w:spacing w:line="360" w:lineRule="auto"/>
        <w:ind w:right="420"/>
        <w:contextualSpacing/>
        <w:jc w:val="left"/>
        <w:rPr>
          <w:rFonts w:ascii="宋体" w:hAnsi="宋体"/>
          <w:b/>
          <w:sz w:val="32"/>
          <w:szCs w:val="32"/>
          <w:highlight w:val="none"/>
        </w:rPr>
      </w:pPr>
      <w:r>
        <w:rPr>
          <w:rFonts w:ascii="宋体" w:hAnsi="宋体"/>
          <w:b/>
          <w:bCs/>
          <w:sz w:val="32"/>
          <w:szCs w:val="32"/>
          <w:highlight w:val="none"/>
        </w:rPr>
        <w:br w:type="page"/>
      </w:r>
      <w:r>
        <w:rPr>
          <w:rFonts w:hint="eastAsia" w:ascii="宋体" w:hAnsi="宋体"/>
          <w:b/>
          <w:bCs/>
          <w:sz w:val="32"/>
          <w:szCs w:val="32"/>
          <w:highlight w:val="none"/>
        </w:rPr>
        <w:t>二、</w:t>
      </w:r>
      <w:r>
        <w:rPr>
          <w:rFonts w:hint="eastAsia" w:ascii="宋体" w:hAnsi="宋体"/>
          <w:b/>
          <w:sz w:val="32"/>
          <w:szCs w:val="32"/>
          <w:highlight w:val="none"/>
        </w:rPr>
        <w:t xml:space="preserve">报价文件格式 </w:t>
      </w:r>
    </w:p>
    <w:p w14:paraId="7E95E7F2">
      <w:pPr>
        <w:snapToGrid w:val="0"/>
        <w:spacing w:beforeLines="50" w:after="50" w:line="360" w:lineRule="auto"/>
        <w:jc w:val="left"/>
        <w:rPr>
          <w:rFonts w:ascii="宋体" w:hAnsi="宋体"/>
          <w:b/>
          <w:sz w:val="32"/>
          <w:szCs w:val="32"/>
          <w:highlight w:val="none"/>
        </w:rPr>
      </w:pPr>
      <w:r>
        <w:rPr>
          <w:rFonts w:hint="eastAsia" w:ascii="宋体" w:hAnsi="宋体"/>
          <w:b/>
          <w:sz w:val="32"/>
          <w:szCs w:val="32"/>
          <w:highlight w:val="none"/>
        </w:rPr>
        <w:t>1.报价文件封面格式</w:t>
      </w:r>
    </w:p>
    <w:p w14:paraId="65FA50AC">
      <w:pPr>
        <w:snapToGrid w:val="0"/>
        <w:spacing w:beforeLines="50" w:after="50"/>
        <w:rPr>
          <w:rFonts w:ascii="宋体" w:hAnsi="宋体"/>
          <w:bCs/>
          <w:sz w:val="32"/>
          <w:szCs w:val="20"/>
          <w:highlight w:val="none"/>
        </w:rPr>
      </w:pPr>
    </w:p>
    <w:p w14:paraId="316B5723">
      <w:pPr>
        <w:snapToGrid w:val="0"/>
        <w:spacing w:beforeLines="50" w:after="50"/>
        <w:jc w:val="center"/>
        <w:rPr>
          <w:rFonts w:ascii="宋体" w:hAnsi="宋体"/>
          <w:sz w:val="24"/>
          <w:szCs w:val="20"/>
          <w:highlight w:val="none"/>
        </w:rPr>
      </w:pPr>
      <w:r>
        <w:rPr>
          <w:rFonts w:hint="eastAsia" w:ascii="宋体" w:hAnsi="宋体"/>
          <w:sz w:val="44"/>
          <w:szCs w:val="44"/>
          <w:highlight w:val="none"/>
        </w:rPr>
        <w:t>电 子 响 应 文 件</w:t>
      </w:r>
    </w:p>
    <w:p w14:paraId="2EFB09DF">
      <w:pPr>
        <w:snapToGrid w:val="0"/>
        <w:spacing w:beforeLines="50" w:after="50"/>
        <w:rPr>
          <w:rFonts w:ascii="宋体" w:hAnsi="宋体"/>
          <w:sz w:val="24"/>
          <w:szCs w:val="20"/>
          <w:highlight w:val="none"/>
        </w:rPr>
      </w:pPr>
    </w:p>
    <w:p w14:paraId="5276D259">
      <w:pPr>
        <w:snapToGrid w:val="0"/>
        <w:spacing w:beforeLines="50" w:after="50"/>
        <w:rPr>
          <w:rFonts w:ascii="宋体" w:hAnsi="宋体"/>
          <w:sz w:val="24"/>
          <w:szCs w:val="20"/>
          <w:highlight w:val="none"/>
        </w:rPr>
      </w:pPr>
    </w:p>
    <w:p w14:paraId="3FA4E180">
      <w:pPr>
        <w:snapToGrid w:val="0"/>
        <w:spacing w:beforeLines="50" w:after="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报  价  文  件</w:t>
      </w:r>
    </w:p>
    <w:p w14:paraId="1DE11A02">
      <w:pPr>
        <w:snapToGrid w:val="0"/>
        <w:spacing w:beforeLines="50" w:after="50"/>
        <w:rPr>
          <w:rFonts w:ascii="宋体" w:hAnsi="宋体"/>
          <w:bCs/>
          <w:sz w:val="24"/>
          <w:szCs w:val="20"/>
          <w:highlight w:val="none"/>
        </w:rPr>
      </w:pPr>
    </w:p>
    <w:p w14:paraId="79FDEEC7">
      <w:pPr>
        <w:snapToGrid w:val="0"/>
        <w:spacing w:beforeLines="50" w:after="50"/>
        <w:rPr>
          <w:rFonts w:ascii="宋体" w:hAnsi="宋体"/>
          <w:bCs/>
          <w:sz w:val="24"/>
          <w:szCs w:val="20"/>
          <w:highlight w:val="none"/>
        </w:rPr>
      </w:pPr>
    </w:p>
    <w:p w14:paraId="76736727">
      <w:pPr>
        <w:snapToGrid w:val="0"/>
        <w:spacing w:beforeLines="50" w:after="50"/>
        <w:rPr>
          <w:rFonts w:ascii="宋体" w:hAnsi="宋体"/>
          <w:bCs/>
          <w:sz w:val="24"/>
          <w:szCs w:val="20"/>
          <w:highlight w:val="none"/>
        </w:rPr>
      </w:pPr>
    </w:p>
    <w:p w14:paraId="3721972C">
      <w:pPr>
        <w:snapToGrid w:val="0"/>
        <w:spacing w:beforeLines="50" w:after="50"/>
        <w:rPr>
          <w:rFonts w:ascii="宋体" w:hAnsi="宋体"/>
          <w:bCs/>
          <w:sz w:val="24"/>
          <w:szCs w:val="20"/>
          <w:highlight w:val="none"/>
        </w:rPr>
      </w:pPr>
    </w:p>
    <w:p w14:paraId="4E283B08">
      <w:pPr>
        <w:snapToGrid w:val="0"/>
        <w:spacing w:beforeLines="50" w:after="50"/>
        <w:rPr>
          <w:rFonts w:ascii="宋体" w:hAnsi="宋体"/>
          <w:bCs/>
          <w:sz w:val="24"/>
          <w:szCs w:val="20"/>
          <w:highlight w:val="none"/>
        </w:rPr>
      </w:pPr>
    </w:p>
    <w:p w14:paraId="588C8ED2">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项目名称：</w:t>
      </w:r>
    </w:p>
    <w:p w14:paraId="63C9F67F">
      <w:pPr>
        <w:snapToGrid w:val="0"/>
        <w:spacing w:beforeLines="50" w:after="50"/>
        <w:ind w:firstLine="720" w:firstLineChars="225"/>
        <w:rPr>
          <w:rFonts w:ascii="宋体" w:hAnsi="宋体" w:cs="仿宋_GB2312"/>
          <w:bCs/>
          <w:sz w:val="32"/>
          <w:szCs w:val="32"/>
          <w:highlight w:val="none"/>
        </w:rPr>
      </w:pPr>
    </w:p>
    <w:p w14:paraId="4432E793">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项目编号：</w:t>
      </w:r>
    </w:p>
    <w:p w14:paraId="543EFB6C">
      <w:pPr>
        <w:snapToGrid w:val="0"/>
        <w:spacing w:beforeLines="50" w:after="50"/>
        <w:ind w:firstLine="720" w:firstLineChars="225"/>
        <w:rPr>
          <w:rFonts w:ascii="宋体" w:hAnsi="宋体" w:cs="仿宋_GB2312"/>
          <w:bCs/>
          <w:sz w:val="32"/>
          <w:szCs w:val="32"/>
          <w:highlight w:val="none"/>
        </w:rPr>
      </w:pPr>
    </w:p>
    <w:p w14:paraId="5E6383AC">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14:paraId="0D83CE97">
      <w:pPr>
        <w:snapToGrid w:val="0"/>
        <w:spacing w:beforeLines="50" w:after="50"/>
        <w:ind w:firstLine="720" w:firstLineChars="225"/>
        <w:rPr>
          <w:rFonts w:ascii="宋体" w:hAnsi="宋体" w:cs="仿宋_GB2312"/>
          <w:bCs/>
          <w:sz w:val="32"/>
          <w:szCs w:val="32"/>
          <w:highlight w:val="none"/>
        </w:rPr>
      </w:pPr>
    </w:p>
    <w:p w14:paraId="2F16CFCB">
      <w:pPr>
        <w:pStyle w:val="5"/>
        <w:snapToGrid w:val="0"/>
        <w:spacing w:before="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供应商名称：</w:t>
      </w:r>
    </w:p>
    <w:p w14:paraId="7F3EE5DF">
      <w:pPr>
        <w:pStyle w:val="5"/>
        <w:snapToGrid w:val="0"/>
        <w:spacing w:before="50" w:after="50"/>
        <w:ind w:firstLine="640" w:firstLineChars="200"/>
        <w:rPr>
          <w:rFonts w:ascii="宋体" w:hAnsi="宋体" w:cs="仿宋_GB2312"/>
          <w:bCs/>
          <w:sz w:val="32"/>
          <w:szCs w:val="32"/>
          <w:highlight w:val="none"/>
        </w:rPr>
      </w:pPr>
    </w:p>
    <w:p w14:paraId="2D770AC5">
      <w:pPr>
        <w:pStyle w:val="5"/>
        <w:snapToGrid w:val="0"/>
        <w:spacing w:before="50" w:after="50"/>
        <w:ind w:firstLine="720" w:firstLineChars="225"/>
        <w:rPr>
          <w:rFonts w:ascii="宋体" w:hAnsi="宋体" w:cs="仿宋_GB2312"/>
          <w:bCs/>
          <w:sz w:val="32"/>
          <w:szCs w:val="32"/>
          <w:highlight w:val="none"/>
        </w:rPr>
      </w:pPr>
    </w:p>
    <w:p w14:paraId="1C709952">
      <w:pPr>
        <w:pStyle w:val="5"/>
        <w:snapToGrid w:val="0"/>
        <w:spacing w:before="50" w:after="50"/>
        <w:ind w:firstLine="0"/>
        <w:rPr>
          <w:rFonts w:ascii="宋体" w:hAnsi="宋体" w:cs="仿宋_GB2312"/>
          <w:bCs/>
          <w:sz w:val="32"/>
          <w:szCs w:val="32"/>
          <w:highlight w:val="none"/>
        </w:rPr>
      </w:pPr>
    </w:p>
    <w:p w14:paraId="12B4B1BB">
      <w:pPr>
        <w:pStyle w:val="5"/>
        <w:snapToGrid w:val="0"/>
        <w:spacing w:before="50" w:after="50"/>
        <w:ind w:firstLine="1280" w:firstLineChars="400"/>
        <w:rPr>
          <w:rFonts w:ascii="宋体" w:hAnsi="宋体" w:cs="仿宋_GB2312"/>
          <w:bCs/>
          <w:sz w:val="32"/>
          <w:szCs w:val="32"/>
          <w:highlight w:val="none"/>
        </w:rPr>
      </w:pPr>
    </w:p>
    <w:p w14:paraId="53C4BE8A">
      <w:pPr>
        <w:snapToGrid w:val="0"/>
        <w:spacing w:beforeLines="50" w:after="50"/>
        <w:jc w:val="center"/>
        <w:rPr>
          <w:rFonts w:ascii="宋体" w:hAnsi="宋体" w:cs="仿宋_GB2312"/>
          <w:sz w:val="32"/>
          <w:szCs w:val="32"/>
          <w:highlight w:val="none"/>
        </w:rPr>
      </w:pPr>
      <w:r>
        <w:rPr>
          <w:rFonts w:hint="eastAsia" w:ascii="宋体" w:hAnsi="宋体" w:cs="仿宋_GB2312"/>
          <w:sz w:val="32"/>
          <w:szCs w:val="32"/>
          <w:highlight w:val="none"/>
        </w:rPr>
        <w:t>年    月    日</w:t>
      </w:r>
    </w:p>
    <w:p w14:paraId="4761A372">
      <w:pPr>
        <w:snapToGrid w:val="0"/>
        <w:spacing w:beforeLines="50" w:after="50" w:line="360" w:lineRule="auto"/>
        <w:ind w:left="142"/>
        <w:jc w:val="left"/>
        <w:rPr>
          <w:rFonts w:ascii="宋体" w:hAnsi="宋体"/>
          <w:b/>
          <w:bCs/>
          <w:sz w:val="24"/>
          <w:highlight w:val="none"/>
        </w:rPr>
      </w:pPr>
      <w:r>
        <w:rPr>
          <w:rFonts w:hint="eastAsia" w:ascii="宋体" w:hAnsi="宋体"/>
          <w:szCs w:val="21"/>
          <w:highlight w:val="none"/>
        </w:rPr>
        <w:br w:type="page"/>
      </w:r>
      <w:r>
        <w:rPr>
          <w:rFonts w:hint="eastAsia" w:ascii="宋体" w:hAnsi="宋体"/>
          <w:b/>
          <w:bCs/>
          <w:sz w:val="32"/>
          <w:szCs w:val="32"/>
          <w:highlight w:val="none"/>
        </w:rPr>
        <w:t>2.报价文件目录</w:t>
      </w:r>
    </w:p>
    <w:p w14:paraId="2496BC88">
      <w:pPr>
        <w:spacing w:line="520" w:lineRule="exact"/>
        <w:jc w:val="center"/>
        <w:rPr>
          <w:rFonts w:ascii="方正小标宋简体" w:hAnsi="方正小标宋简体" w:eastAsia="方正小标宋简体" w:cs="方正小标宋简体"/>
          <w:bCs/>
          <w:sz w:val="32"/>
          <w:szCs w:val="32"/>
          <w:highlight w:val="none"/>
        </w:rPr>
      </w:pPr>
      <w:r>
        <w:rPr>
          <w:rFonts w:hint="eastAsia" w:ascii="宋体" w:hAnsi="宋体"/>
          <w:sz w:val="32"/>
          <w:szCs w:val="32"/>
          <w:highlight w:val="none"/>
        </w:rPr>
        <w:t>根据磋商文件规定及供应商提供的材料自行编写目录（部分格式后附）。</w:t>
      </w:r>
      <w:r>
        <w:rPr>
          <w:rFonts w:ascii="宋体" w:hAnsi="宋体"/>
          <w:b/>
          <w:bCs/>
          <w:sz w:val="32"/>
          <w:szCs w:val="32"/>
          <w:highlight w:val="none"/>
        </w:rPr>
        <w:br w:type="page"/>
      </w:r>
      <w:r>
        <w:rPr>
          <w:rFonts w:hint="eastAsia" w:ascii="方正小标宋简体" w:hAnsi="方正小标宋简体" w:eastAsia="方正小标宋简体" w:cs="方正小标宋简体"/>
          <w:bCs/>
          <w:sz w:val="44"/>
          <w:szCs w:val="44"/>
          <w:highlight w:val="none"/>
        </w:rPr>
        <w:t>竞  标  报  价  表</w:t>
      </w:r>
    </w:p>
    <w:p w14:paraId="1D1F53A1">
      <w:pPr>
        <w:spacing w:line="440" w:lineRule="exact"/>
        <w:jc w:val="center"/>
        <w:rPr>
          <w:rFonts w:ascii="方正小标宋简体" w:hAnsi="方正小标宋简体" w:eastAsia="方正小标宋简体" w:cs="方正小标宋简体"/>
          <w:bCs/>
          <w:sz w:val="32"/>
          <w:szCs w:val="32"/>
          <w:highlight w:val="none"/>
        </w:rPr>
      </w:pPr>
    </w:p>
    <w:p w14:paraId="43815AF6">
      <w:pPr>
        <w:spacing w:line="360" w:lineRule="auto"/>
        <w:contextualSpacing/>
        <w:rPr>
          <w:rFonts w:ascii="宋体" w:hAnsi="宋体" w:cs="仿宋_GB2312"/>
          <w:sz w:val="24"/>
          <w:highlight w:val="none"/>
        </w:rPr>
      </w:pPr>
      <w:r>
        <w:rPr>
          <w:rFonts w:hint="eastAsia" w:ascii="宋体" w:hAnsi="宋体" w:cs="仿宋_GB2312"/>
          <w:sz w:val="24"/>
          <w:highlight w:val="none"/>
        </w:rPr>
        <w:t>项目名称：项目编号：</w:t>
      </w:r>
    </w:p>
    <w:p w14:paraId="0197C36D">
      <w:pPr>
        <w:spacing w:line="360" w:lineRule="auto"/>
        <w:contextualSpacing/>
        <w:rPr>
          <w:rFonts w:ascii="宋体" w:hAnsi="宋体" w:cs="仿宋_GB2312"/>
          <w:sz w:val="24"/>
          <w:highlight w:val="none"/>
          <w:u w:val="single"/>
        </w:rPr>
      </w:pPr>
      <w:r>
        <w:rPr>
          <w:rFonts w:hint="eastAsia" w:ascii="宋体" w:hAnsi="宋体" w:cs="仿宋_GB2312"/>
          <w:sz w:val="24"/>
          <w:highlight w:val="none"/>
        </w:rPr>
        <w:t>分标（如有）：</w:t>
      </w:r>
    </w:p>
    <w:p w14:paraId="1573B76D">
      <w:pPr>
        <w:spacing w:line="360" w:lineRule="auto"/>
        <w:contextualSpacing/>
        <w:rPr>
          <w:rFonts w:ascii="宋体" w:hAnsi="宋体" w:cs="仿宋_GB2312"/>
          <w:sz w:val="24"/>
          <w:highlight w:val="none"/>
        </w:rPr>
      </w:pPr>
      <w:r>
        <w:rPr>
          <w:rFonts w:hint="eastAsia" w:ascii="宋体" w:hAnsi="宋体" w:cs="仿宋_GB2312"/>
          <w:sz w:val="24"/>
          <w:highlight w:val="none"/>
        </w:rPr>
        <w:t>供应商名称：</w:t>
      </w:r>
    </w:p>
    <w:p w14:paraId="38B14E66">
      <w:pPr>
        <w:spacing w:line="360" w:lineRule="auto"/>
        <w:contextualSpacing/>
        <w:rPr>
          <w:rFonts w:ascii="宋体" w:hAnsi="宋体" w:cs="仿宋_GB2312"/>
          <w:sz w:val="24"/>
          <w:highlight w:val="none"/>
        </w:rPr>
      </w:pPr>
      <w:r>
        <w:rPr>
          <w:rFonts w:hint="eastAsia" w:ascii="宋体" w:hAnsi="宋体" w:cs="仿宋_GB2312"/>
          <w:sz w:val="24"/>
          <w:highlight w:val="none"/>
        </w:rPr>
        <w:t xml:space="preserve">                                                单位：元</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97"/>
        <w:gridCol w:w="1609"/>
        <w:gridCol w:w="1960"/>
        <w:gridCol w:w="953"/>
        <w:gridCol w:w="1135"/>
        <w:gridCol w:w="1384"/>
        <w:gridCol w:w="885"/>
      </w:tblGrid>
      <w:tr w14:paraId="08EFFA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50" w:type="pct"/>
            <w:tcBorders>
              <w:right w:val="single" w:color="auto" w:sz="4" w:space="0"/>
            </w:tcBorders>
            <w:vAlign w:val="center"/>
          </w:tcPr>
          <w:p w14:paraId="0CC85C0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944" w:type="pct"/>
            <w:tcBorders>
              <w:left w:val="single" w:color="auto" w:sz="4" w:space="0"/>
              <w:right w:val="single" w:color="auto" w:sz="4" w:space="0"/>
            </w:tcBorders>
            <w:vAlign w:val="center"/>
          </w:tcPr>
          <w:p w14:paraId="70FB6B2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标的名称</w:t>
            </w:r>
          </w:p>
        </w:tc>
        <w:tc>
          <w:tcPr>
            <w:tcW w:w="1150" w:type="pct"/>
            <w:tcBorders>
              <w:left w:val="single" w:color="auto" w:sz="4" w:space="0"/>
            </w:tcBorders>
            <w:vAlign w:val="center"/>
          </w:tcPr>
          <w:p w14:paraId="43325DF9">
            <w:pPr>
              <w:pStyle w:val="10"/>
              <w:jc w:val="center"/>
              <w:rPr>
                <w:rFonts w:cs="Calibri"/>
                <w:color w:val="000000"/>
                <w:kern w:val="0"/>
                <w:szCs w:val="21"/>
                <w:highlight w:val="none"/>
              </w:rPr>
            </w:pPr>
            <w:r>
              <w:rPr>
                <w:rFonts w:hint="eastAsia" w:ascii="宋体" w:hAnsi="宋体" w:cs="宋体"/>
                <w:color w:val="000000"/>
                <w:kern w:val="0"/>
                <w:szCs w:val="21"/>
                <w:highlight w:val="none"/>
              </w:rPr>
              <w:t>品牌、规格型号</w:t>
            </w:r>
          </w:p>
        </w:tc>
        <w:tc>
          <w:tcPr>
            <w:tcW w:w="559" w:type="pct"/>
            <w:tcBorders>
              <w:left w:val="single" w:color="auto" w:sz="4" w:space="0"/>
            </w:tcBorders>
            <w:vAlign w:val="center"/>
          </w:tcPr>
          <w:p w14:paraId="0762DB18">
            <w:pPr>
              <w:widowControl/>
              <w:jc w:val="center"/>
              <w:rPr>
                <w:color w:val="000000"/>
                <w:highlight w:val="none"/>
              </w:rPr>
            </w:pPr>
            <w:r>
              <w:rPr>
                <w:rFonts w:hint="eastAsia"/>
                <w:color w:val="000000"/>
                <w:highlight w:val="none"/>
              </w:rPr>
              <w:t>数量/单位</w:t>
            </w:r>
            <w:r>
              <w:rPr>
                <w:rFonts w:hint="eastAsia" w:cs="Calibri"/>
                <w:color w:val="000000"/>
                <w:kern w:val="0"/>
                <w:szCs w:val="21"/>
                <w:highlight w:val="none"/>
              </w:rPr>
              <w:t>①</w:t>
            </w:r>
          </w:p>
        </w:tc>
        <w:tc>
          <w:tcPr>
            <w:tcW w:w="666" w:type="pct"/>
            <w:tcBorders>
              <w:right w:val="single" w:color="auto" w:sz="4" w:space="0"/>
            </w:tcBorders>
            <w:vAlign w:val="center"/>
          </w:tcPr>
          <w:p w14:paraId="0934815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单价（元）</w:t>
            </w:r>
          </w:p>
          <w:p w14:paraId="3B28AA6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②</w:t>
            </w:r>
          </w:p>
        </w:tc>
        <w:tc>
          <w:tcPr>
            <w:tcW w:w="812" w:type="pct"/>
            <w:tcBorders>
              <w:left w:val="single" w:color="auto" w:sz="4" w:space="0"/>
              <w:right w:val="single" w:color="auto" w:sz="4" w:space="0"/>
            </w:tcBorders>
            <w:vAlign w:val="center"/>
          </w:tcPr>
          <w:p w14:paraId="328E826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单项合计（元）③=</w:t>
            </w:r>
            <w:r>
              <w:rPr>
                <w:rFonts w:hint="eastAsia" w:cs="Calibri"/>
                <w:color w:val="000000"/>
                <w:kern w:val="0"/>
                <w:szCs w:val="21"/>
                <w:highlight w:val="none"/>
              </w:rPr>
              <w:t>①</w:t>
            </w:r>
            <w:r>
              <w:rPr>
                <w:rFonts w:hint="eastAsia" w:ascii="宋体" w:hAnsi="宋体" w:cs="宋体"/>
                <w:color w:val="000000"/>
                <w:kern w:val="0"/>
                <w:szCs w:val="21"/>
                <w:highlight w:val="none"/>
              </w:rPr>
              <w:t>*②</w:t>
            </w:r>
          </w:p>
        </w:tc>
        <w:tc>
          <w:tcPr>
            <w:tcW w:w="519" w:type="pct"/>
            <w:tcBorders>
              <w:left w:val="single" w:color="auto" w:sz="4" w:space="0"/>
            </w:tcBorders>
            <w:vAlign w:val="center"/>
          </w:tcPr>
          <w:p w14:paraId="48C600B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备注</w:t>
            </w:r>
          </w:p>
        </w:tc>
      </w:tr>
      <w:tr w14:paraId="5ECFBD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50" w:type="pct"/>
            <w:tcBorders>
              <w:right w:val="single" w:color="auto" w:sz="4" w:space="0"/>
            </w:tcBorders>
            <w:vAlign w:val="center"/>
          </w:tcPr>
          <w:p w14:paraId="3DD2F18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944" w:type="pct"/>
            <w:tcBorders>
              <w:left w:val="single" w:color="auto" w:sz="4" w:space="0"/>
              <w:right w:val="single" w:color="auto" w:sz="4" w:space="0"/>
            </w:tcBorders>
            <w:vAlign w:val="center"/>
          </w:tcPr>
          <w:p w14:paraId="071FBA6D">
            <w:pPr>
              <w:widowControl/>
              <w:rPr>
                <w:rFonts w:ascii="宋体" w:hAnsi="宋体" w:cs="宋体"/>
                <w:color w:val="000000"/>
                <w:kern w:val="0"/>
                <w:szCs w:val="21"/>
                <w:highlight w:val="none"/>
              </w:rPr>
            </w:pPr>
          </w:p>
        </w:tc>
        <w:tc>
          <w:tcPr>
            <w:tcW w:w="1150" w:type="pct"/>
            <w:tcBorders>
              <w:left w:val="single" w:color="auto" w:sz="4" w:space="0"/>
            </w:tcBorders>
            <w:vAlign w:val="center"/>
          </w:tcPr>
          <w:p w14:paraId="224A9577">
            <w:pPr>
              <w:widowControl/>
              <w:jc w:val="center"/>
              <w:rPr>
                <w:rFonts w:ascii="宋体" w:hAnsi="宋体" w:cs="宋体"/>
                <w:color w:val="000000"/>
                <w:kern w:val="0"/>
                <w:szCs w:val="21"/>
                <w:highlight w:val="none"/>
              </w:rPr>
            </w:pPr>
          </w:p>
        </w:tc>
        <w:tc>
          <w:tcPr>
            <w:tcW w:w="559" w:type="pct"/>
            <w:tcBorders>
              <w:left w:val="single" w:color="auto" w:sz="4" w:space="0"/>
            </w:tcBorders>
            <w:vAlign w:val="center"/>
          </w:tcPr>
          <w:p w14:paraId="0AA644C9">
            <w:pPr>
              <w:widowControl/>
              <w:jc w:val="center"/>
              <w:rPr>
                <w:rFonts w:ascii="宋体" w:hAnsi="宋体" w:cs="宋体"/>
                <w:color w:val="000000"/>
                <w:kern w:val="0"/>
                <w:szCs w:val="21"/>
                <w:highlight w:val="none"/>
              </w:rPr>
            </w:pPr>
          </w:p>
        </w:tc>
        <w:tc>
          <w:tcPr>
            <w:tcW w:w="666" w:type="pct"/>
            <w:tcBorders>
              <w:right w:val="single" w:color="auto" w:sz="4" w:space="0"/>
            </w:tcBorders>
            <w:vAlign w:val="center"/>
          </w:tcPr>
          <w:p w14:paraId="2F786512">
            <w:pPr>
              <w:widowControl/>
              <w:jc w:val="right"/>
              <w:rPr>
                <w:rFonts w:ascii="宋体" w:hAnsi="宋体" w:cs="宋体"/>
                <w:color w:val="000000"/>
                <w:kern w:val="0"/>
                <w:szCs w:val="21"/>
                <w:highlight w:val="none"/>
              </w:rPr>
            </w:pPr>
          </w:p>
        </w:tc>
        <w:tc>
          <w:tcPr>
            <w:tcW w:w="812" w:type="pct"/>
            <w:tcBorders>
              <w:left w:val="single" w:color="auto" w:sz="4" w:space="0"/>
              <w:right w:val="single" w:color="auto" w:sz="4" w:space="0"/>
            </w:tcBorders>
            <w:vAlign w:val="center"/>
          </w:tcPr>
          <w:p w14:paraId="4B6D3F37">
            <w:pPr>
              <w:widowControl/>
              <w:jc w:val="right"/>
              <w:rPr>
                <w:rFonts w:ascii="宋体" w:hAnsi="宋体" w:cs="宋体"/>
                <w:color w:val="000000"/>
                <w:kern w:val="0"/>
                <w:szCs w:val="21"/>
                <w:highlight w:val="none"/>
              </w:rPr>
            </w:pPr>
          </w:p>
        </w:tc>
        <w:tc>
          <w:tcPr>
            <w:tcW w:w="519" w:type="pct"/>
            <w:tcBorders>
              <w:left w:val="single" w:color="auto" w:sz="4" w:space="0"/>
            </w:tcBorders>
            <w:vAlign w:val="center"/>
          </w:tcPr>
          <w:p w14:paraId="546873BE">
            <w:pPr>
              <w:widowControl/>
              <w:jc w:val="right"/>
              <w:rPr>
                <w:rFonts w:ascii="宋体" w:hAnsi="宋体" w:cs="宋体"/>
                <w:color w:val="000000"/>
                <w:kern w:val="0"/>
                <w:szCs w:val="21"/>
                <w:highlight w:val="none"/>
              </w:rPr>
            </w:pPr>
          </w:p>
        </w:tc>
      </w:tr>
      <w:tr w14:paraId="5AFF1E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50" w:type="pct"/>
            <w:tcBorders>
              <w:right w:val="single" w:color="auto" w:sz="4" w:space="0"/>
            </w:tcBorders>
            <w:vAlign w:val="center"/>
          </w:tcPr>
          <w:p w14:paraId="7B58E3F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944" w:type="pct"/>
            <w:tcBorders>
              <w:left w:val="single" w:color="auto" w:sz="4" w:space="0"/>
              <w:right w:val="single" w:color="auto" w:sz="4" w:space="0"/>
            </w:tcBorders>
            <w:vAlign w:val="center"/>
          </w:tcPr>
          <w:p w14:paraId="59C27914">
            <w:pPr>
              <w:widowControl/>
              <w:rPr>
                <w:rFonts w:ascii="宋体" w:hAnsi="宋体" w:cs="宋体"/>
                <w:color w:val="000000"/>
                <w:kern w:val="0"/>
                <w:szCs w:val="21"/>
                <w:highlight w:val="none"/>
              </w:rPr>
            </w:pPr>
          </w:p>
        </w:tc>
        <w:tc>
          <w:tcPr>
            <w:tcW w:w="1150" w:type="pct"/>
            <w:tcBorders>
              <w:left w:val="single" w:color="auto" w:sz="4" w:space="0"/>
            </w:tcBorders>
            <w:vAlign w:val="center"/>
          </w:tcPr>
          <w:p w14:paraId="69328433">
            <w:pPr>
              <w:widowControl/>
              <w:jc w:val="center"/>
              <w:rPr>
                <w:rFonts w:ascii="宋体" w:hAnsi="宋体" w:cs="宋体"/>
                <w:color w:val="000000"/>
                <w:kern w:val="0"/>
                <w:szCs w:val="21"/>
                <w:highlight w:val="none"/>
              </w:rPr>
            </w:pPr>
          </w:p>
        </w:tc>
        <w:tc>
          <w:tcPr>
            <w:tcW w:w="559" w:type="pct"/>
            <w:tcBorders>
              <w:left w:val="single" w:color="auto" w:sz="4" w:space="0"/>
            </w:tcBorders>
            <w:vAlign w:val="center"/>
          </w:tcPr>
          <w:p w14:paraId="718816F2">
            <w:pPr>
              <w:widowControl/>
              <w:jc w:val="center"/>
              <w:rPr>
                <w:rFonts w:ascii="宋体" w:hAnsi="宋体" w:cs="宋体"/>
                <w:color w:val="000000"/>
                <w:kern w:val="0"/>
                <w:szCs w:val="21"/>
                <w:highlight w:val="none"/>
              </w:rPr>
            </w:pPr>
          </w:p>
        </w:tc>
        <w:tc>
          <w:tcPr>
            <w:tcW w:w="666" w:type="pct"/>
            <w:tcBorders>
              <w:right w:val="single" w:color="auto" w:sz="4" w:space="0"/>
            </w:tcBorders>
            <w:vAlign w:val="center"/>
          </w:tcPr>
          <w:p w14:paraId="5AFF2AAB">
            <w:pPr>
              <w:widowControl/>
              <w:jc w:val="right"/>
              <w:rPr>
                <w:rFonts w:ascii="宋体" w:hAnsi="宋体" w:cs="宋体"/>
                <w:color w:val="000000"/>
                <w:kern w:val="0"/>
                <w:szCs w:val="21"/>
                <w:highlight w:val="none"/>
              </w:rPr>
            </w:pPr>
          </w:p>
        </w:tc>
        <w:tc>
          <w:tcPr>
            <w:tcW w:w="812" w:type="pct"/>
            <w:tcBorders>
              <w:left w:val="single" w:color="auto" w:sz="4" w:space="0"/>
              <w:right w:val="single" w:color="auto" w:sz="4" w:space="0"/>
            </w:tcBorders>
            <w:vAlign w:val="center"/>
          </w:tcPr>
          <w:p w14:paraId="437DE8E4">
            <w:pPr>
              <w:widowControl/>
              <w:jc w:val="right"/>
              <w:rPr>
                <w:rFonts w:ascii="宋体" w:hAnsi="宋体" w:cs="宋体"/>
                <w:color w:val="000000"/>
                <w:kern w:val="0"/>
                <w:szCs w:val="21"/>
                <w:highlight w:val="none"/>
              </w:rPr>
            </w:pPr>
          </w:p>
        </w:tc>
        <w:tc>
          <w:tcPr>
            <w:tcW w:w="519" w:type="pct"/>
            <w:tcBorders>
              <w:left w:val="single" w:color="auto" w:sz="4" w:space="0"/>
            </w:tcBorders>
            <w:vAlign w:val="center"/>
          </w:tcPr>
          <w:p w14:paraId="6CBA095B">
            <w:pPr>
              <w:widowControl/>
              <w:jc w:val="right"/>
              <w:rPr>
                <w:rFonts w:ascii="宋体" w:hAnsi="宋体" w:cs="宋体"/>
                <w:color w:val="000000"/>
                <w:kern w:val="0"/>
                <w:szCs w:val="21"/>
                <w:highlight w:val="none"/>
              </w:rPr>
            </w:pPr>
          </w:p>
        </w:tc>
      </w:tr>
      <w:tr w14:paraId="379337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50" w:type="pct"/>
            <w:tcBorders>
              <w:right w:val="single" w:color="auto" w:sz="4" w:space="0"/>
            </w:tcBorders>
            <w:vAlign w:val="center"/>
          </w:tcPr>
          <w:p w14:paraId="5C48EA0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w:t>
            </w:r>
          </w:p>
        </w:tc>
        <w:tc>
          <w:tcPr>
            <w:tcW w:w="944" w:type="pct"/>
            <w:tcBorders>
              <w:left w:val="single" w:color="auto" w:sz="4" w:space="0"/>
              <w:right w:val="single" w:color="auto" w:sz="4" w:space="0"/>
            </w:tcBorders>
            <w:vAlign w:val="center"/>
          </w:tcPr>
          <w:p w14:paraId="348D105F">
            <w:pPr>
              <w:widowControl/>
              <w:rPr>
                <w:rFonts w:ascii="宋体" w:hAnsi="宋体" w:cs="宋体"/>
                <w:color w:val="000000"/>
                <w:kern w:val="0"/>
                <w:szCs w:val="21"/>
                <w:highlight w:val="none"/>
              </w:rPr>
            </w:pPr>
          </w:p>
        </w:tc>
        <w:tc>
          <w:tcPr>
            <w:tcW w:w="1150" w:type="pct"/>
            <w:tcBorders>
              <w:left w:val="single" w:color="auto" w:sz="4" w:space="0"/>
            </w:tcBorders>
            <w:vAlign w:val="center"/>
          </w:tcPr>
          <w:p w14:paraId="44F1C499">
            <w:pPr>
              <w:widowControl/>
              <w:jc w:val="center"/>
              <w:rPr>
                <w:rFonts w:ascii="宋体" w:hAnsi="宋体" w:cs="宋体"/>
                <w:color w:val="000000"/>
                <w:kern w:val="0"/>
                <w:szCs w:val="21"/>
                <w:highlight w:val="none"/>
              </w:rPr>
            </w:pPr>
          </w:p>
        </w:tc>
        <w:tc>
          <w:tcPr>
            <w:tcW w:w="559" w:type="pct"/>
            <w:tcBorders>
              <w:left w:val="single" w:color="auto" w:sz="4" w:space="0"/>
            </w:tcBorders>
            <w:vAlign w:val="center"/>
          </w:tcPr>
          <w:p w14:paraId="17273EAD">
            <w:pPr>
              <w:widowControl/>
              <w:jc w:val="center"/>
              <w:rPr>
                <w:rFonts w:ascii="宋体" w:hAnsi="宋体" w:cs="宋体"/>
                <w:color w:val="000000"/>
                <w:kern w:val="0"/>
                <w:szCs w:val="21"/>
                <w:highlight w:val="none"/>
              </w:rPr>
            </w:pPr>
          </w:p>
        </w:tc>
        <w:tc>
          <w:tcPr>
            <w:tcW w:w="666" w:type="pct"/>
            <w:tcBorders>
              <w:right w:val="single" w:color="auto" w:sz="4" w:space="0"/>
            </w:tcBorders>
            <w:vAlign w:val="center"/>
          </w:tcPr>
          <w:p w14:paraId="094EEC2D">
            <w:pPr>
              <w:widowControl/>
              <w:jc w:val="right"/>
              <w:rPr>
                <w:rFonts w:ascii="宋体" w:hAnsi="宋体" w:cs="宋体"/>
                <w:color w:val="000000"/>
                <w:kern w:val="0"/>
                <w:szCs w:val="21"/>
                <w:highlight w:val="none"/>
              </w:rPr>
            </w:pPr>
          </w:p>
        </w:tc>
        <w:tc>
          <w:tcPr>
            <w:tcW w:w="812" w:type="pct"/>
            <w:tcBorders>
              <w:left w:val="single" w:color="auto" w:sz="4" w:space="0"/>
              <w:right w:val="single" w:color="auto" w:sz="4" w:space="0"/>
            </w:tcBorders>
            <w:vAlign w:val="center"/>
          </w:tcPr>
          <w:p w14:paraId="2AF9C7A1">
            <w:pPr>
              <w:widowControl/>
              <w:jc w:val="right"/>
              <w:rPr>
                <w:rFonts w:ascii="宋体" w:hAnsi="宋体" w:cs="宋体"/>
                <w:color w:val="000000"/>
                <w:kern w:val="0"/>
                <w:szCs w:val="21"/>
                <w:highlight w:val="none"/>
              </w:rPr>
            </w:pPr>
          </w:p>
        </w:tc>
        <w:tc>
          <w:tcPr>
            <w:tcW w:w="519" w:type="pct"/>
            <w:tcBorders>
              <w:left w:val="single" w:color="auto" w:sz="4" w:space="0"/>
            </w:tcBorders>
            <w:vAlign w:val="center"/>
          </w:tcPr>
          <w:p w14:paraId="7B45B19F">
            <w:pPr>
              <w:widowControl/>
              <w:jc w:val="right"/>
              <w:rPr>
                <w:rFonts w:ascii="宋体" w:hAnsi="宋体" w:cs="宋体"/>
                <w:color w:val="000000"/>
                <w:kern w:val="0"/>
                <w:szCs w:val="21"/>
                <w:highlight w:val="none"/>
              </w:rPr>
            </w:pPr>
          </w:p>
        </w:tc>
      </w:tr>
      <w:tr w14:paraId="4916A4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7"/>
            <w:vAlign w:val="center"/>
          </w:tcPr>
          <w:p w14:paraId="73BCB092">
            <w:pPr>
              <w:widowControl/>
              <w:jc w:val="left"/>
              <w:rPr>
                <w:rFonts w:ascii="宋体" w:hAnsi="宋体" w:cs="宋体"/>
                <w:color w:val="000000"/>
                <w:kern w:val="0"/>
                <w:szCs w:val="21"/>
                <w:highlight w:val="none"/>
              </w:rPr>
            </w:pPr>
            <w:r>
              <w:rPr>
                <w:rFonts w:hint="eastAsia" w:ascii="宋体" w:hAnsi="宋体" w:cs="仿宋_GB2312"/>
                <w:color w:val="000000"/>
                <w:sz w:val="24"/>
                <w:highlight w:val="none"/>
              </w:rPr>
              <w:t>合计金额大写：人民币大写（小写）</w:t>
            </w:r>
          </w:p>
        </w:tc>
      </w:tr>
    </w:tbl>
    <w:p w14:paraId="25DE6525">
      <w:pPr>
        <w:spacing w:line="360" w:lineRule="auto"/>
        <w:contextualSpacing/>
        <w:jc w:val="left"/>
        <w:rPr>
          <w:rFonts w:ascii="宋体" w:hAnsi="宋体" w:cs="仿宋_GB2312"/>
          <w:sz w:val="24"/>
          <w:highlight w:val="none"/>
        </w:rPr>
      </w:pPr>
    </w:p>
    <w:p w14:paraId="339466A4">
      <w:pPr>
        <w:spacing w:line="360" w:lineRule="auto"/>
        <w:contextualSpacing/>
        <w:jc w:val="left"/>
        <w:rPr>
          <w:rFonts w:ascii="宋体" w:hAnsi="宋体" w:cs="仿宋_GB2312"/>
          <w:sz w:val="24"/>
          <w:highlight w:val="none"/>
        </w:rPr>
      </w:pPr>
      <w:r>
        <w:rPr>
          <w:rFonts w:hint="eastAsia" w:ascii="宋体" w:hAnsi="宋体" w:cs="仿宋_GB2312"/>
          <w:sz w:val="24"/>
          <w:highlight w:val="none"/>
        </w:rPr>
        <w:t xml:space="preserve">注： </w:t>
      </w:r>
    </w:p>
    <w:p w14:paraId="60C4C6D6">
      <w:pPr>
        <w:spacing w:line="360" w:lineRule="auto"/>
        <w:ind w:firstLine="480" w:firstLineChars="200"/>
        <w:contextualSpacing/>
        <w:jc w:val="left"/>
        <w:rPr>
          <w:rFonts w:ascii="宋体" w:hAnsi="宋体" w:cs="仿宋_GB2312"/>
          <w:sz w:val="24"/>
          <w:highlight w:val="none"/>
        </w:rPr>
      </w:pPr>
      <w:r>
        <w:rPr>
          <w:rFonts w:hint="eastAsia" w:ascii="宋体" w:hAnsi="宋体" w:cs="仿宋_GB2312"/>
          <w:sz w:val="24"/>
          <w:highlight w:val="none"/>
        </w:rPr>
        <w:t>1. 供应商的报价表必须加盖供应商电子签章并由法定代表人或者委托代理人签字或者电子签名，</w:t>
      </w:r>
      <w:r>
        <w:rPr>
          <w:rFonts w:hint="eastAsia" w:ascii="宋体" w:hAnsi="宋体" w:cs="仿宋_GB2312"/>
          <w:b/>
          <w:sz w:val="24"/>
          <w:highlight w:val="none"/>
        </w:rPr>
        <w:t>否则其响应文件按无效处理</w:t>
      </w:r>
      <w:r>
        <w:rPr>
          <w:rFonts w:hint="eastAsia" w:ascii="宋体" w:hAnsi="宋体" w:cs="仿宋_GB2312"/>
          <w:sz w:val="24"/>
          <w:highlight w:val="none"/>
        </w:rPr>
        <w:t>。</w:t>
      </w:r>
    </w:p>
    <w:p w14:paraId="6442691B">
      <w:pPr>
        <w:spacing w:line="360" w:lineRule="auto"/>
        <w:ind w:firstLine="480" w:firstLineChars="200"/>
        <w:contextualSpacing/>
        <w:jc w:val="left"/>
        <w:rPr>
          <w:rFonts w:ascii="宋体" w:hAnsi="宋体" w:cs="仿宋_GB2312"/>
          <w:b/>
          <w:sz w:val="24"/>
          <w:highlight w:val="none"/>
        </w:rPr>
      </w:pPr>
      <w:r>
        <w:rPr>
          <w:rFonts w:hint="eastAsia" w:ascii="宋体" w:hAnsi="宋体" w:cs="仿宋_GB2312"/>
          <w:bCs/>
          <w:sz w:val="24"/>
          <w:highlight w:val="none"/>
        </w:rPr>
        <w:t>2.</w:t>
      </w:r>
      <w:r>
        <w:rPr>
          <w:rFonts w:hint="eastAsia" w:ascii="宋体" w:hAnsi="宋体" w:cs="仿宋_GB2312"/>
          <w:sz w:val="24"/>
          <w:highlight w:val="none"/>
        </w:rPr>
        <w:t xml:space="preserve"> 报价一经涂改，应在涂改处加盖供应商公章或者加盖电子签章或者由法定代表人或者授权委托人签字</w:t>
      </w:r>
      <w:r>
        <w:rPr>
          <w:rFonts w:hint="eastAsia" w:ascii="宋体" w:hAnsi="宋体"/>
          <w:sz w:val="24"/>
          <w:highlight w:val="none"/>
        </w:rPr>
        <w:t>（或者电子签名）</w:t>
      </w:r>
      <w:r>
        <w:rPr>
          <w:rFonts w:hint="eastAsia" w:ascii="宋体" w:hAnsi="宋体" w:cs="仿宋_GB2312"/>
          <w:b/>
          <w:sz w:val="24"/>
          <w:highlight w:val="none"/>
        </w:rPr>
        <w:t>，否则其响应文件按无效处理。</w:t>
      </w:r>
    </w:p>
    <w:p w14:paraId="7BAF80F3">
      <w:pPr>
        <w:spacing w:line="360" w:lineRule="auto"/>
        <w:ind w:right="-817" w:rightChars="-389"/>
        <w:contextualSpacing/>
        <w:rPr>
          <w:rFonts w:ascii="宋体" w:hAnsi="宋体" w:cs="仿宋_GB2312"/>
          <w:sz w:val="24"/>
          <w:highlight w:val="none"/>
        </w:rPr>
      </w:pPr>
    </w:p>
    <w:p w14:paraId="487A1305">
      <w:pPr>
        <w:spacing w:line="360" w:lineRule="auto"/>
        <w:ind w:right="-817" w:rightChars="-389" w:firstLine="2640" w:firstLineChars="1100"/>
        <w:contextualSpacing/>
        <w:rPr>
          <w:rFonts w:ascii="宋体" w:hAnsi="宋体" w:cs="仿宋_GB2312"/>
          <w:sz w:val="24"/>
          <w:highlight w:val="none"/>
        </w:rPr>
      </w:pPr>
      <w:r>
        <w:rPr>
          <w:rFonts w:hint="eastAsia" w:ascii="宋体" w:hAnsi="宋体" w:cs="仿宋_GB2312"/>
          <w:sz w:val="24"/>
          <w:highlight w:val="none"/>
        </w:rPr>
        <w:t xml:space="preserve">法定代表人或者委托代理人（签字或者电子签名）：                    </w:t>
      </w:r>
    </w:p>
    <w:p w14:paraId="656CD713">
      <w:pPr>
        <w:spacing w:line="360" w:lineRule="auto"/>
        <w:ind w:right="-817" w:rightChars="-389" w:firstLine="2640" w:firstLineChars="1100"/>
        <w:contextualSpacing/>
        <w:rPr>
          <w:rFonts w:ascii="宋体" w:hAnsi="宋体" w:cs="仿宋_GB2312"/>
          <w:sz w:val="24"/>
          <w:highlight w:val="none"/>
        </w:rPr>
      </w:pPr>
      <w:r>
        <w:rPr>
          <w:rFonts w:hint="eastAsia" w:ascii="宋体" w:hAnsi="宋体" w:cs="仿宋_GB2312"/>
          <w:sz w:val="24"/>
          <w:highlight w:val="none"/>
        </w:rPr>
        <w:t xml:space="preserve">供应商名称（电子签章）：      </w:t>
      </w:r>
    </w:p>
    <w:p w14:paraId="091D5CA2">
      <w:pPr>
        <w:spacing w:line="360" w:lineRule="auto"/>
        <w:ind w:right="-817" w:rightChars="-389" w:firstLine="4080" w:firstLineChars="1700"/>
        <w:contextualSpacing/>
        <w:rPr>
          <w:rFonts w:ascii="宋体" w:hAnsi="宋体" w:cs="仿宋_GB2312"/>
          <w:b/>
          <w:sz w:val="24"/>
          <w:highlight w:val="none"/>
        </w:rPr>
      </w:pPr>
      <w:r>
        <w:rPr>
          <w:rFonts w:hint="eastAsia" w:ascii="宋体" w:hAnsi="宋体" w:cs="仿宋_GB2312"/>
          <w:sz w:val="24"/>
          <w:highlight w:val="none"/>
        </w:rPr>
        <w:t>日期：   年   月   日</w:t>
      </w:r>
    </w:p>
    <w:p w14:paraId="2C3AA86B">
      <w:pPr>
        <w:spacing w:line="360" w:lineRule="auto"/>
        <w:ind w:right="420"/>
        <w:contextualSpacing/>
        <w:jc w:val="left"/>
        <w:rPr>
          <w:rFonts w:ascii="宋体" w:hAnsi="宋体"/>
          <w:b/>
          <w:sz w:val="32"/>
          <w:szCs w:val="32"/>
          <w:highlight w:val="none"/>
        </w:rPr>
      </w:pPr>
      <w:r>
        <w:rPr>
          <w:rFonts w:ascii="宋体" w:hAnsi="宋体"/>
          <w:b/>
          <w:bCs/>
          <w:sz w:val="32"/>
          <w:szCs w:val="32"/>
          <w:highlight w:val="none"/>
        </w:rPr>
        <w:br w:type="page"/>
      </w:r>
      <w:r>
        <w:rPr>
          <w:rFonts w:hint="eastAsia" w:ascii="宋体" w:hAnsi="宋体"/>
          <w:b/>
          <w:bCs/>
          <w:sz w:val="32"/>
          <w:szCs w:val="32"/>
          <w:highlight w:val="none"/>
        </w:rPr>
        <w:t>三、</w:t>
      </w:r>
      <w:r>
        <w:rPr>
          <w:rFonts w:hint="eastAsia" w:ascii="宋体" w:hAnsi="宋体"/>
          <w:b/>
          <w:sz w:val="32"/>
          <w:szCs w:val="32"/>
          <w:highlight w:val="none"/>
        </w:rPr>
        <w:t xml:space="preserve">商务技术文件格式 </w:t>
      </w:r>
    </w:p>
    <w:p w14:paraId="0F2662B6">
      <w:pPr>
        <w:snapToGrid w:val="0"/>
        <w:spacing w:beforeLines="50" w:after="50" w:line="360" w:lineRule="auto"/>
        <w:jc w:val="left"/>
        <w:rPr>
          <w:rFonts w:ascii="宋体" w:hAnsi="宋体"/>
          <w:b/>
          <w:sz w:val="32"/>
          <w:szCs w:val="32"/>
          <w:highlight w:val="none"/>
        </w:rPr>
      </w:pPr>
      <w:r>
        <w:rPr>
          <w:rFonts w:hint="eastAsia" w:ascii="宋体" w:hAnsi="宋体"/>
          <w:b/>
          <w:sz w:val="32"/>
          <w:szCs w:val="32"/>
          <w:highlight w:val="none"/>
        </w:rPr>
        <w:t>1.商务技术文件封面格式</w:t>
      </w:r>
    </w:p>
    <w:p w14:paraId="091B7A88">
      <w:pPr>
        <w:snapToGrid w:val="0"/>
        <w:spacing w:beforeLines="50" w:after="50"/>
        <w:rPr>
          <w:rFonts w:ascii="宋体" w:hAnsi="宋体"/>
          <w:bCs/>
          <w:sz w:val="32"/>
          <w:szCs w:val="20"/>
          <w:highlight w:val="none"/>
        </w:rPr>
      </w:pPr>
    </w:p>
    <w:p w14:paraId="38A7027A">
      <w:pPr>
        <w:snapToGrid w:val="0"/>
        <w:spacing w:beforeLines="50" w:after="50"/>
        <w:jc w:val="center"/>
        <w:rPr>
          <w:rFonts w:ascii="宋体" w:hAnsi="宋体"/>
          <w:sz w:val="24"/>
          <w:szCs w:val="20"/>
          <w:highlight w:val="none"/>
        </w:rPr>
      </w:pPr>
      <w:r>
        <w:rPr>
          <w:rFonts w:hint="eastAsia" w:ascii="宋体" w:hAnsi="宋体"/>
          <w:sz w:val="44"/>
          <w:szCs w:val="44"/>
          <w:highlight w:val="none"/>
        </w:rPr>
        <w:t>电 子 响 应 文 件</w:t>
      </w:r>
    </w:p>
    <w:p w14:paraId="03C88E36">
      <w:pPr>
        <w:snapToGrid w:val="0"/>
        <w:spacing w:beforeLines="50" w:after="50"/>
        <w:rPr>
          <w:rFonts w:ascii="宋体" w:hAnsi="宋体"/>
          <w:sz w:val="24"/>
          <w:szCs w:val="20"/>
          <w:highlight w:val="none"/>
        </w:rPr>
      </w:pPr>
    </w:p>
    <w:p w14:paraId="610C1FDD">
      <w:pPr>
        <w:snapToGrid w:val="0"/>
        <w:spacing w:beforeLines="50" w:after="50"/>
        <w:rPr>
          <w:rFonts w:ascii="宋体" w:hAnsi="宋体"/>
          <w:sz w:val="24"/>
          <w:szCs w:val="20"/>
          <w:highlight w:val="none"/>
        </w:rPr>
      </w:pPr>
    </w:p>
    <w:p w14:paraId="7D3DC4C7">
      <w:pPr>
        <w:snapToGrid w:val="0"/>
        <w:spacing w:beforeLines="50" w:after="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商  务  技  术  文  件</w:t>
      </w:r>
    </w:p>
    <w:p w14:paraId="0914A279">
      <w:pPr>
        <w:snapToGrid w:val="0"/>
        <w:spacing w:beforeLines="50" w:after="50"/>
        <w:rPr>
          <w:rFonts w:ascii="宋体" w:hAnsi="宋体"/>
          <w:bCs/>
          <w:sz w:val="24"/>
          <w:szCs w:val="20"/>
          <w:highlight w:val="none"/>
        </w:rPr>
      </w:pPr>
    </w:p>
    <w:p w14:paraId="0BD9509D">
      <w:pPr>
        <w:snapToGrid w:val="0"/>
        <w:spacing w:beforeLines="50" w:after="50"/>
        <w:rPr>
          <w:rFonts w:ascii="宋体" w:hAnsi="宋体"/>
          <w:bCs/>
          <w:sz w:val="24"/>
          <w:szCs w:val="20"/>
          <w:highlight w:val="none"/>
        </w:rPr>
      </w:pPr>
    </w:p>
    <w:p w14:paraId="13CE9355">
      <w:pPr>
        <w:snapToGrid w:val="0"/>
        <w:spacing w:beforeLines="50" w:after="50"/>
        <w:rPr>
          <w:rFonts w:ascii="宋体" w:hAnsi="宋体"/>
          <w:bCs/>
          <w:sz w:val="24"/>
          <w:szCs w:val="20"/>
          <w:highlight w:val="none"/>
        </w:rPr>
      </w:pPr>
    </w:p>
    <w:p w14:paraId="6EE619E4">
      <w:pPr>
        <w:snapToGrid w:val="0"/>
        <w:spacing w:beforeLines="50" w:after="50"/>
        <w:rPr>
          <w:rFonts w:ascii="宋体" w:hAnsi="宋体"/>
          <w:bCs/>
          <w:sz w:val="24"/>
          <w:szCs w:val="20"/>
          <w:highlight w:val="none"/>
        </w:rPr>
      </w:pPr>
    </w:p>
    <w:p w14:paraId="26C519A0">
      <w:pPr>
        <w:snapToGrid w:val="0"/>
        <w:spacing w:beforeLines="50" w:after="50"/>
        <w:rPr>
          <w:rFonts w:ascii="宋体" w:hAnsi="宋体"/>
          <w:bCs/>
          <w:sz w:val="24"/>
          <w:szCs w:val="20"/>
          <w:highlight w:val="none"/>
        </w:rPr>
      </w:pPr>
    </w:p>
    <w:p w14:paraId="319A2E89">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项目名称：</w:t>
      </w:r>
    </w:p>
    <w:p w14:paraId="635D850C">
      <w:pPr>
        <w:snapToGrid w:val="0"/>
        <w:spacing w:beforeLines="50" w:after="50"/>
        <w:ind w:firstLine="720" w:firstLineChars="225"/>
        <w:rPr>
          <w:rFonts w:ascii="宋体" w:hAnsi="宋体" w:cs="仿宋_GB2312"/>
          <w:bCs/>
          <w:sz w:val="32"/>
          <w:szCs w:val="32"/>
          <w:highlight w:val="none"/>
        </w:rPr>
      </w:pPr>
    </w:p>
    <w:p w14:paraId="612C9918">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项目编号：</w:t>
      </w:r>
    </w:p>
    <w:p w14:paraId="41E1E90F">
      <w:pPr>
        <w:snapToGrid w:val="0"/>
        <w:spacing w:beforeLines="50" w:after="50"/>
        <w:ind w:firstLine="720" w:firstLineChars="225"/>
        <w:rPr>
          <w:rFonts w:ascii="宋体" w:hAnsi="宋体" w:cs="仿宋_GB2312"/>
          <w:bCs/>
          <w:sz w:val="32"/>
          <w:szCs w:val="32"/>
          <w:highlight w:val="none"/>
        </w:rPr>
      </w:pPr>
    </w:p>
    <w:p w14:paraId="537DCFD4">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14:paraId="4B60C227">
      <w:pPr>
        <w:snapToGrid w:val="0"/>
        <w:spacing w:beforeLines="50" w:after="50"/>
        <w:ind w:firstLine="720" w:firstLineChars="225"/>
        <w:rPr>
          <w:rFonts w:ascii="宋体" w:hAnsi="宋体" w:cs="仿宋_GB2312"/>
          <w:bCs/>
          <w:sz w:val="32"/>
          <w:szCs w:val="32"/>
          <w:highlight w:val="none"/>
        </w:rPr>
      </w:pPr>
    </w:p>
    <w:p w14:paraId="0F2FFCE4">
      <w:pPr>
        <w:pStyle w:val="5"/>
        <w:snapToGrid w:val="0"/>
        <w:spacing w:before="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供应商名称：</w:t>
      </w:r>
    </w:p>
    <w:p w14:paraId="72822E93">
      <w:pPr>
        <w:pStyle w:val="5"/>
        <w:snapToGrid w:val="0"/>
        <w:spacing w:before="50" w:after="50"/>
        <w:ind w:firstLine="640" w:firstLineChars="200"/>
        <w:rPr>
          <w:rFonts w:ascii="宋体" w:hAnsi="宋体" w:cs="仿宋_GB2312"/>
          <w:bCs/>
          <w:sz w:val="32"/>
          <w:szCs w:val="32"/>
          <w:highlight w:val="none"/>
        </w:rPr>
      </w:pPr>
    </w:p>
    <w:p w14:paraId="0A7762E6">
      <w:pPr>
        <w:pStyle w:val="5"/>
        <w:snapToGrid w:val="0"/>
        <w:spacing w:before="50" w:after="50"/>
        <w:ind w:firstLine="720" w:firstLineChars="225"/>
        <w:rPr>
          <w:rFonts w:ascii="宋体" w:hAnsi="宋体" w:cs="仿宋_GB2312"/>
          <w:bCs/>
          <w:sz w:val="32"/>
          <w:szCs w:val="32"/>
          <w:highlight w:val="none"/>
        </w:rPr>
      </w:pPr>
    </w:p>
    <w:p w14:paraId="06127181">
      <w:pPr>
        <w:pStyle w:val="5"/>
        <w:snapToGrid w:val="0"/>
        <w:spacing w:before="50" w:after="50"/>
        <w:ind w:firstLine="0"/>
        <w:rPr>
          <w:rFonts w:ascii="宋体" w:hAnsi="宋体" w:cs="仿宋_GB2312"/>
          <w:bCs/>
          <w:sz w:val="32"/>
          <w:szCs w:val="32"/>
          <w:highlight w:val="none"/>
        </w:rPr>
      </w:pPr>
    </w:p>
    <w:p w14:paraId="5A54787D">
      <w:pPr>
        <w:pStyle w:val="5"/>
        <w:snapToGrid w:val="0"/>
        <w:spacing w:before="50" w:after="50"/>
        <w:ind w:firstLine="1280" w:firstLineChars="400"/>
        <w:rPr>
          <w:rFonts w:ascii="宋体" w:hAnsi="宋体" w:cs="仿宋_GB2312"/>
          <w:bCs/>
          <w:sz w:val="32"/>
          <w:szCs w:val="32"/>
          <w:highlight w:val="none"/>
        </w:rPr>
      </w:pPr>
    </w:p>
    <w:p w14:paraId="4788E6A9">
      <w:pPr>
        <w:snapToGrid w:val="0"/>
        <w:spacing w:beforeLines="50" w:after="50"/>
        <w:jc w:val="center"/>
        <w:rPr>
          <w:rFonts w:ascii="宋体" w:hAnsi="宋体" w:cs="仿宋_GB2312"/>
          <w:sz w:val="32"/>
          <w:szCs w:val="32"/>
          <w:highlight w:val="none"/>
        </w:rPr>
      </w:pPr>
      <w:r>
        <w:rPr>
          <w:rFonts w:hint="eastAsia" w:ascii="宋体" w:hAnsi="宋体" w:cs="仿宋_GB2312"/>
          <w:sz w:val="32"/>
          <w:szCs w:val="32"/>
          <w:highlight w:val="none"/>
        </w:rPr>
        <w:t>年    月    日</w:t>
      </w:r>
    </w:p>
    <w:p w14:paraId="483E26CB">
      <w:pPr>
        <w:snapToGrid w:val="0"/>
        <w:spacing w:beforeLines="50" w:after="50" w:line="360" w:lineRule="auto"/>
        <w:ind w:right="480" w:firstLine="240" w:firstLineChars="100"/>
        <w:jc w:val="left"/>
        <w:rPr>
          <w:rFonts w:ascii="宋体" w:hAnsi="宋体"/>
          <w:b/>
          <w:bCs/>
          <w:sz w:val="24"/>
          <w:highlight w:val="none"/>
        </w:rPr>
      </w:pPr>
      <w:r>
        <w:rPr>
          <w:rFonts w:ascii="宋体" w:hAnsi="宋体"/>
          <w:sz w:val="24"/>
          <w:highlight w:val="none"/>
        </w:rPr>
        <w:br w:type="page"/>
      </w:r>
      <w:r>
        <w:rPr>
          <w:rFonts w:hint="eastAsia" w:ascii="宋体" w:hAnsi="宋体"/>
          <w:b/>
          <w:bCs/>
          <w:sz w:val="32"/>
          <w:szCs w:val="32"/>
          <w:highlight w:val="none"/>
        </w:rPr>
        <w:t>2.商务技术文件目录</w:t>
      </w:r>
    </w:p>
    <w:p w14:paraId="321F393D">
      <w:pPr>
        <w:snapToGrid w:val="0"/>
        <w:spacing w:beforeLines="50" w:after="50" w:line="360" w:lineRule="auto"/>
        <w:ind w:firstLine="640" w:firstLineChars="200"/>
        <w:rPr>
          <w:rFonts w:ascii="宋体" w:hAnsi="宋体"/>
          <w:sz w:val="32"/>
          <w:szCs w:val="32"/>
          <w:highlight w:val="none"/>
        </w:rPr>
      </w:pPr>
      <w:r>
        <w:rPr>
          <w:rFonts w:hint="eastAsia" w:ascii="宋体" w:hAnsi="宋体"/>
          <w:sz w:val="32"/>
          <w:szCs w:val="32"/>
          <w:highlight w:val="none"/>
        </w:rPr>
        <w:t>根据磋商文件规定及供应商提供的材料自行编写目录（部分格式后附）。</w:t>
      </w:r>
    </w:p>
    <w:p w14:paraId="321E7917">
      <w:pPr>
        <w:spacing w:line="400" w:lineRule="exact"/>
        <w:rPr>
          <w:rFonts w:ascii="仿宋_GB2312" w:hAnsi="仿宋_GB2312" w:eastAsia="仿宋_GB2312" w:cs="仿宋_GB2312"/>
          <w:sz w:val="32"/>
          <w:szCs w:val="32"/>
          <w:highlight w:val="none"/>
        </w:rPr>
      </w:pPr>
    </w:p>
    <w:p w14:paraId="6136CBB8">
      <w:pPr>
        <w:spacing w:line="520" w:lineRule="exact"/>
        <w:jc w:val="center"/>
        <w:rPr>
          <w:rFonts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br w:type="page"/>
      </w:r>
      <w:r>
        <w:rPr>
          <w:rFonts w:hint="eastAsia" w:ascii="方正小标宋简体" w:hAnsi="方正小标宋简体" w:eastAsia="方正小标宋简体" w:cs="方正小标宋简体"/>
          <w:sz w:val="44"/>
          <w:szCs w:val="44"/>
          <w:highlight w:val="none"/>
        </w:rPr>
        <w:t>无串通竞标行为的承诺函</w:t>
      </w:r>
    </w:p>
    <w:p w14:paraId="606876DE">
      <w:pPr>
        <w:spacing w:line="360" w:lineRule="auto"/>
        <w:ind w:firstLine="640" w:firstLineChars="200"/>
        <w:contextualSpacing/>
        <w:rPr>
          <w:rFonts w:ascii="仿宋_GB2312" w:hAnsi="仿宋_GB2312" w:eastAsia="仿宋_GB2312" w:cs="仿宋_GB2312"/>
          <w:sz w:val="32"/>
          <w:szCs w:val="32"/>
          <w:highlight w:val="none"/>
        </w:rPr>
      </w:pPr>
    </w:p>
    <w:p w14:paraId="0DC25847">
      <w:pPr>
        <w:spacing w:line="360" w:lineRule="auto"/>
        <w:ind w:firstLine="482" w:firstLineChars="200"/>
        <w:contextualSpacing/>
        <w:rPr>
          <w:rFonts w:ascii="宋体" w:hAnsi="宋体" w:cs="仿宋_GB2312"/>
          <w:b/>
          <w:bCs/>
          <w:sz w:val="24"/>
          <w:highlight w:val="none"/>
        </w:rPr>
      </w:pPr>
      <w:r>
        <w:rPr>
          <w:rFonts w:hint="eastAsia" w:ascii="宋体" w:hAnsi="宋体" w:cs="仿宋_GB2312"/>
          <w:b/>
          <w:bCs/>
          <w:sz w:val="24"/>
          <w:highlight w:val="none"/>
        </w:rPr>
        <w:t>一、我方承诺无下列相互串通竞标的情形：</w:t>
      </w:r>
    </w:p>
    <w:p w14:paraId="5514D7BF">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 xml:space="preserve">1.不同供应商的响应文件由同一单位或者个人编制； </w:t>
      </w:r>
    </w:p>
    <w:p w14:paraId="7E3046EB">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2.不同供应商委托同一单位或者个人办理竞标事宜；</w:t>
      </w:r>
    </w:p>
    <w:p w14:paraId="1CB702D5">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3.不同供应商的响应文件载明的项目管理员为同一个人；</w:t>
      </w:r>
    </w:p>
    <w:p w14:paraId="0358DDB3">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4.不</w:t>
      </w:r>
      <w:r>
        <w:rPr>
          <w:rFonts w:hint="eastAsia" w:ascii="宋体" w:hAnsi="宋体" w:cs="仿宋_GB2312"/>
          <w:spacing w:val="-6"/>
          <w:sz w:val="24"/>
          <w:highlight w:val="none"/>
        </w:rPr>
        <w:t>同供应商的响应文件异常一致或者竞标报价呈规律性差异；</w:t>
      </w:r>
    </w:p>
    <w:p w14:paraId="7991CC63">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5.不同供应商的响应文件相互混装；</w:t>
      </w:r>
    </w:p>
    <w:p w14:paraId="11A3E178">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6.不同供应商的磋商保证金从同一单位或者个人账户转出。</w:t>
      </w:r>
    </w:p>
    <w:p w14:paraId="42F5D663">
      <w:pPr>
        <w:spacing w:line="360" w:lineRule="auto"/>
        <w:ind w:firstLine="482" w:firstLineChars="200"/>
        <w:contextualSpacing/>
        <w:rPr>
          <w:rFonts w:ascii="宋体" w:hAnsi="宋体" w:cs="仿宋_GB2312"/>
          <w:b/>
          <w:bCs/>
          <w:sz w:val="24"/>
          <w:highlight w:val="none"/>
        </w:rPr>
      </w:pPr>
      <w:r>
        <w:rPr>
          <w:rFonts w:hint="eastAsia" w:ascii="宋体" w:hAnsi="宋体" w:cs="仿宋_GB2312"/>
          <w:b/>
          <w:bCs/>
          <w:sz w:val="24"/>
          <w:highlight w:val="none"/>
        </w:rPr>
        <w:t>二、我方承诺无下列恶意串通的情形：</w:t>
      </w:r>
    </w:p>
    <w:p w14:paraId="6DC26221">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1.供应商直接或者间接从采购人或者采购代理机构处获得其他供应商的相关信息并修改其响应文件；</w:t>
      </w:r>
    </w:p>
    <w:p w14:paraId="0CA12294">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2.供应商按照采购人或者采购代理机构的授意撤换、修改响应文件；</w:t>
      </w:r>
    </w:p>
    <w:p w14:paraId="45F9BB08">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3.供</w:t>
      </w:r>
      <w:r>
        <w:rPr>
          <w:rFonts w:hint="eastAsia" w:ascii="宋体" w:hAnsi="宋体" w:cs="仿宋_GB2312"/>
          <w:spacing w:val="-6"/>
          <w:sz w:val="24"/>
          <w:highlight w:val="none"/>
        </w:rPr>
        <w:t>应商之间协商报价、技术方案等响应文件的实质性内容；</w:t>
      </w:r>
    </w:p>
    <w:p w14:paraId="1F380591">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4.属于同一集团、协会、商会等组织成员的供应商按照该组织要求协同参加政府采购活动；</w:t>
      </w:r>
    </w:p>
    <w:p w14:paraId="11B653E9">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5.供应商之间事先约定一致抬高或者压低竞标报价，或者在竞争性磋商项目中事先约定轮流以高价位或者低价位成交，或者事先约定由某一特定供应商成交，然后再参加竞标；</w:t>
      </w:r>
    </w:p>
    <w:p w14:paraId="70AB2CC8">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6.供应商之间商定部分供应商放弃参加政府采购活动或者放弃成交；</w:t>
      </w:r>
    </w:p>
    <w:p w14:paraId="116A9477">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7.供应商与采购人或者采购代理机构之间、供应商相互之间，为</w:t>
      </w:r>
      <w:r>
        <w:rPr>
          <w:rFonts w:hint="eastAsia" w:ascii="宋体" w:hAnsi="宋体" w:cs="仿宋_GB2312"/>
          <w:spacing w:val="-6"/>
          <w:sz w:val="24"/>
          <w:highlight w:val="none"/>
        </w:rPr>
        <w:t>谋求特定供应商成交或者排斥其他供应商的其他串通行为。</w:t>
      </w:r>
    </w:p>
    <w:p w14:paraId="0C1D8506">
      <w:pPr>
        <w:spacing w:line="360" w:lineRule="auto"/>
        <w:ind w:firstLine="480" w:firstLineChars="200"/>
        <w:contextualSpacing/>
        <w:rPr>
          <w:rFonts w:ascii="宋体" w:hAnsi="宋体" w:cs="仿宋_GB2312"/>
          <w:sz w:val="24"/>
          <w:highlight w:val="none"/>
        </w:rPr>
      </w:pPr>
    </w:p>
    <w:p w14:paraId="116F6CA2">
      <w:pPr>
        <w:spacing w:line="360" w:lineRule="auto"/>
        <w:ind w:firstLine="482" w:firstLineChars="200"/>
        <w:contextualSpacing/>
        <w:rPr>
          <w:rFonts w:ascii="宋体" w:hAnsi="宋体" w:cs="仿宋_GB2312"/>
          <w:b/>
          <w:bCs/>
          <w:sz w:val="24"/>
          <w:highlight w:val="none"/>
        </w:rPr>
      </w:pPr>
      <w:r>
        <w:rPr>
          <w:rFonts w:hint="eastAsia" w:ascii="宋体" w:hAnsi="宋体" w:cs="仿宋_GB2312"/>
          <w:b/>
          <w:bCs/>
          <w:sz w:val="24"/>
          <w:highlight w:val="none"/>
        </w:rPr>
        <w:t>以上情形一经核查属实，我方愿意承担一切后果，并不再寻求任何旨在减轻或者免除法律责任的辩解。</w:t>
      </w:r>
    </w:p>
    <w:p w14:paraId="6E52E72E">
      <w:pPr>
        <w:spacing w:line="360" w:lineRule="auto"/>
        <w:contextualSpacing/>
        <w:rPr>
          <w:rFonts w:ascii="宋体" w:hAnsi="宋体" w:cs="仿宋_GB2312"/>
          <w:sz w:val="24"/>
          <w:highlight w:val="none"/>
        </w:rPr>
      </w:pPr>
    </w:p>
    <w:p w14:paraId="10B7B706">
      <w:pPr>
        <w:spacing w:line="360" w:lineRule="auto"/>
        <w:ind w:firstLine="3600" w:firstLineChars="1500"/>
        <w:contextualSpacing/>
        <w:rPr>
          <w:rFonts w:ascii="宋体" w:hAnsi="宋体" w:cs="仿宋_GB2312"/>
          <w:sz w:val="24"/>
          <w:highlight w:val="none"/>
        </w:rPr>
      </w:pPr>
      <w:r>
        <w:rPr>
          <w:rFonts w:hint="eastAsia" w:ascii="宋体" w:hAnsi="宋体" w:cs="仿宋_GB2312"/>
          <w:sz w:val="24"/>
          <w:highlight w:val="none"/>
        </w:rPr>
        <w:t>供应商名称（电子签章）：</w:t>
      </w:r>
    </w:p>
    <w:p w14:paraId="5F333808">
      <w:pPr>
        <w:spacing w:line="360" w:lineRule="auto"/>
        <w:ind w:firstLine="480" w:firstLineChars="200"/>
        <w:contextualSpacing/>
        <w:jc w:val="center"/>
        <w:rPr>
          <w:rFonts w:ascii="仿宋_GB2312" w:hAnsi="仿宋_GB2312" w:eastAsia="仿宋_GB2312" w:cs="仿宋_GB2312"/>
          <w:sz w:val="32"/>
          <w:szCs w:val="32"/>
          <w:highlight w:val="none"/>
        </w:rPr>
      </w:pPr>
      <w:r>
        <w:rPr>
          <w:rFonts w:hint="eastAsia" w:ascii="宋体" w:hAnsi="宋体" w:cs="仿宋_GB2312"/>
          <w:sz w:val="24"/>
          <w:highlight w:val="none"/>
        </w:rPr>
        <w:t xml:space="preserve">                               年   月   日</w:t>
      </w:r>
    </w:p>
    <w:p w14:paraId="56F4CCBF">
      <w:pPr>
        <w:spacing w:line="520" w:lineRule="exact"/>
        <w:jc w:val="center"/>
        <w:rPr>
          <w:rFonts w:ascii="仿宋_GB2312" w:hAnsi="仿宋_GB2312" w:eastAsia="仿宋_GB2312" w:cs="仿宋_GB2312"/>
          <w:sz w:val="32"/>
          <w:szCs w:val="32"/>
          <w:highlight w:val="none"/>
        </w:rPr>
      </w:pPr>
      <w:r>
        <w:rPr>
          <w:rFonts w:hint="eastAsia" w:ascii="方正小标宋简体" w:hAnsi="方正小标宋简体" w:eastAsia="方正小标宋简体" w:cs="方正小标宋简体"/>
          <w:bCs/>
          <w:sz w:val="44"/>
          <w:szCs w:val="44"/>
          <w:highlight w:val="none"/>
        </w:rPr>
        <w:br w:type="page"/>
      </w:r>
      <w:r>
        <w:rPr>
          <w:rFonts w:hint="eastAsia" w:ascii="方正小标宋简体" w:hAnsi="方正小标宋简体" w:eastAsia="方正小标宋简体" w:cs="方正小标宋简体"/>
          <w:bCs/>
          <w:sz w:val="44"/>
          <w:szCs w:val="44"/>
          <w:highlight w:val="none"/>
        </w:rPr>
        <w:t>法定代表人证明书</w:t>
      </w:r>
    </w:p>
    <w:p w14:paraId="0FB53D08">
      <w:pPr>
        <w:spacing w:line="360" w:lineRule="auto"/>
        <w:ind w:left="540"/>
        <w:contextualSpacing/>
        <w:rPr>
          <w:rFonts w:ascii="仿宋_GB2312" w:hAnsi="仿宋_GB2312" w:eastAsia="仿宋_GB2312" w:cs="仿宋_GB2312"/>
          <w:sz w:val="32"/>
          <w:szCs w:val="32"/>
          <w:highlight w:val="none"/>
        </w:rPr>
      </w:pPr>
    </w:p>
    <w:p w14:paraId="37104401">
      <w:pPr>
        <w:spacing w:line="360" w:lineRule="auto"/>
        <w:ind w:left="540"/>
        <w:contextualSpacing/>
        <w:rPr>
          <w:rFonts w:ascii="宋体" w:hAnsi="宋体" w:cs="仿宋_GB2312"/>
          <w:sz w:val="24"/>
          <w:highlight w:val="none"/>
        </w:rPr>
      </w:pPr>
      <w:r>
        <w:rPr>
          <w:rFonts w:hint="eastAsia" w:ascii="宋体" w:hAnsi="宋体" w:cs="仿宋_GB2312"/>
          <w:sz w:val="24"/>
          <w:highlight w:val="none"/>
        </w:rPr>
        <w:t>供应商名称：</w:t>
      </w:r>
    </w:p>
    <w:p w14:paraId="2BADE92E">
      <w:pPr>
        <w:spacing w:line="360" w:lineRule="auto"/>
        <w:ind w:left="540"/>
        <w:contextualSpacing/>
        <w:rPr>
          <w:rFonts w:ascii="宋体" w:hAnsi="宋体" w:cs="仿宋_GB2312"/>
          <w:sz w:val="24"/>
          <w:highlight w:val="none"/>
        </w:rPr>
      </w:pPr>
      <w:r>
        <w:rPr>
          <w:rFonts w:hint="eastAsia" w:ascii="宋体" w:hAnsi="宋体" w:cs="仿宋_GB2312"/>
          <w:sz w:val="24"/>
          <w:highlight w:val="none"/>
        </w:rPr>
        <w:t>地    址：</w:t>
      </w:r>
    </w:p>
    <w:p w14:paraId="18CFBF31">
      <w:pPr>
        <w:spacing w:line="360" w:lineRule="auto"/>
        <w:ind w:left="540"/>
        <w:contextualSpacing/>
        <w:rPr>
          <w:rFonts w:ascii="宋体" w:hAnsi="宋体" w:cs="仿宋_GB2312"/>
          <w:sz w:val="24"/>
          <w:highlight w:val="none"/>
        </w:rPr>
      </w:pPr>
      <w:r>
        <w:rPr>
          <w:rFonts w:hint="eastAsia" w:ascii="宋体" w:hAnsi="宋体" w:cs="仿宋_GB2312"/>
          <w:sz w:val="24"/>
          <w:highlight w:val="none"/>
        </w:rPr>
        <w:t>姓    名：性     别：</w:t>
      </w:r>
    </w:p>
    <w:p w14:paraId="4E8F3015">
      <w:pPr>
        <w:spacing w:line="360" w:lineRule="auto"/>
        <w:ind w:left="540"/>
        <w:contextualSpacing/>
        <w:rPr>
          <w:rFonts w:ascii="宋体" w:hAnsi="宋体" w:cs="仿宋_GB2312"/>
          <w:sz w:val="24"/>
          <w:highlight w:val="none"/>
          <w:u w:val="single"/>
        </w:rPr>
      </w:pPr>
      <w:r>
        <w:rPr>
          <w:rFonts w:hint="eastAsia" w:ascii="宋体" w:hAnsi="宋体" w:cs="仿宋_GB2312"/>
          <w:sz w:val="24"/>
          <w:highlight w:val="none"/>
        </w:rPr>
        <w:t>年    龄：职     务：</w:t>
      </w:r>
    </w:p>
    <w:p w14:paraId="18A27DCF">
      <w:pPr>
        <w:spacing w:line="360" w:lineRule="auto"/>
        <w:ind w:left="540"/>
        <w:contextualSpacing/>
        <w:rPr>
          <w:rFonts w:ascii="宋体" w:hAnsi="宋体" w:cs="仿宋_GB2312"/>
          <w:sz w:val="24"/>
          <w:highlight w:val="none"/>
        </w:rPr>
      </w:pPr>
      <w:r>
        <w:rPr>
          <w:rFonts w:hint="eastAsia" w:ascii="宋体" w:hAnsi="宋体" w:cs="仿宋_GB2312"/>
          <w:sz w:val="24"/>
          <w:highlight w:val="none"/>
        </w:rPr>
        <w:t>身份证号码：</w:t>
      </w:r>
    </w:p>
    <w:p w14:paraId="57DDC80F">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系</w:t>
      </w:r>
      <w:r>
        <w:rPr>
          <w:rFonts w:hint="eastAsia" w:ascii="宋体" w:hAnsi="宋体" w:cs="仿宋_GB2312"/>
          <w:sz w:val="24"/>
          <w:highlight w:val="none"/>
          <w:u w:val="single"/>
        </w:rPr>
        <w:t>（供应商名称）</w:t>
      </w:r>
      <w:r>
        <w:rPr>
          <w:rFonts w:hint="eastAsia" w:ascii="宋体" w:hAnsi="宋体" w:cs="仿宋_GB2312"/>
          <w:sz w:val="24"/>
          <w:highlight w:val="none"/>
        </w:rPr>
        <w:t>的法定代表人。</w:t>
      </w:r>
    </w:p>
    <w:p w14:paraId="669EA9A7">
      <w:pPr>
        <w:spacing w:line="360" w:lineRule="auto"/>
        <w:ind w:left="540"/>
        <w:contextualSpacing/>
        <w:rPr>
          <w:rFonts w:ascii="宋体" w:hAnsi="宋体" w:cs="仿宋_GB2312"/>
          <w:sz w:val="24"/>
          <w:highlight w:val="none"/>
        </w:rPr>
      </w:pPr>
      <w:r>
        <w:rPr>
          <w:rFonts w:hint="eastAsia" w:ascii="宋体" w:hAnsi="宋体" w:cs="仿宋_GB2312"/>
          <w:sz w:val="24"/>
          <w:highlight w:val="none"/>
        </w:rPr>
        <w:t>特此证明。</w:t>
      </w:r>
    </w:p>
    <w:p w14:paraId="09F4BDCA">
      <w:pPr>
        <w:spacing w:line="360" w:lineRule="auto"/>
        <w:ind w:left="540"/>
        <w:contextualSpacing/>
        <w:rPr>
          <w:rFonts w:ascii="宋体" w:hAnsi="宋体" w:cs="仿宋_GB2312"/>
          <w:sz w:val="24"/>
          <w:highlight w:val="none"/>
        </w:rPr>
      </w:pPr>
    </w:p>
    <w:p w14:paraId="5815A369">
      <w:pPr>
        <w:spacing w:line="360" w:lineRule="auto"/>
        <w:ind w:left="540"/>
        <w:contextualSpacing/>
        <w:rPr>
          <w:rFonts w:ascii="宋体" w:hAnsi="宋体" w:cs="仿宋_GB2312"/>
          <w:sz w:val="24"/>
          <w:highlight w:val="none"/>
        </w:rPr>
      </w:pPr>
    </w:p>
    <w:p w14:paraId="28A79CF2">
      <w:pPr>
        <w:spacing w:line="360" w:lineRule="auto"/>
        <w:ind w:left="540"/>
        <w:contextualSpacing/>
        <w:rPr>
          <w:rFonts w:ascii="宋体" w:hAnsi="宋体" w:cs="仿宋_GB2312"/>
          <w:sz w:val="24"/>
          <w:highlight w:val="none"/>
        </w:rPr>
      </w:pPr>
    </w:p>
    <w:p w14:paraId="3A4F3997">
      <w:pPr>
        <w:spacing w:line="360" w:lineRule="auto"/>
        <w:ind w:left="540"/>
        <w:contextualSpacing/>
        <w:rPr>
          <w:rFonts w:ascii="宋体" w:hAnsi="宋体" w:cs="仿宋_GB2312"/>
          <w:sz w:val="24"/>
          <w:highlight w:val="none"/>
        </w:rPr>
      </w:pPr>
      <w:r>
        <w:rPr>
          <w:rFonts w:hint="eastAsia" w:ascii="宋体" w:hAnsi="宋体" w:cs="仿宋_GB2312"/>
          <w:sz w:val="24"/>
          <w:highlight w:val="none"/>
        </w:rPr>
        <w:t>附件：法定代表人有效身份证正反面复印件</w:t>
      </w:r>
    </w:p>
    <w:p w14:paraId="1BF617BC">
      <w:pPr>
        <w:spacing w:line="360" w:lineRule="auto"/>
        <w:ind w:left="540"/>
        <w:contextualSpacing/>
        <w:rPr>
          <w:rFonts w:ascii="宋体" w:hAnsi="宋体" w:cs="仿宋_GB2312"/>
          <w:sz w:val="24"/>
          <w:highlight w:val="none"/>
        </w:rPr>
      </w:pPr>
    </w:p>
    <w:p w14:paraId="0DFF36E4">
      <w:pPr>
        <w:spacing w:line="360" w:lineRule="auto"/>
        <w:ind w:left="540" w:leftChars="257" w:right="480" w:firstLine="2280" w:firstLineChars="950"/>
        <w:contextualSpacing/>
        <w:rPr>
          <w:rFonts w:ascii="宋体" w:hAnsi="宋体" w:cs="仿宋_GB2312"/>
          <w:sz w:val="24"/>
          <w:highlight w:val="none"/>
        </w:rPr>
      </w:pPr>
      <w:r>
        <w:rPr>
          <w:rFonts w:hint="eastAsia" w:ascii="宋体" w:hAnsi="宋体" w:cs="仿宋_GB2312"/>
          <w:sz w:val="24"/>
          <w:highlight w:val="none"/>
        </w:rPr>
        <w:t>供应商名称（电子签章）：</w:t>
      </w:r>
    </w:p>
    <w:p w14:paraId="4B1DD82A">
      <w:pPr>
        <w:spacing w:line="360" w:lineRule="auto"/>
        <w:ind w:firstLine="5040" w:firstLineChars="2100"/>
        <w:contextualSpacing/>
        <w:rPr>
          <w:rFonts w:ascii="宋体" w:hAnsi="宋体" w:cs="仿宋_GB2312"/>
          <w:sz w:val="24"/>
          <w:highlight w:val="none"/>
        </w:rPr>
      </w:pPr>
      <w:r>
        <w:rPr>
          <w:rFonts w:hint="eastAsia" w:ascii="宋体" w:hAnsi="宋体" w:cs="仿宋_GB2312"/>
          <w:sz w:val="24"/>
          <w:highlight w:val="none"/>
        </w:rPr>
        <w:t>年月日</w:t>
      </w:r>
    </w:p>
    <w:p w14:paraId="37B2B97C">
      <w:pPr>
        <w:spacing w:line="360" w:lineRule="auto"/>
        <w:contextualSpacing/>
        <w:jc w:val="center"/>
        <w:rPr>
          <w:rFonts w:ascii="宋体" w:hAnsi="宋体" w:cs="仿宋_GB2312"/>
          <w:b/>
          <w:sz w:val="24"/>
          <w:highlight w:val="none"/>
        </w:rPr>
      </w:pPr>
    </w:p>
    <w:p w14:paraId="6BE83116">
      <w:pPr>
        <w:spacing w:line="360" w:lineRule="auto"/>
        <w:contextualSpacing/>
        <w:jc w:val="left"/>
        <w:rPr>
          <w:rFonts w:ascii="宋体" w:hAnsi="宋体" w:cs="仿宋_GB2312"/>
          <w:sz w:val="24"/>
          <w:highlight w:val="none"/>
        </w:rPr>
      </w:pPr>
    </w:p>
    <w:p w14:paraId="6AE6B11F">
      <w:pPr>
        <w:spacing w:line="360" w:lineRule="auto"/>
        <w:contextualSpacing/>
        <w:jc w:val="left"/>
        <w:rPr>
          <w:rFonts w:ascii="宋体" w:hAnsi="宋体" w:cs="仿宋_GB2312"/>
          <w:sz w:val="24"/>
          <w:highlight w:val="none"/>
        </w:rPr>
      </w:pPr>
      <w:r>
        <w:rPr>
          <w:rFonts w:hint="eastAsia" w:ascii="宋体" w:hAnsi="宋体" w:cs="仿宋_GB2312"/>
          <w:sz w:val="24"/>
          <w:highlight w:val="none"/>
        </w:rPr>
        <w:t>注：自然人竞标的无需提供，联合体竞标的只需牵头人出具。</w:t>
      </w:r>
    </w:p>
    <w:p w14:paraId="4D620D07">
      <w:pPr>
        <w:adjustRightInd w:val="0"/>
        <w:snapToGrid w:val="0"/>
        <w:spacing w:line="300" w:lineRule="auto"/>
        <w:jc w:val="left"/>
        <w:rPr>
          <w:rFonts w:ascii="宋体" w:hAnsi="宋体"/>
          <w:b/>
          <w:szCs w:val="21"/>
          <w:highlight w:val="none"/>
        </w:rPr>
      </w:pPr>
    </w:p>
    <w:p w14:paraId="70FE41B7">
      <w:pPr>
        <w:spacing w:line="5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14C75502">
      <w:pPr>
        <w:spacing w:line="520" w:lineRule="exact"/>
        <w:jc w:val="center"/>
        <w:rPr>
          <w:rFonts w:ascii="方正小标宋简体" w:hAnsi="方正小标宋简体" w:eastAsia="方正小标宋简体" w:cs="方正小标宋简体"/>
          <w:sz w:val="44"/>
          <w:szCs w:val="44"/>
          <w:highlight w:val="none"/>
        </w:rPr>
      </w:pPr>
      <w:bookmarkStart w:id="88" w:name="_Hlk65853643"/>
      <w:r>
        <w:rPr>
          <w:rFonts w:hint="eastAsia" w:ascii="方正小标宋简体" w:hAnsi="方正小标宋简体" w:eastAsia="方正小标宋简体" w:cs="方正小标宋简体"/>
          <w:sz w:val="44"/>
          <w:szCs w:val="44"/>
          <w:highlight w:val="none"/>
        </w:rPr>
        <w:t>授权委托书</w:t>
      </w:r>
    </w:p>
    <w:p w14:paraId="472441B9">
      <w:pPr>
        <w:spacing w:line="520" w:lineRule="exact"/>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（非联合体竞标格式）</w:t>
      </w:r>
    </w:p>
    <w:p w14:paraId="4D33C312">
      <w:pPr>
        <w:spacing w:line="5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2"/>
          <w:szCs w:val="32"/>
          <w:highlight w:val="none"/>
        </w:rPr>
        <w:t>（如有委托时）</w:t>
      </w:r>
    </w:p>
    <w:p w14:paraId="113ABBE6">
      <w:pPr>
        <w:spacing w:line="520" w:lineRule="exact"/>
        <w:rPr>
          <w:rFonts w:ascii="仿宋_GB2312" w:hAnsi="仿宋_GB2312" w:eastAsia="仿宋_GB2312" w:cs="仿宋_GB2312"/>
          <w:sz w:val="32"/>
          <w:szCs w:val="32"/>
          <w:highlight w:val="none"/>
        </w:rPr>
      </w:pPr>
    </w:p>
    <w:p w14:paraId="599C72AA">
      <w:pPr>
        <w:spacing w:line="360" w:lineRule="auto"/>
        <w:rPr>
          <w:rFonts w:ascii="宋体" w:hAnsi="宋体" w:cs="仿宋_GB2312"/>
          <w:sz w:val="24"/>
          <w:highlight w:val="none"/>
        </w:rPr>
      </w:pPr>
      <w:r>
        <w:rPr>
          <w:rFonts w:hint="eastAsia" w:ascii="宋体" w:hAnsi="宋体" w:cs="仿宋_GB2312"/>
          <w:sz w:val="24"/>
          <w:highlight w:val="none"/>
        </w:rPr>
        <w:t>致：</w:t>
      </w:r>
      <w:r>
        <w:rPr>
          <w:rFonts w:hint="eastAsia" w:ascii="宋体" w:hAnsi="宋体" w:cs="仿宋_GB2312"/>
          <w:sz w:val="24"/>
          <w:highlight w:val="none"/>
          <w:u w:val="single"/>
        </w:rPr>
        <w:t>（采购人名称）</w:t>
      </w:r>
      <w:r>
        <w:rPr>
          <w:rFonts w:hint="eastAsia" w:ascii="宋体" w:hAnsi="宋体" w:cs="仿宋_GB2312"/>
          <w:sz w:val="24"/>
          <w:highlight w:val="none"/>
        </w:rPr>
        <w:t>：</w:t>
      </w:r>
    </w:p>
    <w:p w14:paraId="61C1948C">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我</w:t>
      </w:r>
      <w:r>
        <w:rPr>
          <w:rFonts w:hint="eastAsia" w:ascii="宋体" w:hAnsi="宋体" w:cs="仿宋_GB2312"/>
          <w:sz w:val="24"/>
          <w:highlight w:val="none"/>
          <w:u w:val="single"/>
        </w:rPr>
        <w:t xml:space="preserve">  （姓名）  </w:t>
      </w:r>
      <w:r>
        <w:rPr>
          <w:rFonts w:hint="eastAsia" w:ascii="宋体" w:hAnsi="宋体" w:cs="仿宋_GB2312"/>
          <w:sz w:val="24"/>
          <w:highlight w:val="none"/>
        </w:rPr>
        <w:t>系</w:t>
      </w:r>
      <w:r>
        <w:rPr>
          <w:rFonts w:hint="eastAsia" w:ascii="宋体" w:hAnsi="宋体" w:cs="仿宋_GB2312"/>
          <w:sz w:val="24"/>
          <w:highlight w:val="none"/>
          <w:u w:val="single"/>
        </w:rPr>
        <w:t xml:space="preserve">  （供应商名称）  </w:t>
      </w:r>
      <w:r>
        <w:rPr>
          <w:rFonts w:hint="eastAsia" w:ascii="宋体" w:hAnsi="宋体" w:cs="仿宋_GB2312"/>
          <w:sz w:val="24"/>
          <w:highlight w:val="none"/>
        </w:rPr>
        <w:t>的（</w:t>
      </w:r>
      <w:r>
        <w:rPr>
          <w:rFonts w:hint="eastAsia" w:ascii="宋体" w:hAnsi="宋体" w:cs="仿宋_GB2312"/>
          <w:sz w:val="24"/>
          <w:highlight w:val="none"/>
          <w:u w:val="single"/>
        </w:rPr>
        <w:sym w:font="Wingdings 2" w:char="00A3"/>
      </w:r>
      <w:r>
        <w:rPr>
          <w:rFonts w:hint="eastAsia" w:ascii="宋体" w:hAnsi="宋体" w:cs="仿宋_GB2312"/>
          <w:sz w:val="24"/>
          <w:highlight w:val="none"/>
          <w:u w:val="single"/>
        </w:rPr>
        <w:t>法定代表人/□负责人/□自然人本人</w:t>
      </w:r>
      <w:r>
        <w:rPr>
          <w:rFonts w:hint="eastAsia" w:ascii="宋体" w:hAnsi="宋体" w:cs="仿宋_GB2312"/>
          <w:sz w:val="24"/>
          <w:highlight w:val="none"/>
        </w:rPr>
        <w:t>），现授权</w:t>
      </w:r>
      <w:r>
        <w:rPr>
          <w:rFonts w:hint="eastAsia" w:ascii="宋体" w:hAnsi="宋体" w:cs="仿宋_GB2312"/>
          <w:sz w:val="24"/>
          <w:highlight w:val="none"/>
          <w:u w:val="single"/>
        </w:rPr>
        <w:t xml:space="preserve"> （姓名） </w:t>
      </w:r>
      <w:r>
        <w:rPr>
          <w:rFonts w:hint="eastAsia" w:ascii="宋体" w:hAnsi="宋体" w:cs="仿宋_GB2312"/>
          <w:sz w:val="24"/>
          <w:highlight w:val="none"/>
        </w:rPr>
        <w:t>以我方的名义参加项目的竞标活动，并代表我方全权办理针对上述项目的所有采购程序和环节的具体事务和签署相关文件。</w:t>
      </w:r>
    </w:p>
    <w:p w14:paraId="3987ECC1">
      <w:pPr>
        <w:spacing w:line="360" w:lineRule="auto"/>
        <w:rPr>
          <w:rFonts w:ascii="宋体" w:hAnsi="宋体" w:cs="仿宋_GB2312"/>
          <w:sz w:val="24"/>
          <w:highlight w:val="none"/>
        </w:rPr>
      </w:pPr>
      <w:r>
        <w:rPr>
          <w:rFonts w:hint="eastAsia" w:ascii="宋体" w:hAnsi="宋体" w:cs="仿宋_GB2312"/>
          <w:sz w:val="24"/>
          <w:highlight w:val="none"/>
        </w:rPr>
        <w:t xml:space="preserve">    我方对委托代理人的签字</w:t>
      </w:r>
      <w:r>
        <w:rPr>
          <w:rFonts w:hint="eastAsia" w:ascii="宋体" w:hAnsi="宋体"/>
          <w:sz w:val="24"/>
          <w:highlight w:val="none"/>
        </w:rPr>
        <w:t>或者电子签名</w:t>
      </w:r>
      <w:r>
        <w:rPr>
          <w:rFonts w:hint="eastAsia" w:ascii="宋体" w:hAnsi="宋体" w:cs="仿宋_GB2312"/>
          <w:sz w:val="24"/>
          <w:highlight w:val="none"/>
        </w:rPr>
        <w:t>事项负全部责任。</w:t>
      </w:r>
    </w:p>
    <w:p w14:paraId="18CD1588">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本授权书自签署之日起生效，在撤销授权的书面通知以前，本授权书一直有效。委托代理人在授权书有效期内签署的所有文件不因授权的撤销而失效。</w:t>
      </w:r>
    </w:p>
    <w:p w14:paraId="4F71090D">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委托代理人无转委托权，特此委托。</w:t>
      </w:r>
    </w:p>
    <w:p w14:paraId="61240B25">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附：法定代表人身份证明书及委托代理人有效身份证正反面复印件</w:t>
      </w:r>
    </w:p>
    <w:p w14:paraId="1C4D6138">
      <w:pPr>
        <w:spacing w:line="360" w:lineRule="auto"/>
        <w:rPr>
          <w:rFonts w:ascii="宋体" w:hAnsi="宋体" w:cs="仿宋_GB2312"/>
          <w:sz w:val="24"/>
          <w:highlight w:val="none"/>
        </w:rPr>
      </w:pPr>
    </w:p>
    <w:p w14:paraId="199E01AD">
      <w:pPr>
        <w:spacing w:line="360" w:lineRule="auto"/>
        <w:contextualSpacing/>
        <w:rPr>
          <w:rFonts w:ascii="宋体" w:hAnsi="宋体" w:cs="仿宋_GB2312"/>
          <w:sz w:val="24"/>
          <w:highlight w:val="none"/>
        </w:rPr>
      </w:pPr>
      <w:r>
        <w:rPr>
          <w:rFonts w:hint="eastAsia" w:ascii="宋体" w:hAnsi="宋体" w:cs="仿宋_GB2312"/>
          <w:sz w:val="24"/>
          <w:highlight w:val="none"/>
        </w:rPr>
        <w:t>委托代理人（</w:t>
      </w:r>
      <w:r>
        <w:rPr>
          <w:rFonts w:hint="eastAsia" w:ascii="宋体" w:hAnsi="宋体"/>
          <w:sz w:val="24"/>
          <w:highlight w:val="none"/>
        </w:rPr>
        <w:t>签字或者电子签名</w:t>
      </w:r>
      <w:r>
        <w:rPr>
          <w:rFonts w:hint="eastAsia" w:ascii="宋体" w:hAnsi="宋体" w:cs="仿宋_GB2312"/>
          <w:sz w:val="24"/>
          <w:highlight w:val="none"/>
        </w:rPr>
        <w:t xml:space="preserve">）：     法定代表人（签字或者盖章或者电子签名）：                    </w:t>
      </w:r>
    </w:p>
    <w:p w14:paraId="302F6C76">
      <w:pPr>
        <w:spacing w:line="360" w:lineRule="auto"/>
        <w:contextualSpacing/>
        <w:rPr>
          <w:rFonts w:ascii="宋体" w:hAnsi="宋体" w:cs="仿宋_GB2312"/>
          <w:sz w:val="24"/>
          <w:highlight w:val="none"/>
        </w:rPr>
      </w:pPr>
      <w:r>
        <w:rPr>
          <w:rFonts w:hint="eastAsia" w:ascii="宋体" w:hAnsi="宋体" w:cs="仿宋_GB2312"/>
          <w:sz w:val="24"/>
          <w:highlight w:val="none"/>
        </w:rPr>
        <w:t xml:space="preserve">委托代理人身份证号码：                              </w:t>
      </w:r>
    </w:p>
    <w:p w14:paraId="33E98FDE">
      <w:pPr>
        <w:spacing w:line="360" w:lineRule="auto"/>
        <w:contextualSpacing/>
        <w:rPr>
          <w:rFonts w:ascii="宋体" w:hAnsi="宋体" w:cs="仿宋_GB2312"/>
          <w:sz w:val="24"/>
          <w:highlight w:val="none"/>
        </w:rPr>
      </w:pPr>
    </w:p>
    <w:p w14:paraId="6AE3AE7F">
      <w:pPr>
        <w:spacing w:line="360" w:lineRule="auto"/>
        <w:rPr>
          <w:rFonts w:ascii="宋体" w:hAnsi="宋体" w:cs="仿宋_GB2312"/>
          <w:sz w:val="24"/>
          <w:highlight w:val="none"/>
        </w:rPr>
      </w:pPr>
      <w:r>
        <w:rPr>
          <w:rFonts w:hint="eastAsia" w:ascii="宋体" w:hAnsi="宋体" w:cs="仿宋_GB2312"/>
          <w:sz w:val="24"/>
          <w:highlight w:val="none"/>
        </w:rPr>
        <w:t xml:space="preserve">                          供应商名称（电子签章）：                      </w:t>
      </w:r>
    </w:p>
    <w:p w14:paraId="0D5FAD29">
      <w:pPr>
        <w:spacing w:line="360" w:lineRule="auto"/>
        <w:rPr>
          <w:rFonts w:ascii="宋体" w:hAnsi="宋体" w:cs="仿宋_GB2312"/>
          <w:sz w:val="24"/>
          <w:highlight w:val="none"/>
        </w:rPr>
      </w:pPr>
      <w:r>
        <w:rPr>
          <w:rFonts w:hint="eastAsia" w:ascii="宋体" w:hAnsi="宋体" w:cs="仿宋_GB2312"/>
          <w:sz w:val="24"/>
          <w:highlight w:val="none"/>
        </w:rPr>
        <w:t xml:space="preserve">                                         年    月    日</w:t>
      </w:r>
    </w:p>
    <w:p w14:paraId="3487F5F7">
      <w:pPr>
        <w:spacing w:line="360" w:lineRule="auto"/>
        <w:rPr>
          <w:rFonts w:ascii="宋体" w:hAnsi="宋体" w:cs="仿宋_GB2312"/>
          <w:sz w:val="24"/>
          <w:highlight w:val="none"/>
        </w:rPr>
      </w:pPr>
    </w:p>
    <w:p w14:paraId="542BE45A">
      <w:pPr>
        <w:spacing w:line="360" w:lineRule="auto"/>
        <w:rPr>
          <w:rFonts w:ascii="宋体" w:hAnsi="宋体" w:cs="仿宋_GB2312"/>
          <w:sz w:val="24"/>
          <w:highlight w:val="none"/>
        </w:rPr>
      </w:pPr>
      <w:r>
        <w:rPr>
          <w:rFonts w:hint="eastAsia" w:ascii="宋体" w:hAnsi="宋体" w:cs="仿宋_GB2312"/>
          <w:sz w:val="24"/>
          <w:highlight w:val="none"/>
        </w:rPr>
        <w:t>注：1. 法定代表人必须在授权委托书上签字或者盖章</w:t>
      </w:r>
      <w:r>
        <w:rPr>
          <w:rFonts w:hint="eastAsia" w:ascii="宋体" w:hAnsi="宋体"/>
          <w:sz w:val="24"/>
          <w:highlight w:val="none"/>
        </w:rPr>
        <w:t>或者电子签名</w:t>
      </w:r>
      <w:r>
        <w:rPr>
          <w:rFonts w:hint="eastAsia" w:ascii="宋体" w:hAnsi="宋体" w:cs="仿宋_GB2312"/>
          <w:sz w:val="24"/>
          <w:highlight w:val="none"/>
        </w:rPr>
        <w:t>，委托代理人必须在授权委托书上签字或者电子签名，</w:t>
      </w:r>
      <w:r>
        <w:rPr>
          <w:rFonts w:hint="eastAsia" w:ascii="宋体" w:hAnsi="宋体" w:cs="仿宋_GB2312"/>
          <w:b/>
          <w:sz w:val="24"/>
          <w:highlight w:val="none"/>
        </w:rPr>
        <w:t>否则其响应文件按无效响应处理。</w:t>
      </w:r>
    </w:p>
    <w:p w14:paraId="628931B9">
      <w:pPr>
        <w:spacing w:line="360" w:lineRule="auto"/>
        <w:ind w:firstLine="480" w:firstLineChars="200"/>
        <w:jc w:val="left"/>
        <w:rPr>
          <w:rFonts w:ascii="宋体" w:hAnsi="宋体" w:cs="仿宋_GB2312"/>
          <w:sz w:val="24"/>
          <w:highlight w:val="none"/>
        </w:rPr>
      </w:pPr>
      <w:r>
        <w:rPr>
          <w:rFonts w:ascii="宋体" w:hAnsi="宋体" w:cs="仿宋_GB2312"/>
          <w:sz w:val="24"/>
          <w:highlight w:val="none"/>
        </w:rPr>
        <w:t>2.</w:t>
      </w:r>
      <w:bookmarkStart w:id="89" w:name="_Hlk65853109"/>
      <w:bookmarkStart w:id="90" w:name="_Hlk65853542"/>
      <w:r>
        <w:rPr>
          <w:rFonts w:hint="eastAsia" w:ascii="宋体" w:hAnsi="宋体" w:cs="仿宋_GB2312"/>
          <w:sz w:val="24"/>
          <w:highlight w:val="none"/>
        </w:rPr>
        <w:t>法人、其他组织竞标时“我方”是指“我单位”，自然人竞标时“我方”是指“本人”。</w:t>
      </w:r>
      <w:bookmarkEnd w:id="89"/>
    </w:p>
    <w:bookmarkEnd w:id="90"/>
    <w:p w14:paraId="4B83676A">
      <w:pPr>
        <w:spacing w:line="360" w:lineRule="auto"/>
        <w:ind w:firstLine="420" w:firstLineChars="200"/>
        <w:jc w:val="left"/>
        <w:rPr>
          <w:rFonts w:ascii="仿宋_GB2312" w:hAnsi="仿宋_GB2312" w:eastAsia="仿宋_GB2312" w:cs="仿宋_GB2312"/>
          <w:szCs w:val="21"/>
          <w:highlight w:val="none"/>
        </w:rPr>
      </w:pPr>
    </w:p>
    <w:p w14:paraId="120F7AED">
      <w:pPr>
        <w:spacing w:line="500" w:lineRule="exact"/>
        <w:rPr>
          <w:rFonts w:ascii="宋体" w:hAnsi="宋体" w:cs="仿宋_GB2312"/>
          <w:spacing w:val="-11"/>
          <w:sz w:val="24"/>
          <w:highlight w:val="none"/>
        </w:rPr>
      </w:pPr>
    </w:p>
    <w:bookmarkEnd w:id="88"/>
    <w:p w14:paraId="04D0BB0A">
      <w:pPr>
        <w:spacing w:line="500" w:lineRule="exact"/>
        <w:jc w:val="center"/>
        <w:rPr>
          <w:rFonts w:ascii="方正小标宋简体" w:hAnsi="方正小标宋简体" w:eastAsia="方正小标宋简体" w:cs="方正小标宋简体"/>
          <w:bCs/>
          <w:sz w:val="44"/>
          <w:szCs w:val="44"/>
          <w:highlight w:val="none"/>
        </w:rPr>
      </w:pPr>
      <w:r>
        <w:rPr>
          <w:rFonts w:hint="eastAsia" w:ascii="仿宋_GB2312" w:hAnsi="仿宋_GB2312" w:eastAsia="仿宋_GB2312" w:cs="仿宋_GB2312"/>
          <w:sz w:val="32"/>
          <w:szCs w:val="32"/>
          <w:highlight w:val="none"/>
        </w:rPr>
        <w:br w:type="page"/>
      </w:r>
      <w:r>
        <w:rPr>
          <w:rFonts w:hint="eastAsia" w:ascii="方正小标宋简体" w:hAnsi="方正小标宋简体" w:eastAsia="方正小标宋简体" w:cs="方正小标宋简体"/>
          <w:bCs/>
          <w:sz w:val="44"/>
          <w:szCs w:val="44"/>
          <w:highlight w:val="none"/>
        </w:rPr>
        <w:t>商务要求偏离表格式</w:t>
      </w:r>
    </w:p>
    <w:p w14:paraId="734D193C">
      <w:pPr>
        <w:spacing w:line="500" w:lineRule="exact"/>
        <w:jc w:val="center"/>
        <w:rPr>
          <w:rFonts w:ascii="宋体" w:hAnsi="宋体"/>
          <w:b/>
          <w:i/>
          <w:sz w:val="32"/>
          <w:szCs w:val="32"/>
          <w:highlight w:val="none"/>
        </w:rPr>
      </w:pPr>
      <w:r>
        <w:rPr>
          <w:rFonts w:hint="eastAsia" w:ascii="方正小标宋简体" w:hAnsi="方正小标宋简体" w:eastAsia="方正小标宋简体" w:cs="方正小标宋简体"/>
          <w:bCs/>
          <w:i/>
          <w:sz w:val="32"/>
          <w:szCs w:val="32"/>
          <w:highlight w:val="none"/>
        </w:rPr>
        <w:t>（注：按采购需求具体条款修改）</w:t>
      </w:r>
    </w:p>
    <w:p w14:paraId="18752A80">
      <w:pPr>
        <w:spacing w:line="360" w:lineRule="auto"/>
        <w:contextualSpacing/>
        <w:jc w:val="left"/>
        <w:rPr>
          <w:rFonts w:ascii="宋体" w:hAnsi="宋体"/>
          <w:sz w:val="24"/>
          <w:highlight w:val="none"/>
        </w:rPr>
      </w:pPr>
    </w:p>
    <w:p w14:paraId="31DDD548">
      <w:pPr>
        <w:pStyle w:val="13"/>
        <w:spacing w:line="360" w:lineRule="auto"/>
        <w:contextualSpacing/>
        <w:rPr>
          <w:rFonts w:hAnsi="宋体" w:cs="仿宋_GB2312"/>
          <w:sz w:val="24"/>
          <w:szCs w:val="24"/>
          <w:highlight w:val="none"/>
        </w:rPr>
      </w:pPr>
      <w:r>
        <w:rPr>
          <w:rFonts w:hint="eastAsia" w:hAnsi="宋体" w:cs="仿宋_GB2312"/>
          <w:sz w:val="24"/>
          <w:szCs w:val="24"/>
          <w:highlight w:val="none"/>
        </w:rPr>
        <w:t>所竞分标：</w:t>
      </w:r>
    </w:p>
    <w:p w14:paraId="05680470">
      <w:pPr>
        <w:spacing w:line="360" w:lineRule="auto"/>
        <w:contextualSpacing/>
        <w:jc w:val="left"/>
        <w:rPr>
          <w:rFonts w:ascii="宋体" w:hAnsi="宋体" w:cs="仿宋_GB2312"/>
          <w:sz w:val="24"/>
          <w:highlight w:val="none"/>
          <w:u w:val="single"/>
        </w:rPr>
      </w:pPr>
    </w:p>
    <w:tbl>
      <w:tblPr>
        <w:tblStyle w:val="2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E2F4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344CBF30">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5E887D8">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51EDFC0C">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D66D531">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偏离说明</w:t>
            </w:r>
          </w:p>
        </w:tc>
      </w:tr>
      <w:tr w14:paraId="2499C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76FA0831">
            <w:pPr>
              <w:jc w:val="center"/>
              <w:rPr>
                <w:rFonts w:ascii="宋体" w:hAnsi="宋体"/>
                <w:sz w:val="24"/>
                <w:highlight w:val="none"/>
              </w:rPr>
            </w:pPr>
            <w:r>
              <w:rPr>
                <w:rFonts w:hint="eastAsia" w:ascii="宋体" w:hAnsi="宋体"/>
                <w:sz w:val="24"/>
                <w:highlight w:val="none"/>
              </w:rPr>
              <w:t>▲服务时间</w:t>
            </w:r>
          </w:p>
          <w:p w14:paraId="271ACBAC">
            <w:pPr>
              <w:jc w:val="center"/>
              <w:rPr>
                <w:rFonts w:ascii="宋体" w:hAnsi="宋体"/>
                <w:sz w:val="24"/>
                <w:highlight w:val="none"/>
              </w:rPr>
            </w:pPr>
            <w:r>
              <w:rPr>
                <w:rFonts w:hint="eastAsia" w:ascii="宋体" w:hAnsi="宋体"/>
                <w:sz w:val="24"/>
                <w:highlight w:val="none"/>
              </w:rPr>
              <w:t>期限</w:t>
            </w:r>
          </w:p>
        </w:tc>
        <w:tc>
          <w:tcPr>
            <w:tcW w:w="2668" w:type="dxa"/>
            <w:tcBorders>
              <w:top w:val="single" w:color="auto" w:sz="4" w:space="0"/>
              <w:left w:val="single" w:color="auto" w:sz="4" w:space="0"/>
              <w:bottom w:val="single" w:color="auto" w:sz="4" w:space="0"/>
              <w:right w:val="single" w:color="auto" w:sz="4" w:space="0"/>
            </w:tcBorders>
            <w:vAlign w:val="center"/>
          </w:tcPr>
          <w:p w14:paraId="00E60071">
            <w:pPr>
              <w:spacing w:line="360" w:lineRule="auto"/>
              <w:contextualSpacing/>
              <w:jc w:val="center"/>
              <w:rPr>
                <w:rFonts w:ascii="宋体" w:hAnsi="宋体" w:cs="仿宋_GB2312"/>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BEDF571">
            <w:pPr>
              <w:spacing w:line="360" w:lineRule="auto"/>
              <w:contextualSpacing/>
              <w:jc w:val="center"/>
              <w:rPr>
                <w:rFonts w:ascii="宋体" w:hAnsi="宋体" w:cs="仿宋_GB2312"/>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90C1287">
            <w:pPr>
              <w:spacing w:line="360" w:lineRule="auto"/>
              <w:contextualSpacing/>
              <w:jc w:val="center"/>
              <w:rPr>
                <w:rFonts w:ascii="宋体" w:hAnsi="宋体" w:cs="仿宋_GB2312"/>
                <w:sz w:val="24"/>
                <w:highlight w:val="none"/>
              </w:rPr>
            </w:pPr>
          </w:p>
        </w:tc>
      </w:tr>
      <w:tr w14:paraId="0379D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232F9B35">
            <w:pPr>
              <w:jc w:val="center"/>
              <w:rPr>
                <w:rFonts w:ascii="宋体" w:hAnsi="宋体"/>
                <w:sz w:val="24"/>
                <w:highlight w:val="none"/>
              </w:rPr>
            </w:pPr>
            <w:r>
              <w:rPr>
                <w:rFonts w:hint="eastAsia" w:ascii="宋体" w:hAnsi="宋体"/>
                <w:sz w:val="24"/>
                <w:highlight w:val="none"/>
              </w:rPr>
              <w:t>▲售后服务要求</w:t>
            </w:r>
          </w:p>
        </w:tc>
        <w:tc>
          <w:tcPr>
            <w:tcW w:w="2668" w:type="dxa"/>
            <w:tcBorders>
              <w:top w:val="single" w:color="auto" w:sz="4" w:space="0"/>
              <w:left w:val="single" w:color="auto" w:sz="4" w:space="0"/>
              <w:bottom w:val="single" w:color="auto" w:sz="4" w:space="0"/>
              <w:right w:val="single" w:color="auto" w:sz="4" w:space="0"/>
            </w:tcBorders>
            <w:vAlign w:val="center"/>
          </w:tcPr>
          <w:p w14:paraId="2F02CF68">
            <w:pPr>
              <w:spacing w:line="360" w:lineRule="auto"/>
              <w:contextualSpacing/>
              <w:jc w:val="center"/>
              <w:rPr>
                <w:rFonts w:ascii="宋体" w:hAnsi="宋体" w:cs="仿宋_GB2312"/>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E098FBE">
            <w:pPr>
              <w:spacing w:line="360" w:lineRule="auto"/>
              <w:ind w:left="43"/>
              <w:contextualSpacing/>
              <w:jc w:val="center"/>
              <w:rPr>
                <w:rFonts w:ascii="宋体" w:hAnsi="宋体" w:cs="仿宋_GB2312"/>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4FF670B">
            <w:pPr>
              <w:spacing w:line="360" w:lineRule="auto"/>
              <w:ind w:left="43"/>
              <w:contextualSpacing/>
              <w:jc w:val="center"/>
              <w:rPr>
                <w:rFonts w:ascii="宋体" w:hAnsi="宋体" w:cs="仿宋_GB2312"/>
                <w:sz w:val="24"/>
                <w:highlight w:val="none"/>
              </w:rPr>
            </w:pPr>
          </w:p>
        </w:tc>
      </w:tr>
      <w:tr w14:paraId="2AD3E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52B649C">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6DA5A591">
            <w:pPr>
              <w:spacing w:line="360" w:lineRule="auto"/>
              <w:contextualSpacing/>
              <w:jc w:val="center"/>
              <w:rPr>
                <w:rFonts w:ascii="宋体" w:hAnsi="宋体" w:cs="仿宋_GB2312"/>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8888B54">
            <w:pPr>
              <w:spacing w:line="360" w:lineRule="auto"/>
              <w:contextualSpacing/>
              <w:jc w:val="center"/>
              <w:rPr>
                <w:rFonts w:ascii="宋体" w:hAnsi="宋体" w:cs="仿宋_GB2312"/>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ABAABA7">
            <w:pPr>
              <w:spacing w:line="360" w:lineRule="auto"/>
              <w:contextualSpacing/>
              <w:jc w:val="center"/>
              <w:rPr>
                <w:rFonts w:ascii="宋体" w:hAnsi="宋体" w:cs="仿宋_GB2312"/>
                <w:sz w:val="24"/>
                <w:highlight w:val="none"/>
              </w:rPr>
            </w:pPr>
          </w:p>
        </w:tc>
      </w:tr>
    </w:tbl>
    <w:p w14:paraId="1F6E9F1C">
      <w:pPr>
        <w:pStyle w:val="9"/>
        <w:spacing w:after="0" w:line="360" w:lineRule="auto"/>
        <w:contextualSpacing/>
        <w:rPr>
          <w:rFonts w:ascii="宋体" w:hAnsi="宋体"/>
          <w:kern w:val="0"/>
          <w:sz w:val="24"/>
          <w:szCs w:val="24"/>
          <w:highlight w:val="none"/>
        </w:rPr>
      </w:pPr>
      <w:r>
        <w:rPr>
          <w:rFonts w:hint="eastAsia" w:ascii="宋体" w:hAnsi="宋体"/>
          <w:kern w:val="0"/>
          <w:sz w:val="24"/>
          <w:szCs w:val="24"/>
          <w:highlight w:val="none"/>
        </w:rPr>
        <w:t>注：</w:t>
      </w:r>
    </w:p>
    <w:p w14:paraId="7BA9DFCB">
      <w:pPr>
        <w:pStyle w:val="9"/>
        <w:spacing w:after="0" w:line="360" w:lineRule="auto"/>
        <w:contextualSpacing/>
        <w:rPr>
          <w:rFonts w:ascii="宋体" w:hAnsi="宋体"/>
          <w:kern w:val="0"/>
          <w:sz w:val="24"/>
          <w:szCs w:val="24"/>
          <w:highlight w:val="none"/>
        </w:rPr>
      </w:pPr>
      <w:r>
        <w:rPr>
          <w:rFonts w:hint="eastAsia" w:ascii="宋体" w:hAnsi="宋体"/>
          <w:kern w:val="0"/>
          <w:sz w:val="24"/>
          <w:szCs w:val="24"/>
          <w:highlight w:val="none"/>
        </w:rPr>
        <w:t>1. 说明：应对照磋商文件“第三章 采购需求”中的商务要求逐条作出明确响应，并作出偏离说明。</w:t>
      </w:r>
    </w:p>
    <w:p w14:paraId="7D870820">
      <w:pPr>
        <w:spacing w:line="360" w:lineRule="auto"/>
        <w:contextualSpacing/>
        <w:jc w:val="left"/>
        <w:rPr>
          <w:rFonts w:ascii="宋体" w:hAnsi="宋体" w:cs="仿宋_GB2312"/>
          <w:sz w:val="24"/>
          <w:highlight w:val="none"/>
          <w:u w:val="single"/>
        </w:rPr>
      </w:pPr>
      <w:r>
        <w:rPr>
          <w:rFonts w:hint="eastAsia" w:ascii="宋体" w:hAnsi="宋体"/>
          <w:kern w:val="0"/>
          <w:sz w:val="24"/>
          <w:highlight w:val="none"/>
        </w:rPr>
        <w:t>2.供应商应根据自身的承诺，对照磋商文件要求在“偏离说明”中注明“正偏离”、“负偏离”或者“无偏离”。既不属于“正偏离”也不属于“负偏离”即为“无偏离”。</w:t>
      </w:r>
    </w:p>
    <w:p w14:paraId="3F5CE3CA">
      <w:pPr>
        <w:spacing w:line="360" w:lineRule="auto"/>
        <w:ind w:right="-817" w:rightChars="-389"/>
        <w:contextualSpacing/>
        <w:rPr>
          <w:rFonts w:ascii="宋体" w:hAnsi="宋体" w:cs="仿宋_GB2312"/>
          <w:sz w:val="24"/>
          <w:highlight w:val="none"/>
        </w:rPr>
      </w:pPr>
    </w:p>
    <w:p w14:paraId="2B2A34A2">
      <w:pPr>
        <w:spacing w:line="360" w:lineRule="auto"/>
        <w:ind w:right="-817" w:rightChars="-389"/>
        <w:contextualSpacing/>
        <w:jc w:val="center"/>
        <w:rPr>
          <w:rFonts w:ascii="宋体" w:hAnsi="宋体" w:cs="仿宋_GB2312"/>
          <w:sz w:val="24"/>
          <w:highlight w:val="none"/>
        </w:rPr>
      </w:pPr>
      <w:r>
        <w:rPr>
          <w:rFonts w:hint="eastAsia" w:ascii="宋体" w:hAnsi="宋体" w:cs="仿宋_GB2312"/>
          <w:sz w:val="24"/>
          <w:highlight w:val="none"/>
        </w:rPr>
        <w:t>法定代表人或者委托代理人（签字或者电子签名）：</w:t>
      </w:r>
    </w:p>
    <w:p w14:paraId="26E6F1FA">
      <w:pPr>
        <w:spacing w:line="360" w:lineRule="auto"/>
        <w:ind w:right="-817" w:rightChars="-389" w:firstLine="2640" w:firstLineChars="1100"/>
        <w:contextualSpacing/>
        <w:rPr>
          <w:rFonts w:ascii="宋体" w:hAnsi="宋体" w:cs="仿宋_GB2312"/>
          <w:sz w:val="24"/>
          <w:highlight w:val="none"/>
        </w:rPr>
      </w:pPr>
      <w:r>
        <w:rPr>
          <w:rFonts w:hint="eastAsia" w:ascii="宋体" w:hAnsi="宋体" w:cs="仿宋_GB2312"/>
          <w:sz w:val="24"/>
          <w:highlight w:val="none"/>
        </w:rPr>
        <w:t xml:space="preserve">供应商名称（电子签章）：      </w:t>
      </w:r>
    </w:p>
    <w:p w14:paraId="46084DF7">
      <w:pPr>
        <w:spacing w:line="360" w:lineRule="auto"/>
        <w:ind w:right="-817" w:rightChars="-389" w:firstLine="4080" w:firstLineChars="1700"/>
        <w:contextualSpacing/>
        <w:rPr>
          <w:rFonts w:ascii="仿宋_GB2312" w:hAnsi="仿宋_GB2312" w:eastAsia="仿宋_GB2312" w:cs="仿宋_GB2312"/>
          <w:b/>
          <w:sz w:val="32"/>
          <w:szCs w:val="32"/>
          <w:highlight w:val="none"/>
        </w:rPr>
      </w:pPr>
      <w:r>
        <w:rPr>
          <w:rFonts w:hint="eastAsia" w:ascii="宋体" w:hAnsi="宋体" w:cs="仿宋_GB2312"/>
          <w:sz w:val="24"/>
          <w:highlight w:val="none"/>
        </w:rPr>
        <w:t>日期：   年   月   日</w:t>
      </w:r>
    </w:p>
    <w:p w14:paraId="2D3CAE64">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highlight w:val="none"/>
        </w:rPr>
      </w:pPr>
    </w:p>
    <w:p w14:paraId="30C9A5BB">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highlight w:val="none"/>
        </w:rPr>
      </w:pPr>
    </w:p>
    <w:p w14:paraId="79A1CC1B">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highlight w:val="none"/>
        </w:rPr>
      </w:pPr>
    </w:p>
    <w:p w14:paraId="5257DB1B">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highlight w:val="none"/>
        </w:rPr>
      </w:pPr>
    </w:p>
    <w:p w14:paraId="2AD0EF5A">
      <w:pPr>
        <w:adjustRightInd w:val="0"/>
        <w:snapToGrid w:val="0"/>
        <w:spacing w:line="520" w:lineRule="exact"/>
        <w:rPr>
          <w:rFonts w:ascii="宋体" w:hAnsi="宋体"/>
          <w:szCs w:val="21"/>
          <w:highlight w:val="none"/>
          <w:u w:val="single"/>
        </w:rPr>
      </w:pPr>
    </w:p>
    <w:p w14:paraId="60D0FF8B">
      <w:pPr>
        <w:adjustRightInd w:val="0"/>
        <w:snapToGrid w:val="0"/>
        <w:spacing w:line="300" w:lineRule="auto"/>
        <w:jc w:val="center"/>
        <w:rPr>
          <w:rFonts w:ascii="方正小标宋简体" w:hAnsi="方正小标宋简体" w:eastAsia="方正小标宋简体" w:cs="方正小标宋简体"/>
          <w:bCs/>
          <w:sz w:val="44"/>
          <w:szCs w:val="44"/>
          <w:highlight w:val="none"/>
        </w:rPr>
      </w:pPr>
      <w:r>
        <w:rPr>
          <w:rFonts w:ascii="方正小标宋简体" w:hAnsi="方正小标宋简体" w:eastAsia="方正小标宋简体" w:cs="方正小标宋简体"/>
          <w:bCs/>
          <w:sz w:val="44"/>
          <w:szCs w:val="44"/>
          <w:highlight w:val="none"/>
        </w:rPr>
        <w:br w:type="page"/>
      </w:r>
      <w:r>
        <w:rPr>
          <w:rFonts w:hint="eastAsia" w:ascii="方正小标宋简体" w:hAnsi="方正小标宋简体" w:eastAsia="方正小标宋简体" w:cs="方正小标宋简体"/>
          <w:bCs/>
          <w:sz w:val="44"/>
          <w:szCs w:val="44"/>
          <w:highlight w:val="none"/>
        </w:rPr>
        <w:t>技术要求偏离表</w:t>
      </w:r>
    </w:p>
    <w:p w14:paraId="2CC02898">
      <w:pPr>
        <w:spacing w:line="520" w:lineRule="exact"/>
        <w:rPr>
          <w:rFonts w:ascii="仿宋_GB2312" w:hAnsi="仿宋_GB2312" w:eastAsia="仿宋_GB2312" w:cs="仿宋_GB2312"/>
          <w:sz w:val="32"/>
          <w:szCs w:val="32"/>
          <w:highlight w:val="none"/>
        </w:rPr>
      </w:pPr>
    </w:p>
    <w:p w14:paraId="0FD5A811">
      <w:pPr>
        <w:spacing w:line="360" w:lineRule="auto"/>
        <w:contextualSpacing/>
        <w:rPr>
          <w:rFonts w:ascii="宋体" w:hAnsi="宋体" w:cs="仿宋_GB2312"/>
          <w:sz w:val="24"/>
          <w:highlight w:val="none"/>
          <w:u w:val="single"/>
        </w:rPr>
      </w:pPr>
      <w:r>
        <w:rPr>
          <w:rFonts w:hint="eastAsia" w:ascii="宋体" w:hAnsi="宋体" w:cs="仿宋_GB2312"/>
          <w:sz w:val="24"/>
          <w:highlight w:val="none"/>
        </w:rPr>
        <w:t>采购项目编号：</w:t>
      </w:r>
    </w:p>
    <w:p w14:paraId="22041646">
      <w:pPr>
        <w:spacing w:line="360" w:lineRule="auto"/>
        <w:contextualSpacing/>
        <w:rPr>
          <w:rFonts w:ascii="宋体" w:hAnsi="宋体" w:cs="仿宋_GB2312"/>
          <w:sz w:val="24"/>
          <w:highlight w:val="none"/>
        </w:rPr>
      </w:pPr>
      <w:r>
        <w:rPr>
          <w:rFonts w:hint="eastAsia" w:ascii="宋体" w:hAnsi="宋体" w:cs="仿宋_GB2312"/>
          <w:sz w:val="24"/>
          <w:highlight w:val="none"/>
        </w:rPr>
        <w:t>采购项目名称：</w:t>
      </w:r>
    </w:p>
    <w:p w14:paraId="6A91E3C1">
      <w:pPr>
        <w:spacing w:line="360" w:lineRule="auto"/>
        <w:contextualSpacing/>
        <w:rPr>
          <w:rFonts w:ascii="宋体" w:hAnsi="宋体" w:cs="仿宋_GB2312"/>
          <w:sz w:val="24"/>
          <w:highlight w:val="none"/>
          <w:u w:val="single"/>
        </w:rPr>
      </w:pPr>
      <w:r>
        <w:rPr>
          <w:rFonts w:hint="eastAsia" w:ascii="宋体" w:hAnsi="宋体" w:cs="仿宋_GB2312"/>
          <w:sz w:val="24"/>
          <w:highlight w:val="none"/>
        </w:rPr>
        <w:t>分标号：</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8"/>
        <w:gridCol w:w="858"/>
        <w:gridCol w:w="2849"/>
        <w:gridCol w:w="2564"/>
        <w:gridCol w:w="1399"/>
      </w:tblGrid>
      <w:tr w14:paraId="12031F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0F91B1D">
            <w:pPr>
              <w:pStyle w:val="11"/>
              <w:spacing w:line="360" w:lineRule="auto"/>
              <w:ind w:firstLine="0" w:firstLineChars="0"/>
              <w:contextualSpacing/>
              <w:jc w:val="center"/>
              <w:rPr>
                <w:rFonts w:ascii="宋体" w:hAnsi="宋体" w:eastAsia="宋体" w:cs="仿宋_GB2312"/>
                <w:kern w:val="2"/>
                <w:sz w:val="24"/>
                <w:szCs w:val="24"/>
                <w:highlight w:val="none"/>
              </w:rPr>
            </w:pPr>
            <w:bookmarkStart w:id="91" w:name="_Toc301781611"/>
            <w:bookmarkStart w:id="92" w:name="_Toc295404981"/>
            <w:bookmarkStart w:id="93" w:name="_Toc173066401"/>
            <w:bookmarkStart w:id="94" w:name="_Toc383699906"/>
            <w:bookmarkStart w:id="95" w:name="_Toc254970729"/>
            <w:bookmarkStart w:id="96" w:name="_Toc173211900"/>
            <w:bookmarkStart w:id="97" w:name="_Toc373333689"/>
            <w:bookmarkStart w:id="98" w:name="_Toc297193185"/>
            <w:bookmarkStart w:id="99" w:name="_Toc254970588"/>
            <w:r>
              <w:rPr>
                <w:rFonts w:hint="eastAsia" w:ascii="宋体" w:hAnsi="宋体" w:eastAsia="宋体" w:cs="仿宋_GB2312"/>
                <w:kern w:val="2"/>
                <w:sz w:val="24"/>
                <w:szCs w:val="24"/>
                <w:highlight w:val="none"/>
              </w:rPr>
              <w:t>序号</w:t>
            </w:r>
            <w:bookmarkEnd w:id="91"/>
            <w:bookmarkEnd w:id="92"/>
            <w:bookmarkEnd w:id="93"/>
            <w:bookmarkEnd w:id="94"/>
            <w:bookmarkEnd w:id="95"/>
            <w:bookmarkEnd w:id="96"/>
            <w:bookmarkEnd w:id="97"/>
            <w:bookmarkEnd w:id="98"/>
            <w:bookmarkEnd w:id="99"/>
          </w:p>
        </w:tc>
        <w:tc>
          <w:tcPr>
            <w:tcW w:w="503" w:type="pct"/>
            <w:tcBorders>
              <w:right w:val="single" w:color="auto" w:sz="4" w:space="0"/>
            </w:tcBorders>
            <w:vAlign w:val="center"/>
          </w:tcPr>
          <w:p w14:paraId="5472118E">
            <w:pPr>
              <w:pStyle w:val="11"/>
              <w:spacing w:line="360" w:lineRule="auto"/>
              <w:ind w:firstLine="0" w:firstLineChars="0"/>
              <w:contextualSpacing/>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名称</w:t>
            </w:r>
          </w:p>
        </w:tc>
        <w:tc>
          <w:tcPr>
            <w:tcW w:w="1670" w:type="pct"/>
            <w:tcBorders>
              <w:left w:val="single" w:color="auto" w:sz="4" w:space="0"/>
            </w:tcBorders>
            <w:vAlign w:val="center"/>
          </w:tcPr>
          <w:p w14:paraId="284020CD">
            <w:pPr>
              <w:pStyle w:val="11"/>
              <w:spacing w:line="360" w:lineRule="auto"/>
              <w:ind w:firstLine="0" w:firstLineChars="0"/>
              <w:contextualSpacing/>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磋商文件技术要求</w:t>
            </w:r>
          </w:p>
        </w:tc>
        <w:tc>
          <w:tcPr>
            <w:tcW w:w="1503" w:type="pct"/>
            <w:vAlign w:val="center"/>
          </w:tcPr>
          <w:p w14:paraId="31FC9F7B">
            <w:pPr>
              <w:pStyle w:val="11"/>
              <w:spacing w:line="360" w:lineRule="auto"/>
              <w:ind w:firstLine="0" w:firstLineChars="0"/>
              <w:contextualSpacing/>
              <w:jc w:val="center"/>
              <w:rPr>
                <w:rFonts w:ascii="宋体" w:hAnsi="宋体" w:eastAsia="宋体" w:cs="仿宋_GB2312"/>
                <w:kern w:val="2"/>
                <w:sz w:val="24"/>
                <w:szCs w:val="24"/>
                <w:highlight w:val="none"/>
              </w:rPr>
            </w:pPr>
            <w:bookmarkStart w:id="100" w:name="_Toc254970731"/>
            <w:bookmarkStart w:id="101" w:name="_Toc373333691"/>
            <w:bookmarkStart w:id="102" w:name="_Toc173066403"/>
            <w:bookmarkStart w:id="103" w:name="_Toc254970590"/>
            <w:bookmarkStart w:id="104" w:name="_Toc297193187"/>
            <w:bookmarkStart w:id="105" w:name="_Toc383699908"/>
            <w:bookmarkStart w:id="106" w:name="_Toc173211902"/>
            <w:bookmarkStart w:id="107" w:name="_Toc295404983"/>
            <w:bookmarkStart w:id="108" w:name="_Toc301781613"/>
            <w:r>
              <w:rPr>
                <w:rFonts w:hint="eastAsia" w:ascii="宋体" w:hAnsi="宋体" w:eastAsia="宋体" w:cs="仿宋_GB2312"/>
                <w:kern w:val="2"/>
                <w:sz w:val="24"/>
                <w:szCs w:val="24"/>
                <w:highlight w:val="none"/>
              </w:rPr>
              <w:t>竞标响应</w:t>
            </w:r>
            <w:bookmarkEnd w:id="100"/>
            <w:bookmarkEnd w:id="101"/>
            <w:bookmarkEnd w:id="102"/>
            <w:bookmarkEnd w:id="103"/>
            <w:bookmarkEnd w:id="104"/>
            <w:bookmarkEnd w:id="105"/>
            <w:bookmarkEnd w:id="106"/>
            <w:bookmarkEnd w:id="107"/>
            <w:bookmarkEnd w:id="108"/>
          </w:p>
        </w:tc>
        <w:tc>
          <w:tcPr>
            <w:tcW w:w="820" w:type="pct"/>
            <w:vAlign w:val="center"/>
          </w:tcPr>
          <w:p w14:paraId="3BBADB39">
            <w:pPr>
              <w:pStyle w:val="11"/>
              <w:spacing w:line="360" w:lineRule="auto"/>
              <w:ind w:firstLine="0" w:firstLineChars="0"/>
              <w:contextualSpacing/>
              <w:jc w:val="center"/>
              <w:rPr>
                <w:rFonts w:ascii="宋体" w:hAnsi="宋体" w:eastAsia="宋体" w:cs="仿宋_GB2312"/>
                <w:kern w:val="2"/>
                <w:sz w:val="24"/>
                <w:szCs w:val="24"/>
                <w:highlight w:val="none"/>
              </w:rPr>
            </w:pPr>
            <w:bookmarkStart w:id="109" w:name="_Toc297193188"/>
            <w:bookmarkStart w:id="110" w:name="_Toc373333692"/>
            <w:bookmarkStart w:id="111" w:name="_Toc254970732"/>
            <w:bookmarkStart w:id="112" w:name="_Toc173066404"/>
            <w:bookmarkStart w:id="113" w:name="_Toc173211903"/>
            <w:bookmarkStart w:id="114" w:name="_Toc295404984"/>
            <w:bookmarkStart w:id="115" w:name="_Toc301781614"/>
            <w:bookmarkStart w:id="116" w:name="_Toc254970591"/>
            <w:bookmarkStart w:id="117" w:name="_Toc383699909"/>
            <w:r>
              <w:rPr>
                <w:rFonts w:hint="eastAsia" w:ascii="宋体" w:hAnsi="宋体" w:eastAsia="宋体" w:cs="仿宋_GB2312"/>
                <w:kern w:val="2"/>
                <w:sz w:val="24"/>
                <w:szCs w:val="24"/>
                <w:highlight w:val="none"/>
              </w:rPr>
              <w:t>偏离</w:t>
            </w:r>
            <w:bookmarkEnd w:id="109"/>
            <w:bookmarkEnd w:id="110"/>
            <w:bookmarkEnd w:id="111"/>
            <w:bookmarkEnd w:id="112"/>
            <w:bookmarkEnd w:id="113"/>
            <w:bookmarkEnd w:id="114"/>
            <w:bookmarkEnd w:id="115"/>
            <w:bookmarkEnd w:id="116"/>
            <w:bookmarkEnd w:id="117"/>
            <w:bookmarkStart w:id="118" w:name="_Toc373333693"/>
            <w:bookmarkStart w:id="119" w:name="_Toc254970733"/>
            <w:bookmarkStart w:id="120" w:name="_Toc295404985"/>
            <w:bookmarkStart w:id="121" w:name="_Toc173211904"/>
            <w:bookmarkStart w:id="122" w:name="_Toc173066405"/>
            <w:bookmarkStart w:id="123" w:name="_Toc254970592"/>
            <w:bookmarkStart w:id="124" w:name="_Toc301781615"/>
            <w:bookmarkStart w:id="125" w:name="_Toc297193189"/>
            <w:bookmarkStart w:id="126" w:name="_Toc383699910"/>
            <w:r>
              <w:rPr>
                <w:rFonts w:hint="eastAsia" w:ascii="宋体" w:hAnsi="宋体" w:eastAsia="宋体" w:cs="仿宋_GB2312"/>
                <w:kern w:val="2"/>
                <w:sz w:val="24"/>
                <w:szCs w:val="24"/>
                <w:highlight w:val="none"/>
              </w:rPr>
              <w:t>说明</w:t>
            </w:r>
            <w:bookmarkEnd w:id="118"/>
            <w:bookmarkEnd w:id="119"/>
            <w:bookmarkEnd w:id="120"/>
            <w:bookmarkEnd w:id="121"/>
            <w:bookmarkEnd w:id="122"/>
            <w:bookmarkEnd w:id="123"/>
            <w:bookmarkEnd w:id="124"/>
            <w:bookmarkEnd w:id="125"/>
            <w:bookmarkEnd w:id="126"/>
          </w:p>
        </w:tc>
      </w:tr>
      <w:tr w14:paraId="4EDFD3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013BFAC">
            <w:pPr>
              <w:pStyle w:val="11"/>
              <w:spacing w:line="360" w:lineRule="auto"/>
              <w:ind w:firstLine="0" w:firstLineChars="0"/>
              <w:contextualSpacing/>
              <w:jc w:val="center"/>
              <w:rPr>
                <w:rFonts w:ascii="宋体" w:hAnsi="宋体" w:eastAsia="宋体" w:cs="仿宋_GB2312"/>
                <w:kern w:val="2"/>
                <w:sz w:val="24"/>
                <w:szCs w:val="24"/>
                <w:highlight w:val="none"/>
              </w:rPr>
            </w:pPr>
            <w:bookmarkStart w:id="127" w:name="_Toc254970734"/>
            <w:bookmarkStart w:id="128" w:name="_Toc301781616"/>
            <w:bookmarkStart w:id="129" w:name="_Toc295404986"/>
            <w:bookmarkStart w:id="130" w:name="_Toc173211905"/>
            <w:bookmarkStart w:id="131" w:name="_Toc254970593"/>
            <w:bookmarkStart w:id="132" w:name="_Toc297193190"/>
            <w:bookmarkStart w:id="133" w:name="_Toc173066406"/>
            <w:bookmarkStart w:id="134" w:name="_Toc373333694"/>
            <w:bookmarkStart w:id="135" w:name="_Toc383699911"/>
            <w:r>
              <w:rPr>
                <w:rFonts w:hint="eastAsia" w:ascii="宋体" w:hAnsi="宋体" w:eastAsia="宋体" w:cs="仿宋_GB2312"/>
                <w:kern w:val="2"/>
                <w:sz w:val="24"/>
                <w:szCs w:val="24"/>
                <w:highlight w:val="none"/>
              </w:rPr>
              <w:t>1</w:t>
            </w:r>
            <w:bookmarkEnd w:id="127"/>
            <w:bookmarkEnd w:id="128"/>
            <w:bookmarkEnd w:id="129"/>
            <w:bookmarkEnd w:id="130"/>
            <w:bookmarkEnd w:id="131"/>
            <w:bookmarkEnd w:id="132"/>
            <w:bookmarkEnd w:id="133"/>
            <w:bookmarkEnd w:id="134"/>
            <w:bookmarkEnd w:id="135"/>
          </w:p>
        </w:tc>
        <w:tc>
          <w:tcPr>
            <w:tcW w:w="503" w:type="pct"/>
            <w:tcBorders>
              <w:right w:val="single" w:color="auto" w:sz="4" w:space="0"/>
            </w:tcBorders>
            <w:vAlign w:val="center"/>
          </w:tcPr>
          <w:p w14:paraId="569EEA80">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530BC782">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503" w:type="pct"/>
            <w:vAlign w:val="center"/>
          </w:tcPr>
          <w:p w14:paraId="726DBE9C">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820" w:type="pct"/>
            <w:vAlign w:val="center"/>
          </w:tcPr>
          <w:p w14:paraId="34D5C3A9">
            <w:pPr>
              <w:pStyle w:val="11"/>
              <w:spacing w:line="360" w:lineRule="auto"/>
              <w:ind w:firstLine="0" w:firstLineChars="0"/>
              <w:contextualSpacing/>
              <w:jc w:val="center"/>
              <w:rPr>
                <w:rFonts w:ascii="宋体" w:hAnsi="宋体" w:eastAsia="宋体" w:cs="仿宋_GB2312"/>
                <w:kern w:val="2"/>
                <w:sz w:val="24"/>
                <w:szCs w:val="24"/>
                <w:highlight w:val="none"/>
              </w:rPr>
            </w:pPr>
          </w:p>
        </w:tc>
      </w:tr>
      <w:tr w14:paraId="7D30BE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B4C44A6">
            <w:pPr>
              <w:pStyle w:val="11"/>
              <w:spacing w:line="360" w:lineRule="auto"/>
              <w:ind w:firstLine="0" w:firstLineChars="0"/>
              <w:contextualSpacing/>
              <w:jc w:val="center"/>
              <w:rPr>
                <w:rFonts w:ascii="宋体" w:hAnsi="宋体" w:eastAsia="宋体" w:cs="仿宋_GB2312"/>
                <w:kern w:val="2"/>
                <w:sz w:val="24"/>
                <w:szCs w:val="24"/>
                <w:highlight w:val="none"/>
              </w:rPr>
            </w:pPr>
            <w:bookmarkStart w:id="136" w:name="_Toc373333695"/>
            <w:bookmarkStart w:id="137" w:name="_Toc254970594"/>
            <w:bookmarkStart w:id="138" w:name="_Toc297193191"/>
            <w:bookmarkStart w:id="139" w:name="_Toc254970735"/>
            <w:bookmarkStart w:id="140" w:name="_Toc173211906"/>
            <w:bookmarkStart w:id="141" w:name="_Toc173066407"/>
            <w:bookmarkStart w:id="142" w:name="_Toc301781617"/>
            <w:bookmarkStart w:id="143" w:name="_Toc383699912"/>
            <w:bookmarkStart w:id="144" w:name="_Toc295404987"/>
            <w:r>
              <w:rPr>
                <w:rFonts w:hint="eastAsia" w:ascii="宋体" w:hAnsi="宋体" w:eastAsia="宋体" w:cs="仿宋_GB2312"/>
                <w:kern w:val="2"/>
                <w:sz w:val="24"/>
                <w:szCs w:val="24"/>
                <w:highlight w:val="none"/>
              </w:rPr>
              <w:t>2</w:t>
            </w:r>
            <w:bookmarkEnd w:id="136"/>
            <w:bookmarkEnd w:id="137"/>
            <w:bookmarkEnd w:id="138"/>
            <w:bookmarkEnd w:id="139"/>
            <w:bookmarkEnd w:id="140"/>
            <w:bookmarkEnd w:id="141"/>
            <w:bookmarkEnd w:id="142"/>
            <w:bookmarkEnd w:id="143"/>
            <w:bookmarkEnd w:id="144"/>
          </w:p>
        </w:tc>
        <w:tc>
          <w:tcPr>
            <w:tcW w:w="503" w:type="pct"/>
            <w:tcBorders>
              <w:right w:val="single" w:color="auto" w:sz="4" w:space="0"/>
            </w:tcBorders>
            <w:vAlign w:val="center"/>
          </w:tcPr>
          <w:p w14:paraId="0F1569C9">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378ADB5F">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503" w:type="pct"/>
            <w:vAlign w:val="center"/>
          </w:tcPr>
          <w:p w14:paraId="0844882F">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820" w:type="pct"/>
            <w:vAlign w:val="center"/>
          </w:tcPr>
          <w:p w14:paraId="4508CE19">
            <w:pPr>
              <w:pStyle w:val="11"/>
              <w:spacing w:line="360" w:lineRule="auto"/>
              <w:ind w:firstLine="0" w:firstLineChars="0"/>
              <w:contextualSpacing/>
              <w:jc w:val="center"/>
              <w:rPr>
                <w:rFonts w:ascii="宋体" w:hAnsi="宋体" w:eastAsia="宋体" w:cs="仿宋_GB2312"/>
                <w:kern w:val="2"/>
                <w:sz w:val="24"/>
                <w:szCs w:val="24"/>
                <w:highlight w:val="none"/>
              </w:rPr>
            </w:pPr>
          </w:p>
        </w:tc>
      </w:tr>
      <w:tr w14:paraId="5AACF1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F622027">
            <w:pPr>
              <w:pStyle w:val="11"/>
              <w:spacing w:line="360" w:lineRule="auto"/>
              <w:ind w:firstLine="0" w:firstLineChars="0"/>
              <w:contextualSpacing/>
              <w:jc w:val="center"/>
              <w:rPr>
                <w:rFonts w:ascii="宋体" w:hAnsi="宋体" w:eastAsia="宋体" w:cs="仿宋_GB2312"/>
                <w:kern w:val="2"/>
                <w:sz w:val="24"/>
                <w:szCs w:val="24"/>
                <w:highlight w:val="none"/>
              </w:rPr>
            </w:pPr>
            <w:bookmarkStart w:id="145" w:name="_Toc301781618"/>
            <w:bookmarkStart w:id="146" w:name="_Toc383699913"/>
            <w:bookmarkStart w:id="147" w:name="_Toc173066408"/>
            <w:bookmarkStart w:id="148" w:name="_Toc173211907"/>
            <w:bookmarkStart w:id="149" w:name="_Toc297193192"/>
            <w:bookmarkStart w:id="150" w:name="_Toc254970736"/>
            <w:bookmarkStart w:id="151" w:name="_Toc254970595"/>
            <w:bookmarkStart w:id="152" w:name="_Toc295404988"/>
            <w:bookmarkStart w:id="153" w:name="_Toc373333696"/>
            <w:r>
              <w:rPr>
                <w:rFonts w:hint="eastAsia" w:ascii="宋体" w:hAnsi="宋体" w:eastAsia="宋体" w:cs="仿宋_GB2312"/>
                <w:kern w:val="2"/>
                <w:sz w:val="24"/>
                <w:szCs w:val="24"/>
                <w:highlight w:val="none"/>
              </w:rPr>
              <w:t>3</w:t>
            </w:r>
            <w:bookmarkEnd w:id="145"/>
            <w:bookmarkEnd w:id="146"/>
            <w:bookmarkEnd w:id="147"/>
            <w:bookmarkEnd w:id="148"/>
            <w:bookmarkEnd w:id="149"/>
            <w:bookmarkEnd w:id="150"/>
            <w:bookmarkEnd w:id="151"/>
            <w:bookmarkEnd w:id="152"/>
            <w:bookmarkEnd w:id="153"/>
          </w:p>
        </w:tc>
        <w:tc>
          <w:tcPr>
            <w:tcW w:w="503" w:type="pct"/>
            <w:tcBorders>
              <w:right w:val="single" w:color="auto" w:sz="4" w:space="0"/>
            </w:tcBorders>
            <w:vAlign w:val="center"/>
          </w:tcPr>
          <w:p w14:paraId="23847373">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78ADD226">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503" w:type="pct"/>
            <w:vAlign w:val="center"/>
          </w:tcPr>
          <w:p w14:paraId="6E7CBE8A">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820" w:type="pct"/>
            <w:vAlign w:val="center"/>
          </w:tcPr>
          <w:p w14:paraId="0C907BA8">
            <w:pPr>
              <w:pStyle w:val="11"/>
              <w:spacing w:line="360" w:lineRule="auto"/>
              <w:ind w:firstLine="0" w:firstLineChars="0"/>
              <w:contextualSpacing/>
              <w:jc w:val="center"/>
              <w:rPr>
                <w:rFonts w:ascii="宋体" w:hAnsi="宋体" w:eastAsia="宋体" w:cs="仿宋_GB2312"/>
                <w:kern w:val="2"/>
                <w:sz w:val="24"/>
                <w:szCs w:val="24"/>
                <w:highlight w:val="none"/>
              </w:rPr>
            </w:pPr>
          </w:p>
        </w:tc>
      </w:tr>
      <w:tr w14:paraId="3C1117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D817122">
            <w:pPr>
              <w:pStyle w:val="11"/>
              <w:spacing w:line="360" w:lineRule="auto"/>
              <w:ind w:firstLine="0" w:firstLineChars="0"/>
              <w:contextualSpacing/>
              <w:jc w:val="center"/>
              <w:rPr>
                <w:rFonts w:ascii="宋体" w:hAnsi="宋体" w:eastAsia="宋体" w:cs="仿宋_GB2312"/>
                <w:kern w:val="2"/>
                <w:sz w:val="24"/>
                <w:szCs w:val="24"/>
                <w:highlight w:val="none"/>
              </w:rPr>
            </w:pPr>
            <w:bookmarkStart w:id="154" w:name="_Toc173066409"/>
            <w:bookmarkStart w:id="155" w:name="_Toc254970596"/>
            <w:bookmarkStart w:id="156" w:name="_Toc373333697"/>
            <w:bookmarkStart w:id="157" w:name="_Toc297193193"/>
            <w:bookmarkStart w:id="158" w:name="_Toc173211908"/>
            <w:bookmarkStart w:id="159" w:name="_Toc383699914"/>
            <w:bookmarkStart w:id="160" w:name="_Toc301781619"/>
            <w:bookmarkStart w:id="161" w:name="_Toc254970737"/>
            <w:bookmarkStart w:id="162" w:name="_Toc295404989"/>
            <w:r>
              <w:rPr>
                <w:rFonts w:hint="eastAsia" w:ascii="宋体" w:hAnsi="宋体" w:eastAsia="宋体" w:cs="仿宋_GB2312"/>
                <w:kern w:val="2"/>
                <w:sz w:val="24"/>
                <w:szCs w:val="24"/>
                <w:highlight w:val="none"/>
              </w:rPr>
              <w:t>4</w:t>
            </w:r>
            <w:bookmarkEnd w:id="154"/>
            <w:bookmarkEnd w:id="155"/>
            <w:bookmarkEnd w:id="156"/>
            <w:bookmarkEnd w:id="157"/>
            <w:bookmarkEnd w:id="158"/>
            <w:bookmarkEnd w:id="159"/>
            <w:bookmarkEnd w:id="160"/>
            <w:bookmarkEnd w:id="161"/>
            <w:bookmarkEnd w:id="162"/>
          </w:p>
        </w:tc>
        <w:tc>
          <w:tcPr>
            <w:tcW w:w="503" w:type="pct"/>
            <w:tcBorders>
              <w:right w:val="single" w:color="auto" w:sz="4" w:space="0"/>
            </w:tcBorders>
            <w:vAlign w:val="center"/>
          </w:tcPr>
          <w:p w14:paraId="770B1EA0">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15A4700F">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503" w:type="pct"/>
            <w:vAlign w:val="center"/>
          </w:tcPr>
          <w:p w14:paraId="019C6DBD">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820" w:type="pct"/>
            <w:vAlign w:val="center"/>
          </w:tcPr>
          <w:p w14:paraId="03954D0F">
            <w:pPr>
              <w:pStyle w:val="11"/>
              <w:spacing w:line="360" w:lineRule="auto"/>
              <w:ind w:firstLine="0" w:firstLineChars="0"/>
              <w:contextualSpacing/>
              <w:jc w:val="center"/>
              <w:rPr>
                <w:rFonts w:ascii="宋体" w:hAnsi="宋体" w:eastAsia="宋体" w:cs="仿宋_GB2312"/>
                <w:kern w:val="2"/>
                <w:sz w:val="24"/>
                <w:szCs w:val="24"/>
                <w:highlight w:val="none"/>
              </w:rPr>
            </w:pPr>
          </w:p>
        </w:tc>
      </w:tr>
      <w:tr w14:paraId="462130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6D56EE8">
            <w:pPr>
              <w:pStyle w:val="11"/>
              <w:spacing w:line="360" w:lineRule="auto"/>
              <w:ind w:firstLine="0" w:firstLineChars="0"/>
              <w:contextualSpacing/>
              <w:jc w:val="center"/>
              <w:rPr>
                <w:rFonts w:ascii="宋体" w:hAnsi="宋体" w:eastAsia="宋体" w:cs="仿宋_GB2312"/>
                <w:kern w:val="2"/>
                <w:sz w:val="24"/>
                <w:szCs w:val="24"/>
                <w:highlight w:val="none"/>
              </w:rPr>
            </w:pPr>
            <w:bookmarkStart w:id="163" w:name="_Toc373333698"/>
            <w:bookmarkStart w:id="164" w:name="_Toc254970738"/>
            <w:bookmarkStart w:id="165" w:name="_Toc383699915"/>
            <w:bookmarkStart w:id="166" w:name="_Toc173066410"/>
            <w:bookmarkStart w:id="167" w:name="_Toc301781620"/>
            <w:bookmarkStart w:id="168" w:name="_Toc254970597"/>
            <w:bookmarkStart w:id="169" w:name="_Toc173211909"/>
            <w:bookmarkStart w:id="170" w:name="_Toc297193194"/>
            <w:bookmarkStart w:id="171" w:name="_Toc295404990"/>
            <w:r>
              <w:rPr>
                <w:rFonts w:hint="eastAsia" w:ascii="宋体" w:hAnsi="宋体" w:eastAsia="宋体" w:cs="仿宋_GB2312"/>
                <w:kern w:val="2"/>
                <w:sz w:val="24"/>
                <w:szCs w:val="24"/>
                <w:highlight w:val="none"/>
              </w:rPr>
              <w:t>5</w:t>
            </w:r>
            <w:bookmarkEnd w:id="163"/>
            <w:bookmarkEnd w:id="164"/>
            <w:bookmarkEnd w:id="165"/>
            <w:bookmarkEnd w:id="166"/>
            <w:bookmarkEnd w:id="167"/>
            <w:bookmarkEnd w:id="168"/>
            <w:bookmarkEnd w:id="169"/>
            <w:bookmarkEnd w:id="170"/>
            <w:bookmarkEnd w:id="171"/>
          </w:p>
        </w:tc>
        <w:tc>
          <w:tcPr>
            <w:tcW w:w="503" w:type="pct"/>
            <w:tcBorders>
              <w:right w:val="single" w:color="auto" w:sz="4" w:space="0"/>
            </w:tcBorders>
            <w:vAlign w:val="center"/>
          </w:tcPr>
          <w:p w14:paraId="1E348481">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77F19C35">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503" w:type="pct"/>
            <w:vAlign w:val="center"/>
          </w:tcPr>
          <w:p w14:paraId="26711C1E">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820" w:type="pct"/>
            <w:vAlign w:val="center"/>
          </w:tcPr>
          <w:p w14:paraId="1847CE37">
            <w:pPr>
              <w:pStyle w:val="11"/>
              <w:spacing w:line="360" w:lineRule="auto"/>
              <w:ind w:firstLine="0" w:firstLineChars="0"/>
              <w:contextualSpacing/>
              <w:jc w:val="center"/>
              <w:rPr>
                <w:rFonts w:ascii="宋体" w:hAnsi="宋体" w:eastAsia="宋体" w:cs="仿宋_GB2312"/>
                <w:kern w:val="2"/>
                <w:sz w:val="24"/>
                <w:szCs w:val="24"/>
                <w:highlight w:val="none"/>
              </w:rPr>
            </w:pPr>
          </w:p>
        </w:tc>
      </w:tr>
      <w:tr w14:paraId="1FA844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19B9BB11">
            <w:pPr>
              <w:pStyle w:val="11"/>
              <w:spacing w:line="360" w:lineRule="auto"/>
              <w:ind w:firstLine="0" w:firstLineChars="0"/>
              <w:contextualSpacing/>
              <w:jc w:val="center"/>
              <w:rPr>
                <w:rFonts w:ascii="宋体" w:hAnsi="宋体" w:eastAsia="宋体" w:cs="仿宋_GB2312"/>
                <w:kern w:val="2"/>
                <w:sz w:val="24"/>
                <w:szCs w:val="24"/>
                <w:highlight w:val="none"/>
              </w:rPr>
            </w:pPr>
            <w:bookmarkStart w:id="172" w:name="_Toc383699916"/>
            <w:bookmarkStart w:id="173" w:name="_Toc297193195"/>
            <w:bookmarkStart w:id="174" w:name="_Toc295404991"/>
            <w:bookmarkStart w:id="175" w:name="_Toc173066415"/>
            <w:bookmarkStart w:id="176" w:name="_Toc254970743"/>
            <w:bookmarkStart w:id="177" w:name="_Toc173211914"/>
            <w:bookmarkStart w:id="178" w:name="_Toc301781621"/>
            <w:bookmarkStart w:id="179" w:name="_Toc373333699"/>
            <w:bookmarkStart w:id="180" w:name="_Toc254970602"/>
            <w:r>
              <w:rPr>
                <w:rFonts w:hint="eastAsia" w:ascii="宋体" w:hAnsi="宋体" w:eastAsia="宋体" w:cs="仿宋_GB2312"/>
                <w:kern w:val="2"/>
                <w:sz w:val="24"/>
                <w:szCs w:val="24"/>
                <w:highlight w:val="none"/>
              </w:rPr>
              <w:t>…</w:t>
            </w:r>
            <w:bookmarkEnd w:id="172"/>
            <w:bookmarkEnd w:id="173"/>
            <w:bookmarkEnd w:id="174"/>
            <w:bookmarkEnd w:id="175"/>
            <w:bookmarkEnd w:id="176"/>
            <w:bookmarkEnd w:id="177"/>
            <w:bookmarkEnd w:id="178"/>
            <w:bookmarkEnd w:id="179"/>
            <w:bookmarkEnd w:id="180"/>
          </w:p>
        </w:tc>
        <w:tc>
          <w:tcPr>
            <w:tcW w:w="503" w:type="pct"/>
            <w:tcBorders>
              <w:right w:val="single" w:color="auto" w:sz="4" w:space="0"/>
            </w:tcBorders>
            <w:vAlign w:val="center"/>
          </w:tcPr>
          <w:p w14:paraId="65F25C21">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53F1307A">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1503" w:type="pct"/>
            <w:vAlign w:val="center"/>
          </w:tcPr>
          <w:p w14:paraId="0B1622E9">
            <w:pPr>
              <w:pStyle w:val="11"/>
              <w:spacing w:line="360" w:lineRule="auto"/>
              <w:ind w:firstLine="0" w:firstLineChars="0"/>
              <w:contextualSpacing/>
              <w:jc w:val="center"/>
              <w:rPr>
                <w:rFonts w:ascii="宋体" w:hAnsi="宋体" w:eastAsia="宋体" w:cs="仿宋_GB2312"/>
                <w:kern w:val="2"/>
                <w:sz w:val="24"/>
                <w:szCs w:val="24"/>
                <w:highlight w:val="none"/>
              </w:rPr>
            </w:pPr>
          </w:p>
        </w:tc>
        <w:tc>
          <w:tcPr>
            <w:tcW w:w="820" w:type="pct"/>
            <w:tcBorders>
              <w:right w:val="single" w:color="auto" w:sz="4" w:space="0"/>
            </w:tcBorders>
            <w:vAlign w:val="center"/>
          </w:tcPr>
          <w:p w14:paraId="3D11CC69">
            <w:pPr>
              <w:pStyle w:val="11"/>
              <w:spacing w:line="360" w:lineRule="auto"/>
              <w:ind w:firstLine="0" w:firstLineChars="0"/>
              <w:contextualSpacing/>
              <w:jc w:val="center"/>
              <w:rPr>
                <w:rFonts w:ascii="宋体" w:hAnsi="宋体" w:eastAsia="宋体" w:cs="仿宋_GB2312"/>
                <w:kern w:val="2"/>
                <w:sz w:val="24"/>
                <w:szCs w:val="24"/>
                <w:highlight w:val="none"/>
              </w:rPr>
            </w:pPr>
          </w:p>
        </w:tc>
      </w:tr>
    </w:tbl>
    <w:p w14:paraId="62378EBF">
      <w:pPr>
        <w:adjustRightInd w:val="0"/>
        <w:spacing w:line="360" w:lineRule="auto"/>
        <w:contextualSpacing/>
        <w:rPr>
          <w:rFonts w:ascii="宋体" w:hAnsi="宋体" w:cs="仿宋_GB2312"/>
          <w:sz w:val="24"/>
          <w:highlight w:val="none"/>
        </w:rPr>
      </w:pPr>
    </w:p>
    <w:p w14:paraId="55AD1C54">
      <w:pPr>
        <w:pStyle w:val="11"/>
        <w:spacing w:line="360" w:lineRule="auto"/>
        <w:ind w:firstLine="0" w:firstLineChars="0"/>
        <w:contextualSpacing/>
        <w:rPr>
          <w:rFonts w:ascii="宋体" w:hAnsi="宋体" w:eastAsia="宋体" w:cs="仿宋_GB2312"/>
          <w:sz w:val="24"/>
          <w:szCs w:val="24"/>
          <w:highlight w:val="none"/>
        </w:rPr>
      </w:pPr>
      <w:r>
        <w:rPr>
          <w:rFonts w:hint="eastAsia" w:ascii="宋体" w:hAnsi="宋体" w:eastAsia="宋体" w:cs="仿宋_GB2312"/>
          <w:sz w:val="24"/>
          <w:szCs w:val="24"/>
          <w:highlight w:val="none"/>
        </w:rPr>
        <w:t>注：</w:t>
      </w:r>
    </w:p>
    <w:p w14:paraId="60270E64">
      <w:pPr>
        <w:pStyle w:val="11"/>
        <w:spacing w:line="360" w:lineRule="auto"/>
        <w:ind w:firstLine="0" w:firstLineChars="0"/>
        <w:contextualSpacing/>
        <w:rPr>
          <w:rFonts w:ascii="宋体" w:hAnsi="宋体" w:eastAsia="宋体" w:cs="仿宋_GB2312"/>
          <w:sz w:val="24"/>
          <w:szCs w:val="24"/>
          <w:highlight w:val="none"/>
        </w:rPr>
      </w:pPr>
      <w:r>
        <w:rPr>
          <w:rFonts w:hint="eastAsia" w:ascii="宋体" w:hAnsi="宋体" w:eastAsia="宋体" w:cs="仿宋_GB2312"/>
          <w:sz w:val="24"/>
          <w:szCs w:val="24"/>
          <w:highlight w:val="none"/>
        </w:rPr>
        <w:t>1. 说明：应对照磋商文件“第三章 采购需求”中的技术要求逐条作出明确响应，并作出偏离说明。</w:t>
      </w:r>
    </w:p>
    <w:p w14:paraId="2962BF6F">
      <w:pPr>
        <w:pStyle w:val="11"/>
        <w:spacing w:line="360" w:lineRule="auto"/>
        <w:ind w:firstLine="0" w:firstLineChars="0"/>
        <w:contextualSpacing/>
        <w:rPr>
          <w:rFonts w:ascii="宋体" w:hAnsi="宋体" w:eastAsia="宋体" w:cs="仿宋_GB2312"/>
          <w:sz w:val="24"/>
          <w:szCs w:val="24"/>
          <w:highlight w:val="none"/>
        </w:rPr>
      </w:pPr>
      <w:r>
        <w:rPr>
          <w:rFonts w:hint="eastAsia" w:ascii="宋体" w:hAnsi="宋体" w:eastAsia="宋体" w:cs="仿宋_GB2312"/>
          <w:sz w:val="24"/>
          <w:szCs w:val="24"/>
          <w:highlight w:val="none"/>
        </w:rPr>
        <w:t>2.供应商应根据自身的承诺，对照磋商文件要求，在“偏离说明”中注明“正偏离”、“负偏离”或者“无偏离”。既不属于“正偏离”也不属于“负偏离”即为“无偏离”。</w:t>
      </w:r>
    </w:p>
    <w:p w14:paraId="0A2DD127">
      <w:pPr>
        <w:spacing w:line="360" w:lineRule="auto"/>
        <w:ind w:right="-817" w:rightChars="-389"/>
        <w:contextualSpacing/>
        <w:rPr>
          <w:rFonts w:ascii="宋体" w:hAnsi="宋体" w:cs="仿宋_GB2312"/>
          <w:sz w:val="24"/>
          <w:highlight w:val="none"/>
        </w:rPr>
      </w:pPr>
    </w:p>
    <w:p w14:paraId="5C597220">
      <w:pPr>
        <w:spacing w:line="360" w:lineRule="auto"/>
        <w:ind w:right="-817" w:rightChars="-389"/>
        <w:contextualSpacing/>
        <w:jc w:val="center"/>
        <w:rPr>
          <w:rFonts w:ascii="宋体" w:hAnsi="宋体" w:cs="仿宋_GB2312"/>
          <w:sz w:val="24"/>
          <w:highlight w:val="none"/>
        </w:rPr>
      </w:pPr>
      <w:r>
        <w:rPr>
          <w:rFonts w:hint="eastAsia" w:ascii="宋体" w:hAnsi="宋体" w:cs="仿宋_GB2312"/>
          <w:sz w:val="24"/>
          <w:highlight w:val="none"/>
        </w:rPr>
        <w:t>法定代表人或者委托代理人（签字或者电子签名）：</w:t>
      </w:r>
    </w:p>
    <w:p w14:paraId="6A8CDBC1">
      <w:pPr>
        <w:spacing w:line="360" w:lineRule="auto"/>
        <w:ind w:right="-817" w:rightChars="-389" w:firstLine="2640" w:firstLineChars="1100"/>
        <w:contextualSpacing/>
        <w:rPr>
          <w:rFonts w:ascii="宋体" w:hAnsi="宋体" w:cs="仿宋_GB2312"/>
          <w:sz w:val="24"/>
          <w:highlight w:val="none"/>
        </w:rPr>
      </w:pPr>
      <w:r>
        <w:rPr>
          <w:rFonts w:hint="eastAsia" w:ascii="宋体" w:hAnsi="宋体" w:cs="仿宋_GB2312"/>
          <w:sz w:val="24"/>
          <w:highlight w:val="none"/>
        </w:rPr>
        <w:t xml:space="preserve">供应商名称（电子签章）：      </w:t>
      </w:r>
    </w:p>
    <w:p w14:paraId="3C23A335">
      <w:pPr>
        <w:spacing w:line="360" w:lineRule="auto"/>
        <w:ind w:right="-817" w:rightChars="-389" w:firstLine="4080" w:firstLineChars="1700"/>
        <w:contextualSpacing/>
        <w:rPr>
          <w:rFonts w:ascii="宋体" w:hAnsi="宋体" w:cs="仿宋_GB2312"/>
          <w:sz w:val="24"/>
          <w:highlight w:val="none"/>
        </w:rPr>
      </w:pPr>
      <w:r>
        <w:rPr>
          <w:rFonts w:hint="eastAsia" w:ascii="宋体" w:hAnsi="宋体" w:cs="仿宋_GB2312"/>
          <w:sz w:val="24"/>
          <w:highlight w:val="none"/>
        </w:rPr>
        <w:t>日期：   年   月   日</w:t>
      </w:r>
    </w:p>
    <w:p w14:paraId="46610BF7">
      <w:pPr>
        <w:snapToGrid w:val="0"/>
        <w:spacing w:beforeLines="50" w:after="50"/>
        <w:ind w:left="142"/>
        <w:jc w:val="left"/>
        <w:rPr>
          <w:rFonts w:ascii="宋体" w:hAnsi="宋体"/>
          <w:b/>
          <w:sz w:val="24"/>
          <w:highlight w:val="none"/>
        </w:rPr>
      </w:pPr>
      <w:r>
        <w:rPr>
          <w:rFonts w:ascii="宋体" w:hAnsi="宋体" w:cs="仿宋_GB2312"/>
          <w:sz w:val="24"/>
          <w:highlight w:val="none"/>
        </w:rPr>
        <w:br w:type="page"/>
      </w:r>
      <w:r>
        <w:rPr>
          <w:rFonts w:hint="eastAsia" w:ascii="宋体" w:hAnsi="宋体"/>
          <w:b/>
          <w:sz w:val="24"/>
          <w:highlight w:val="none"/>
        </w:rPr>
        <w:t>项目实施人员一览表格式</w:t>
      </w:r>
    </w:p>
    <w:p w14:paraId="49546653">
      <w:pPr>
        <w:snapToGrid w:val="0"/>
        <w:spacing w:beforeLines="50" w:after="50"/>
        <w:ind w:left="142"/>
        <w:jc w:val="left"/>
        <w:rPr>
          <w:rFonts w:ascii="宋体" w:hAnsi="宋体"/>
          <w:b/>
          <w:sz w:val="24"/>
          <w:highlight w:val="none"/>
        </w:rPr>
      </w:pPr>
    </w:p>
    <w:p w14:paraId="274B1606">
      <w:pPr>
        <w:spacing w:line="360" w:lineRule="auto"/>
        <w:ind w:left="142"/>
        <w:contextualSpacing/>
        <w:jc w:val="center"/>
        <w:rPr>
          <w:rFonts w:ascii="宋体" w:hAnsi="宋体"/>
          <w:b/>
          <w:sz w:val="32"/>
          <w:szCs w:val="32"/>
          <w:highlight w:val="none"/>
        </w:rPr>
      </w:pPr>
      <w:r>
        <w:rPr>
          <w:rFonts w:hint="eastAsia" w:ascii="宋体" w:hAnsi="宋体"/>
          <w:b/>
          <w:sz w:val="32"/>
          <w:szCs w:val="32"/>
          <w:highlight w:val="none"/>
        </w:rPr>
        <w:t>项目实施人员一览表</w:t>
      </w:r>
    </w:p>
    <w:p w14:paraId="2DFCA3E3">
      <w:pPr>
        <w:pStyle w:val="13"/>
        <w:spacing w:line="360" w:lineRule="auto"/>
        <w:contextualSpacing/>
        <w:rPr>
          <w:sz w:val="24"/>
          <w:szCs w:val="24"/>
          <w:highlight w:val="none"/>
        </w:rPr>
      </w:pPr>
      <w:r>
        <w:rPr>
          <w:rFonts w:hint="eastAsia"/>
          <w:sz w:val="24"/>
          <w:szCs w:val="24"/>
          <w:highlight w:val="none"/>
        </w:rPr>
        <w:t>所竞分标：分标</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0F0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97773E">
            <w:pPr>
              <w:spacing w:line="360" w:lineRule="auto"/>
              <w:contextualSpacing/>
              <w:jc w:val="center"/>
              <w:rPr>
                <w:rFonts w:ascii="宋体" w:hAnsi="宋体"/>
                <w:sz w:val="24"/>
                <w:szCs w:val="20"/>
                <w:highlight w:val="none"/>
              </w:rPr>
            </w:pPr>
            <w:r>
              <w:rPr>
                <w:rFonts w:hint="eastAsia" w:ascii="宋体" w:hAnsi="宋体"/>
                <w:sz w:val="24"/>
                <w:szCs w:val="20"/>
                <w:highlight w:val="none"/>
              </w:rPr>
              <w:t>姓名</w:t>
            </w:r>
          </w:p>
        </w:tc>
        <w:tc>
          <w:tcPr>
            <w:tcW w:w="709" w:type="dxa"/>
            <w:vAlign w:val="center"/>
          </w:tcPr>
          <w:p w14:paraId="503FA76E">
            <w:pPr>
              <w:spacing w:line="360" w:lineRule="auto"/>
              <w:contextualSpacing/>
              <w:jc w:val="center"/>
              <w:rPr>
                <w:rFonts w:ascii="宋体" w:hAnsi="宋体"/>
                <w:sz w:val="24"/>
                <w:szCs w:val="20"/>
                <w:highlight w:val="none"/>
              </w:rPr>
            </w:pPr>
            <w:r>
              <w:rPr>
                <w:rFonts w:hint="eastAsia" w:ascii="宋体" w:hAnsi="宋体"/>
                <w:sz w:val="24"/>
                <w:szCs w:val="20"/>
                <w:highlight w:val="none"/>
              </w:rPr>
              <w:t>职务</w:t>
            </w:r>
          </w:p>
        </w:tc>
        <w:tc>
          <w:tcPr>
            <w:tcW w:w="1701" w:type="dxa"/>
            <w:vAlign w:val="center"/>
          </w:tcPr>
          <w:p w14:paraId="653F8AED">
            <w:pPr>
              <w:spacing w:line="360" w:lineRule="auto"/>
              <w:contextualSpacing/>
              <w:jc w:val="center"/>
              <w:rPr>
                <w:rFonts w:ascii="宋体" w:hAnsi="宋体"/>
                <w:sz w:val="24"/>
                <w:szCs w:val="20"/>
                <w:highlight w:val="none"/>
              </w:rPr>
            </w:pPr>
            <w:r>
              <w:rPr>
                <w:rFonts w:hint="eastAsia" w:ascii="宋体" w:hAnsi="宋体"/>
                <w:sz w:val="24"/>
                <w:szCs w:val="20"/>
                <w:highlight w:val="none"/>
              </w:rPr>
              <w:t>专业技术资格（职称）或者职业资格或者执业资格证或者其他证书</w:t>
            </w:r>
          </w:p>
        </w:tc>
        <w:tc>
          <w:tcPr>
            <w:tcW w:w="1420" w:type="dxa"/>
            <w:vAlign w:val="center"/>
          </w:tcPr>
          <w:p w14:paraId="6E8CD906">
            <w:pPr>
              <w:spacing w:line="360" w:lineRule="auto"/>
              <w:contextualSpacing/>
              <w:jc w:val="center"/>
              <w:rPr>
                <w:rFonts w:ascii="宋体" w:hAnsi="宋体"/>
                <w:sz w:val="24"/>
                <w:szCs w:val="20"/>
                <w:highlight w:val="none"/>
              </w:rPr>
            </w:pPr>
            <w:r>
              <w:rPr>
                <w:rFonts w:hint="eastAsia" w:ascii="宋体" w:hAnsi="宋体"/>
                <w:sz w:val="24"/>
                <w:szCs w:val="20"/>
                <w:highlight w:val="none"/>
              </w:rPr>
              <w:t>证书编号</w:t>
            </w:r>
          </w:p>
        </w:tc>
        <w:tc>
          <w:tcPr>
            <w:tcW w:w="1698" w:type="dxa"/>
            <w:vAlign w:val="center"/>
          </w:tcPr>
          <w:p w14:paraId="6A4FCE0C">
            <w:pPr>
              <w:spacing w:line="360" w:lineRule="auto"/>
              <w:contextualSpacing/>
              <w:jc w:val="center"/>
              <w:rPr>
                <w:rFonts w:ascii="宋体" w:hAnsi="宋体"/>
                <w:sz w:val="24"/>
                <w:szCs w:val="20"/>
                <w:highlight w:val="none"/>
              </w:rPr>
            </w:pPr>
            <w:r>
              <w:rPr>
                <w:rFonts w:hint="eastAsia" w:ascii="宋体" w:hAnsi="宋体"/>
                <w:sz w:val="24"/>
                <w:szCs w:val="20"/>
                <w:highlight w:val="none"/>
              </w:rPr>
              <w:t>参加本单位</w:t>
            </w:r>
          </w:p>
          <w:p w14:paraId="7E4CA400">
            <w:pPr>
              <w:spacing w:line="360" w:lineRule="auto"/>
              <w:contextualSpacing/>
              <w:jc w:val="center"/>
              <w:rPr>
                <w:rFonts w:ascii="宋体" w:hAnsi="宋体"/>
                <w:sz w:val="24"/>
                <w:szCs w:val="20"/>
                <w:highlight w:val="none"/>
              </w:rPr>
            </w:pPr>
            <w:r>
              <w:rPr>
                <w:rFonts w:hint="eastAsia" w:ascii="宋体" w:hAnsi="宋体"/>
                <w:sz w:val="24"/>
                <w:szCs w:val="20"/>
                <w:highlight w:val="none"/>
              </w:rPr>
              <w:t>工作时间</w:t>
            </w:r>
          </w:p>
        </w:tc>
        <w:tc>
          <w:tcPr>
            <w:tcW w:w="1843" w:type="dxa"/>
            <w:vAlign w:val="center"/>
          </w:tcPr>
          <w:p w14:paraId="6B9253C2">
            <w:pPr>
              <w:spacing w:line="360" w:lineRule="auto"/>
              <w:contextualSpacing/>
              <w:jc w:val="center"/>
              <w:rPr>
                <w:rFonts w:ascii="宋体" w:hAnsi="宋体"/>
                <w:sz w:val="24"/>
                <w:szCs w:val="20"/>
                <w:highlight w:val="none"/>
              </w:rPr>
            </w:pPr>
            <w:r>
              <w:rPr>
                <w:rFonts w:hint="eastAsia" w:ascii="宋体" w:hAnsi="宋体"/>
                <w:sz w:val="24"/>
                <w:szCs w:val="20"/>
                <w:highlight w:val="none"/>
              </w:rPr>
              <w:t>劳动合同编号</w:t>
            </w:r>
          </w:p>
        </w:tc>
      </w:tr>
      <w:tr w14:paraId="29E8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C4FDE9">
            <w:pPr>
              <w:spacing w:line="360" w:lineRule="auto"/>
              <w:contextualSpacing/>
              <w:jc w:val="center"/>
              <w:rPr>
                <w:rFonts w:ascii="宋体" w:hAnsi="宋体"/>
                <w:sz w:val="24"/>
                <w:szCs w:val="20"/>
                <w:highlight w:val="none"/>
              </w:rPr>
            </w:pPr>
          </w:p>
        </w:tc>
        <w:tc>
          <w:tcPr>
            <w:tcW w:w="709" w:type="dxa"/>
            <w:vAlign w:val="center"/>
          </w:tcPr>
          <w:p w14:paraId="4BC1C19F">
            <w:pPr>
              <w:spacing w:line="360" w:lineRule="auto"/>
              <w:contextualSpacing/>
              <w:jc w:val="center"/>
              <w:rPr>
                <w:rFonts w:ascii="宋体" w:hAnsi="宋体"/>
                <w:sz w:val="24"/>
                <w:szCs w:val="20"/>
                <w:highlight w:val="none"/>
              </w:rPr>
            </w:pPr>
          </w:p>
        </w:tc>
        <w:tc>
          <w:tcPr>
            <w:tcW w:w="1701" w:type="dxa"/>
            <w:vAlign w:val="center"/>
          </w:tcPr>
          <w:p w14:paraId="3F9243F5">
            <w:pPr>
              <w:spacing w:line="360" w:lineRule="auto"/>
              <w:contextualSpacing/>
              <w:jc w:val="center"/>
              <w:rPr>
                <w:rFonts w:ascii="宋体" w:hAnsi="宋体"/>
                <w:sz w:val="24"/>
                <w:szCs w:val="20"/>
                <w:highlight w:val="none"/>
              </w:rPr>
            </w:pPr>
          </w:p>
        </w:tc>
        <w:tc>
          <w:tcPr>
            <w:tcW w:w="1420" w:type="dxa"/>
            <w:vAlign w:val="center"/>
          </w:tcPr>
          <w:p w14:paraId="0EED7DAC">
            <w:pPr>
              <w:spacing w:line="360" w:lineRule="auto"/>
              <w:contextualSpacing/>
              <w:jc w:val="center"/>
              <w:rPr>
                <w:rFonts w:ascii="宋体" w:hAnsi="宋体"/>
                <w:sz w:val="24"/>
                <w:szCs w:val="20"/>
                <w:highlight w:val="none"/>
              </w:rPr>
            </w:pPr>
          </w:p>
        </w:tc>
        <w:tc>
          <w:tcPr>
            <w:tcW w:w="1698" w:type="dxa"/>
            <w:vAlign w:val="center"/>
          </w:tcPr>
          <w:p w14:paraId="504CFCB9">
            <w:pPr>
              <w:spacing w:line="360" w:lineRule="auto"/>
              <w:contextualSpacing/>
              <w:jc w:val="center"/>
              <w:rPr>
                <w:rFonts w:ascii="宋体" w:hAnsi="宋体"/>
                <w:sz w:val="24"/>
                <w:szCs w:val="20"/>
                <w:highlight w:val="none"/>
              </w:rPr>
            </w:pPr>
          </w:p>
        </w:tc>
        <w:tc>
          <w:tcPr>
            <w:tcW w:w="1843" w:type="dxa"/>
            <w:vAlign w:val="center"/>
          </w:tcPr>
          <w:p w14:paraId="3DDC3A46">
            <w:pPr>
              <w:spacing w:line="360" w:lineRule="auto"/>
              <w:contextualSpacing/>
              <w:jc w:val="center"/>
              <w:rPr>
                <w:rFonts w:ascii="宋体" w:hAnsi="宋体"/>
                <w:sz w:val="24"/>
                <w:szCs w:val="20"/>
                <w:highlight w:val="none"/>
              </w:rPr>
            </w:pPr>
          </w:p>
        </w:tc>
      </w:tr>
      <w:tr w14:paraId="717B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3219FF">
            <w:pPr>
              <w:spacing w:line="360" w:lineRule="auto"/>
              <w:contextualSpacing/>
              <w:jc w:val="center"/>
              <w:rPr>
                <w:rFonts w:ascii="宋体" w:hAnsi="宋体"/>
                <w:sz w:val="24"/>
                <w:szCs w:val="20"/>
                <w:highlight w:val="none"/>
              </w:rPr>
            </w:pPr>
          </w:p>
        </w:tc>
        <w:tc>
          <w:tcPr>
            <w:tcW w:w="709" w:type="dxa"/>
            <w:vAlign w:val="center"/>
          </w:tcPr>
          <w:p w14:paraId="525A9A53">
            <w:pPr>
              <w:spacing w:line="360" w:lineRule="auto"/>
              <w:contextualSpacing/>
              <w:jc w:val="center"/>
              <w:rPr>
                <w:rFonts w:ascii="宋体" w:hAnsi="宋体"/>
                <w:sz w:val="24"/>
                <w:szCs w:val="20"/>
                <w:highlight w:val="none"/>
              </w:rPr>
            </w:pPr>
          </w:p>
        </w:tc>
        <w:tc>
          <w:tcPr>
            <w:tcW w:w="1701" w:type="dxa"/>
            <w:vAlign w:val="center"/>
          </w:tcPr>
          <w:p w14:paraId="3EDD2720">
            <w:pPr>
              <w:spacing w:line="360" w:lineRule="auto"/>
              <w:contextualSpacing/>
              <w:jc w:val="center"/>
              <w:rPr>
                <w:rFonts w:ascii="宋体" w:hAnsi="宋体"/>
                <w:sz w:val="24"/>
                <w:szCs w:val="20"/>
                <w:highlight w:val="none"/>
              </w:rPr>
            </w:pPr>
          </w:p>
        </w:tc>
        <w:tc>
          <w:tcPr>
            <w:tcW w:w="1420" w:type="dxa"/>
            <w:vAlign w:val="center"/>
          </w:tcPr>
          <w:p w14:paraId="60406D19">
            <w:pPr>
              <w:spacing w:line="360" w:lineRule="auto"/>
              <w:contextualSpacing/>
              <w:jc w:val="center"/>
              <w:rPr>
                <w:rFonts w:ascii="宋体" w:hAnsi="宋体"/>
                <w:sz w:val="24"/>
                <w:szCs w:val="20"/>
                <w:highlight w:val="none"/>
              </w:rPr>
            </w:pPr>
          </w:p>
        </w:tc>
        <w:tc>
          <w:tcPr>
            <w:tcW w:w="1698" w:type="dxa"/>
            <w:vAlign w:val="center"/>
          </w:tcPr>
          <w:p w14:paraId="1B1BEC47">
            <w:pPr>
              <w:spacing w:line="360" w:lineRule="auto"/>
              <w:contextualSpacing/>
              <w:jc w:val="center"/>
              <w:rPr>
                <w:rFonts w:ascii="宋体" w:hAnsi="宋体"/>
                <w:sz w:val="24"/>
                <w:szCs w:val="20"/>
                <w:highlight w:val="none"/>
              </w:rPr>
            </w:pPr>
          </w:p>
        </w:tc>
        <w:tc>
          <w:tcPr>
            <w:tcW w:w="1843" w:type="dxa"/>
            <w:vAlign w:val="center"/>
          </w:tcPr>
          <w:p w14:paraId="3EE6EA1C">
            <w:pPr>
              <w:spacing w:line="360" w:lineRule="auto"/>
              <w:contextualSpacing/>
              <w:jc w:val="center"/>
              <w:rPr>
                <w:rFonts w:ascii="宋体" w:hAnsi="宋体"/>
                <w:sz w:val="24"/>
                <w:szCs w:val="20"/>
                <w:highlight w:val="none"/>
              </w:rPr>
            </w:pPr>
          </w:p>
        </w:tc>
      </w:tr>
      <w:tr w14:paraId="3CE2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101B97">
            <w:pPr>
              <w:spacing w:line="360" w:lineRule="auto"/>
              <w:contextualSpacing/>
              <w:jc w:val="center"/>
              <w:rPr>
                <w:rFonts w:ascii="宋体" w:hAnsi="宋体"/>
                <w:sz w:val="24"/>
                <w:szCs w:val="20"/>
                <w:highlight w:val="none"/>
              </w:rPr>
            </w:pPr>
          </w:p>
        </w:tc>
        <w:tc>
          <w:tcPr>
            <w:tcW w:w="709" w:type="dxa"/>
            <w:vAlign w:val="center"/>
          </w:tcPr>
          <w:p w14:paraId="1040962F">
            <w:pPr>
              <w:spacing w:line="360" w:lineRule="auto"/>
              <w:contextualSpacing/>
              <w:jc w:val="center"/>
              <w:rPr>
                <w:rFonts w:ascii="宋体" w:hAnsi="宋体"/>
                <w:sz w:val="24"/>
                <w:szCs w:val="20"/>
                <w:highlight w:val="none"/>
              </w:rPr>
            </w:pPr>
          </w:p>
        </w:tc>
        <w:tc>
          <w:tcPr>
            <w:tcW w:w="1701" w:type="dxa"/>
            <w:vAlign w:val="center"/>
          </w:tcPr>
          <w:p w14:paraId="05346A01">
            <w:pPr>
              <w:spacing w:line="360" w:lineRule="auto"/>
              <w:contextualSpacing/>
              <w:jc w:val="center"/>
              <w:rPr>
                <w:rFonts w:ascii="宋体" w:hAnsi="宋体"/>
                <w:sz w:val="24"/>
                <w:szCs w:val="20"/>
                <w:highlight w:val="none"/>
              </w:rPr>
            </w:pPr>
          </w:p>
        </w:tc>
        <w:tc>
          <w:tcPr>
            <w:tcW w:w="1420" w:type="dxa"/>
            <w:vAlign w:val="center"/>
          </w:tcPr>
          <w:p w14:paraId="3EAB29DD">
            <w:pPr>
              <w:spacing w:line="360" w:lineRule="auto"/>
              <w:contextualSpacing/>
              <w:jc w:val="center"/>
              <w:rPr>
                <w:rFonts w:ascii="宋体" w:hAnsi="宋体"/>
                <w:sz w:val="24"/>
                <w:szCs w:val="20"/>
                <w:highlight w:val="none"/>
              </w:rPr>
            </w:pPr>
          </w:p>
        </w:tc>
        <w:tc>
          <w:tcPr>
            <w:tcW w:w="1698" w:type="dxa"/>
            <w:vAlign w:val="center"/>
          </w:tcPr>
          <w:p w14:paraId="6E0A9362">
            <w:pPr>
              <w:spacing w:line="360" w:lineRule="auto"/>
              <w:contextualSpacing/>
              <w:jc w:val="center"/>
              <w:rPr>
                <w:rFonts w:ascii="宋体" w:hAnsi="宋体"/>
                <w:sz w:val="24"/>
                <w:szCs w:val="20"/>
                <w:highlight w:val="none"/>
              </w:rPr>
            </w:pPr>
          </w:p>
        </w:tc>
        <w:tc>
          <w:tcPr>
            <w:tcW w:w="1843" w:type="dxa"/>
            <w:vAlign w:val="center"/>
          </w:tcPr>
          <w:p w14:paraId="2312168F">
            <w:pPr>
              <w:spacing w:line="360" w:lineRule="auto"/>
              <w:contextualSpacing/>
              <w:jc w:val="center"/>
              <w:rPr>
                <w:rFonts w:ascii="宋体" w:hAnsi="宋体"/>
                <w:sz w:val="24"/>
                <w:szCs w:val="20"/>
                <w:highlight w:val="none"/>
              </w:rPr>
            </w:pPr>
          </w:p>
        </w:tc>
      </w:tr>
    </w:tbl>
    <w:p w14:paraId="386831FC">
      <w:pPr>
        <w:spacing w:line="360" w:lineRule="auto"/>
        <w:contextualSpacing/>
        <w:jc w:val="left"/>
        <w:rPr>
          <w:rFonts w:ascii="宋体" w:hAnsi="宋体"/>
          <w:sz w:val="24"/>
          <w:szCs w:val="20"/>
          <w:highlight w:val="none"/>
        </w:rPr>
      </w:pPr>
      <w:r>
        <w:rPr>
          <w:rFonts w:hint="eastAsia" w:ascii="宋体" w:hAnsi="宋体"/>
          <w:sz w:val="24"/>
          <w:szCs w:val="20"/>
          <w:highlight w:val="none"/>
        </w:rPr>
        <w:t>注：</w:t>
      </w:r>
    </w:p>
    <w:p w14:paraId="2C7C2E87">
      <w:pPr>
        <w:spacing w:line="360" w:lineRule="auto"/>
        <w:contextualSpacing/>
        <w:jc w:val="left"/>
        <w:rPr>
          <w:rFonts w:ascii="宋体" w:hAnsi="宋体"/>
          <w:sz w:val="24"/>
          <w:szCs w:val="20"/>
          <w:highlight w:val="none"/>
        </w:rPr>
      </w:pPr>
      <w:r>
        <w:rPr>
          <w:rFonts w:hint="eastAsia" w:ascii="宋体" w:hAnsi="宋体"/>
          <w:sz w:val="24"/>
          <w:szCs w:val="20"/>
          <w:highlight w:val="none"/>
        </w:rPr>
        <w:t>1</w:t>
      </w:r>
      <w:r>
        <w:rPr>
          <w:rFonts w:ascii="宋体" w:hAnsi="宋体"/>
          <w:sz w:val="24"/>
          <w:szCs w:val="20"/>
          <w:highlight w:val="none"/>
        </w:rPr>
        <w:t>.</w:t>
      </w:r>
      <w:r>
        <w:rPr>
          <w:rFonts w:hint="eastAsia" w:ascii="宋体" w:hAnsi="宋体"/>
          <w:sz w:val="24"/>
          <w:szCs w:val="20"/>
          <w:highlight w:val="none"/>
        </w:rPr>
        <w:t>在填写时，如本表格不适合供应商的实际情况，可根据本表格式自行制表填写。</w:t>
      </w:r>
    </w:p>
    <w:p w14:paraId="6873D1BD">
      <w:pPr>
        <w:spacing w:line="360" w:lineRule="auto"/>
        <w:contextualSpacing/>
        <w:jc w:val="left"/>
        <w:rPr>
          <w:rFonts w:ascii="宋体" w:hAnsi="宋体"/>
          <w:sz w:val="24"/>
          <w:szCs w:val="20"/>
          <w:highlight w:val="none"/>
        </w:rPr>
      </w:pPr>
      <w:r>
        <w:rPr>
          <w:rFonts w:ascii="宋体" w:hAnsi="宋体"/>
          <w:sz w:val="24"/>
          <w:szCs w:val="20"/>
          <w:highlight w:val="none"/>
        </w:rPr>
        <w:t>2.</w:t>
      </w:r>
      <w:r>
        <w:rPr>
          <w:rFonts w:hint="eastAsia" w:ascii="宋体" w:hAnsi="宋体"/>
          <w:sz w:val="24"/>
          <w:szCs w:val="20"/>
          <w:highlight w:val="none"/>
        </w:rPr>
        <w:t>供应商应当附本表所列证书的复印件并加盖供应商电子签章。</w:t>
      </w:r>
    </w:p>
    <w:p w14:paraId="0CD5BE0B">
      <w:pPr>
        <w:spacing w:line="360" w:lineRule="auto"/>
        <w:contextualSpacing/>
        <w:rPr>
          <w:rFonts w:ascii="宋体" w:hAnsi="宋体"/>
          <w:sz w:val="24"/>
          <w:highlight w:val="none"/>
        </w:rPr>
      </w:pPr>
    </w:p>
    <w:p w14:paraId="66308FBF">
      <w:pPr>
        <w:spacing w:line="360" w:lineRule="auto"/>
        <w:contextualSpacing/>
        <w:rPr>
          <w:rFonts w:ascii="宋体" w:hAnsi="宋体"/>
          <w:spacing w:val="20"/>
          <w:sz w:val="24"/>
          <w:szCs w:val="20"/>
          <w:highlight w:val="none"/>
          <w:u w:val="single"/>
        </w:rPr>
      </w:pPr>
      <w:r>
        <w:rPr>
          <w:rFonts w:hint="eastAsia" w:ascii="宋体" w:hAnsi="宋体"/>
          <w:sz w:val="24"/>
          <w:highlight w:val="none"/>
        </w:rPr>
        <w:t>法定代表人或者委托代理人</w:t>
      </w:r>
      <w:r>
        <w:rPr>
          <w:rFonts w:hint="eastAsia" w:ascii="宋体" w:hAnsi="宋体"/>
          <w:spacing w:val="20"/>
          <w:sz w:val="24"/>
          <w:highlight w:val="none"/>
        </w:rPr>
        <w:t>签字：</w:t>
      </w:r>
    </w:p>
    <w:p w14:paraId="02E4A927">
      <w:pPr>
        <w:spacing w:line="360" w:lineRule="auto"/>
        <w:contextualSpacing/>
        <w:jc w:val="left"/>
        <w:rPr>
          <w:rFonts w:ascii="宋体" w:hAnsi="宋体"/>
          <w:sz w:val="24"/>
          <w:szCs w:val="20"/>
          <w:highlight w:val="none"/>
        </w:rPr>
      </w:pPr>
      <w:r>
        <w:rPr>
          <w:rFonts w:hint="eastAsia" w:ascii="宋体" w:hAnsi="宋体"/>
          <w:spacing w:val="20"/>
          <w:sz w:val="24"/>
          <w:highlight w:val="none"/>
        </w:rPr>
        <w:t>供应商名称（电子签章）：           日 期：</w:t>
      </w:r>
    </w:p>
    <w:p w14:paraId="42DE015C">
      <w:pPr>
        <w:snapToGrid w:val="0"/>
        <w:spacing w:beforeLines="50" w:after="50"/>
        <w:jc w:val="left"/>
        <w:rPr>
          <w:rFonts w:ascii="方正小标宋简体" w:hAnsi="方正小标宋简体" w:eastAsia="方正小标宋简体" w:cs="方正小标宋简体"/>
          <w:bCs/>
          <w:szCs w:val="21"/>
          <w:highlight w:val="none"/>
        </w:rPr>
      </w:pPr>
      <w:r>
        <w:rPr>
          <w:rFonts w:ascii="宋体" w:hAnsi="宋体"/>
          <w:sz w:val="24"/>
          <w:szCs w:val="20"/>
          <w:highlight w:val="none"/>
        </w:rPr>
        <w:br w:type="page"/>
      </w:r>
      <w:r>
        <w:rPr>
          <w:rFonts w:hint="eastAsia" w:ascii="方正小标宋简体" w:hAnsi="方正小标宋简体" w:eastAsia="方正小标宋简体" w:cs="方正小标宋简体"/>
          <w:bCs/>
          <w:szCs w:val="21"/>
          <w:highlight w:val="none"/>
        </w:rPr>
        <w:t>代理服务费承诺书（如本项目为采购人支付代理服务费的，无需提供）</w:t>
      </w:r>
    </w:p>
    <w:p w14:paraId="7948829D">
      <w:pPr>
        <w:snapToGrid w:val="0"/>
        <w:spacing w:beforeLines="50" w:after="50"/>
        <w:jc w:val="left"/>
        <w:rPr>
          <w:rFonts w:ascii="方正小标宋简体" w:hAnsi="方正小标宋简体" w:eastAsia="方正小标宋简体" w:cs="方正小标宋简体"/>
          <w:bCs/>
          <w:szCs w:val="21"/>
          <w:highlight w:val="none"/>
        </w:rPr>
      </w:pPr>
    </w:p>
    <w:p w14:paraId="68AEA673">
      <w:pPr>
        <w:snapToGrid w:val="0"/>
        <w:spacing w:beforeLines="50" w:after="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代理服务费承诺书</w:t>
      </w:r>
    </w:p>
    <w:p w14:paraId="7A21A769">
      <w:pPr>
        <w:snapToGrid w:val="0"/>
        <w:spacing w:beforeLines="50" w:after="50"/>
        <w:jc w:val="center"/>
        <w:rPr>
          <w:rFonts w:ascii="宋体" w:hAnsi="宋体"/>
          <w:b/>
          <w:sz w:val="24"/>
          <w:highlight w:val="none"/>
        </w:rPr>
      </w:pPr>
    </w:p>
    <w:p w14:paraId="62F5F221">
      <w:pPr>
        <w:spacing w:line="360" w:lineRule="auto"/>
        <w:rPr>
          <w:rFonts w:ascii="宋体" w:hAnsi="宋体"/>
          <w:b/>
          <w:bCs/>
          <w:sz w:val="24"/>
          <w:highlight w:val="none"/>
        </w:rPr>
      </w:pPr>
      <w:r>
        <w:rPr>
          <w:rFonts w:hint="eastAsia" w:ascii="宋体" w:hAnsi="宋体"/>
          <w:bCs/>
          <w:sz w:val="24"/>
          <w:highlight w:val="none"/>
        </w:rPr>
        <w:t>致：</w:t>
      </w:r>
      <w:r>
        <w:rPr>
          <w:rFonts w:hint="eastAsia" w:ascii="宋体" w:hAnsi="宋体"/>
          <w:sz w:val="24"/>
          <w:highlight w:val="none"/>
          <w:u w:val="single"/>
        </w:rPr>
        <w:t>招标代理机构名称</w:t>
      </w:r>
      <w:r>
        <w:rPr>
          <w:rFonts w:hint="eastAsia" w:ascii="宋体" w:hAnsi="宋体"/>
          <w:sz w:val="24"/>
          <w:highlight w:val="none"/>
        </w:rPr>
        <w:t>：</w:t>
      </w:r>
    </w:p>
    <w:p w14:paraId="3F552CFB">
      <w:pPr>
        <w:spacing w:line="360" w:lineRule="auto"/>
        <w:ind w:firstLine="480" w:firstLineChars="200"/>
        <w:rPr>
          <w:rFonts w:ascii="宋体" w:hAnsi="宋体"/>
          <w:sz w:val="24"/>
          <w:highlight w:val="none"/>
        </w:rPr>
      </w:pPr>
      <w:r>
        <w:rPr>
          <w:rFonts w:hint="eastAsia" w:ascii="宋体" w:hAnsi="宋体"/>
          <w:sz w:val="24"/>
          <w:highlight w:val="none"/>
        </w:rPr>
        <w:t>本单位参加了贵方组织的</w:t>
      </w:r>
      <w:r>
        <w:rPr>
          <w:rFonts w:hint="eastAsia" w:ascii="宋体" w:hAnsi="宋体"/>
          <w:sz w:val="24"/>
          <w:highlight w:val="none"/>
          <w:u w:val="single"/>
        </w:rPr>
        <w:t xml:space="preserve">  项目名称（项目编号）  </w:t>
      </w:r>
      <w:r>
        <w:rPr>
          <w:rFonts w:hint="eastAsia" w:ascii="宋体" w:hAnsi="宋体"/>
          <w:sz w:val="24"/>
          <w:highlight w:val="none"/>
        </w:rPr>
        <w:t>项目， 在此说明如下：</w:t>
      </w:r>
    </w:p>
    <w:p w14:paraId="1220F137">
      <w:pPr>
        <w:spacing w:line="360" w:lineRule="auto"/>
        <w:ind w:firstLine="360" w:firstLineChars="150"/>
        <w:rPr>
          <w:rFonts w:ascii="宋体" w:hAnsi="宋体"/>
          <w:sz w:val="24"/>
          <w:highlight w:val="none"/>
        </w:rPr>
      </w:pPr>
      <w:r>
        <w:rPr>
          <w:rFonts w:hint="eastAsia" w:ascii="宋体" w:hAnsi="宋体"/>
          <w:sz w:val="24"/>
          <w:highlight w:val="none"/>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7DC49EF6">
      <w:pPr>
        <w:spacing w:line="360" w:lineRule="auto"/>
        <w:ind w:firstLine="360" w:firstLineChars="150"/>
        <w:rPr>
          <w:rFonts w:ascii="宋体" w:hAnsi="宋体"/>
          <w:sz w:val="24"/>
          <w:highlight w:val="none"/>
        </w:rPr>
      </w:pPr>
      <w:r>
        <w:rPr>
          <w:rFonts w:hint="eastAsia" w:ascii="宋体" w:hAnsi="宋体"/>
          <w:sz w:val="24"/>
          <w:highlight w:val="none"/>
        </w:rPr>
        <w:t>2.本单位选择第种方式作为代理服务费开票类型：</w:t>
      </w:r>
    </w:p>
    <w:p w14:paraId="169541AE">
      <w:pPr>
        <w:spacing w:line="360" w:lineRule="auto"/>
        <w:ind w:firstLine="360" w:firstLineChars="150"/>
        <w:rPr>
          <w:rFonts w:ascii="宋体" w:hAnsi="宋体"/>
          <w:sz w:val="24"/>
          <w:highlight w:val="none"/>
        </w:rPr>
      </w:pPr>
      <w:r>
        <w:rPr>
          <w:rFonts w:hint="eastAsia" w:ascii="宋体" w:hAnsi="宋体"/>
          <w:sz w:val="24"/>
          <w:highlight w:val="none"/>
        </w:rPr>
        <w:t>第一种方式：开具增值税普通发票。开票信息如下：</w:t>
      </w:r>
    </w:p>
    <w:p w14:paraId="6141F294">
      <w:pPr>
        <w:spacing w:line="360" w:lineRule="auto"/>
        <w:ind w:firstLine="360" w:firstLineChars="150"/>
        <w:rPr>
          <w:rFonts w:ascii="宋体" w:hAnsi="宋体"/>
          <w:sz w:val="24"/>
          <w:highlight w:val="none"/>
        </w:rPr>
      </w:pPr>
      <w:r>
        <w:rPr>
          <w:rFonts w:hint="eastAsia" w:ascii="宋体" w:hAnsi="宋体"/>
          <w:sz w:val="24"/>
          <w:highlight w:val="none"/>
        </w:rPr>
        <w:t>（1）公司名称</w:t>
      </w:r>
      <w:r>
        <w:rPr>
          <w:rFonts w:hint="eastAsia" w:ascii="宋体" w:hAnsi="宋体"/>
          <w:sz w:val="24"/>
          <w:highlight w:val="none"/>
          <w:u w:val="single"/>
        </w:rPr>
        <w:t xml:space="preserve">_                       </w:t>
      </w:r>
      <w:r>
        <w:rPr>
          <w:rFonts w:hint="eastAsia" w:ascii="宋体" w:hAnsi="宋体"/>
          <w:sz w:val="24"/>
          <w:highlight w:val="none"/>
        </w:rPr>
        <w:t>；</w:t>
      </w:r>
    </w:p>
    <w:p w14:paraId="00FB167C">
      <w:pPr>
        <w:spacing w:line="360" w:lineRule="auto"/>
        <w:ind w:firstLine="360" w:firstLineChars="150"/>
        <w:rPr>
          <w:rFonts w:ascii="宋体" w:hAnsi="宋体"/>
          <w:sz w:val="24"/>
          <w:highlight w:val="none"/>
        </w:rPr>
      </w:pPr>
      <w:r>
        <w:rPr>
          <w:rFonts w:hint="eastAsia" w:ascii="宋体" w:hAnsi="宋体"/>
          <w:sz w:val="24"/>
          <w:highlight w:val="none"/>
        </w:rPr>
        <w:t>（2）纳税人识别号</w:t>
      </w:r>
      <w:r>
        <w:rPr>
          <w:rFonts w:hint="eastAsia" w:ascii="宋体" w:hAnsi="宋体"/>
          <w:sz w:val="24"/>
          <w:highlight w:val="none"/>
          <w:u w:val="single"/>
        </w:rPr>
        <w:t xml:space="preserve">_                   </w:t>
      </w:r>
      <w:r>
        <w:rPr>
          <w:rFonts w:hint="eastAsia" w:ascii="宋体" w:hAnsi="宋体"/>
          <w:sz w:val="24"/>
          <w:highlight w:val="none"/>
        </w:rPr>
        <w:t>。</w:t>
      </w:r>
    </w:p>
    <w:p w14:paraId="05B6C8C8">
      <w:pPr>
        <w:spacing w:line="360" w:lineRule="auto"/>
        <w:ind w:firstLine="360" w:firstLineChars="150"/>
        <w:rPr>
          <w:rFonts w:ascii="宋体" w:hAnsi="宋体"/>
          <w:sz w:val="24"/>
          <w:highlight w:val="none"/>
        </w:rPr>
      </w:pPr>
      <w:r>
        <w:rPr>
          <w:rFonts w:hint="eastAsia" w:ascii="宋体" w:hAnsi="宋体"/>
          <w:sz w:val="24"/>
          <w:highlight w:val="none"/>
        </w:rPr>
        <w:t>第二种方式：开具增值税专用发票，开票信息如下：</w:t>
      </w:r>
    </w:p>
    <w:p w14:paraId="7487E17F">
      <w:pPr>
        <w:spacing w:line="360" w:lineRule="auto"/>
        <w:ind w:firstLine="360" w:firstLineChars="150"/>
        <w:rPr>
          <w:rFonts w:ascii="宋体" w:hAnsi="宋体"/>
          <w:sz w:val="24"/>
          <w:highlight w:val="none"/>
        </w:rPr>
      </w:pPr>
      <w:r>
        <w:rPr>
          <w:rFonts w:hint="eastAsia" w:ascii="宋体" w:hAnsi="宋体"/>
          <w:sz w:val="24"/>
          <w:highlight w:val="none"/>
        </w:rPr>
        <w:t>（1）公司名称</w:t>
      </w:r>
      <w:r>
        <w:rPr>
          <w:rFonts w:hint="eastAsia" w:ascii="宋体" w:hAnsi="宋体"/>
          <w:sz w:val="24"/>
          <w:highlight w:val="none"/>
          <w:u w:val="single"/>
        </w:rPr>
        <w:t xml:space="preserve">_                           </w:t>
      </w:r>
      <w:r>
        <w:rPr>
          <w:rFonts w:hint="eastAsia" w:ascii="宋体" w:hAnsi="宋体"/>
          <w:sz w:val="24"/>
          <w:highlight w:val="none"/>
        </w:rPr>
        <w:t>；</w:t>
      </w:r>
    </w:p>
    <w:p w14:paraId="1F4840C4">
      <w:pPr>
        <w:spacing w:line="360" w:lineRule="auto"/>
        <w:ind w:firstLine="360" w:firstLineChars="150"/>
        <w:rPr>
          <w:rFonts w:ascii="宋体" w:hAnsi="宋体"/>
          <w:sz w:val="24"/>
          <w:highlight w:val="none"/>
        </w:rPr>
      </w:pPr>
      <w:r>
        <w:rPr>
          <w:rFonts w:hint="eastAsia" w:ascii="宋体" w:hAnsi="宋体"/>
          <w:sz w:val="24"/>
          <w:highlight w:val="none"/>
        </w:rPr>
        <w:t>（2）纳税人识别号</w:t>
      </w:r>
      <w:r>
        <w:rPr>
          <w:rFonts w:hint="eastAsia" w:ascii="宋体" w:hAnsi="宋体"/>
          <w:sz w:val="24"/>
          <w:highlight w:val="none"/>
          <w:u w:val="single"/>
        </w:rPr>
        <w:t xml:space="preserve">_                       </w:t>
      </w:r>
      <w:r>
        <w:rPr>
          <w:rFonts w:hint="eastAsia" w:ascii="宋体" w:hAnsi="宋体"/>
          <w:sz w:val="24"/>
          <w:highlight w:val="none"/>
        </w:rPr>
        <w:t>；</w:t>
      </w:r>
    </w:p>
    <w:p w14:paraId="1F29E35E">
      <w:pPr>
        <w:spacing w:line="360" w:lineRule="auto"/>
        <w:ind w:firstLine="360" w:firstLineChars="150"/>
        <w:rPr>
          <w:rFonts w:ascii="宋体" w:hAnsi="宋体"/>
          <w:sz w:val="24"/>
          <w:highlight w:val="none"/>
        </w:rPr>
      </w:pPr>
      <w:r>
        <w:rPr>
          <w:rFonts w:hint="eastAsia" w:ascii="宋体" w:hAnsi="宋体"/>
          <w:sz w:val="24"/>
          <w:highlight w:val="none"/>
        </w:rPr>
        <w:t>（3）在税局登记的地址</w:t>
      </w:r>
      <w:r>
        <w:rPr>
          <w:rFonts w:hint="eastAsia" w:ascii="宋体" w:hAnsi="宋体"/>
          <w:sz w:val="24"/>
          <w:highlight w:val="none"/>
          <w:u w:val="single"/>
        </w:rPr>
        <w:t xml:space="preserve">_                   </w:t>
      </w:r>
      <w:r>
        <w:rPr>
          <w:rFonts w:hint="eastAsia" w:ascii="宋体" w:hAnsi="宋体"/>
          <w:sz w:val="24"/>
          <w:highlight w:val="none"/>
        </w:rPr>
        <w:t>；</w:t>
      </w:r>
    </w:p>
    <w:p w14:paraId="23D7859A">
      <w:pPr>
        <w:spacing w:line="360" w:lineRule="auto"/>
        <w:ind w:firstLine="360" w:firstLineChars="150"/>
        <w:rPr>
          <w:rFonts w:ascii="宋体" w:hAnsi="宋体"/>
          <w:sz w:val="24"/>
          <w:highlight w:val="none"/>
        </w:rPr>
      </w:pPr>
      <w:r>
        <w:rPr>
          <w:rFonts w:hint="eastAsia" w:ascii="宋体" w:hAnsi="宋体"/>
          <w:sz w:val="24"/>
          <w:highlight w:val="none"/>
        </w:rPr>
        <w:t>（4）在税局登记的电话</w:t>
      </w:r>
      <w:r>
        <w:rPr>
          <w:rFonts w:hint="eastAsia" w:ascii="宋体" w:hAnsi="宋体"/>
          <w:sz w:val="24"/>
          <w:highlight w:val="none"/>
          <w:u w:val="single"/>
        </w:rPr>
        <w:t xml:space="preserve">_                   </w:t>
      </w:r>
      <w:r>
        <w:rPr>
          <w:rFonts w:hint="eastAsia" w:ascii="宋体" w:hAnsi="宋体"/>
          <w:sz w:val="24"/>
          <w:highlight w:val="none"/>
        </w:rPr>
        <w:t>；</w:t>
      </w:r>
    </w:p>
    <w:p w14:paraId="797C55BE">
      <w:pPr>
        <w:spacing w:line="360" w:lineRule="auto"/>
        <w:ind w:firstLine="360" w:firstLineChars="150"/>
        <w:rPr>
          <w:rFonts w:ascii="宋体" w:hAnsi="宋体"/>
          <w:sz w:val="24"/>
          <w:highlight w:val="none"/>
        </w:rPr>
      </w:pPr>
      <w:r>
        <w:rPr>
          <w:rFonts w:hint="eastAsia" w:ascii="宋体" w:hAnsi="宋体"/>
          <w:sz w:val="24"/>
          <w:highlight w:val="none"/>
        </w:rPr>
        <w:t>（5）开户银行</w:t>
      </w:r>
      <w:r>
        <w:rPr>
          <w:rFonts w:hint="eastAsia" w:ascii="宋体" w:hAnsi="宋体"/>
          <w:sz w:val="24"/>
          <w:highlight w:val="none"/>
          <w:u w:val="single"/>
        </w:rPr>
        <w:t xml:space="preserve">_                           </w:t>
      </w:r>
      <w:r>
        <w:rPr>
          <w:rFonts w:hint="eastAsia" w:ascii="宋体" w:hAnsi="宋体"/>
          <w:sz w:val="24"/>
          <w:highlight w:val="none"/>
        </w:rPr>
        <w:t>；</w:t>
      </w:r>
    </w:p>
    <w:p w14:paraId="5DBA839D">
      <w:pPr>
        <w:spacing w:line="360" w:lineRule="auto"/>
        <w:ind w:firstLine="360" w:firstLineChars="150"/>
        <w:rPr>
          <w:rFonts w:ascii="宋体" w:hAnsi="宋体"/>
          <w:sz w:val="24"/>
          <w:highlight w:val="none"/>
        </w:rPr>
      </w:pPr>
      <w:r>
        <w:rPr>
          <w:rFonts w:hint="eastAsia" w:ascii="宋体" w:hAnsi="宋体"/>
          <w:sz w:val="24"/>
          <w:highlight w:val="none"/>
        </w:rPr>
        <w:t>（6）银行账户</w:t>
      </w:r>
      <w:r>
        <w:rPr>
          <w:rFonts w:hint="eastAsia" w:ascii="宋体" w:hAnsi="宋体"/>
          <w:sz w:val="24"/>
          <w:highlight w:val="none"/>
          <w:u w:val="single"/>
        </w:rPr>
        <w:t xml:space="preserve">_                           </w:t>
      </w:r>
      <w:r>
        <w:rPr>
          <w:rFonts w:hint="eastAsia" w:ascii="宋体" w:hAnsi="宋体"/>
          <w:sz w:val="24"/>
          <w:highlight w:val="none"/>
        </w:rPr>
        <w:t>。</w:t>
      </w:r>
    </w:p>
    <w:p w14:paraId="6E313B12">
      <w:pPr>
        <w:spacing w:line="440" w:lineRule="exact"/>
        <w:rPr>
          <w:rFonts w:ascii="宋体" w:hAnsi="宋体"/>
          <w:sz w:val="24"/>
          <w:highlight w:val="none"/>
        </w:rPr>
      </w:pPr>
    </w:p>
    <w:p w14:paraId="493FF6BE">
      <w:pPr>
        <w:spacing w:line="440" w:lineRule="exact"/>
        <w:rPr>
          <w:rFonts w:ascii="宋体" w:hAnsi="宋体"/>
          <w:sz w:val="24"/>
          <w:highlight w:val="none"/>
        </w:rPr>
      </w:pPr>
    </w:p>
    <w:p w14:paraId="3D4CE668">
      <w:pPr>
        <w:spacing w:line="440" w:lineRule="exact"/>
        <w:rPr>
          <w:rFonts w:ascii="宋体" w:hAnsi="宋体"/>
          <w:sz w:val="24"/>
          <w:highlight w:val="none"/>
        </w:rPr>
      </w:pPr>
    </w:p>
    <w:p w14:paraId="571B603E">
      <w:pPr>
        <w:snapToGrid w:val="0"/>
        <w:spacing w:line="360" w:lineRule="auto"/>
        <w:ind w:left="-2" w:leftChars="-1" w:right="-817" w:rightChars="-389" w:firstLine="1920" w:firstLineChars="800"/>
        <w:rPr>
          <w:rFonts w:ascii="宋体" w:hAnsi="宋体"/>
          <w:sz w:val="24"/>
          <w:highlight w:val="none"/>
        </w:rPr>
      </w:pPr>
      <w:r>
        <w:rPr>
          <w:rFonts w:hint="eastAsia" w:ascii="宋体" w:hAnsi="宋体"/>
          <w:sz w:val="24"/>
          <w:highlight w:val="none"/>
        </w:rPr>
        <w:t xml:space="preserve">法定代表人或者委托代理人（签字或者电子签名）： </w:t>
      </w:r>
    </w:p>
    <w:p w14:paraId="39993B6F">
      <w:pPr>
        <w:snapToGrid w:val="0"/>
        <w:spacing w:line="360" w:lineRule="auto"/>
        <w:ind w:left="-3" w:leftChars="-15" w:right="-817" w:rightChars="-389" w:hanging="28" w:hangingChars="12"/>
        <w:rPr>
          <w:rFonts w:ascii="宋体" w:hAnsi="宋体"/>
          <w:sz w:val="24"/>
          <w:highlight w:val="none"/>
        </w:rPr>
      </w:pPr>
      <w:r>
        <w:rPr>
          <w:rFonts w:hint="eastAsia" w:ascii="宋体" w:hAnsi="宋体"/>
          <w:sz w:val="24"/>
          <w:highlight w:val="none"/>
        </w:rPr>
        <w:t xml:space="preserve">                                      供应商公章（电子签章）：</w:t>
      </w:r>
    </w:p>
    <w:p w14:paraId="6ADB281D">
      <w:pPr>
        <w:snapToGrid w:val="0"/>
        <w:spacing w:line="360" w:lineRule="auto"/>
        <w:ind w:right="480" w:firstLine="240" w:firstLineChars="100"/>
        <w:jc w:val="left"/>
        <w:rPr>
          <w:rFonts w:ascii="宋体" w:hAnsi="宋体"/>
          <w:szCs w:val="21"/>
          <w:highlight w:val="none"/>
        </w:rPr>
        <w:sectPr>
          <w:pgSz w:w="11906" w:h="16838"/>
          <w:pgMar w:top="1440" w:right="1797" w:bottom="1440" w:left="1797" w:header="851" w:footer="992" w:gutter="0"/>
          <w:cols w:space="720" w:num="1"/>
        </w:sectPr>
      </w:pPr>
      <w:r>
        <w:rPr>
          <w:rFonts w:hint="eastAsia" w:ascii="宋体" w:hAnsi="宋体"/>
          <w:sz w:val="24"/>
          <w:highlight w:val="none"/>
        </w:rPr>
        <w:t xml:space="preserve">                                    日期：    年   月   </w:t>
      </w:r>
    </w:p>
    <w:p w14:paraId="2735CE81">
      <w:pPr>
        <w:spacing w:line="300" w:lineRule="auto"/>
        <w:rPr>
          <w:rFonts w:ascii="宋体" w:hAnsi="宋体"/>
          <w:szCs w:val="21"/>
          <w:highlight w:val="none"/>
        </w:rPr>
      </w:pPr>
      <w:r>
        <w:rPr>
          <w:rFonts w:hint="eastAsia" w:ascii="宋体" w:hAnsi="宋体"/>
          <w:b/>
          <w:bCs/>
          <w:sz w:val="24"/>
          <w:highlight w:val="none"/>
        </w:rPr>
        <w:t>其他文书、文件格式</w:t>
      </w:r>
    </w:p>
    <w:p w14:paraId="74163495">
      <w:pPr>
        <w:jc w:val="center"/>
        <w:rPr>
          <w:rFonts w:ascii="方正小标宋简体" w:hAnsi="方正小标宋简体" w:eastAsia="方正小标宋简体" w:cs="方正小标宋简体"/>
          <w:sz w:val="44"/>
          <w:szCs w:val="44"/>
          <w:highlight w:val="none"/>
        </w:rPr>
      </w:pPr>
      <w:bookmarkStart w:id="181" w:name="_Toc71365926"/>
      <w:r>
        <w:rPr>
          <w:rFonts w:hint="eastAsia" w:ascii="方正小标宋简体" w:hAnsi="方正小标宋简体" w:eastAsia="方正小标宋简体" w:cs="方正小标宋简体"/>
          <w:sz w:val="44"/>
          <w:szCs w:val="44"/>
          <w:highlight w:val="none"/>
        </w:rPr>
        <w:t>中小企业声明函（服务）</w:t>
      </w:r>
      <w:bookmarkEnd w:id="181"/>
    </w:p>
    <w:p w14:paraId="67E0BA92">
      <w:pPr>
        <w:spacing w:before="2" w:line="500" w:lineRule="exact"/>
        <w:ind w:firstLine="708" w:firstLineChars="294"/>
        <w:rPr>
          <w:rFonts w:ascii="宋体" w:hAnsi="宋体" w:cs="宋体"/>
          <w:b/>
          <w:bCs/>
          <w:sz w:val="24"/>
          <w:highlight w:val="none"/>
        </w:rPr>
      </w:pPr>
    </w:p>
    <w:p w14:paraId="1068F54A">
      <w:pPr>
        <w:pStyle w:val="10"/>
        <w:spacing w:line="500" w:lineRule="exact"/>
        <w:ind w:right="142" w:firstLine="705" w:firstLineChars="294"/>
        <w:rPr>
          <w:rFonts w:ascii="宋体" w:hAnsi="宋体"/>
          <w:sz w:val="24"/>
          <w:highlight w:val="none"/>
        </w:rPr>
      </w:pPr>
      <w:r>
        <w:rPr>
          <w:rFonts w:ascii="宋体" w:hAnsi="宋体"/>
          <w:sz w:val="24"/>
          <w:highlight w:val="none"/>
        </w:rPr>
        <w:t>本公司（联合体）郑重声明，根据《政府采购促进中小企业发展管理办法》（财库﹝2020﹞46号）的规定，本公司（联合体）参加</w:t>
      </w:r>
      <w:r>
        <w:rPr>
          <w:rFonts w:ascii="宋体" w:hAnsi="宋体"/>
          <w:sz w:val="24"/>
          <w:highlight w:val="none"/>
          <w:u w:val="single"/>
        </w:rPr>
        <w:t>（单位名称）</w:t>
      </w:r>
      <w:r>
        <w:rPr>
          <w:rFonts w:ascii="宋体" w:hAnsi="宋体"/>
          <w:sz w:val="24"/>
          <w:highlight w:val="none"/>
        </w:rPr>
        <w:t>的</w:t>
      </w:r>
      <w:r>
        <w:rPr>
          <w:rFonts w:ascii="宋体" w:hAnsi="宋体"/>
          <w:sz w:val="24"/>
          <w:highlight w:val="none"/>
          <w:u w:val="single"/>
        </w:rPr>
        <w:t>（项目名称）</w:t>
      </w:r>
      <w:r>
        <w:rPr>
          <w:rFonts w:ascii="宋体" w:hAnsi="宋体"/>
          <w:sz w:val="24"/>
          <w:highlight w:val="none"/>
        </w:rPr>
        <w:t>采购活动，</w:t>
      </w:r>
      <w:r>
        <w:rPr>
          <w:rFonts w:hint="eastAsia" w:ascii="宋体" w:hAnsi="宋体"/>
          <w:sz w:val="24"/>
          <w:highlight w:val="none"/>
        </w:rPr>
        <w:t>服务全部由符合政策要求的中小企业承接。相关企业（含联合体中的中小企业、签订分包意向协议的中小企业）的具体情况如下：</w:t>
      </w:r>
    </w:p>
    <w:p w14:paraId="7A8A5C91">
      <w:pPr>
        <w:tabs>
          <w:tab w:val="left" w:pos="1384"/>
          <w:tab w:val="left" w:pos="4562"/>
          <w:tab w:val="left" w:pos="6803"/>
        </w:tabs>
        <w:spacing w:before="13" w:line="500" w:lineRule="exact"/>
        <w:ind w:right="142" w:firstLine="772" w:firstLineChars="322"/>
        <w:rPr>
          <w:rFonts w:ascii="宋体" w:hAnsi="宋体"/>
          <w:sz w:val="24"/>
          <w:highlight w:val="none"/>
        </w:rPr>
      </w:pPr>
      <w:r>
        <w:rPr>
          <w:rFonts w:ascii="宋体" w:hAnsi="宋体"/>
          <w:sz w:val="24"/>
          <w:highlight w:val="none"/>
        </w:rPr>
        <w:t>1.</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w:t>
      </w:r>
      <w:r>
        <w:rPr>
          <w:rFonts w:hint="eastAsia" w:ascii="宋体" w:hAnsi="宋体"/>
          <w:sz w:val="24"/>
          <w:highlight w:val="none"/>
          <w:u w:val="single"/>
        </w:rPr>
        <w:t>行</w:t>
      </w:r>
      <w:r>
        <w:rPr>
          <w:rFonts w:ascii="宋体" w:hAnsi="宋体"/>
          <w:sz w:val="24"/>
          <w:highlight w:val="none"/>
          <w:u w:val="single"/>
        </w:rPr>
        <w:t>业）</w:t>
      </w:r>
      <w:r>
        <w:rPr>
          <w:rFonts w:ascii="宋体" w:hAnsi="宋体"/>
          <w:sz w:val="24"/>
          <w:highlight w:val="none"/>
        </w:rPr>
        <w:t>；</w:t>
      </w:r>
      <w:r>
        <w:rPr>
          <w:rFonts w:hint="eastAsia" w:ascii="宋体" w:hAnsi="宋体"/>
          <w:sz w:val="24"/>
          <w:highlight w:val="none"/>
        </w:rPr>
        <w:t>承接企业为</w:t>
      </w:r>
      <w:r>
        <w:rPr>
          <w:rFonts w:hint="eastAsia" w:ascii="宋体" w:hAnsi="宋体"/>
          <w:sz w:val="24"/>
          <w:highlight w:val="none"/>
          <w:u w:val="single"/>
        </w:rPr>
        <w:t>（企业名称）</w:t>
      </w:r>
      <w:r>
        <w:rPr>
          <w:rFonts w:hint="eastAsia" w:ascii="宋体" w:hAnsi="宋体"/>
          <w:sz w:val="24"/>
          <w:highlight w:val="none"/>
        </w:rPr>
        <w:t>，从业人员人，营业收入为万元，资产总额为万元</w:t>
      </w:r>
      <w:r>
        <w:rPr>
          <w:rFonts w:ascii="宋体" w:hAnsi="宋体"/>
          <w:sz w:val="24"/>
          <w:highlight w:val="none"/>
        </w:rPr>
        <w:t>，属于</w:t>
      </w:r>
      <w:r>
        <w:rPr>
          <w:rFonts w:ascii="宋体" w:hAnsi="宋体"/>
          <w:sz w:val="24"/>
          <w:highlight w:val="none"/>
          <w:u w:val="single"/>
        </w:rPr>
        <w:t>（中型企业、</w:t>
      </w:r>
      <w:r>
        <w:rPr>
          <w:rFonts w:hint="eastAsia" w:ascii="宋体" w:hAnsi="宋体"/>
          <w:sz w:val="24"/>
          <w:highlight w:val="none"/>
          <w:u w:val="single"/>
        </w:rPr>
        <w:t>小型企业、微型企业）</w:t>
      </w:r>
      <w:r>
        <w:rPr>
          <w:rFonts w:hint="eastAsia" w:ascii="宋体" w:hAnsi="宋体"/>
          <w:sz w:val="24"/>
          <w:highlight w:val="none"/>
        </w:rPr>
        <w:t>；</w:t>
      </w:r>
    </w:p>
    <w:p w14:paraId="200B0372">
      <w:pPr>
        <w:tabs>
          <w:tab w:val="left" w:pos="1065"/>
          <w:tab w:val="left" w:pos="4262"/>
          <w:tab w:val="left" w:pos="6477"/>
        </w:tabs>
        <w:spacing w:before="20" w:line="500" w:lineRule="exact"/>
        <w:ind w:right="84" w:firstLine="772" w:firstLineChars="322"/>
        <w:rPr>
          <w:rFonts w:ascii="宋体" w:hAnsi="宋体"/>
          <w:sz w:val="24"/>
          <w:highlight w:val="none"/>
          <w:u w:val="single"/>
        </w:rPr>
      </w:pPr>
      <w:r>
        <w:rPr>
          <w:rFonts w:ascii="宋体" w:hAnsi="宋体"/>
          <w:sz w:val="24"/>
          <w:highlight w:val="none"/>
        </w:rPr>
        <w:t>2.</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w:t>
      </w:r>
      <w:r>
        <w:rPr>
          <w:rFonts w:hint="eastAsia" w:ascii="宋体" w:hAnsi="宋体"/>
          <w:sz w:val="24"/>
          <w:highlight w:val="none"/>
          <w:u w:val="single"/>
        </w:rPr>
        <w:t>行业</w:t>
      </w:r>
      <w:r>
        <w:rPr>
          <w:rFonts w:ascii="宋体" w:hAnsi="宋体"/>
          <w:sz w:val="24"/>
          <w:highlight w:val="none"/>
          <w:u w:val="single"/>
        </w:rPr>
        <w:t>）</w:t>
      </w:r>
      <w:r>
        <w:rPr>
          <w:rFonts w:ascii="宋体" w:hAnsi="宋体"/>
          <w:sz w:val="24"/>
          <w:highlight w:val="none"/>
        </w:rPr>
        <w:t>；</w:t>
      </w:r>
      <w:r>
        <w:rPr>
          <w:rFonts w:hint="eastAsia" w:ascii="宋体" w:hAnsi="宋体"/>
          <w:sz w:val="24"/>
          <w:highlight w:val="none"/>
        </w:rPr>
        <w:t>承接企业为</w:t>
      </w:r>
      <w:r>
        <w:rPr>
          <w:rFonts w:hint="eastAsia" w:ascii="宋体" w:hAnsi="宋体"/>
          <w:sz w:val="24"/>
          <w:highlight w:val="none"/>
          <w:u w:val="single"/>
        </w:rPr>
        <w:t>（企业名称）</w:t>
      </w:r>
      <w:r>
        <w:rPr>
          <w:rFonts w:hint="eastAsia" w:ascii="宋体" w:hAnsi="宋体"/>
          <w:sz w:val="24"/>
          <w:highlight w:val="none"/>
        </w:rPr>
        <w:t>，从业人员人，营业收入为万元，资产总额为万元</w:t>
      </w:r>
      <w:r>
        <w:rPr>
          <w:rFonts w:ascii="宋体" w:hAnsi="宋体"/>
          <w:sz w:val="24"/>
          <w:highlight w:val="none"/>
        </w:rPr>
        <w:t>，属于</w:t>
      </w:r>
      <w:r>
        <w:rPr>
          <w:rFonts w:ascii="宋体" w:hAnsi="宋体"/>
          <w:sz w:val="24"/>
          <w:highlight w:val="none"/>
          <w:u w:val="single"/>
        </w:rPr>
        <w:t>（中型企业、</w:t>
      </w:r>
      <w:r>
        <w:rPr>
          <w:rFonts w:hint="eastAsia" w:ascii="宋体" w:hAnsi="宋体"/>
          <w:sz w:val="24"/>
          <w:highlight w:val="none"/>
          <w:u w:val="single"/>
        </w:rPr>
        <w:t>小型企业、微型企业）</w:t>
      </w:r>
      <w:r>
        <w:rPr>
          <w:rFonts w:hint="eastAsia" w:ascii="宋体" w:hAnsi="宋体"/>
          <w:sz w:val="24"/>
          <w:highlight w:val="none"/>
        </w:rPr>
        <w:t>；</w:t>
      </w:r>
    </w:p>
    <w:p w14:paraId="0FB189FA">
      <w:pPr>
        <w:pStyle w:val="10"/>
        <w:spacing w:before="34" w:line="500" w:lineRule="exact"/>
        <w:ind w:right="142" w:firstLine="705" w:firstLineChars="294"/>
        <w:rPr>
          <w:rFonts w:ascii="宋体" w:hAnsi="宋体"/>
          <w:sz w:val="24"/>
          <w:highlight w:val="none"/>
        </w:rPr>
      </w:pPr>
      <w:r>
        <w:rPr>
          <w:rFonts w:ascii="宋体" w:hAnsi="宋体"/>
          <w:sz w:val="24"/>
          <w:highlight w:val="none"/>
        </w:rPr>
        <w:t xml:space="preserve">…… </w:t>
      </w:r>
    </w:p>
    <w:p w14:paraId="1D53AC13">
      <w:pPr>
        <w:pStyle w:val="10"/>
        <w:spacing w:before="34" w:line="500" w:lineRule="exact"/>
        <w:ind w:right="142" w:firstLine="705" w:firstLineChars="294"/>
        <w:rPr>
          <w:rFonts w:ascii="宋体" w:hAnsi="宋体"/>
          <w:sz w:val="24"/>
          <w:highlight w:val="none"/>
        </w:rPr>
      </w:pPr>
      <w:r>
        <w:rPr>
          <w:rFonts w:ascii="宋体" w:hAnsi="宋体"/>
          <w:sz w:val="24"/>
          <w:highlight w:val="none"/>
        </w:rPr>
        <w:t>以上企业，不属于大企业的分支机构，不存在控股股东为大企业的情形，也不存在与大企业的负责人为同一人的情形。</w:t>
      </w:r>
    </w:p>
    <w:p w14:paraId="5152896F">
      <w:pPr>
        <w:pStyle w:val="10"/>
        <w:spacing w:before="25" w:line="500" w:lineRule="exact"/>
        <w:ind w:right="142" w:firstLine="705" w:firstLineChars="294"/>
        <w:rPr>
          <w:rFonts w:ascii="宋体" w:hAnsi="宋体"/>
          <w:sz w:val="24"/>
          <w:highlight w:val="none"/>
        </w:rPr>
      </w:pPr>
      <w:r>
        <w:rPr>
          <w:rFonts w:ascii="宋体" w:hAnsi="宋体"/>
          <w:sz w:val="24"/>
          <w:highlight w:val="none"/>
        </w:rPr>
        <w:t>本企业对上述声明内容的真实性负责。如有虚假，将依法承担相应责任。</w:t>
      </w:r>
    </w:p>
    <w:p w14:paraId="60F7A8DD">
      <w:pPr>
        <w:pStyle w:val="10"/>
        <w:spacing w:before="56" w:line="500" w:lineRule="exact"/>
        <w:ind w:right="1808" w:firstLine="705" w:firstLineChars="294"/>
        <w:rPr>
          <w:rFonts w:ascii="宋体" w:hAnsi="宋体"/>
          <w:sz w:val="24"/>
          <w:highlight w:val="none"/>
        </w:rPr>
      </w:pPr>
    </w:p>
    <w:p w14:paraId="32BC1DA8">
      <w:pPr>
        <w:pStyle w:val="10"/>
        <w:spacing w:before="56" w:line="500" w:lineRule="exact"/>
        <w:ind w:right="650" w:firstLine="5625" w:firstLineChars="2344"/>
        <w:rPr>
          <w:rFonts w:ascii="宋体" w:hAnsi="宋体"/>
          <w:sz w:val="24"/>
          <w:highlight w:val="none"/>
        </w:rPr>
      </w:pPr>
      <w:r>
        <w:rPr>
          <w:rFonts w:ascii="宋体" w:hAnsi="宋体"/>
          <w:sz w:val="24"/>
          <w:highlight w:val="none"/>
        </w:rPr>
        <w:t xml:space="preserve">企业名称（章）： </w:t>
      </w:r>
    </w:p>
    <w:p w14:paraId="5B9B4018">
      <w:pPr>
        <w:pStyle w:val="10"/>
        <w:spacing w:before="56" w:line="500" w:lineRule="exact"/>
        <w:ind w:right="1808" w:firstLine="5625" w:firstLineChars="2344"/>
        <w:rPr>
          <w:rFonts w:ascii="宋体" w:hAnsi="宋体"/>
          <w:sz w:val="24"/>
          <w:highlight w:val="none"/>
        </w:rPr>
      </w:pPr>
      <w:r>
        <w:rPr>
          <w:rFonts w:ascii="宋体" w:hAnsi="宋体"/>
          <w:sz w:val="24"/>
          <w:highlight w:val="none"/>
        </w:rPr>
        <w:t>日 期：</w:t>
      </w:r>
    </w:p>
    <w:p w14:paraId="0E09D68C">
      <w:pPr>
        <w:spacing w:line="520" w:lineRule="exact"/>
        <w:jc w:val="left"/>
        <w:rPr>
          <w:rFonts w:ascii="宋体" w:hAnsi="宋体" w:cs="仿宋_GB2312"/>
          <w:sz w:val="24"/>
          <w:highlight w:val="none"/>
        </w:rPr>
      </w:pPr>
      <w:r>
        <w:rPr>
          <w:rFonts w:hint="eastAsia" w:ascii="宋体" w:hAnsi="宋体" w:cs="仿宋_GB2312"/>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1AB77AC">
      <w:pPr>
        <w:spacing w:line="520" w:lineRule="exact"/>
        <w:jc w:val="center"/>
        <w:rPr>
          <w:rFonts w:ascii="仿宋_GB2312" w:hAnsi="仿宋_GB2312" w:eastAsia="仿宋_GB2312" w:cs="仿宋_GB2312"/>
          <w:sz w:val="32"/>
          <w:szCs w:val="32"/>
          <w:highlight w:val="none"/>
        </w:rPr>
      </w:pPr>
      <w:r>
        <w:rPr>
          <w:rFonts w:ascii="宋体" w:hAnsi="宋体"/>
          <w:sz w:val="24"/>
          <w:highlight w:val="none"/>
        </w:rPr>
        <w:br w:type="page"/>
      </w:r>
      <w:r>
        <w:rPr>
          <w:rFonts w:hint="eastAsia" w:ascii="方正小标宋简体" w:hAnsi="方正小标宋简体" w:eastAsia="方正小标宋简体" w:cs="方正小标宋简体"/>
          <w:sz w:val="44"/>
          <w:szCs w:val="44"/>
          <w:highlight w:val="none"/>
        </w:rPr>
        <w:t>残疾人福利性单位声明函</w:t>
      </w:r>
    </w:p>
    <w:p w14:paraId="03B816BA">
      <w:pPr>
        <w:spacing w:line="360" w:lineRule="auto"/>
        <w:contextualSpacing/>
        <w:rPr>
          <w:rFonts w:ascii="仿宋_GB2312" w:hAnsi="仿宋_GB2312" w:eastAsia="仿宋_GB2312" w:cs="仿宋_GB2312"/>
          <w:sz w:val="32"/>
          <w:szCs w:val="32"/>
          <w:highlight w:val="none"/>
        </w:rPr>
      </w:pPr>
    </w:p>
    <w:p w14:paraId="0C4D2986">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2DA83D6">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本单位对上述声明的真实性负责。如有虚假，将依法承担相应责任。</w:t>
      </w:r>
    </w:p>
    <w:p w14:paraId="28B92BAE">
      <w:pPr>
        <w:spacing w:line="360" w:lineRule="auto"/>
        <w:contextualSpacing/>
        <w:rPr>
          <w:rFonts w:ascii="宋体" w:hAnsi="宋体" w:cs="仿宋_GB2312"/>
          <w:sz w:val="24"/>
          <w:highlight w:val="none"/>
        </w:rPr>
      </w:pPr>
    </w:p>
    <w:p w14:paraId="10CDD052">
      <w:pPr>
        <w:spacing w:line="360" w:lineRule="auto"/>
        <w:contextualSpacing/>
        <w:rPr>
          <w:rFonts w:ascii="宋体" w:hAnsi="宋体" w:cs="仿宋_GB2312"/>
          <w:sz w:val="24"/>
          <w:highlight w:val="none"/>
        </w:rPr>
      </w:pPr>
    </w:p>
    <w:p w14:paraId="7FCA8499">
      <w:pPr>
        <w:spacing w:line="360" w:lineRule="auto"/>
        <w:contextualSpacing/>
        <w:rPr>
          <w:rFonts w:ascii="宋体" w:hAnsi="宋体" w:cs="仿宋_GB2312"/>
          <w:sz w:val="24"/>
          <w:highlight w:val="none"/>
        </w:rPr>
      </w:pPr>
    </w:p>
    <w:p w14:paraId="1FD14AE4">
      <w:pPr>
        <w:spacing w:line="360" w:lineRule="auto"/>
        <w:ind w:firstLine="2400" w:firstLineChars="1000"/>
        <w:contextualSpacing/>
        <w:rPr>
          <w:rFonts w:ascii="宋体" w:hAnsi="宋体" w:cs="仿宋_GB2312"/>
          <w:sz w:val="24"/>
          <w:highlight w:val="none"/>
        </w:rPr>
      </w:pPr>
      <w:r>
        <w:rPr>
          <w:rFonts w:hint="eastAsia" w:ascii="宋体" w:hAnsi="宋体" w:cs="仿宋_GB2312"/>
          <w:sz w:val="24"/>
          <w:highlight w:val="none"/>
        </w:rPr>
        <w:t>单位名称（盖章）：</w:t>
      </w:r>
    </w:p>
    <w:p w14:paraId="39CAAF79">
      <w:pPr>
        <w:spacing w:line="360" w:lineRule="auto"/>
        <w:ind w:firstLine="3600" w:firstLineChars="1500"/>
        <w:contextualSpacing/>
        <w:rPr>
          <w:rFonts w:ascii="宋体" w:hAnsi="宋体" w:cs="仿宋_GB2312"/>
          <w:sz w:val="24"/>
          <w:highlight w:val="none"/>
        </w:rPr>
      </w:pPr>
      <w:r>
        <w:rPr>
          <w:rFonts w:hint="eastAsia" w:ascii="宋体" w:hAnsi="宋体" w:cs="仿宋_GB2312"/>
          <w:sz w:val="24"/>
          <w:highlight w:val="none"/>
        </w:rPr>
        <w:t>日  期：</w:t>
      </w:r>
    </w:p>
    <w:p w14:paraId="53FA028B">
      <w:pPr>
        <w:spacing w:line="360" w:lineRule="auto"/>
        <w:contextualSpacing/>
        <w:rPr>
          <w:rFonts w:ascii="宋体" w:hAnsi="宋体" w:cs="仿宋_GB2312"/>
          <w:sz w:val="24"/>
          <w:highlight w:val="none"/>
        </w:rPr>
      </w:pPr>
    </w:p>
    <w:p w14:paraId="204B6367">
      <w:pPr>
        <w:spacing w:line="360" w:lineRule="auto"/>
        <w:contextualSpacing/>
        <w:rPr>
          <w:rFonts w:ascii="宋体" w:hAnsi="宋体" w:cs="仿宋_GB2312"/>
          <w:sz w:val="24"/>
          <w:highlight w:val="none"/>
        </w:rPr>
      </w:pPr>
    </w:p>
    <w:p w14:paraId="7A37F8F1">
      <w:pPr>
        <w:spacing w:line="360" w:lineRule="auto"/>
        <w:contextualSpacing/>
        <w:rPr>
          <w:rFonts w:ascii="宋体" w:hAnsi="宋体" w:cs="仿宋_GB2312"/>
          <w:sz w:val="24"/>
          <w:highlight w:val="none"/>
        </w:rPr>
      </w:pPr>
    </w:p>
    <w:p w14:paraId="3ACA3576">
      <w:pPr>
        <w:spacing w:line="360" w:lineRule="auto"/>
        <w:contextualSpacing/>
        <w:rPr>
          <w:rFonts w:ascii="宋体" w:hAnsi="宋体" w:cs="仿宋_GB2312"/>
          <w:sz w:val="24"/>
          <w:highlight w:val="none"/>
        </w:rPr>
      </w:pPr>
      <w:r>
        <w:rPr>
          <w:rFonts w:hint="eastAsia" w:ascii="宋体" w:hAnsi="宋体" w:cs="仿宋_GB2312"/>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C171C70">
      <w:pPr>
        <w:spacing w:line="360" w:lineRule="auto"/>
        <w:jc w:val="center"/>
        <w:rPr>
          <w:rFonts w:ascii="宋体" w:hAnsi="宋体" w:cs="仿宋_GB2312"/>
          <w:sz w:val="24"/>
          <w:highlight w:val="none"/>
        </w:rPr>
      </w:pPr>
      <w:r>
        <w:rPr>
          <w:rFonts w:ascii="宋体" w:hAnsi="宋体" w:cs="仿宋_GB2312"/>
          <w:sz w:val="24"/>
          <w:highlight w:val="none"/>
        </w:rPr>
        <w:br w:type="page"/>
      </w:r>
    </w:p>
    <w:p w14:paraId="1CE1F387">
      <w:pPr>
        <w:spacing w:line="360" w:lineRule="auto"/>
        <w:jc w:val="center"/>
        <w:rPr>
          <w:rFonts w:ascii="宋体" w:hAnsi="宋体"/>
          <w:b/>
          <w:bCs/>
          <w:sz w:val="32"/>
          <w:szCs w:val="32"/>
          <w:highlight w:val="none"/>
        </w:rPr>
      </w:pPr>
      <w:r>
        <w:rPr>
          <w:rFonts w:hint="eastAsia" w:ascii="方正小标宋简体" w:hAnsi="方正小标宋简体" w:eastAsia="方正小标宋简体" w:cs="方正小标宋简体"/>
          <w:sz w:val="44"/>
          <w:szCs w:val="44"/>
          <w:highlight w:val="none"/>
        </w:rPr>
        <w:t>质疑函（格式）</w:t>
      </w:r>
    </w:p>
    <w:p w14:paraId="7DB3D87E">
      <w:pPr>
        <w:pStyle w:val="13"/>
        <w:spacing w:line="360" w:lineRule="auto"/>
        <w:ind w:firstLine="482" w:firstLineChars="200"/>
        <w:contextualSpacing/>
        <w:rPr>
          <w:rFonts w:hAnsi="宋体"/>
          <w:b/>
          <w:bCs/>
          <w:sz w:val="24"/>
          <w:szCs w:val="24"/>
          <w:highlight w:val="none"/>
        </w:rPr>
      </w:pPr>
      <w:r>
        <w:rPr>
          <w:rFonts w:hint="eastAsia" w:hAnsi="宋体"/>
          <w:b/>
          <w:bCs/>
          <w:sz w:val="24"/>
          <w:szCs w:val="24"/>
          <w:highlight w:val="none"/>
        </w:rPr>
        <w:t>一、质疑供应商基本信息：</w:t>
      </w:r>
    </w:p>
    <w:p w14:paraId="41BB9072">
      <w:pPr>
        <w:pStyle w:val="13"/>
        <w:spacing w:line="360" w:lineRule="auto"/>
        <w:ind w:firstLine="480" w:firstLineChars="200"/>
        <w:contextualSpacing/>
        <w:rPr>
          <w:rFonts w:hAnsi="宋体"/>
          <w:bCs/>
          <w:sz w:val="24"/>
          <w:szCs w:val="24"/>
          <w:highlight w:val="none"/>
          <w:u w:val="single"/>
        </w:rPr>
      </w:pPr>
      <w:r>
        <w:rPr>
          <w:rFonts w:hint="eastAsia" w:hAnsi="宋体"/>
          <w:bCs/>
          <w:sz w:val="24"/>
          <w:szCs w:val="24"/>
          <w:highlight w:val="none"/>
        </w:rPr>
        <w:t>质疑供应商：</w:t>
      </w:r>
    </w:p>
    <w:p w14:paraId="52F4C4D1">
      <w:pPr>
        <w:pStyle w:val="13"/>
        <w:spacing w:line="360" w:lineRule="auto"/>
        <w:ind w:firstLine="480" w:firstLineChars="200"/>
        <w:contextualSpacing/>
        <w:rPr>
          <w:rFonts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Ansi="宋体"/>
          <w:bCs/>
          <w:sz w:val="24"/>
          <w:szCs w:val="24"/>
          <w:highlight w:val="none"/>
        </w:rPr>
        <w:t>邮编</w:t>
      </w:r>
      <w:r>
        <w:rPr>
          <w:rFonts w:hint="eastAsia" w:hAnsi="宋体"/>
          <w:bCs/>
          <w:sz w:val="24"/>
          <w:szCs w:val="24"/>
          <w:highlight w:val="none"/>
        </w:rPr>
        <w:t>：</w:t>
      </w:r>
    </w:p>
    <w:p w14:paraId="565474D1">
      <w:pPr>
        <w:pStyle w:val="13"/>
        <w:spacing w:line="360" w:lineRule="auto"/>
        <w:ind w:firstLine="480" w:firstLineChars="200"/>
        <w:contextualSpacing/>
        <w:rPr>
          <w:rFonts w:hAnsi="宋体"/>
          <w:bCs/>
          <w:sz w:val="24"/>
          <w:szCs w:val="24"/>
          <w:highlight w:val="none"/>
        </w:rPr>
      </w:pPr>
      <w:r>
        <w:rPr>
          <w:rFonts w:hAnsi="宋体"/>
          <w:bCs/>
          <w:sz w:val="24"/>
          <w:szCs w:val="24"/>
          <w:highlight w:val="none"/>
        </w:rPr>
        <w:t>联系人</w:t>
      </w:r>
      <w:r>
        <w:rPr>
          <w:rFonts w:hint="eastAsia" w:hAnsi="宋体"/>
          <w:bCs/>
          <w:sz w:val="24"/>
          <w:szCs w:val="24"/>
          <w:highlight w:val="none"/>
        </w:rPr>
        <w:t>：</w:t>
      </w:r>
      <w:r>
        <w:rPr>
          <w:rFonts w:hAnsi="宋体"/>
          <w:bCs/>
          <w:sz w:val="24"/>
          <w:szCs w:val="24"/>
          <w:highlight w:val="none"/>
        </w:rPr>
        <w:t>联系电话</w:t>
      </w:r>
      <w:r>
        <w:rPr>
          <w:rFonts w:hint="eastAsia" w:hAnsi="宋体"/>
          <w:bCs/>
          <w:sz w:val="24"/>
          <w:szCs w:val="24"/>
          <w:highlight w:val="none"/>
        </w:rPr>
        <w:t>：</w:t>
      </w:r>
    </w:p>
    <w:p w14:paraId="68F5AE15">
      <w:pPr>
        <w:pStyle w:val="13"/>
        <w:spacing w:line="360" w:lineRule="auto"/>
        <w:ind w:firstLine="480" w:firstLineChars="200"/>
        <w:contextualSpacing/>
        <w:rPr>
          <w:rFonts w:hAnsi="宋体"/>
          <w:bCs/>
          <w:sz w:val="24"/>
          <w:szCs w:val="24"/>
          <w:highlight w:val="none"/>
        </w:rPr>
      </w:pPr>
      <w:r>
        <w:rPr>
          <w:rFonts w:hint="eastAsia" w:hAnsi="宋体"/>
          <w:bCs/>
          <w:sz w:val="24"/>
          <w:szCs w:val="24"/>
          <w:highlight w:val="none"/>
        </w:rPr>
        <w:t>授权代表：</w:t>
      </w:r>
    </w:p>
    <w:p w14:paraId="4124E774">
      <w:pPr>
        <w:pStyle w:val="13"/>
        <w:spacing w:line="360" w:lineRule="auto"/>
        <w:ind w:firstLine="480" w:firstLineChars="200"/>
        <w:contextualSpacing/>
        <w:rPr>
          <w:rFonts w:hAnsi="宋体"/>
          <w:bCs/>
          <w:sz w:val="24"/>
          <w:szCs w:val="24"/>
          <w:highlight w:val="none"/>
          <w:u w:val="single"/>
        </w:rPr>
      </w:pPr>
      <w:r>
        <w:rPr>
          <w:rFonts w:hAnsi="宋体"/>
          <w:bCs/>
          <w:sz w:val="24"/>
          <w:szCs w:val="24"/>
          <w:highlight w:val="none"/>
        </w:rPr>
        <w:t>联系</w:t>
      </w:r>
      <w:r>
        <w:rPr>
          <w:rFonts w:hint="eastAsia" w:hAnsi="宋体"/>
          <w:bCs/>
          <w:sz w:val="24"/>
          <w:szCs w:val="24"/>
          <w:highlight w:val="none"/>
        </w:rPr>
        <w:t>电话：</w:t>
      </w:r>
    </w:p>
    <w:p w14:paraId="71765A5F">
      <w:pPr>
        <w:pStyle w:val="13"/>
        <w:spacing w:line="360" w:lineRule="auto"/>
        <w:ind w:firstLine="480" w:firstLineChars="200"/>
        <w:contextualSpacing/>
        <w:rPr>
          <w:rFonts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Ansi="宋体"/>
          <w:bCs/>
          <w:sz w:val="24"/>
          <w:szCs w:val="24"/>
          <w:highlight w:val="none"/>
        </w:rPr>
        <w:t>邮编</w:t>
      </w:r>
      <w:r>
        <w:rPr>
          <w:rFonts w:hint="eastAsia" w:hAnsi="宋体"/>
          <w:bCs/>
          <w:sz w:val="24"/>
          <w:szCs w:val="24"/>
          <w:highlight w:val="none"/>
        </w:rPr>
        <w:t>：</w:t>
      </w:r>
    </w:p>
    <w:p w14:paraId="33010855">
      <w:pPr>
        <w:pStyle w:val="13"/>
        <w:spacing w:line="360" w:lineRule="auto"/>
        <w:ind w:firstLine="482" w:firstLineChars="200"/>
        <w:contextualSpacing/>
        <w:rPr>
          <w:rFonts w:hAnsi="宋体"/>
          <w:b/>
          <w:bCs/>
          <w:sz w:val="24"/>
          <w:szCs w:val="24"/>
          <w:highlight w:val="none"/>
        </w:rPr>
      </w:pPr>
      <w:r>
        <w:rPr>
          <w:rFonts w:hint="eastAsia" w:hAnsi="宋体"/>
          <w:b/>
          <w:bCs/>
          <w:sz w:val="24"/>
          <w:szCs w:val="24"/>
          <w:highlight w:val="none"/>
        </w:rPr>
        <w:t>二、质疑项目基本情况：</w:t>
      </w:r>
    </w:p>
    <w:p w14:paraId="0072D112">
      <w:pPr>
        <w:pStyle w:val="13"/>
        <w:spacing w:line="360" w:lineRule="auto"/>
        <w:ind w:left="25" w:leftChars="12" w:firstLine="472" w:firstLineChars="197"/>
        <w:contextualSpacing/>
        <w:rPr>
          <w:rFonts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项目的名称：</w:t>
      </w:r>
    </w:p>
    <w:p w14:paraId="32DD26FB">
      <w:pPr>
        <w:pStyle w:val="13"/>
        <w:spacing w:line="360" w:lineRule="auto"/>
        <w:ind w:left="25" w:leftChars="12" w:firstLine="472" w:firstLineChars="197"/>
        <w:contextualSpacing/>
        <w:rPr>
          <w:rFonts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项目的编号：</w:t>
      </w:r>
    </w:p>
    <w:p w14:paraId="3CEB478C">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采购人名称：</w:t>
      </w:r>
    </w:p>
    <w:p w14:paraId="47D9D21C">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质疑事项：</w:t>
      </w:r>
    </w:p>
    <w:p w14:paraId="443E4851">
      <w:pPr>
        <w:pStyle w:val="13"/>
        <w:spacing w:line="360" w:lineRule="auto"/>
        <w:ind w:left="25" w:leftChars="12" w:firstLine="352" w:firstLineChars="147"/>
        <w:contextualSpacing/>
        <w:rPr>
          <w:rFonts w:hAnsi="宋体"/>
          <w:sz w:val="24"/>
          <w:szCs w:val="24"/>
          <w:highlight w:val="none"/>
        </w:rPr>
      </w:pPr>
      <w:r>
        <w:rPr>
          <w:rFonts w:hint="eastAsia" w:hAnsi="宋体"/>
          <w:sz w:val="24"/>
          <w:szCs w:val="24"/>
          <w:highlight w:val="none"/>
        </w:rPr>
        <w:t>□采购文件   采购文件获取日期：</w:t>
      </w:r>
    </w:p>
    <w:p w14:paraId="039E14D5">
      <w:pPr>
        <w:pStyle w:val="13"/>
        <w:spacing w:line="360" w:lineRule="auto"/>
        <w:ind w:left="25" w:leftChars="12" w:firstLine="352" w:firstLineChars="147"/>
        <w:contextualSpacing/>
        <w:rPr>
          <w:rFonts w:hAnsi="宋体"/>
          <w:sz w:val="24"/>
          <w:szCs w:val="24"/>
          <w:highlight w:val="none"/>
        </w:rPr>
      </w:pPr>
      <w:r>
        <w:rPr>
          <w:rFonts w:hint="eastAsia" w:hAnsi="宋体"/>
          <w:sz w:val="24"/>
          <w:szCs w:val="24"/>
          <w:highlight w:val="none"/>
        </w:rPr>
        <w:t xml:space="preserve">□采购过程   </w:t>
      </w:r>
    </w:p>
    <w:p w14:paraId="09095C65">
      <w:pPr>
        <w:pStyle w:val="13"/>
        <w:spacing w:line="360" w:lineRule="auto"/>
        <w:ind w:left="25" w:leftChars="12" w:firstLine="352" w:firstLineChars="147"/>
        <w:contextualSpacing/>
        <w:rPr>
          <w:rFonts w:hAnsi="宋体"/>
          <w:bCs/>
          <w:sz w:val="24"/>
          <w:szCs w:val="24"/>
          <w:highlight w:val="none"/>
          <w:u w:val="single"/>
        </w:rPr>
      </w:pPr>
      <w:r>
        <w:rPr>
          <w:rFonts w:hint="eastAsia" w:hAnsi="宋体"/>
          <w:sz w:val="24"/>
          <w:szCs w:val="24"/>
          <w:highlight w:val="none"/>
        </w:rPr>
        <w:t xml:space="preserve">□成交结果   </w:t>
      </w:r>
    </w:p>
    <w:p w14:paraId="2D143291">
      <w:pPr>
        <w:pStyle w:val="13"/>
        <w:spacing w:line="360" w:lineRule="auto"/>
        <w:ind w:left="25" w:leftChars="12" w:firstLine="472" w:firstLineChars="196"/>
        <w:contextualSpacing/>
        <w:rPr>
          <w:rFonts w:hAnsi="宋体"/>
          <w:b/>
          <w:sz w:val="24"/>
          <w:szCs w:val="24"/>
          <w:highlight w:val="none"/>
        </w:rPr>
      </w:pPr>
      <w:r>
        <w:rPr>
          <w:rFonts w:hint="eastAsia" w:hAnsi="宋体"/>
          <w:b/>
          <w:sz w:val="24"/>
          <w:szCs w:val="24"/>
          <w:highlight w:val="none"/>
        </w:rPr>
        <w:t>三、质疑事项具体内容</w:t>
      </w:r>
    </w:p>
    <w:p w14:paraId="096F00E4">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质疑事项1：</w:t>
      </w:r>
    </w:p>
    <w:p w14:paraId="3AD24053">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事实依据：</w:t>
      </w:r>
    </w:p>
    <w:p w14:paraId="049E3126">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法律依据：</w:t>
      </w:r>
    </w:p>
    <w:p w14:paraId="5BAF3BEE">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质疑事项2</w:t>
      </w:r>
    </w:p>
    <w:p w14:paraId="16D54E87">
      <w:pPr>
        <w:pStyle w:val="13"/>
        <w:spacing w:line="360" w:lineRule="auto"/>
        <w:ind w:left="25" w:leftChars="12" w:firstLine="472" w:firstLineChars="197"/>
        <w:contextualSpacing/>
        <w:rPr>
          <w:rFonts w:hAnsi="宋体"/>
          <w:sz w:val="24"/>
          <w:szCs w:val="24"/>
          <w:highlight w:val="none"/>
        </w:rPr>
      </w:pPr>
      <w:r>
        <w:rPr>
          <w:rFonts w:hAnsi="宋体"/>
          <w:sz w:val="24"/>
          <w:szCs w:val="24"/>
          <w:highlight w:val="none"/>
        </w:rPr>
        <w:t>……</w:t>
      </w:r>
    </w:p>
    <w:p w14:paraId="0C2FED3B">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四、与质疑事项相关的质疑请求：</w:t>
      </w:r>
    </w:p>
    <w:p w14:paraId="6213BB86">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请求：</w:t>
      </w:r>
    </w:p>
    <w:p w14:paraId="2AF9D295">
      <w:pPr>
        <w:pStyle w:val="13"/>
        <w:spacing w:line="360" w:lineRule="auto"/>
        <w:ind w:left="25" w:leftChars="12" w:firstLine="352" w:firstLineChars="147"/>
        <w:contextualSpacing/>
        <w:rPr>
          <w:rFonts w:hAnsi="宋体"/>
          <w:sz w:val="24"/>
          <w:szCs w:val="24"/>
          <w:highlight w:val="none"/>
        </w:rPr>
      </w:pPr>
    </w:p>
    <w:p w14:paraId="2DF0BD65">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签字（签章）：                                       公章：</w:t>
      </w:r>
    </w:p>
    <w:p w14:paraId="0BD713CA">
      <w:pPr>
        <w:pStyle w:val="13"/>
        <w:spacing w:line="360" w:lineRule="auto"/>
        <w:ind w:firstLine="480" w:firstLineChars="200"/>
        <w:contextualSpacing/>
        <w:rPr>
          <w:rFonts w:hAnsi="宋体"/>
          <w:b/>
          <w:sz w:val="24"/>
          <w:szCs w:val="24"/>
          <w:highlight w:val="none"/>
        </w:rPr>
      </w:pPr>
      <w:r>
        <w:rPr>
          <w:rFonts w:hint="eastAsia" w:hAnsi="宋体"/>
          <w:sz w:val="24"/>
          <w:szCs w:val="24"/>
          <w:highlight w:val="none"/>
        </w:rPr>
        <w:t>日期：</w:t>
      </w:r>
    </w:p>
    <w:p w14:paraId="7FA01A00">
      <w:pPr>
        <w:pStyle w:val="13"/>
        <w:spacing w:line="360" w:lineRule="auto"/>
        <w:contextualSpacing/>
        <w:rPr>
          <w:rFonts w:hAnsi="宋体"/>
          <w:b/>
          <w:sz w:val="24"/>
          <w:szCs w:val="24"/>
          <w:highlight w:val="none"/>
        </w:rPr>
      </w:pPr>
      <w:r>
        <w:rPr>
          <w:rFonts w:hint="eastAsia" w:hAnsi="宋体"/>
          <w:b/>
          <w:sz w:val="24"/>
          <w:szCs w:val="24"/>
          <w:highlight w:val="none"/>
        </w:rPr>
        <w:t>说明：</w:t>
      </w:r>
    </w:p>
    <w:p w14:paraId="722159B0">
      <w:pPr>
        <w:pStyle w:val="13"/>
        <w:spacing w:line="360" w:lineRule="auto"/>
        <w:ind w:left="25" w:leftChars="12" w:firstLine="354" w:firstLineChars="147"/>
        <w:contextualSpacing/>
        <w:rPr>
          <w:rFonts w:hAnsi="宋体"/>
          <w:b/>
          <w:bCs/>
          <w:sz w:val="24"/>
          <w:szCs w:val="24"/>
          <w:highlight w:val="none"/>
        </w:rPr>
      </w:pPr>
      <w:r>
        <w:rPr>
          <w:rFonts w:hint="eastAsia" w:hAnsi="宋体"/>
          <w:b/>
          <w:sz w:val="24"/>
          <w:szCs w:val="24"/>
          <w:highlight w:val="none"/>
        </w:rPr>
        <w:t>1.供应商提出质疑时，应提交质疑函和必要的证明材料</w:t>
      </w:r>
      <w:r>
        <w:rPr>
          <w:rFonts w:hint="eastAsia" w:hAnsi="宋体"/>
          <w:b/>
          <w:bCs/>
          <w:sz w:val="24"/>
          <w:szCs w:val="24"/>
          <w:highlight w:val="none"/>
        </w:rPr>
        <w:t>。</w:t>
      </w:r>
    </w:p>
    <w:p w14:paraId="586EDDB8">
      <w:pPr>
        <w:pStyle w:val="13"/>
        <w:spacing w:line="360" w:lineRule="auto"/>
        <w:ind w:left="25" w:leftChars="12" w:firstLine="354" w:firstLineChars="147"/>
        <w:contextualSpacing/>
        <w:rPr>
          <w:rFonts w:hAnsi="宋体"/>
          <w:b/>
          <w:sz w:val="24"/>
          <w:szCs w:val="24"/>
          <w:highlight w:val="none"/>
        </w:rPr>
      </w:pPr>
      <w:r>
        <w:rPr>
          <w:rFonts w:hint="eastAsia" w:hAnsi="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676924">
      <w:pPr>
        <w:pStyle w:val="13"/>
        <w:spacing w:line="360" w:lineRule="auto"/>
        <w:ind w:left="25" w:leftChars="12" w:firstLine="354" w:firstLineChars="147"/>
        <w:contextualSpacing/>
        <w:rPr>
          <w:rFonts w:hAnsi="宋体"/>
          <w:b/>
          <w:sz w:val="24"/>
          <w:szCs w:val="24"/>
          <w:highlight w:val="none"/>
        </w:rPr>
      </w:pPr>
      <w:r>
        <w:rPr>
          <w:rFonts w:hint="eastAsia" w:hAnsi="宋体"/>
          <w:b/>
          <w:sz w:val="24"/>
          <w:szCs w:val="24"/>
          <w:highlight w:val="none"/>
        </w:rPr>
        <w:t>3.质疑函的质疑事项应具体、明确，并有必要的事实依据和法律依据。</w:t>
      </w:r>
    </w:p>
    <w:p w14:paraId="591E1487">
      <w:pPr>
        <w:pStyle w:val="13"/>
        <w:spacing w:line="360" w:lineRule="auto"/>
        <w:ind w:left="25" w:leftChars="12" w:firstLine="354" w:firstLineChars="147"/>
        <w:contextualSpacing/>
        <w:rPr>
          <w:rFonts w:hAnsi="宋体"/>
          <w:b/>
          <w:sz w:val="24"/>
          <w:szCs w:val="24"/>
          <w:highlight w:val="none"/>
        </w:rPr>
      </w:pPr>
      <w:r>
        <w:rPr>
          <w:rFonts w:hint="eastAsia" w:hAnsi="宋体"/>
          <w:b/>
          <w:sz w:val="24"/>
          <w:szCs w:val="24"/>
          <w:highlight w:val="none"/>
        </w:rPr>
        <w:t>4.质疑函的质疑请求应与质疑事项相关。</w:t>
      </w:r>
    </w:p>
    <w:p w14:paraId="5B47237B">
      <w:pPr>
        <w:pStyle w:val="13"/>
        <w:spacing w:line="360" w:lineRule="auto"/>
        <w:ind w:left="25" w:leftChars="12" w:firstLine="354" w:firstLineChars="147"/>
        <w:contextualSpacing/>
        <w:rPr>
          <w:rFonts w:hAnsi="宋体"/>
          <w:b/>
          <w:highlight w:val="none"/>
        </w:rPr>
      </w:pPr>
      <w:r>
        <w:rPr>
          <w:rFonts w:hint="eastAsia" w:hAnsi="宋体"/>
          <w:b/>
          <w:sz w:val="24"/>
          <w:szCs w:val="24"/>
          <w:highlight w:val="none"/>
        </w:rPr>
        <w:t>5.质疑供应商为法人或者其他组织的，质疑函应由法定代表人、主要负责人，或者其授权代表签字或者盖章，并加盖公章。</w:t>
      </w:r>
    </w:p>
    <w:p w14:paraId="48C3BDB1">
      <w:pPr>
        <w:pStyle w:val="13"/>
        <w:snapToGrid w:val="0"/>
        <w:rPr>
          <w:b/>
          <w:sz w:val="24"/>
          <w:szCs w:val="24"/>
          <w:highlight w:val="none"/>
        </w:rPr>
      </w:pPr>
    </w:p>
    <w:p w14:paraId="62D9E326">
      <w:pPr>
        <w:rPr>
          <w:sz w:val="32"/>
          <w:szCs w:val="40"/>
          <w:highlight w:val="none"/>
        </w:rPr>
      </w:pPr>
    </w:p>
    <w:p w14:paraId="3358949F">
      <w:pPr>
        <w:rPr>
          <w:sz w:val="32"/>
          <w:szCs w:val="40"/>
          <w:highlight w:val="none"/>
        </w:rPr>
      </w:pPr>
    </w:p>
    <w:p w14:paraId="6F4C50D6">
      <w:pPr>
        <w:rPr>
          <w:sz w:val="32"/>
          <w:szCs w:val="40"/>
          <w:highlight w:val="none"/>
        </w:rPr>
      </w:pPr>
    </w:p>
    <w:p w14:paraId="71716527">
      <w:pPr>
        <w:rPr>
          <w:sz w:val="32"/>
          <w:szCs w:val="40"/>
          <w:highlight w:val="none"/>
        </w:rPr>
      </w:pPr>
    </w:p>
    <w:p w14:paraId="7747D828">
      <w:pPr>
        <w:rPr>
          <w:sz w:val="32"/>
          <w:szCs w:val="40"/>
          <w:highlight w:val="none"/>
        </w:rPr>
      </w:pPr>
    </w:p>
    <w:p w14:paraId="24B9499E">
      <w:pPr>
        <w:rPr>
          <w:sz w:val="32"/>
          <w:szCs w:val="40"/>
          <w:highlight w:val="none"/>
        </w:rPr>
      </w:pPr>
    </w:p>
    <w:p w14:paraId="49F69D1C">
      <w:pPr>
        <w:rPr>
          <w:sz w:val="32"/>
          <w:szCs w:val="40"/>
          <w:highlight w:val="none"/>
        </w:rPr>
      </w:pPr>
    </w:p>
    <w:p w14:paraId="51E78EFD">
      <w:pPr>
        <w:rPr>
          <w:sz w:val="32"/>
          <w:szCs w:val="40"/>
          <w:highlight w:val="none"/>
        </w:rPr>
      </w:pPr>
    </w:p>
    <w:p w14:paraId="7A4269BA">
      <w:pPr>
        <w:rPr>
          <w:sz w:val="32"/>
          <w:szCs w:val="40"/>
          <w:highlight w:val="none"/>
        </w:rPr>
      </w:pPr>
    </w:p>
    <w:p w14:paraId="2BD927C1">
      <w:pPr>
        <w:rPr>
          <w:sz w:val="32"/>
          <w:szCs w:val="40"/>
          <w:highlight w:val="none"/>
        </w:rPr>
      </w:pPr>
    </w:p>
    <w:p w14:paraId="14967D11">
      <w:pPr>
        <w:rPr>
          <w:sz w:val="32"/>
          <w:szCs w:val="40"/>
          <w:highlight w:val="none"/>
        </w:rPr>
      </w:pPr>
    </w:p>
    <w:p w14:paraId="47A018F9">
      <w:pPr>
        <w:rPr>
          <w:sz w:val="32"/>
          <w:szCs w:val="40"/>
          <w:highlight w:val="none"/>
        </w:rPr>
      </w:pPr>
    </w:p>
    <w:p w14:paraId="743CEB18">
      <w:pPr>
        <w:rPr>
          <w:sz w:val="32"/>
          <w:szCs w:val="40"/>
          <w:highlight w:val="none"/>
        </w:rPr>
      </w:pPr>
    </w:p>
    <w:p w14:paraId="4F21F0F9">
      <w:pPr>
        <w:widowControl/>
        <w:jc w:val="left"/>
        <w:rPr>
          <w:sz w:val="32"/>
          <w:szCs w:val="40"/>
          <w:highlight w:val="none"/>
        </w:rPr>
      </w:pPr>
      <w:r>
        <w:rPr>
          <w:sz w:val="32"/>
          <w:szCs w:val="40"/>
          <w:highlight w:val="none"/>
        </w:rPr>
        <w:br w:type="page"/>
      </w:r>
    </w:p>
    <w:p w14:paraId="67ACB155">
      <w:pPr>
        <w:rPr>
          <w:sz w:val="32"/>
          <w:szCs w:val="40"/>
          <w:highlight w:val="none"/>
        </w:rPr>
      </w:pPr>
    </w:p>
    <w:p w14:paraId="05B19716">
      <w:pPr>
        <w:spacing w:line="360" w:lineRule="auto"/>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投诉书（格式）</w:t>
      </w:r>
    </w:p>
    <w:p w14:paraId="28D774BE">
      <w:pPr>
        <w:pStyle w:val="13"/>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一、投诉相关主体基本情况：</w:t>
      </w:r>
    </w:p>
    <w:p w14:paraId="59DAEA84">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供应商：</w:t>
      </w:r>
    </w:p>
    <w:p w14:paraId="7B7B7E9E">
      <w:pPr>
        <w:pStyle w:val="13"/>
        <w:snapToGrid w:val="0"/>
        <w:spacing w:line="360" w:lineRule="auto"/>
        <w:ind w:firstLine="480" w:firstLineChars="200"/>
        <w:rPr>
          <w:rFonts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Ansi="宋体"/>
          <w:bCs/>
          <w:sz w:val="24"/>
          <w:szCs w:val="24"/>
          <w:highlight w:val="none"/>
        </w:rPr>
        <w:t>邮编</w:t>
      </w:r>
      <w:r>
        <w:rPr>
          <w:rFonts w:hint="eastAsia" w:hAnsi="宋体"/>
          <w:bCs/>
          <w:sz w:val="24"/>
          <w:szCs w:val="24"/>
          <w:highlight w:val="none"/>
        </w:rPr>
        <w:t>：</w:t>
      </w:r>
    </w:p>
    <w:p w14:paraId="5D2A2C76">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法定代表人/主要负责人：</w:t>
      </w:r>
    </w:p>
    <w:p w14:paraId="09AB55AC">
      <w:pPr>
        <w:pStyle w:val="13"/>
        <w:snapToGrid w:val="0"/>
        <w:spacing w:line="360" w:lineRule="auto"/>
        <w:ind w:firstLine="480" w:firstLineChars="200"/>
        <w:rPr>
          <w:rFonts w:hAnsi="宋体"/>
          <w:bCs/>
          <w:sz w:val="24"/>
          <w:szCs w:val="24"/>
          <w:highlight w:val="none"/>
        </w:rPr>
      </w:pPr>
      <w:r>
        <w:rPr>
          <w:rFonts w:hAnsi="宋体"/>
          <w:bCs/>
          <w:sz w:val="24"/>
          <w:szCs w:val="24"/>
          <w:highlight w:val="none"/>
        </w:rPr>
        <w:t>联系电话</w:t>
      </w:r>
      <w:r>
        <w:rPr>
          <w:rFonts w:hint="eastAsia" w:hAnsi="宋体"/>
          <w:bCs/>
          <w:sz w:val="24"/>
          <w:szCs w:val="24"/>
          <w:highlight w:val="none"/>
        </w:rPr>
        <w:t>：</w:t>
      </w:r>
    </w:p>
    <w:p w14:paraId="3FA73D02">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授权代表：</w:t>
      </w:r>
      <w:r>
        <w:rPr>
          <w:rFonts w:hAnsi="宋体"/>
          <w:bCs/>
          <w:sz w:val="24"/>
          <w:szCs w:val="24"/>
          <w:highlight w:val="none"/>
        </w:rPr>
        <w:t>联系</w:t>
      </w:r>
      <w:r>
        <w:rPr>
          <w:rFonts w:hint="eastAsia" w:hAnsi="宋体"/>
          <w:bCs/>
          <w:sz w:val="24"/>
          <w:szCs w:val="24"/>
          <w:highlight w:val="none"/>
        </w:rPr>
        <w:t>电话：</w:t>
      </w:r>
    </w:p>
    <w:p w14:paraId="0CD96900">
      <w:pPr>
        <w:pStyle w:val="13"/>
        <w:snapToGrid w:val="0"/>
        <w:spacing w:line="360" w:lineRule="auto"/>
        <w:ind w:firstLine="480" w:firstLineChars="200"/>
        <w:rPr>
          <w:rFonts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p>
    <w:p w14:paraId="6822B77C">
      <w:pPr>
        <w:pStyle w:val="13"/>
        <w:snapToGrid w:val="0"/>
        <w:spacing w:line="360" w:lineRule="auto"/>
        <w:ind w:firstLine="480" w:firstLineChars="200"/>
        <w:rPr>
          <w:rFonts w:hAnsi="宋体"/>
          <w:bCs/>
          <w:sz w:val="24"/>
          <w:szCs w:val="24"/>
          <w:highlight w:val="none"/>
        </w:rPr>
      </w:pPr>
      <w:r>
        <w:rPr>
          <w:rFonts w:hAnsi="宋体"/>
          <w:bCs/>
          <w:sz w:val="24"/>
          <w:szCs w:val="24"/>
          <w:highlight w:val="none"/>
        </w:rPr>
        <w:t>邮编</w:t>
      </w:r>
      <w:r>
        <w:rPr>
          <w:rFonts w:hint="eastAsia" w:hAnsi="宋体"/>
          <w:bCs/>
          <w:sz w:val="24"/>
          <w:szCs w:val="24"/>
          <w:highlight w:val="none"/>
        </w:rPr>
        <w:t>：</w:t>
      </w:r>
    </w:p>
    <w:p w14:paraId="744F614D">
      <w:pPr>
        <w:pStyle w:val="13"/>
        <w:snapToGrid w:val="0"/>
        <w:spacing w:line="360" w:lineRule="auto"/>
        <w:ind w:firstLine="480" w:firstLineChars="200"/>
        <w:rPr>
          <w:rFonts w:hAnsi="宋体"/>
          <w:bCs/>
          <w:sz w:val="24"/>
          <w:szCs w:val="24"/>
          <w:highlight w:val="none"/>
        </w:rPr>
      </w:pPr>
      <w:r>
        <w:rPr>
          <w:rFonts w:hint="eastAsia" w:hAnsi="宋体"/>
          <w:bCs/>
          <w:sz w:val="24"/>
          <w:szCs w:val="24"/>
          <w:highlight w:val="none"/>
        </w:rPr>
        <w:t>被投诉人1：</w:t>
      </w:r>
    </w:p>
    <w:p w14:paraId="6534CE99">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地址：</w:t>
      </w:r>
    </w:p>
    <w:p w14:paraId="0453651C">
      <w:pPr>
        <w:pStyle w:val="13"/>
        <w:snapToGrid w:val="0"/>
        <w:spacing w:line="360" w:lineRule="auto"/>
        <w:ind w:firstLine="480" w:firstLineChars="200"/>
        <w:rPr>
          <w:rFonts w:hAnsi="宋体"/>
          <w:bCs/>
          <w:sz w:val="24"/>
          <w:szCs w:val="24"/>
          <w:highlight w:val="none"/>
        </w:rPr>
      </w:pPr>
      <w:r>
        <w:rPr>
          <w:rFonts w:hAnsi="宋体"/>
          <w:bCs/>
          <w:sz w:val="24"/>
          <w:szCs w:val="24"/>
          <w:highlight w:val="none"/>
        </w:rPr>
        <w:t>邮编</w:t>
      </w:r>
      <w:r>
        <w:rPr>
          <w:rFonts w:hint="eastAsia" w:hAnsi="宋体"/>
          <w:bCs/>
          <w:sz w:val="24"/>
          <w:szCs w:val="24"/>
          <w:highlight w:val="none"/>
        </w:rPr>
        <w:t>：</w:t>
      </w:r>
    </w:p>
    <w:p w14:paraId="09EF3D6F">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联系人：</w:t>
      </w:r>
      <w:r>
        <w:rPr>
          <w:rFonts w:hAnsi="宋体"/>
          <w:bCs/>
          <w:sz w:val="24"/>
          <w:szCs w:val="24"/>
          <w:highlight w:val="none"/>
        </w:rPr>
        <w:t>联系</w:t>
      </w:r>
      <w:r>
        <w:rPr>
          <w:rFonts w:hint="eastAsia" w:hAnsi="宋体"/>
          <w:bCs/>
          <w:sz w:val="24"/>
          <w:szCs w:val="24"/>
          <w:highlight w:val="none"/>
        </w:rPr>
        <w:t>电话：</w:t>
      </w:r>
    </w:p>
    <w:p w14:paraId="6CB18264">
      <w:pPr>
        <w:pStyle w:val="13"/>
        <w:snapToGrid w:val="0"/>
        <w:spacing w:line="360" w:lineRule="auto"/>
        <w:ind w:firstLine="480" w:firstLineChars="200"/>
        <w:rPr>
          <w:rFonts w:hAnsi="宋体"/>
          <w:bCs/>
          <w:sz w:val="24"/>
          <w:szCs w:val="24"/>
          <w:highlight w:val="none"/>
        </w:rPr>
      </w:pPr>
      <w:r>
        <w:rPr>
          <w:rFonts w:hint="eastAsia" w:hAnsi="宋体"/>
          <w:bCs/>
          <w:sz w:val="24"/>
          <w:szCs w:val="24"/>
          <w:highlight w:val="none"/>
        </w:rPr>
        <w:t>被投诉人2：</w:t>
      </w:r>
    </w:p>
    <w:p w14:paraId="5AEFF57D">
      <w:pPr>
        <w:pStyle w:val="13"/>
        <w:snapToGrid w:val="0"/>
        <w:spacing w:line="360" w:lineRule="auto"/>
        <w:ind w:firstLine="480" w:firstLineChars="200"/>
        <w:rPr>
          <w:rFonts w:hAnsi="宋体"/>
          <w:bCs/>
          <w:sz w:val="24"/>
          <w:szCs w:val="24"/>
          <w:highlight w:val="none"/>
        </w:rPr>
      </w:pPr>
      <w:r>
        <w:rPr>
          <w:rFonts w:hAnsi="宋体"/>
          <w:bCs/>
          <w:sz w:val="24"/>
          <w:szCs w:val="24"/>
          <w:highlight w:val="none"/>
        </w:rPr>
        <w:t>……</w:t>
      </w:r>
    </w:p>
    <w:p w14:paraId="0BF7CD3D">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相关供应商：</w:t>
      </w:r>
    </w:p>
    <w:p w14:paraId="1ACC3855">
      <w:pPr>
        <w:pStyle w:val="13"/>
        <w:snapToGrid w:val="0"/>
        <w:spacing w:line="360" w:lineRule="auto"/>
        <w:ind w:firstLine="480" w:firstLineChars="200"/>
        <w:rPr>
          <w:rFonts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Ansi="宋体"/>
          <w:bCs/>
          <w:sz w:val="24"/>
          <w:szCs w:val="24"/>
          <w:highlight w:val="none"/>
        </w:rPr>
        <w:t>邮编</w:t>
      </w:r>
      <w:r>
        <w:rPr>
          <w:rFonts w:hint="eastAsia" w:hAnsi="宋体"/>
          <w:bCs/>
          <w:sz w:val="24"/>
          <w:szCs w:val="24"/>
          <w:highlight w:val="none"/>
        </w:rPr>
        <w:t>：</w:t>
      </w:r>
    </w:p>
    <w:p w14:paraId="7D0C18E5">
      <w:pPr>
        <w:pStyle w:val="13"/>
        <w:snapToGrid w:val="0"/>
        <w:spacing w:line="360" w:lineRule="auto"/>
        <w:ind w:firstLine="480" w:firstLineChars="200"/>
        <w:rPr>
          <w:rFonts w:hAnsi="宋体"/>
          <w:bCs/>
          <w:sz w:val="24"/>
          <w:szCs w:val="24"/>
          <w:highlight w:val="none"/>
        </w:rPr>
      </w:pPr>
      <w:r>
        <w:rPr>
          <w:rFonts w:hint="eastAsia" w:hAnsi="宋体"/>
          <w:bCs/>
          <w:sz w:val="24"/>
          <w:szCs w:val="24"/>
          <w:highlight w:val="none"/>
        </w:rPr>
        <w:t>联系人：</w:t>
      </w:r>
      <w:r>
        <w:rPr>
          <w:rFonts w:hAnsi="宋体"/>
          <w:bCs/>
          <w:sz w:val="24"/>
          <w:szCs w:val="24"/>
          <w:highlight w:val="none"/>
        </w:rPr>
        <w:t>联系</w:t>
      </w:r>
      <w:r>
        <w:rPr>
          <w:rFonts w:hint="eastAsia" w:hAnsi="宋体"/>
          <w:bCs/>
          <w:sz w:val="24"/>
          <w:szCs w:val="24"/>
          <w:highlight w:val="none"/>
        </w:rPr>
        <w:t>电话：</w:t>
      </w:r>
    </w:p>
    <w:p w14:paraId="2229DAF0">
      <w:pPr>
        <w:pStyle w:val="13"/>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二、投诉项目基本情况：</w:t>
      </w:r>
    </w:p>
    <w:p w14:paraId="7721A40A">
      <w:pPr>
        <w:pStyle w:val="13"/>
        <w:spacing w:line="360" w:lineRule="auto"/>
        <w:ind w:left="25" w:leftChars="12" w:firstLine="472" w:firstLineChars="197"/>
        <w:rPr>
          <w:rFonts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项目的名称：</w:t>
      </w:r>
    </w:p>
    <w:p w14:paraId="6BD6C06B">
      <w:pPr>
        <w:pStyle w:val="13"/>
        <w:spacing w:line="360" w:lineRule="auto"/>
        <w:ind w:left="25" w:leftChars="12" w:firstLine="472" w:firstLineChars="197"/>
        <w:rPr>
          <w:rFonts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项目的编号：</w:t>
      </w:r>
    </w:p>
    <w:p w14:paraId="06D2F428">
      <w:pPr>
        <w:pStyle w:val="13"/>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采购人名称：</w:t>
      </w:r>
    </w:p>
    <w:p w14:paraId="7A089AA4">
      <w:pPr>
        <w:pStyle w:val="13"/>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代理机构名称：</w:t>
      </w:r>
    </w:p>
    <w:p w14:paraId="5F5FB6E8">
      <w:pPr>
        <w:pStyle w:val="13"/>
        <w:spacing w:line="360" w:lineRule="auto"/>
        <w:ind w:left="25" w:leftChars="12" w:firstLine="472" w:firstLineChars="197"/>
        <w:rPr>
          <w:rFonts w:hAnsi="宋体"/>
          <w:bCs/>
          <w:sz w:val="24"/>
          <w:szCs w:val="24"/>
          <w:highlight w:val="none"/>
          <w:u w:val="single"/>
        </w:rPr>
      </w:pPr>
      <w:r>
        <w:rPr>
          <w:rFonts w:hint="eastAsia" w:hAnsi="宋体"/>
          <w:bCs/>
          <w:sz w:val="24"/>
          <w:szCs w:val="24"/>
          <w:highlight w:val="none"/>
        </w:rPr>
        <w:t>采购文件公告：</w:t>
      </w:r>
      <w:r>
        <w:rPr>
          <w:rFonts w:hint="eastAsia" w:hAnsi="宋体"/>
          <w:bCs/>
          <w:sz w:val="24"/>
          <w:szCs w:val="24"/>
          <w:highlight w:val="none"/>
          <w:u w:val="single"/>
        </w:rPr>
        <w:t>是/否</w:t>
      </w:r>
      <w:r>
        <w:rPr>
          <w:rFonts w:hint="eastAsia" w:hAnsi="宋体"/>
          <w:bCs/>
          <w:sz w:val="24"/>
          <w:szCs w:val="24"/>
          <w:highlight w:val="none"/>
        </w:rPr>
        <w:t>公告期限：</w:t>
      </w:r>
    </w:p>
    <w:p w14:paraId="3B58109B">
      <w:pPr>
        <w:pStyle w:val="13"/>
        <w:spacing w:line="360" w:lineRule="auto"/>
        <w:ind w:left="25" w:leftChars="12" w:firstLine="472" w:firstLineChars="197"/>
        <w:rPr>
          <w:rFonts w:hAnsi="宋体"/>
          <w:b/>
          <w:sz w:val="24"/>
          <w:szCs w:val="24"/>
          <w:highlight w:val="none"/>
        </w:rPr>
      </w:pPr>
      <w:r>
        <w:rPr>
          <w:rFonts w:hint="eastAsia" w:hAnsi="宋体"/>
          <w:bCs/>
          <w:sz w:val="24"/>
          <w:szCs w:val="24"/>
          <w:highlight w:val="none"/>
        </w:rPr>
        <w:t>采购结果公告：</w:t>
      </w:r>
      <w:r>
        <w:rPr>
          <w:rFonts w:hint="eastAsia" w:hAnsi="宋体"/>
          <w:bCs/>
          <w:sz w:val="24"/>
          <w:szCs w:val="24"/>
          <w:highlight w:val="none"/>
          <w:u w:val="single"/>
        </w:rPr>
        <w:t>是/否</w:t>
      </w:r>
      <w:r>
        <w:rPr>
          <w:rFonts w:hint="eastAsia" w:hAnsi="宋体"/>
          <w:bCs/>
          <w:sz w:val="24"/>
          <w:szCs w:val="24"/>
          <w:highlight w:val="none"/>
        </w:rPr>
        <w:t>公告期限：</w:t>
      </w:r>
    </w:p>
    <w:p w14:paraId="5786268F">
      <w:pPr>
        <w:pStyle w:val="13"/>
        <w:spacing w:line="360" w:lineRule="auto"/>
        <w:ind w:left="25" w:leftChars="12" w:firstLine="472" w:firstLineChars="196"/>
        <w:rPr>
          <w:rFonts w:hAnsi="宋体"/>
          <w:b/>
          <w:sz w:val="24"/>
          <w:szCs w:val="24"/>
          <w:highlight w:val="none"/>
        </w:rPr>
      </w:pPr>
      <w:r>
        <w:rPr>
          <w:rFonts w:hint="eastAsia" w:hAnsi="宋体"/>
          <w:b/>
          <w:sz w:val="24"/>
          <w:szCs w:val="24"/>
          <w:highlight w:val="none"/>
        </w:rPr>
        <w:t>三、质疑基本情况</w:t>
      </w:r>
    </w:p>
    <w:p w14:paraId="43495C50">
      <w:pPr>
        <w:pStyle w:val="13"/>
        <w:spacing w:line="360" w:lineRule="auto"/>
        <w:ind w:firstLine="480" w:firstLineChars="200"/>
        <w:rPr>
          <w:rFonts w:hAnsi="宋体"/>
          <w:sz w:val="24"/>
          <w:szCs w:val="24"/>
          <w:highlight w:val="none"/>
        </w:rPr>
      </w:pPr>
      <w:r>
        <w:rPr>
          <w:rFonts w:hint="eastAsia" w:hAnsi="宋体"/>
          <w:sz w:val="24"/>
          <w:szCs w:val="24"/>
          <w:highlight w:val="none"/>
        </w:rPr>
        <w:t>投诉人于年月日，向提出质疑，质疑事项为：</w:t>
      </w:r>
    </w:p>
    <w:p w14:paraId="694703DA">
      <w:pPr>
        <w:pStyle w:val="13"/>
        <w:spacing w:line="360" w:lineRule="auto"/>
        <w:ind w:firstLine="241"/>
        <w:rPr>
          <w:rFonts w:hAnsi="宋体"/>
          <w:bCs/>
          <w:sz w:val="24"/>
          <w:szCs w:val="24"/>
          <w:highlight w:val="none"/>
          <w:u w:val="single"/>
        </w:rPr>
      </w:pPr>
    </w:p>
    <w:p w14:paraId="1CCA5DD8">
      <w:pPr>
        <w:pStyle w:val="13"/>
        <w:spacing w:line="360" w:lineRule="auto"/>
        <w:ind w:firstLine="241"/>
        <w:rPr>
          <w:rFonts w:hAnsi="宋体"/>
          <w:bCs/>
          <w:sz w:val="24"/>
          <w:szCs w:val="24"/>
          <w:highlight w:val="none"/>
          <w:u w:val="single"/>
        </w:rPr>
      </w:pPr>
    </w:p>
    <w:p w14:paraId="748100AE">
      <w:pPr>
        <w:pStyle w:val="13"/>
        <w:spacing w:line="360" w:lineRule="auto"/>
        <w:ind w:firstLine="480" w:firstLineChars="200"/>
        <w:rPr>
          <w:rFonts w:hAnsi="宋体"/>
          <w:sz w:val="24"/>
          <w:szCs w:val="24"/>
          <w:highlight w:val="none"/>
        </w:rPr>
      </w:pPr>
      <w:r>
        <w:rPr>
          <w:rFonts w:hint="eastAsia" w:hAnsi="宋体"/>
          <w:bCs/>
          <w:sz w:val="24"/>
          <w:szCs w:val="24"/>
          <w:highlight w:val="none"/>
          <w:u w:val="single"/>
        </w:rPr>
        <w:t>采购人/代理机构</w:t>
      </w:r>
      <w:r>
        <w:rPr>
          <w:rFonts w:hint="eastAsia" w:hAnsi="宋体"/>
          <w:bCs/>
          <w:sz w:val="24"/>
          <w:szCs w:val="24"/>
          <w:highlight w:val="none"/>
        </w:rPr>
        <w:t>于</w:t>
      </w:r>
      <w:r>
        <w:rPr>
          <w:rFonts w:hint="eastAsia" w:hAnsi="宋体"/>
          <w:sz w:val="24"/>
          <w:szCs w:val="24"/>
          <w:highlight w:val="none"/>
        </w:rPr>
        <w:t>年月日，</w:t>
      </w:r>
      <w:r>
        <w:rPr>
          <w:rFonts w:hint="eastAsia" w:hAnsi="宋体"/>
          <w:bCs/>
          <w:sz w:val="24"/>
          <w:szCs w:val="24"/>
          <w:highlight w:val="none"/>
        </w:rPr>
        <w:t xml:space="preserve">就质疑事项作出了答复/没有在法定期限内作出答复。                                                                                             </w:t>
      </w:r>
    </w:p>
    <w:p w14:paraId="7F656DA8">
      <w:pPr>
        <w:pStyle w:val="13"/>
        <w:spacing w:line="360" w:lineRule="auto"/>
        <w:ind w:left="25" w:leftChars="12" w:firstLine="472" w:firstLineChars="196"/>
        <w:rPr>
          <w:rFonts w:hAnsi="宋体"/>
          <w:b/>
          <w:sz w:val="24"/>
          <w:szCs w:val="24"/>
          <w:highlight w:val="none"/>
        </w:rPr>
      </w:pPr>
      <w:r>
        <w:rPr>
          <w:rFonts w:hint="eastAsia" w:hAnsi="宋体"/>
          <w:b/>
          <w:sz w:val="24"/>
          <w:szCs w:val="24"/>
          <w:highlight w:val="none"/>
        </w:rPr>
        <w:t>四、投诉事项具体内容</w:t>
      </w:r>
    </w:p>
    <w:p w14:paraId="5D8D715A">
      <w:pPr>
        <w:pStyle w:val="13"/>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投诉事项1：</w:t>
      </w:r>
    </w:p>
    <w:p w14:paraId="125C6F9B">
      <w:pPr>
        <w:pStyle w:val="13"/>
        <w:spacing w:line="360" w:lineRule="auto"/>
        <w:ind w:firstLine="480" w:firstLineChars="200"/>
        <w:rPr>
          <w:rFonts w:hAnsi="宋体"/>
          <w:bCs/>
          <w:sz w:val="24"/>
          <w:szCs w:val="24"/>
          <w:highlight w:val="none"/>
          <w:u w:val="single"/>
        </w:rPr>
      </w:pPr>
      <w:r>
        <w:rPr>
          <w:rFonts w:hint="eastAsia" w:hAnsi="宋体"/>
          <w:bCs/>
          <w:sz w:val="24"/>
          <w:szCs w:val="24"/>
          <w:highlight w:val="none"/>
        </w:rPr>
        <w:t>事实依据：</w:t>
      </w:r>
    </w:p>
    <w:p w14:paraId="323FBD19">
      <w:pPr>
        <w:pStyle w:val="13"/>
        <w:spacing w:line="360" w:lineRule="auto"/>
        <w:ind w:left="25" w:leftChars="12" w:firstLine="472" w:firstLineChars="197"/>
        <w:rPr>
          <w:rFonts w:hAnsi="宋体"/>
          <w:sz w:val="24"/>
          <w:szCs w:val="24"/>
          <w:highlight w:val="none"/>
        </w:rPr>
      </w:pPr>
    </w:p>
    <w:p w14:paraId="3F5EC848">
      <w:pPr>
        <w:pStyle w:val="13"/>
        <w:spacing w:line="360" w:lineRule="auto"/>
        <w:ind w:firstLine="480" w:firstLineChars="200"/>
        <w:rPr>
          <w:rFonts w:hAnsi="宋体"/>
          <w:bCs/>
          <w:sz w:val="24"/>
          <w:szCs w:val="24"/>
          <w:highlight w:val="none"/>
          <w:u w:val="single"/>
        </w:rPr>
      </w:pPr>
      <w:r>
        <w:rPr>
          <w:rFonts w:hint="eastAsia" w:hAnsi="宋体"/>
          <w:bCs/>
          <w:sz w:val="24"/>
          <w:szCs w:val="24"/>
          <w:highlight w:val="none"/>
        </w:rPr>
        <w:t>法律依据：</w:t>
      </w:r>
    </w:p>
    <w:p w14:paraId="3A2902EF">
      <w:pPr>
        <w:pStyle w:val="13"/>
        <w:spacing w:line="360" w:lineRule="auto"/>
        <w:ind w:left="25" w:leftChars="12" w:firstLine="352" w:firstLineChars="147"/>
        <w:rPr>
          <w:rFonts w:hAnsi="宋体"/>
          <w:bCs/>
          <w:sz w:val="24"/>
          <w:szCs w:val="24"/>
          <w:highlight w:val="none"/>
          <w:u w:val="single"/>
        </w:rPr>
      </w:pPr>
    </w:p>
    <w:p w14:paraId="2CA4395C">
      <w:pPr>
        <w:pStyle w:val="13"/>
        <w:spacing w:line="360" w:lineRule="auto"/>
        <w:ind w:left="25" w:leftChars="12" w:firstLine="472" w:firstLineChars="197"/>
        <w:rPr>
          <w:rFonts w:hAnsi="宋体"/>
          <w:bCs/>
          <w:sz w:val="24"/>
          <w:szCs w:val="24"/>
          <w:highlight w:val="none"/>
        </w:rPr>
      </w:pPr>
      <w:r>
        <w:rPr>
          <w:rFonts w:hint="eastAsia" w:hAnsi="宋体"/>
          <w:sz w:val="24"/>
          <w:szCs w:val="24"/>
          <w:highlight w:val="none"/>
        </w:rPr>
        <w:t xml:space="preserve">投诉事项2  </w:t>
      </w:r>
    </w:p>
    <w:p w14:paraId="50CD861F">
      <w:pPr>
        <w:pStyle w:val="13"/>
        <w:spacing w:line="360" w:lineRule="auto"/>
        <w:ind w:left="25" w:leftChars="12" w:firstLine="472" w:firstLineChars="197"/>
        <w:rPr>
          <w:rFonts w:hAnsi="宋体"/>
          <w:bCs/>
          <w:sz w:val="24"/>
          <w:szCs w:val="24"/>
          <w:highlight w:val="none"/>
        </w:rPr>
      </w:pPr>
      <w:r>
        <w:rPr>
          <w:rFonts w:hAnsi="宋体"/>
          <w:bCs/>
          <w:sz w:val="24"/>
          <w:szCs w:val="24"/>
          <w:highlight w:val="none"/>
        </w:rPr>
        <w:t>……</w:t>
      </w:r>
    </w:p>
    <w:p w14:paraId="04319BF2">
      <w:pPr>
        <w:pStyle w:val="13"/>
        <w:spacing w:line="360" w:lineRule="auto"/>
        <w:ind w:left="25" w:leftChars="12" w:firstLine="472" w:firstLineChars="196"/>
        <w:rPr>
          <w:rFonts w:hAnsi="宋体"/>
          <w:b/>
          <w:sz w:val="24"/>
          <w:szCs w:val="24"/>
          <w:highlight w:val="none"/>
        </w:rPr>
      </w:pPr>
      <w:r>
        <w:rPr>
          <w:rFonts w:hint="eastAsia" w:hAnsi="宋体"/>
          <w:b/>
          <w:sz w:val="24"/>
          <w:szCs w:val="24"/>
          <w:highlight w:val="none"/>
        </w:rPr>
        <w:t>五、与投诉事项相关的投诉请求：</w:t>
      </w:r>
    </w:p>
    <w:p w14:paraId="4BEF6555">
      <w:pPr>
        <w:pStyle w:val="13"/>
        <w:spacing w:line="360" w:lineRule="auto"/>
        <w:ind w:left="25" w:leftChars="12" w:firstLine="472" w:firstLineChars="197"/>
        <w:rPr>
          <w:rFonts w:hAnsi="宋体"/>
          <w:sz w:val="24"/>
          <w:szCs w:val="24"/>
          <w:highlight w:val="none"/>
        </w:rPr>
      </w:pPr>
      <w:r>
        <w:rPr>
          <w:rFonts w:hint="eastAsia" w:hAnsi="宋体"/>
          <w:sz w:val="24"/>
          <w:szCs w:val="24"/>
          <w:highlight w:val="none"/>
        </w:rPr>
        <w:t>请求：</w:t>
      </w:r>
    </w:p>
    <w:p w14:paraId="59AEC249">
      <w:pPr>
        <w:pStyle w:val="13"/>
        <w:spacing w:line="360" w:lineRule="auto"/>
        <w:ind w:left="25" w:leftChars="12" w:firstLine="352" w:firstLineChars="147"/>
        <w:rPr>
          <w:rFonts w:hAnsi="宋体"/>
          <w:sz w:val="24"/>
          <w:szCs w:val="24"/>
          <w:highlight w:val="none"/>
        </w:rPr>
      </w:pPr>
    </w:p>
    <w:p w14:paraId="799FC846">
      <w:pPr>
        <w:pStyle w:val="13"/>
        <w:spacing w:line="360" w:lineRule="auto"/>
        <w:ind w:left="25" w:leftChars="12" w:firstLine="472" w:firstLineChars="197"/>
        <w:rPr>
          <w:rFonts w:hAnsi="宋体"/>
          <w:sz w:val="24"/>
          <w:szCs w:val="24"/>
          <w:highlight w:val="none"/>
        </w:rPr>
      </w:pPr>
      <w:r>
        <w:rPr>
          <w:rFonts w:hint="eastAsia" w:hAnsi="宋体"/>
          <w:sz w:val="24"/>
          <w:szCs w:val="24"/>
          <w:highlight w:val="none"/>
        </w:rPr>
        <w:t>签字（签章）：                                       公章：</w:t>
      </w:r>
    </w:p>
    <w:p w14:paraId="49D46C48">
      <w:pPr>
        <w:pStyle w:val="13"/>
        <w:spacing w:line="360" w:lineRule="auto"/>
        <w:ind w:left="25" w:leftChars="12" w:firstLine="352" w:firstLineChars="147"/>
        <w:rPr>
          <w:rFonts w:hAnsi="宋体"/>
          <w:sz w:val="24"/>
          <w:szCs w:val="24"/>
          <w:highlight w:val="none"/>
        </w:rPr>
      </w:pPr>
    </w:p>
    <w:p w14:paraId="39C27869">
      <w:pPr>
        <w:pStyle w:val="13"/>
        <w:spacing w:line="360" w:lineRule="auto"/>
        <w:ind w:left="25" w:leftChars="12" w:firstLine="472" w:firstLineChars="197"/>
        <w:rPr>
          <w:rFonts w:hAnsi="宋体"/>
          <w:sz w:val="24"/>
          <w:szCs w:val="24"/>
          <w:highlight w:val="none"/>
        </w:rPr>
      </w:pPr>
      <w:r>
        <w:rPr>
          <w:rFonts w:hint="eastAsia" w:hAnsi="宋体"/>
          <w:sz w:val="24"/>
          <w:szCs w:val="24"/>
          <w:highlight w:val="none"/>
        </w:rPr>
        <w:t>日期：</w:t>
      </w:r>
    </w:p>
    <w:p w14:paraId="658EB8CF">
      <w:pPr>
        <w:pStyle w:val="13"/>
        <w:spacing w:line="360" w:lineRule="auto"/>
        <w:ind w:left="25" w:leftChars="12" w:firstLine="475" w:firstLineChars="197"/>
        <w:rPr>
          <w:rFonts w:hAnsi="宋体"/>
          <w:b/>
          <w:sz w:val="24"/>
          <w:szCs w:val="24"/>
          <w:highlight w:val="none"/>
        </w:rPr>
      </w:pPr>
    </w:p>
    <w:p w14:paraId="72050F0C">
      <w:pPr>
        <w:pStyle w:val="13"/>
        <w:snapToGrid w:val="0"/>
        <w:spacing w:line="360" w:lineRule="auto"/>
        <w:rPr>
          <w:rFonts w:hAnsi="宋体"/>
          <w:b/>
          <w:sz w:val="24"/>
          <w:szCs w:val="24"/>
          <w:highlight w:val="none"/>
        </w:rPr>
      </w:pPr>
      <w:r>
        <w:rPr>
          <w:rFonts w:hint="eastAsia" w:hAnsi="宋体"/>
          <w:b/>
          <w:sz w:val="24"/>
          <w:szCs w:val="24"/>
          <w:highlight w:val="none"/>
        </w:rPr>
        <w:t>说明：</w:t>
      </w:r>
    </w:p>
    <w:p w14:paraId="38120080">
      <w:pPr>
        <w:pStyle w:val="13"/>
        <w:spacing w:line="360" w:lineRule="auto"/>
        <w:ind w:left="25" w:leftChars="12" w:firstLine="354" w:firstLineChars="147"/>
        <w:rPr>
          <w:rFonts w:hAnsi="宋体"/>
          <w:b/>
          <w:bCs/>
          <w:sz w:val="24"/>
          <w:szCs w:val="24"/>
          <w:highlight w:val="none"/>
        </w:rPr>
      </w:pPr>
      <w:r>
        <w:rPr>
          <w:rFonts w:hint="eastAsia" w:hAnsi="宋体"/>
          <w:b/>
          <w:sz w:val="24"/>
          <w:szCs w:val="24"/>
          <w:highlight w:val="none"/>
        </w:rPr>
        <w:t>1.投诉人提起投诉时，应当提交投诉书和必要的证明材料，并按照被投诉人和与投诉事项有关的供应商数量提供投诉书副本</w:t>
      </w:r>
      <w:r>
        <w:rPr>
          <w:rFonts w:hint="eastAsia" w:hAnsi="宋体"/>
          <w:b/>
          <w:bCs/>
          <w:sz w:val="24"/>
          <w:szCs w:val="24"/>
          <w:highlight w:val="none"/>
        </w:rPr>
        <w:t>。</w:t>
      </w:r>
    </w:p>
    <w:p w14:paraId="7A993F86">
      <w:pPr>
        <w:pStyle w:val="13"/>
        <w:spacing w:line="360" w:lineRule="auto"/>
        <w:ind w:left="25" w:leftChars="12" w:firstLine="354" w:firstLineChars="147"/>
        <w:rPr>
          <w:rFonts w:hAnsi="宋体"/>
          <w:b/>
          <w:sz w:val="24"/>
          <w:szCs w:val="24"/>
          <w:highlight w:val="none"/>
        </w:rPr>
      </w:pPr>
      <w:r>
        <w:rPr>
          <w:rFonts w:hint="eastAsia"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4D54F9">
      <w:pPr>
        <w:pStyle w:val="13"/>
        <w:spacing w:line="360" w:lineRule="auto"/>
        <w:ind w:left="25" w:leftChars="12" w:firstLine="354" w:firstLineChars="147"/>
        <w:rPr>
          <w:rFonts w:hAnsi="宋体"/>
          <w:b/>
          <w:sz w:val="24"/>
          <w:szCs w:val="24"/>
          <w:highlight w:val="none"/>
        </w:rPr>
      </w:pPr>
      <w:r>
        <w:rPr>
          <w:rFonts w:hint="eastAsia" w:hAnsi="宋体"/>
          <w:b/>
          <w:sz w:val="24"/>
          <w:szCs w:val="24"/>
          <w:highlight w:val="none"/>
        </w:rPr>
        <w:t>3.投诉书应简要列明质疑事项，质疑函、质疑答复等作为附件材料提供。</w:t>
      </w:r>
    </w:p>
    <w:p w14:paraId="43F368BB">
      <w:pPr>
        <w:pStyle w:val="13"/>
        <w:spacing w:line="360" w:lineRule="auto"/>
        <w:ind w:left="25" w:leftChars="12" w:firstLine="354" w:firstLineChars="147"/>
        <w:rPr>
          <w:rFonts w:hAnsi="宋体"/>
          <w:b/>
          <w:sz w:val="24"/>
          <w:szCs w:val="24"/>
          <w:highlight w:val="none"/>
        </w:rPr>
      </w:pPr>
      <w:r>
        <w:rPr>
          <w:rFonts w:hint="eastAsia" w:hAnsi="宋体"/>
          <w:b/>
          <w:sz w:val="24"/>
          <w:szCs w:val="24"/>
          <w:highlight w:val="none"/>
        </w:rPr>
        <w:t>4.投诉书的投诉事项应具体、明确，并有必要的事实依据和法律依据。</w:t>
      </w:r>
    </w:p>
    <w:p w14:paraId="5E9E264C">
      <w:pPr>
        <w:pStyle w:val="13"/>
        <w:spacing w:line="360" w:lineRule="auto"/>
        <w:ind w:left="25" w:leftChars="12" w:firstLine="354" w:firstLineChars="147"/>
        <w:rPr>
          <w:rFonts w:hAnsi="宋体"/>
          <w:b/>
          <w:sz w:val="24"/>
          <w:szCs w:val="24"/>
          <w:highlight w:val="none"/>
        </w:rPr>
      </w:pPr>
      <w:r>
        <w:rPr>
          <w:rFonts w:hint="eastAsia" w:hAnsi="宋体"/>
          <w:b/>
          <w:sz w:val="24"/>
          <w:szCs w:val="24"/>
          <w:highlight w:val="none"/>
        </w:rPr>
        <w:t>5.投诉书的投诉请求应与投诉事项相关。</w:t>
      </w:r>
    </w:p>
    <w:p w14:paraId="2F61597F">
      <w:pPr>
        <w:pStyle w:val="13"/>
        <w:spacing w:line="360" w:lineRule="auto"/>
        <w:ind w:left="25" w:leftChars="12" w:firstLine="354" w:firstLineChars="147"/>
        <w:rPr>
          <w:rFonts w:hAnsi="宋体"/>
          <w:b/>
          <w:highlight w:val="none"/>
        </w:rPr>
      </w:pPr>
      <w:r>
        <w:rPr>
          <w:rFonts w:hint="eastAsia" w:hAnsi="宋体"/>
          <w:b/>
          <w:sz w:val="24"/>
          <w:szCs w:val="24"/>
          <w:highlight w:val="none"/>
        </w:rPr>
        <w:t>6.投诉人为法人或者其他组织的，投诉书应由法定代表人、主要负责人，或者其授权代表签字或者盖章，并加盖公章。</w:t>
      </w:r>
    </w:p>
    <w:p w14:paraId="2B37D206">
      <w:pPr>
        <w:rPr>
          <w:highlight w:val="none"/>
        </w:rPr>
      </w:pPr>
      <w:bookmarkStart w:id="182" w:name="_Toc74323461"/>
      <w:r>
        <w:rPr>
          <w:rFonts w:hint="eastAsia"/>
          <w:highlight w:val="none"/>
        </w:rPr>
        <w:br w:type="page"/>
      </w:r>
    </w:p>
    <w:p w14:paraId="3D8D2D3C">
      <w:pPr>
        <w:pStyle w:val="2"/>
        <w:jc w:val="center"/>
        <w:rPr>
          <w:highlight w:val="none"/>
        </w:rPr>
      </w:pPr>
      <w:r>
        <w:rPr>
          <w:rFonts w:hint="eastAsia"/>
          <w:highlight w:val="none"/>
        </w:rPr>
        <w:t>第六章 合同文本</w:t>
      </w:r>
      <w:bookmarkEnd w:id="182"/>
    </w:p>
    <w:p w14:paraId="50B864DF">
      <w:pPr>
        <w:snapToGrid w:val="0"/>
        <w:spacing w:line="360" w:lineRule="auto"/>
        <w:rPr>
          <w:rFonts w:ascii="宋体" w:hAnsi="宋体"/>
          <w:szCs w:val="21"/>
          <w:highlight w:val="none"/>
        </w:rPr>
      </w:pPr>
      <w:r>
        <w:rPr>
          <w:rFonts w:ascii="宋体" w:hAnsi="宋体" w:cs="Courier New"/>
          <w:b/>
          <w:sz w:val="32"/>
          <w:szCs w:val="32"/>
          <w:highlight w:val="none"/>
        </w:rPr>
        <w:br w:type="page"/>
      </w:r>
    </w:p>
    <w:p w14:paraId="4650D328">
      <w:pPr>
        <w:snapToGrid w:val="0"/>
        <w:spacing w:line="360" w:lineRule="auto"/>
        <w:jc w:val="center"/>
        <w:rPr>
          <w:rFonts w:ascii="宋体" w:hAnsi="宋体"/>
          <w:b/>
          <w:bCs/>
          <w:sz w:val="32"/>
          <w:szCs w:val="32"/>
          <w:highlight w:val="none"/>
        </w:rPr>
      </w:pPr>
    </w:p>
    <w:p w14:paraId="24862A36">
      <w:pPr>
        <w:snapToGrid w:val="0"/>
        <w:spacing w:line="360" w:lineRule="auto"/>
        <w:jc w:val="center"/>
        <w:rPr>
          <w:rFonts w:ascii="宋体" w:hAnsi="宋体"/>
          <w:b/>
          <w:bCs/>
          <w:sz w:val="32"/>
          <w:szCs w:val="32"/>
          <w:highlight w:val="none"/>
        </w:rPr>
      </w:pPr>
      <w:r>
        <w:rPr>
          <w:rFonts w:hint="eastAsia" w:ascii="宋体" w:hAnsi="宋体"/>
          <w:b/>
          <w:bCs/>
          <w:sz w:val="32"/>
          <w:szCs w:val="32"/>
          <w:highlight w:val="none"/>
        </w:rPr>
        <w:t>政府采购合同</w:t>
      </w:r>
    </w:p>
    <w:p w14:paraId="63334CB4">
      <w:pPr>
        <w:snapToGrid w:val="0"/>
        <w:spacing w:line="360" w:lineRule="auto"/>
        <w:rPr>
          <w:rFonts w:ascii="宋体" w:hAnsi="宋体"/>
          <w:szCs w:val="21"/>
          <w:highlight w:val="none"/>
        </w:rPr>
      </w:pPr>
    </w:p>
    <w:p w14:paraId="4AAFED2F">
      <w:pPr>
        <w:spacing w:line="360" w:lineRule="auto"/>
        <w:ind w:right="800"/>
        <w:rPr>
          <w:rFonts w:ascii="宋体" w:hAnsi="宋体" w:cs="宋体"/>
          <w:bCs/>
          <w:color w:val="000000"/>
          <w:szCs w:val="21"/>
          <w:highlight w:val="none"/>
          <w:u w:val="single"/>
        </w:rPr>
      </w:pPr>
      <w:r>
        <w:rPr>
          <w:rFonts w:hint="eastAsia" w:ascii="宋体" w:hAnsi="宋体" w:cs="宋体"/>
          <w:color w:val="000000"/>
          <w:szCs w:val="21"/>
          <w:highlight w:val="none"/>
        </w:rPr>
        <w:t>采购计划号：</w:t>
      </w:r>
      <w:r>
        <w:rPr>
          <w:rFonts w:hint="eastAsia" w:ascii="宋体" w:hAnsi="宋体" w:cs="宋体"/>
          <w:bCs/>
          <w:color w:val="000000"/>
          <w:szCs w:val="21"/>
          <w:highlight w:val="none"/>
        </w:rPr>
        <w:t>合同编号：</w:t>
      </w:r>
    </w:p>
    <w:p w14:paraId="71A61579">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采购人（甲方）：   供应商（乙方）：</w:t>
      </w:r>
    </w:p>
    <w:p w14:paraId="3D976079">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项目名称：项目编号：</w:t>
      </w:r>
    </w:p>
    <w:p w14:paraId="18639165">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签订地点：   签订时间：</w:t>
      </w:r>
    </w:p>
    <w:p w14:paraId="65FDC93B">
      <w:pPr>
        <w:spacing w:line="360" w:lineRule="auto"/>
        <w:rPr>
          <w:rFonts w:ascii="宋体" w:hAnsi="宋体" w:cs="宋体"/>
          <w:color w:val="000000"/>
          <w:szCs w:val="21"/>
          <w:highlight w:val="none"/>
        </w:rPr>
      </w:pPr>
      <w:r>
        <w:rPr>
          <w:rFonts w:hint="eastAsia" w:ascii="宋体" w:hAnsi="宋体" w:cs="宋体"/>
          <w:color w:val="000000"/>
          <w:szCs w:val="21"/>
          <w:highlight w:val="none"/>
        </w:rPr>
        <w:t>本合同为中小企业预留合同：</w:t>
      </w:r>
      <w:r>
        <w:rPr>
          <w:rFonts w:hint="eastAsia" w:ascii="宋体" w:hAnsi="宋体" w:cs="宋体"/>
          <w:color w:val="000000"/>
          <w:szCs w:val="21"/>
          <w:highlight w:val="none"/>
          <w:u w:val="single"/>
        </w:rPr>
        <w:t>（是/否）</w:t>
      </w:r>
      <w:r>
        <w:rPr>
          <w:rFonts w:hint="eastAsia" w:ascii="宋体" w:hAnsi="宋体" w:cs="宋体"/>
          <w:color w:val="000000"/>
          <w:szCs w:val="21"/>
          <w:highlight w:val="none"/>
        </w:rPr>
        <w:t>。</w:t>
      </w:r>
    </w:p>
    <w:p w14:paraId="6282C0E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根据《中华人民共和国政府采购法》、《中华人民共和国民法典》等法律、法规规定，按照</w:t>
      </w:r>
      <w:r>
        <w:rPr>
          <w:rFonts w:hint="eastAsia" w:ascii="宋体" w:hAnsi="宋体"/>
          <w:color w:val="000000"/>
          <w:szCs w:val="21"/>
          <w:highlight w:val="none"/>
        </w:rPr>
        <w:t>磋商文件规定条款和乙方响应文件及其承诺，甲乙双方签订本合同。</w:t>
      </w:r>
    </w:p>
    <w:p w14:paraId="6BBF340F">
      <w:pPr>
        <w:spacing w:line="52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第一条　合同标的</w:t>
      </w:r>
    </w:p>
    <w:p w14:paraId="5A2B3104">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1、项目一览表</w:t>
      </w:r>
    </w:p>
    <w:tbl>
      <w:tblPr>
        <w:tblStyle w:val="22"/>
        <w:tblW w:w="1031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1978"/>
        <w:gridCol w:w="1483"/>
        <w:gridCol w:w="1277"/>
        <w:gridCol w:w="1156"/>
        <w:gridCol w:w="1385"/>
        <w:gridCol w:w="1102"/>
      </w:tblGrid>
      <w:tr w14:paraId="687F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E261FFF">
            <w:pPr>
              <w:spacing w:line="520" w:lineRule="exact"/>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1BF0D280">
            <w:pPr>
              <w:spacing w:line="520" w:lineRule="exact"/>
              <w:jc w:val="center"/>
              <w:rPr>
                <w:rFonts w:ascii="宋体" w:hAnsi="宋体" w:cs="宋体"/>
                <w:color w:val="000000"/>
                <w:sz w:val="24"/>
                <w:highlight w:val="none"/>
              </w:rPr>
            </w:pPr>
            <w:r>
              <w:rPr>
                <w:rFonts w:hint="eastAsia" w:ascii="宋体" w:hAnsi="宋体" w:cs="宋体"/>
                <w:color w:val="000000"/>
                <w:sz w:val="24"/>
                <w:highlight w:val="none"/>
              </w:rPr>
              <w:t>名称</w:t>
            </w:r>
          </w:p>
        </w:tc>
        <w:tc>
          <w:tcPr>
            <w:tcW w:w="1978" w:type="dxa"/>
            <w:tcBorders>
              <w:top w:val="single" w:color="auto" w:sz="4" w:space="0"/>
              <w:left w:val="single" w:color="auto" w:sz="4" w:space="0"/>
              <w:bottom w:val="single" w:color="auto" w:sz="4" w:space="0"/>
              <w:right w:val="single" w:color="auto" w:sz="4" w:space="0"/>
            </w:tcBorders>
            <w:vAlign w:val="center"/>
          </w:tcPr>
          <w:p w14:paraId="0D8CDCE5">
            <w:pPr>
              <w:spacing w:line="520" w:lineRule="exact"/>
              <w:jc w:val="center"/>
              <w:rPr>
                <w:rFonts w:ascii="宋体" w:hAnsi="宋体" w:cs="宋体"/>
                <w:color w:val="000000"/>
                <w:sz w:val="24"/>
                <w:highlight w:val="none"/>
              </w:rPr>
            </w:pPr>
            <w:r>
              <w:rPr>
                <w:rFonts w:hint="eastAsia" w:ascii="宋体" w:hAnsi="宋体" w:cs="宋体"/>
                <w:color w:val="000000"/>
                <w:sz w:val="24"/>
                <w:highlight w:val="none"/>
              </w:rPr>
              <w:t>服务内容</w:t>
            </w:r>
          </w:p>
        </w:tc>
        <w:tc>
          <w:tcPr>
            <w:tcW w:w="1483" w:type="dxa"/>
            <w:tcBorders>
              <w:top w:val="single" w:color="auto" w:sz="4" w:space="0"/>
              <w:left w:val="single" w:color="auto" w:sz="4" w:space="0"/>
              <w:bottom w:val="single" w:color="auto" w:sz="4" w:space="0"/>
              <w:right w:val="single" w:color="auto" w:sz="4" w:space="0"/>
            </w:tcBorders>
            <w:vAlign w:val="center"/>
          </w:tcPr>
          <w:p w14:paraId="7F89C6B4">
            <w:pPr>
              <w:spacing w:line="520" w:lineRule="exact"/>
              <w:jc w:val="center"/>
              <w:rPr>
                <w:rFonts w:ascii="宋体" w:hAnsi="宋体" w:cs="宋体"/>
                <w:color w:val="000000"/>
                <w:sz w:val="24"/>
                <w:highlight w:val="none"/>
              </w:rPr>
            </w:pPr>
            <w:r>
              <w:rPr>
                <w:rFonts w:hint="eastAsia" w:ascii="宋体" w:hAnsi="宋体" w:cs="宋体"/>
                <w:color w:val="000000"/>
                <w:sz w:val="24"/>
                <w:highlight w:val="none"/>
              </w:rPr>
              <w:t>品牌型号</w:t>
            </w:r>
          </w:p>
        </w:tc>
        <w:tc>
          <w:tcPr>
            <w:tcW w:w="1277" w:type="dxa"/>
            <w:tcBorders>
              <w:top w:val="single" w:color="auto" w:sz="4" w:space="0"/>
              <w:left w:val="single" w:color="auto" w:sz="4" w:space="0"/>
              <w:bottom w:val="single" w:color="auto" w:sz="4" w:space="0"/>
              <w:right w:val="single" w:color="auto" w:sz="4" w:space="0"/>
            </w:tcBorders>
            <w:vAlign w:val="center"/>
          </w:tcPr>
          <w:p w14:paraId="11ECBEEA">
            <w:pPr>
              <w:spacing w:line="520" w:lineRule="exact"/>
              <w:jc w:val="center"/>
              <w:rPr>
                <w:rFonts w:ascii="宋体" w:hAnsi="宋体" w:cs="宋体"/>
                <w:color w:val="000000"/>
                <w:sz w:val="24"/>
                <w:highlight w:val="none"/>
              </w:rPr>
            </w:pPr>
            <w:r>
              <w:rPr>
                <w:rFonts w:hint="eastAsia" w:ascii="宋体" w:hAnsi="宋体" w:cs="宋体"/>
                <w:color w:val="000000"/>
                <w:sz w:val="24"/>
                <w:highlight w:val="none"/>
              </w:rPr>
              <w:t>数  量</w:t>
            </w:r>
          </w:p>
        </w:tc>
        <w:tc>
          <w:tcPr>
            <w:tcW w:w="1156" w:type="dxa"/>
            <w:tcBorders>
              <w:top w:val="single" w:color="auto" w:sz="4" w:space="0"/>
              <w:left w:val="single" w:color="auto" w:sz="4" w:space="0"/>
              <w:bottom w:val="single" w:color="auto" w:sz="4" w:space="0"/>
              <w:right w:val="single" w:color="auto" w:sz="4" w:space="0"/>
            </w:tcBorders>
            <w:vAlign w:val="center"/>
          </w:tcPr>
          <w:p w14:paraId="00F5F9BB">
            <w:pPr>
              <w:spacing w:line="520" w:lineRule="exact"/>
              <w:jc w:val="center"/>
              <w:rPr>
                <w:rFonts w:ascii="宋体" w:hAnsi="宋体" w:cs="宋体"/>
                <w:color w:val="000000"/>
                <w:sz w:val="24"/>
                <w:highlight w:val="none"/>
              </w:rPr>
            </w:pPr>
            <w:r>
              <w:rPr>
                <w:rFonts w:hint="eastAsia" w:ascii="宋体" w:hAnsi="宋体" w:cs="宋体"/>
                <w:color w:val="000000"/>
                <w:sz w:val="24"/>
                <w:highlight w:val="none"/>
              </w:rPr>
              <w:t>单位</w:t>
            </w:r>
          </w:p>
        </w:tc>
        <w:tc>
          <w:tcPr>
            <w:tcW w:w="1385" w:type="dxa"/>
            <w:tcBorders>
              <w:top w:val="single" w:color="auto" w:sz="4" w:space="0"/>
              <w:left w:val="single" w:color="auto" w:sz="4" w:space="0"/>
              <w:bottom w:val="single" w:color="auto" w:sz="4" w:space="0"/>
              <w:right w:val="single" w:color="auto" w:sz="4" w:space="0"/>
            </w:tcBorders>
            <w:vAlign w:val="center"/>
          </w:tcPr>
          <w:p w14:paraId="43C7D3BD">
            <w:pPr>
              <w:spacing w:line="520" w:lineRule="exact"/>
              <w:jc w:val="center"/>
              <w:rPr>
                <w:rFonts w:ascii="宋体" w:hAnsi="宋体" w:cs="宋体"/>
                <w:color w:val="000000"/>
                <w:sz w:val="24"/>
                <w:highlight w:val="none"/>
              </w:rPr>
            </w:pPr>
            <w:r>
              <w:rPr>
                <w:rFonts w:hint="eastAsia" w:ascii="宋体" w:hAnsi="宋体" w:cs="宋体"/>
                <w:color w:val="000000"/>
                <w:sz w:val="24"/>
                <w:highlight w:val="none"/>
              </w:rPr>
              <w:t>单  价</w:t>
            </w:r>
          </w:p>
          <w:p w14:paraId="63A60394">
            <w:pPr>
              <w:spacing w:line="520" w:lineRule="exact"/>
              <w:jc w:val="center"/>
              <w:rPr>
                <w:rFonts w:ascii="宋体" w:hAnsi="宋体" w:cs="宋体"/>
                <w:color w:val="000000"/>
                <w:sz w:val="24"/>
                <w:highlight w:val="none"/>
              </w:rPr>
            </w:pPr>
            <w:r>
              <w:rPr>
                <w:rFonts w:hint="eastAsia" w:ascii="宋体" w:hAnsi="宋体" w:cs="宋体"/>
                <w:color w:val="000000"/>
                <w:sz w:val="24"/>
                <w:highlight w:val="none"/>
              </w:rPr>
              <w:t>（元）</w:t>
            </w:r>
          </w:p>
        </w:tc>
        <w:tc>
          <w:tcPr>
            <w:tcW w:w="1102" w:type="dxa"/>
            <w:tcBorders>
              <w:top w:val="single" w:color="auto" w:sz="4" w:space="0"/>
              <w:left w:val="single" w:color="auto" w:sz="4" w:space="0"/>
              <w:bottom w:val="single" w:color="auto" w:sz="4" w:space="0"/>
              <w:right w:val="single" w:color="auto" w:sz="4" w:space="0"/>
            </w:tcBorders>
            <w:vAlign w:val="center"/>
          </w:tcPr>
          <w:p w14:paraId="4DE7D38F">
            <w:pPr>
              <w:spacing w:line="520" w:lineRule="exact"/>
              <w:jc w:val="center"/>
              <w:rPr>
                <w:rFonts w:ascii="宋体" w:hAnsi="宋体" w:cs="宋体"/>
                <w:color w:val="000000"/>
                <w:sz w:val="24"/>
                <w:highlight w:val="none"/>
              </w:rPr>
            </w:pPr>
            <w:r>
              <w:rPr>
                <w:rFonts w:hint="eastAsia" w:ascii="宋体" w:hAnsi="宋体" w:cs="宋体"/>
                <w:color w:val="000000"/>
                <w:sz w:val="24"/>
                <w:highlight w:val="none"/>
              </w:rPr>
              <w:t>总 价</w:t>
            </w:r>
          </w:p>
          <w:p w14:paraId="4CEF0FBA">
            <w:pPr>
              <w:spacing w:line="520" w:lineRule="exact"/>
              <w:jc w:val="center"/>
              <w:rPr>
                <w:rFonts w:ascii="宋体" w:hAnsi="宋体" w:cs="宋体"/>
                <w:color w:val="000000"/>
                <w:sz w:val="24"/>
                <w:highlight w:val="none"/>
              </w:rPr>
            </w:pPr>
            <w:r>
              <w:rPr>
                <w:rFonts w:hint="eastAsia" w:ascii="宋体" w:hAnsi="宋体" w:cs="宋体"/>
                <w:color w:val="000000"/>
                <w:sz w:val="24"/>
                <w:highlight w:val="none"/>
              </w:rPr>
              <w:t>（元）</w:t>
            </w:r>
          </w:p>
        </w:tc>
      </w:tr>
      <w:tr w14:paraId="7177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212" w:type="dxa"/>
            <w:gridSpan w:val="7"/>
            <w:tcBorders>
              <w:top w:val="single" w:color="auto" w:sz="4" w:space="0"/>
              <w:left w:val="single" w:color="auto" w:sz="4" w:space="0"/>
              <w:bottom w:val="single" w:color="auto" w:sz="4" w:space="0"/>
              <w:right w:val="single" w:color="auto" w:sz="4" w:space="0"/>
            </w:tcBorders>
            <w:vAlign w:val="center"/>
          </w:tcPr>
          <w:p w14:paraId="7539B6F9">
            <w:pPr>
              <w:spacing w:line="520" w:lineRule="exact"/>
              <w:jc w:val="center"/>
              <w:rPr>
                <w:rFonts w:ascii="宋体" w:hAnsi="宋体" w:cs="宋体"/>
                <w:color w:val="000000"/>
                <w:sz w:val="24"/>
                <w:highlight w:val="none"/>
              </w:rPr>
            </w:pPr>
            <w:r>
              <w:rPr>
                <w:rFonts w:hint="eastAsia" w:ascii="宋体" w:hAnsi="宋体" w:cs="宋体"/>
                <w:color w:val="000000"/>
                <w:sz w:val="24"/>
                <w:highlight w:val="none"/>
              </w:rPr>
              <w:t>详见报价表</w:t>
            </w:r>
          </w:p>
        </w:tc>
        <w:tc>
          <w:tcPr>
            <w:tcW w:w="1102" w:type="dxa"/>
            <w:tcBorders>
              <w:top w:val="single" w:color="auto" w:sz="4" w:space="0"/>
              <w:left w:val="single" w:color="auto" w:sz="4" w:space="0"/>
              <w:bottom w:val="single" w:color="auto" w:sz="4" w:space="0"/>
              <w:right w:val="single" w:color="auto" w:sz="4" w:space="0"/>
            </w:tcBorders>
            <w:vAlign w:val="center"/>
          </w:tcPr>
          <w:p w14:paraId="07D88F03">
            <w:pPr>
              <w:spacing w:line="520" w:lineRule="exact"/>
              <w:jc w:val="center"/>
              <w:rPr>
                <w:rFonts w:ascii="宋体" w:hAnsi="宋体" w:cs="宋体"/>
                <w:color w:val="000000"/>
                <w:sz w:val="24"/>
                <w:highlight w:val="none"/>
              </w:rPr>
            </w:pPr>
          </w:p>
        </w:tc>
      </w:tr>
      <w:tr w14:paraId="4C24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212" w:type="dxa"/>
            <w:gridSpan w:val="7"/>
            <w:tcBorders>
              <w:top w:val="single" w:color="auto" w:sz="4" w:space="0"/>
              <w:left w:val="single" w:color="auto" w:sz="4" w:space="0"/>
              <w:bottom w:val="single" w:color="auto" w:sz="4" w:space="0"/>
              <w:right w:val="single" w:color="auto" w:sz="4" w:space="0"/>
            </w:tcBorders>
            <w:vAlign w:val="center"/>
          </w:tcPr>
          <w:p w14:paraId="63164B54">
            <w:pPr>
              <w:spacing w:line="520" w:lineRule="exact"/>
              <w:rPr>
                <w:rFonts w:ascii="宋体" w:hAnsi="宋体" w:cs="宋体"/>
                <w:color w:val="000000"/>
                <w:sz w:val="24"/>
                <w:highlight w:val="none"/>
              </w:rPr>
            </w:pPr>
            <w:r>
              <w:rPr>
                <w:rFonts w:hint="eastAsia" w:ascii="宋体" w:hAnsi="宋体" w:cs="宋体"/>
                <w:color w:val="000000"/>
                <w:sz w:val="24"/>
                <w:highlight w:val="none"/>
              </w:rPr>
              <w:t xml:space="preserve">人民币合计金额（大写）：元整（¥）              </w:t>
            </w:r>
          </w:p>
        </w:tc>
        <w:tc>
          <w:tcPr>
            <w:tcW w:w="1102" w:type="dxa"/>
            <w:tcBorders>
              <w:top w:val="single" w:color="auto" w:sz="4" w:space="0"/>
              <w:left w:val="single" w:color="auto" w:sz="4" w:space="0"/>
              <w:bottom w:val="single" w:color="auto" w:sz="4" w:space="0"/>
              <w:right w:val="single" w:color="auto" w:sz="4" w:space="0"/>
            </w:tcBorders>
            <w:vAlign w:val="center"/>
          </w:tcPr>
          <w:p w14:paraId="0DA287AA">
            <w:pPr>
              <w:spacing w:line="520" w:lineRule="exact"/>
              <w:rPr>
                <w:rFonts w:ascii="宋体" w:hAnsi="宋体" w:cs="宋体"/>
                <w:color w:val="000000"/>
                <w:sz w:val="24"/>
                <w:highlight w:val="none"/>
              </w:rPr>
            </w:pPr>
          </w:p>
        </w:tc>
      </w:tr>
    </w:tbl>
    <w:p w14:paraId="4242D10B">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合同合计金额为全包价，包括技术服务、系统升级产品及系统软件、设备价款，技术服务中的评估费、差旅费、餐费、编制费、印刷费等，系统软件和升级产品的安装、测试、培训和技术支持，货物的价格、货物的标准附件、备品备件、专用工具的价格、运输、装卸、安装、调试、培训、技术支持、售后服务等费用、必要的保险费用和各项税费、包含安装费用。即在合同实施时甲方认为项目的全部费用已包括在报价中，甲方不再支付报价以外的其他费用。如竞争性磋商文件对其另有规定的，从其规定。</w:t>
      </w:r>
    </w:p>
    <w:p w14:paraId="18EEEA09">
      <w:pPr>
        <w:spacing w:line="52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第二条　质量保证</w:t>
      </w:r>
    </w:p>
    <w:p w14:paraId="30D26B4B">
      <w:pPr>
        <w:snapToGrid w:val="0"/>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4A54B2B2">
      <w:pPr>
        <w:spacing w:line="520" w:lineRule="exact"/>
        <w:ind w:firstLine="482" w:firstLineChars="200"/>
        <w:rPr>
          <w:rFonts w:ascii="宋体" w:hAnsi="宋体" w:cs="宋体"/>
          <w:color w:val="000000"/>
          <w:sz w:val="24"/>
          <w:highlight w:val="none"/>
        </w:rPr>
      </w:pPr>
      <w:r>
        <w:rPr>
          <w:rFonts w:hint="eastAsia" w:ascii="宋体" w:hAnsi="宋体" w:cs="宋体"/>
          <w:b/>
          <w:color w:val="000000"/>
          <w:sz w:val="24"/>
          <w:highlight w:val="none"/>
        </w:rPr>
        <w:t>第三条　权利保证</w:t>
      </w:r>
    </w:p>
    <w:p w14:paraId="00A79C8E">
      <w:pPr>
        <w:snapToGrid w:val="0"/>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1、乙方应保证所提供服务在使用时不会侵犯任何第三方的专利权、商标权、工业设计权等知识产权及其他合法权利，且所有权、处分权等没有受到任何限制。</w:t>
      </w:r>
    </w:p>
    <w:p w14:paraId="77CD0117">
      <w:pPr>
        <w:snapToGrid w:val="0"/>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的保密义务持续有效，不因为本合同履行终止、解除或无效而解除。</w:t>
      </w:r>
    </w:p>
    <w:p w14:paraId="1355BA05">
      <w:pPr>
        <w:spacing w:line="520" w:lineRule="exact"/>
        <w:ind w:firstLine="482" w:firstLineChars="200"/>
        <w:rPr>
          <w:rFonts w:ascii="宋体" w:hAnsi="宋体" w:cs="宋体"/>
          <w:color w:val="000000"/>
          <w:sz w:val="24"/>
          <w:highlight w:val="none"/>
        </w:rPr>
      </w:pPr>
      <w:r>
        <w:rPr>
          <w:rFonts w:hint="eastAsia" w:ascii="宋体" w:hAnsi="宋体" w:cs="宋体"/>
          <w:b/>
          <w:color w:val="000000"/>
          <w:sz w:val="24"/>
          <w:highlight w:val="none"/>
        </w:rPr>
        <w:t>第四条　交付和验收</w:t>
      </w:r>
    </w:p>
    <w:p w14:paraId="04A773C4">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1、服务期限：</w:t>
      </w:r>
      <w:r>
        <w:rPr>
          <w:rFonts w:hint="eastAsia" w:ascii="宋体" w:hAnsi="宋体" w:cs="宋体"/>
          <w:color w:val="000000"/>
          <w:sz w:val="24"/>
          <w:highlight w:val="none"/>
          <w:u w:val="single"/>
        </w:rPr>
        <w:t>起至</w:t>
      </w:r>
      <w:r>
        <w:rPr>
          <w:rFonts w:hint="eastAsia" w:ascii="宋体" w:hAnsi="宋体" w:cs="宋体"/>
          <w:color w:val="000000"/>
          <w:sz w:val="24"/>
          <w:highlight w:val="none"/>
        </w:rPr>
        <w:t>，服务地点：。</w:t>
      </w:r>
    </w:p>
    <w:p w14:paraId="22C80BC6">
      <w:pPr>
        <w:snapToGrid w:val="0"/>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2、乙方应按响应文件的承诺向甲方提供相应的服务，并提供所服务内容的相关技术资料。</w:t>
      </w:r>
    </w:p>
    <w:p w14:paraId="3EE1AA0B">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3、乙方提供不符合响应文件和本合同规定的服务成果，甲方有权拒绝接受。</w:t>
      </w:r>
    </w:p>
    <w:p w14:paraId="0C8B1BCF">
      <w:pPr>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15889CD4">
      <w:pPr>
        <w:spacing w:line="520" w:lineRule="exact"/>
        <w:ind w:firstLine="480" w:firstLineChars="200"/>
        <w:rPr>
          <w:rFonts w:ascii="宋体" w:hAnsi="宋体"/>
          <w:color w:val="000000"/>
          <w:sz w:val="24"/>
          <w:highlight w:val="none"/>
        </w:rPr>
      </w:pPr>
      <w:r>
        <w:rPr>
          <w:rFonts w:hint="eastAsia" w:ascii="宋体" w:hAnsi="宋体" w:cs="宋体"/>
          <w:color w:val="000000"/>
          <w:sz w:val="24"/>
          <w:highlight w:val="none"/>
        </w:rPr>
        <w:t>5、甲乙双方应按照《</w:t>
      </w:r>
      <w:r>
        <w:rPr>
          <w:rFonts w:ascii="宋体" w:hAnsi="宋体" w:cs="宋体"/>
          <w:color w:val="000000"/>
          <w:sz w:val="24"/>
          <w:highlight w:val="none"/>
        </w:rPr>
        <w:t>广西壮族自治区政府采购项目履约验收管理办法</w:t>
      </w:r>
      <w:r>
        <w:rPr>
          <w:rFonts w:hint="eastAsia" w:ascii="宋体" w:hAnsi="宋体" w:cs="宋体"/>
          <w:color w:val="000000"/>
          <w:sz w:val="24"/>
          <w:highlight w:val="none"/>
        </w:rPr>
        <w:t>》、双方合同、响应文件验收。</w:t>
      </w:r>
    </w:p>
    <w:p w14:paraId="091FC97D">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6、甲方在初步验收或最终验收过程中如发现乙方提供的服务成果不满足响应文件及本合同规定的，可暂缓向乙方付款，直到乙方及时完善并提交相应的服务成果且经甲方验收合格后，方可办理付款。</w:t>
      </w:r>
    </w:p>
    <w:p w14:paraId="0843D9FA">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7、甲方验收时以书面形式提出异议的，乙方应自收到甲方书面异议后五个工作日内及时予以解决，否则甲方有权不出具服务验收合格单。</w:t>
      </w:r>
    </w:p>
    <w:p w14:paraId="65AC7147">
      <w:pPr>
        <w:snapToGrid w:val="0"/>
        <w:spacing w:line="52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第五条  售后服务及培训</w:t>
      </w:r>
    </w:p>
    <w:p w14:paraId="1B0DD079">
      <w:pPr>
        <w:snapToGrid w:val="0"/>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1、乙方应按照国家有关法律法规和本合同所附的《售后服务承诺》要求为甲方提供相应的售后服务。</w:t>
      </w:r>
    </w:p>
    <w:p w14:paraId="27CA1680">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2、甲方应提供必要测试条件（如场地、电源、水源等）。</w:t>
      </w:r>
    </w:p>
    <w:p w14:paraId="4628E41C">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3、乙方负责甲方有关人员的培训。培训时间、地点：。</w:t>
      </w:r>
    </w:p>
    <w:p w14:paraId="2AAA88A6">
      <w:pPr>
        <w:snapToGrid w:val="0"/>
        <w:spacing w:line="520" w:lineRule="exact"/>
        <w:ind w:firstLine="482" w:firstLineChars="200"/>
        <w:rPr>
          <w:rFonts w:ascii="宋体" w:hAnsi="宋体" w:cs="宋体"/>
          <w:color w:val="000000"/>
          <w:sz w:val="24"/>
          <w:highlight w:val="none"/>
          <w:u w:val="single"/>
        </w:rPr>
      </w:pPr>
      <w:r>
        <w:rPr>
          <w:rFonts w:hint="eastAsia" w:ascii="宋体" w:hAnsi="宋体" w:cs="宋体"/>
          <w:b/>
          <w:color w:val="000000"/>
          <w:sz w:val="24"/>
          <w:highlight w:val="none"/>
        </w:rPr>
        <w:t>第六条　付款方式</w:t>
      </w:r>
    </w:p>
    <w:p w14:paraId="0AF2AFC7">
      <w:pPr>
        <w:spacing w:line="520" w:lineRule="exact"/>
        <w:ind w:firstLine="480" w:firstLineChars="200"/>
        <w:rPr>
          <w:rFonts w:ascii="宋体" w:hAnsi="宋体"/>
          <w:color w:val="000000"/>
          <w:sz w:val="24"/>
          <w:highlight w:val="none"/>
          <w:u w:val="single"/>
        </w:rPr>
      </w:pPr>
      <w:r>
        <w:rPr>
          <w:rFonts w:hint="eastAsia" w:ascii="宋体" w:hAnsi="宋体"/>
          <w:color w:val="000000"/>
          <w:sz w:val="24"/>
          <w:highlight w:val="none"/>
        </w:rPr>
        <w:t>甲乙双方同意本合同金额的支付按以下第</w:t>
      </w:r>
      <w:r>
        <w:rPr>
          <w:rFonts w:hint="eastAsia" w:ascii="宋体" w:hAnsi="宋体"/>
          <w:color w:val="000000"/>
          <w:sz w:val="24"/>
          <w:highlight w:val="none"/>
          <w:u w:val="single"/>
        </w:rPr>
        <w:t xml:space="preserve">  2  </w:t>
      </w:r>
      <w:r>
        <w:rPr>
          <w:rFonts w:hint="eastAsia" w:ascii="宋体" w:hAnsi="宋体"/>
          <w:color w:val="000000"/>
          <w:sz w:val="24"/>
          <w:highlight w:val="none"/>
        </w:rPr>
        <w:t>项约定执行：</w:t>
      </w:r>
    </w:p>
    <w:p w14:paraId="51C1DCA3">
      <w:pPr>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1、一次性支付</w:t>
      </w:r>
    </w:p>
    <w:p w14:paraId="11C83FDF">
      <w:pPr>
        <w:snapToGrid w:val="0"/>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2、分期支付：</w:t>
      </w:r>
    </w:p>
    <w:p w14:paraId="65822629">
      <w:pPr>
        <w:snapToGrid w:val="0"/>
        <w:spacing w:line="520" w:lineRule="exact"/>
        <w:ind w:firstLine="468" w:firstLineChars="200"/>
        <w:rPr>
          <w:rFonts w:ascii="宋体" w:hAnsi="宋体"/>
          <w:color w:val="000000"/>
          <w:sz w:val="24"/>
          <w:highlight w:val="none"/>
        </w:rPr>
      </w:pPr>
      <w:r>
        <w:rPr>
          <w:rFonts w:hint="eastAsia" w:ascii="宋体" w:hAnsi="宋体" w:cs="宋体"/>
          <w:snapToGrid w:val="0"/>
          <w:color w:val="000000"/>
          <w:spacing w:val="12"/>
          <w:kern w:val="0"/>
          <w:szCs w:val="21"/>
          <w:highlight w:val="none"/>
        </w:rPr>
        <w:t>合同签订之日起15个工作日内支付预付款30%，项目验收交付后付合同总额的70%。</w:t>
      </w:r>
    </w:p>
    <w:p w14:paraId="740C8E8D">
      <w:pPr>
        <w:snapToGrid w:val="0"/>
        <w:spacing w:line="52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第七条　履约保证金</w:t>
      </w:r>
    </w:p>
    <w:p w14:paraId="23876679">
      <w:pPr>
        <w:snapToGrid w:val="0"/>
        <w:spacing w:line="52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本项目不收取履约保证金</w:t>
      </w:r>
    </w:p>
    <w:p w14:paraId="61C8C855">
      <w:pPr>
        <w:snapToGrid w:val="0"/>
        <w:spacing w:line="52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第八条  税费</w:t>
      </w:r>
    </w:p>
    <w:p w14:paraId="0B770E88">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本合同执行中相关的一切税费均由乙方负担，合同另有约定的除外。</w:t>
      </w:r>
    </w:p>
    <w:p w14:paraId="03E96F4B">
      <w:pPr>
        <w:spacing w:line="52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第九条　违约责任</w:t>
      </w:r>
    </w:p>
    <w:p w14:paraId="61A79569">
      <w:pPr>
        <w:snapToGrid w:val="0"/>
        <w:spacing w:line="520" w:lineRule="exact"/>
        <w:ind w:firstLine="480" w:firstLineChars="200"/>
        <w:rPr>
          <w:rFonts w:ascii="宋体" w:hAnsi="宋体" w:cs="宋体"/>
          <w:color w:val="000000"/>
          <w:sz w:val="24"/>
          <w:highlight w:val="none"/>
        </w:rPr>
      </w:pPr>
      <w:r>
        <w:rPr>
          <w:rFonts w:hint="eastAsia" w:ascii="宋体" w:hAnsi="宋体"/>
          <w:color w:val="000000"/>
          <w:sz w:val="24"/>
          <w:highlight w:val="none"/>
        </w:rPr>
        <w:t>1、除不可抗力原因外，乙方没有按照合同规定的时间提供服务的，甲方可要求乙方支付违约金。每推迟一天按合同金额的3‰支付违约金，该违约金累计不超过合同金额的10%。</w:t>
      </w:r>
    </w:p>
    <w:p w14:paraId="5DAD0C1E">
      <w:pPr>
        <w:snapToGrid w:val="0"/>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2、乙方提供的服务如侵犯了第三方合法权益而引发的任何纠纷或诉讼，均由乙方负责交涉并承担全部责任。</w:t>
      </w:r>
    </w:p>
    <w:p w14:paraId="5D5832E1">
      <w:pPr>
        <w:snapToGrid w:val="0"/>
        <w:spacing w:line="520" w:lineRule="exact"/>
        <w:ind w:firstLine="480" w:firstLineChars="200"/>
        <w:rPr>
          <w:rFonts w:ascii="宋体" w:hAnsi="宋体" w:cs="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、甲方延期付款的，每天向乙方偿付延期款额3‰滞纳金，但滞纳金累计不得超过延期款额5%。</w:t>
      </w:r>
    </w:p>
    <w:p w14:paraId="13E99AE9">
      <w:pPr>
        <w:spacing w:line="52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第十条  不可抗力事件处理</w:t>
      </w:r>
    </w:p>
    <w:p w14:paraId="691FCD86">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1、在合同有效期内，任何一方因不可抗力事件导致不能履行合同，则合同履行期可延长，其延长期与不可抗力影响期相同。</w:t>
      </w:r>
    </w:p>
    <w:p w14:paraId="7B2ED016">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2、不可抗力事件发生后，应立即通知对方，并寄送有关权威机构出具的证明。</w:t>
      </w:r>
    </w:p>
    <w:p w14:paraId="5B533C28">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3、不可抗力事件延续一百二十天以上，双方应通过友好协商，确定是否继续履行合同。</w:t>
      </w:r>
    </w:p>
    <w:p w14:paraId="41F77C93">
      <w:pPr>
        <w:spacing w:line="520" w:lineRule="exact"/>
        <w:ind w:firstLine="482" w:firstLineChars="200"/>
        <w:rPr>
          <w:rFonts w:ascii="宋体" w:hAnsi="宋体" w:cs="宋体"/>
          <w:color w:val="000000"/>
          <w:sz w:val="24"/>
          <w:highlight w:val="none"/>
        </w:rPr>
      </w:pPr>
      <w:r>
        <w:rPr>
          <w:rFonts w:hint="eastAsia" w:ascii="宋体" w:hAnsi="宋体" w:cs="宋体"/>
          <w:b/>
          <w:color w:val="000000"/>
          <w:sz w:val="24"/>
          <w:highlight w:val="none"/>
        </w:rPr>
        <w:t>第十一条  合同争议解决</w:t>
      </w:r>
    </w:p>
    <w:p w14:paraId="22328113">
      <w:pPr>
        <w:snapToGrid w:val="0"/>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1、因服务质量问题发生争议的，应邀请国家认可的质量检测机构进行鉴定。服务符合标准的，鉴定费由甲方承担；服务不符合标准的，鉴定费由乙方承担。</w:t>
      </w:r>
    </w:p>
    <w:p w14:paraId="651601B9">
      <w:pPr>
        <w:snapToGrid w:val="0"/>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2、因履行本合同引起的或与本合同有关的争议，甲乙双方应首先通过友好协商解决，如果协商不能解决，可向甲方所在地有管辖权人民法院提起诉讼。</w:t>
      </w:r>
    </w:p>
    <w:p w14:paraId="50621794">
      <w:pPr>
        <w:snapToGrid w:val="0"/>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3、诉讼期间，本合同继续履行。</w:t>
      </w:r>
    </w:p>
    <w:p w14:paraId="1DE2D8F9">
      <w:pPr>
        <w:spacing w:line="52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第十二条  合同生效及其它</w:t>
      </w:r>
    </w:p>
    <w:p w14:paraId="6ABE6225">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1、合同经双方法定代表人（负责人）或授权代表签字并加盖单位公章后生效（委托代理人签字的需后附法定代表人（负责人）授权委托书，格式自拟）。</w:t>
      </w:r>
    </w:p>
    <w:p w14:paraId="1863F88F">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2、合同执行中涉及采购资金和采购内容修改或补充的，须经财政部门审批，并签书面补充协议报财政部门备案，方可作为主合同不可分割的一部分。</w:t>
      </w:r>
    </w:p>
    <w:p w14:paraId="50583569">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3、本合同未尽事宜，遵照《民法典》有关条文执行。</w:t>
      </w:r>
    </w:p>
    <w:p w14:paraId="12F9E4DF">
      <w:pPr>
        <w:spacing w:line="52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第十三条　合同的变更、终止与转让</w:t>
      </w:r>
    </w:p>
    <w:p w14:paraId="77FC2CB8">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1、除《中华人民共和国政府采购法》第五十条规定的情形外，本合同一经签订，甲乙双方不得擅自变更、中止或终止。</w:t>
      </w:r>
    </w:p>
    <w:p w14:paraId="1C24704D">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2、乙方不得擅自转让其应履行的合同义务。</w:t>
      </w:r>
    </w:p>
    <w:p w14:paraId="7FA3A817">
      <w:pPr>
        <w:spacing w:line="52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第十四条　签订本合同依据</w:t>
      </w:r>
    </w:p>
    <w:p w14:paraId="2F8446F1">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olor w:val="000000"/>
          <w:sz w:val="24"/>
          <w:highlight w:val="none"/>
        </w:rPr>
        <w:t>成交通知书</w:t>
      </w:r>
      <w:r>
        <w:rPr>
          <w:rFonts w:hint="eastAsia" w:ascii="宋体" w:hAnsi="宋体" w:cs="宋体"/>
          <w:color w:val="000000"/>
          <w:sz w:val="24"/>
          <w:highlight w:val="none"/>
        </w:rPr>
        <w:t>；</w:t>
      </w:r>
    </w:p>
    <w:p w14:paraId="51A5380E">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2、竞标报价表；</w:t>
      </w:r>
    </w:p>
    <w:p w14:paraId="5A71CCF4">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3、商务条款偏离表和技术需求偏离表；</w:t>
      </w:r>
    </w:p>
    <w:p w14:paraId="05F1279D">
      <w:pPr>
        <w:spacing w:line="520" w:lineRule="exact"/>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、售后服务承诺；</w:t>
      </w:r>
    </w:p>
    <w:p w14:paraId="3C39927D">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5、响应文件中的其他相关文件。</w:t>
      </w:r>
    </w:p>
    <w:p w14:paraId="2BAB6A54">
      <w:pPr>
        <w:spacing w:line="520" w:lineRule="exact"/>
        <w:ind w:firstLine="480" w:firstLineChars="200"/>
        <w:rPr>
          <w:rFonts w:ascii="宋体" w:hAnsi="宋体" w:cs="宋体"/>
          <w:color w:val="000000"/>
          <w:sz w:val="24"/>
          <w:highlight w:val="none"/>
        </w:rPr>
      </w:pPr>
      <w:r>
        <w:rPr>
          <w:rFonts w:ascii="宋体" w:hAnsi="宋体" w:cs="宋体"/>
          <w:color w:val="000000"/>
          <w:sz w:val="24"/>
          <w:highlight w:val="none"/>
        </w:rPr>
        <w:t>6</w:t>
      </w:r>
      <w:r>
        <w:rPr>
          <w:rFonts w:hint="eastAsia" w:ascii="宋体" w:hAnsi="宋体" w:cs="宋体"/>
          <w:color w:val="000000"/>
          <w:sz w:val="24"/>
          <w:highlight w:val="none"/>
        </w:rPr>
        <w:t>、上述合同文件互相补充和解释。如果合同文件之间存在矛盾或不一致之处，以上述文件的排列顺序在先者为准。</w:t>
      </w:r>
    </w:p>
    <w:p w14:paraId="1F888243">
      <w:pPr>
        <w:spacing w:line="520" w:lineRule="exact"/>
        <w:ind w:firstLine="482" w:firstLineChars="200"/>
        <w:rPr>
          <w:rFonts w:ascii="宋体" w:hAnsi="宋体" w:cs="宋体"/>
          <w:color w:val="000000"/>
          <w:sz w:val="24"/>
          <w:highlight w:val="none"/>
        </w:rPr>
      </w:pPr>
      <w:r>
        <w:rPr>
          <w:rFonts w:hint="eastAsia" w:ascii="宋体" w:hAnsi="宋体" w:cs="宋体"/>
          <w:b/>
          <w:color w:val="000000"/>
          <w:sz w:val="24"/>
          <w:highlight w:val="none"/>
        </w:rPr>
        <w:t>第十五条　</w:t>
      </w:r>
      <w:r>
        <w:rPr>
          <w:rFonts w:hint="eastAsia" w:ascii="宋体" w:hAnsi="宋体" w:cs="宋体"/>
          <w:color w:val="000000"/>
          <w:sz w:val="24"/>
          <w:highlight w:val="none"/>
        </w:rPr>
        <w:t>本合同一式四份，具有同等法律效力，财政部门（政府采购监管部门）、采购代理机构各一份，甲乙双方各一份（可根据需要另增加）。</w:t>
      </w:r>
    </w:p>
    <w:p w14:paraId="41421610">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本合同甲乙双方签字盖章后生效，自签订之日起七个工作日内，采购人或采购代理机构应当将合同副本报同级财政部门备案。</w:t>
      </w:r>
    </w:p>
    <w:p w14:paraId="05106BBF">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本合同自签订之日起2个工作日内，甲方或采购代理机构应当将采购合同在广西壮族自治区财政厅指定的媒体上公告。</w:t>
      </w:r>
    </w:p>
    <w:tbl>
      <w:tblPr>
        <w:tblStyle w:val="22"/>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4DEC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19AF1802">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甲方：（章）</w:t>
            </w:r>
          </w:p>
          <w:p w14:paraId="573C6700">
            <w:pPr>
              <w:snapToGrid w:val="0"/>
              <w:spacing w:line="520" w:lineRule="exact"/>
              <w:rPr>
                <w:rFonts w:ascii="宋体" w:hAnsi="宋体" w:cs="宋体"/>
                <w:color w:val="000000"/>
                <w:sz w:val="24"/>
                <w:highlight w:val="none"/>
              </w:rPr>
            </w:pPr>
          </w:p>
          <w:p w14:paraId="30602323">
            <w:pPr>
              <w:snapToGrid w:val="0"/>
              <w:spacing w:line="520" w:lineRule="exact"/>
              <w:rPr>
                <w:rFonts w:ascii="宋体" w:hAnsi="宋体" w:cs="宋体"/>
                <w:color w:val="000000"/>
                <w:sz w:val="24"/>
                <w:highlight w:val="none"/>
              </w:rPr>
            </w:pPr>
          </w:p>
          <w:p w14:paraId="1AAD47CC">
            <w:pPr>
              <w:snapToGrid w:val="0"/>
              <w:spacing w:line="520" w:lineRule="exact"/>
              <w:ind w:firstLine="1080" w:firstLineChars="450"/>
              <w:jc w:val="right"/>
              <w:rPr>
                <w:rFonts w:ascii="宋体" w:hAnsi="宋体" w:cs="宋体"/>
                <w:color w:val="000000"/>
                <w:sz w:val="24"/>
                <w:highlight w:val="none"/>
              </w:rPr>
            </w:pPr>
          </w:p>
          <w:p w14:paraId="404561F8">
            <w:pPr>
              <w:snapToGrid w:val="0"/>
              <w:spacing w:line="520" w:lineRule="exact"/>
              <w:ind w:firstLine="1080" w:firstLineChars="450"/>
              <w:jc w:val="right"/>
              <w:rPr>
                <w:rFonts w:ascii="宋体" w:hAnsi="宋体" w:cs="宋体"/>
                <w:color w:val="000000"/>
                <w:sz w:val="24"/>
                <w:highlight w:val="none"/>
              </w:rPr>
            </w:pPr>
            <w:r>
              <w:rPr>
                <w:rFonts w:hint="eastAsia" w:ascii="宋体" w:hAnsi="宋体" w:cs="宋体"/>
                <w:color w:val="000000"/>
                <w:sz w:val="24"/>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5B993C49">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 xml:space="preserve">乙方：（章）       </w:t>
            </w:r>
          </w:p>
          <w:p w14:paraId="414ECFB4">
            <w:pPr>
              <w:snapToGrid w:val="0"/>
              <w:spacing w:line="520" w:lineRule="exact"/>
              <w:rPr>
                <w:rFonts w:ascii="宋体" w:hAnsi="宋体" w:cs="宋体"/>
                <w:color w:val="000000"/>
                <w:sz w:val="24"/>
                <w:highlight w:val="none"/>
              </w:rPr>
            </w:pPr>
          </w:p>
          <w:p w14:paraId="19231785">
            <w:pPr>
              <w:snapToGrid w:val="0"/>
              <w:spacing w:line="520" w:lineRule="exact"/>
              <w:rPr>
                <w:rFonts w:ascii="宋体" w:hAnsi="宋体" w:cs="宋体"/>
                <w:color w:val="000000"/>
                <w:sz w:val="24"/>
                <w:highlight w:val="none"/>
              </w:rPr>
            </w:pPr>
          </w:p>
          <w:p w14:paraId="7639E589">
            <w:pPr>
              <w:snapToGrid w:val="0"/>
              <w:spacing w:line="520" w:lineRule="exact"/>
              <w:jc w:val="right"/>
              <w:rPr>
                <w:rFonts w:ascii="宋体" w:hAnsi="宋体" w:cs="宋体"/>
                <w:color w:val="000000"/>
                <w:sz w:val="24"/>
                <w:highlight w:val="none"/>
              </w:rPr>
            </w:pPr>
          </w:p>
          <w:p w14:paraId="4201E4A5">
            <w:pPr>
              <w:snapToGrid w:val="0"/>
              <w:spacing w:line="520" w:lineRule="exact"/>
              <w:jc w:val="right"/>
              <w:rPr>
                <w:rFonts w:ascii="宋体" w:hAnsi="宋体" w:cs="宋体"/>
                <w:color w:val="000000"/>
                <w:sz w:val="24"/>
                <w:highlight w:val="none"/>
              </w:rPr>
            </w:pPr>
            <w:r>
              <w:rPr>
                <w:rFonts w:hint="eastAsia" w:ascii="宋体" w:hAnsi="宋体" w:cs="宋体"/>
                <w:color w:val="000000"/>
                <w:sz w:val="24"/>
                <w:highlight w:val="none"/>
              </w:rPr>
              <w:t xml:space="preserve"> 年   月   日</w:t>
            </w:r>
          </w:p>
        </w:tc>
      </w:tr>
      <w:tr w14:paraId="7BE2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9B26A21">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78A5F50F">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 xml:space="preserve">单位地址： </w:t>
            </w:r>
          </w:p>
        </w:tc>
      </w:tr>
      <w:tr w14:paraId="1D64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6723DB1">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法定代表人（负责人）：</w:t>
            </w:r>
          </w:p>
        </w:tc>
        <w:tc>
          <w:tcPr>
            <w:tcW w:w="4583" w:type="dxa"/>
            <w:tcBorders>
              <w:top w:val="single" w:color="auto" w:sz="4" w:space="0"/>
              <w:left w:val="single" w:color="auto" w:sz="4" w:space="0"/>
              <w:bottom w:val="single" w:color="auto" w:sz="4" w:space="0"/>
              <w:right w:val="single" w:color="auto" w:sz="4" w:space="0"/>
            </w:tcBorders>
            <w:vAlign w:val="center"/>
          </w:tcPr>
          <w:p w14:paraId="6B9B3806">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法定代表人（负责人）：</w:t>
            </w:r>
          </w:p>
        </w:tc>
      </w:tr>
      <w:tr w14:paraId="2609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EBE1B02">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49FEDDE5">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委托代理人：</w:t>
            </w:r>
          </w:p>
        </w:tc>
      </w:tr>
      <w:tr w14:paraId="0317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51A86A9">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3AA65288">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电话：</w:t>
            </w:r>
          </w:p>
        </w:tc>
      </w:tr>
      <w:tr w14:paraId="2862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CED4AD7">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4C706434">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 xml:space="preserve">开户银行： </w:t>
            </w:r>
          </w:p>
        </w:tc>
      </w:tr>
      <w:tr w14:paraId="7BBE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4D2A65A">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3C591CBF">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账号：</w:t>
            </w:r>
          </w:p>
        </w:tc>
      </w:tr>
      <w:tr w14:paraId="03A6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F8F1AC1">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2BDCEAC9">
            <w:pPr>
              <w:snapToGrid w:val="0"/>
              <w:spacing w:line="520" w:lineRule="exact"/>
              <w:rPr>
                <w:rFonts w:ascii="宋体" w:hAnsi="宋体" w:cs="宋体"/>
                <w:color w:val="000000"/>
                <w:sz w:val="24"/>
                <w:highlight w:val="none"/>
              </w:rPr>
            </w:pPr>
            <w:r>
              <w:rPr>
                <w:rFonts w:hint="eastAsia" w:ascii="宋体" w:hAnsi="宋体" w:cs="宋体"/>
                <w:color w:val="000000"/>
                <w:sz w:val="24"/>
                <w:highlight w:val="none"/>
              </w:rPr>
              <w:t>邮政编码：</w:t>
            </w:r>
          </w:p>
        </w:tc>
      </w:tr>
    </w:tbl>
    <w:p w14:paraId="502EA2B1">
      <w:pPr>
        <w:snapToGrid w:val="0"/>
        <w:rPr>
          <w:rFonts w:ascii="宋体" w:hAnsi="宋体" w:cs="Courier New"/>
          <w:b/>
          <w:color w:val="000000"/>
          <w:sz w:val="32"/>
          <w:szCs w:val="32"/>
          <w:highlight w:val="none"/>
        </w:rPr>
      </w:pPr>
    </w:p>
    <w:p w14:paraId="30156F6E">
      <w:pPr>
        <w:spacing w:line="360" w:lineRule="auto"/>
        <w:ind w:firstLine="120" w:firstLineChars="200"/>
        <w:rPr>
          <w:rFonts w:ascii="宋体" w:hAnsi="宋体" w:cs="宋体"/>
          <w:color w:val="000000"/>
          <w:sz w:val="6"/>
          <w:szCs w:val="6"/>
          <w:highlight w:val="none"/>
        </w:rPr>
      </w:pPr>
    </w:p>
    <w:p w14:paraId="0947CAC1">
      <w:pPr>
        <w:spacing w:line="400" w:lineRule="exact"/>
        <w:ind w:right="800"/>
        <w:rPr>
          <w:color w:val="000000"/>
          <w:highlight w:val="none"/>
        </w:rPr>
      </w:pPr>
    </w:p>
    <w:p w14:paraId="5D6D02E5">
      <w:pPr>
        <w:rPr>
          <w:highlight w:val="none"/>
        </w:rPr>
      </w:pPr>
    </w:p>
    <w:sectPr>
      <w:footerReference r:id="rId8" w:type="firs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F6306">
    <w:pPr>
      <w:pStyle w:val="16"/>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51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7E889D1">
                          <w:pPr>
                            <w:pStyle w:val="16"/>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upright="1">
                      <a:spAutoFit/>
                    </wps:bodyPr>
                  </wps:wsp>
                </a:graphicData>
              </a:graphic>
            </wp:anchor>
          </w:drawing>
        </mc:Choice>
        <mc:Fallback>
          <w:pict>
            <v:shape id="文本框 51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BT8/V0SAgAAEgQAAA4AAAAAAAAAAQAg&#10;AAAAHwEAAGRycy9lMm9Eb2MueG1sUEsFBgAAAAAGAAYAWQEAAKMFAAAAAA==&#10;">
              <v:fill on="f" focussize="0,0"/>
              <v:stroke on="f"/>
              <v:imagedata o:title=""/>
              <o:lock v:ext="edit" aspectratio="f"/>
              <v:textbox inset="0mm,0mm,0mm,0mm" style="mso-fit-shape-to-text:t;">
                <w:txbxContent>
                  <w:p w14:paraId="57E889D1">
                    <w:pPr>
                      <w:pStyle w:val="16"/>
                    </w:pPr>
                    <w:r>
                      <w:fldChar w:fldCharType="begin"/>
                    </w:r>
                    <w:r>
                      <w:instrText xml:space="preserve"> PAGE  \* MERGEFORMAT </w:instrText>
                    </w:r>
                    <w:r>
                      <w:fldChar w:fldCharType="separate"/>
                    </w:r>
                    <w:r>
                      <w:t>45</w:t>
                    </w:r>
                    <w:r>
                      <w:fldChar w:fldCharType="end"/>
                    </w:r>
                  </w:p>
                </w:txbxContent>
              </v:textbox>
            </v:shape>
          </w:pict>
        </mc:Fallback>
      </mc:AlternateContent>
    </w:r>
  </w:p>
  <w:p w14:paraId="3D13AC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6736">
    <w:pPr>
      <w:pStyle w:val="16"/>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52615717"/>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FT5rQAAAAAwEAAA8AAAAAAAAAAQAgAAAAIgAA&#10;AGRycy9kb3ducmV2LnhtbFBLAQIUABQAAAAIAIdO4kDgjSxSEAIAABMEAAAOAAAAAAAAAAEAIAAA&#10;AB8BAABkcnMvZTJvRG9jLnhtbFBLBQYAAAAABgAGAFkBAAChBQAAAAA=&#10;">
              <v:fill on="f" focussize="0,0"/>
              <v:stroke on="f"/>
              <v:imagedata o:title=""/>
              <o:lock v:ext="edit" aspectratio="f"/>
              <v:textbox inset="0mm,0mm,0mm,0mm" style="mso-fit-shape-to-text:t;">
                <w:txbxContent>
                  <w:p w14:paraId="5261571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9296">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512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002DF9B9">
                          <w:pPr>
                            <w:pStyle w:val="16"/>
                            <w:jc w:val="center"/>
                          </w:pPr>
                          <w:r>
                            <w:fldChar w:fldCharType="begin"/>
                          </w:r>
                          <w:r>
                            <w:instrText xml:space="preserve"> PAGE  \* MERGEFORMAT </w:instrText>
                          </w:r>
                          <w:r>
                            <w:fldChar w:fldCharType="separate"/>
                          </w:r>
                          <w:r>
                            <w:t>73</w:t>
                          </w:r>
                          <w:r>
                            <w:fldChar w:fldCharType="end"/>
                          </w:r>
                        </w:p>
                      </w:txbxContent>
                    </wps:txbx>
                    <wps:bodyPr rot="0" vert="horz" wrap="none" lIns="0" tIns="0" rIns="0" bIns="0" anchor="t" anchorCtr="0" upright="1">
                      <a:spAutoFit/>
                    </wps:bodyPr>
                  </wps:wsp>
                </a:graphicData>
              </a:graphic>
            </wp:anchor>
          </w:drawing>
        </mc:Choice>
        <mc:Fallback>
          <w:pict>
            <v:shape id="文本框 512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77+fHhECAAATBAAADgAAAAAAAAABACAA&#10;AAAfAQAAZHJzL2Uyb0RvYy54bWxQSwUGAAAAAAYABgBZAQAAogUAAAAA&#10;">
              <v:fill on="f" focussize="0,0"/>
              <v:stroke on="f"/>
              <v:imagedata o:title=""/>
              <o:lock v:ext="edit" aspectratio="f"/>
              <v:textbox inset="0mm,0mm,0mm,0mm" style="mso-fit-shape-to-text:t;">
                <w:txbxContent>
                  <w:p w14:paraId="002DF9B9">
                    <w:pPr>
                      <w:pStyle w:val="16"/>
                      <w:jc w:val="center"/>
                    </w:pPr>
                    <w:r>
                      <w:fldChar w:fldCharType="begin"/>
                    </w:r>
                    <w:r>
                      <w:instrText xml:space="preserve"> PAGE  \* MERGEFORMAT </w:instrText>
                    </w:r>
                    <w:r>
                      <w:fldChar w:fldCharType="separate"/>
                    </w:r>
                    <w:r>
                      <w:t>73</w:t>
                    </w:r>
                    <w:r>
                      <w:fldChar w:fldCharType="end"/>
                    </w:r>
                  </w:p>
                </w:txbxContent>
              </v:textbox>
            </v:shape>
          </w:pict>
        </mc:Fallback>
      </mc:AlternateContent>
    </w:r>
  </w:p>
  <w:p w14:paraId="778D4487">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75349">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A337DF6">
                          <w:pPr>
                            <w:pStyle w:val="16"/>
                          </w:pPr>
                          <w:r>
                            <w:fldChar w:fldCharType="begin"/>
                          </w:r>
                          <w:r>
                            <w:instrText xml:space="preserve"> PAGE  \* MERGEFORMAT </w:instrText>
                          </w:r>
                          <w:r>
                            <w:fldChar w:fldCharType="separate"/>
                          </w:r>
                          <w:r>
                            <w:t>84</w:t>
                          </w:r>
                          <w:r>
                            <w:fldChar w:fldCharType="end"/>
                          </w:r>
                        </w:p>
                      </w:txbxContent>
                    </wps:txbx>
                    <wps:bodyPr rot="0" vert="horz" wrap="none" lIns="0" tIns="0" rIns="0" bIns="0" anchor="t" anchorCtr="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PH6EkwKAgAAFQQAAA4AAAAAAAAAAQAgAAAAHgEAAGRy&#10;cy9lMm9Eb2MueG1sUEsFBgAAAAAGAAYAWQEAAJoFAAAAAA==&#10;">
              <v:fill on="f" focussize="0,0"/>
              <v:stroke on="f"/>
              <v:imagedata o:title=""/>
              <o:lock v:ext="edit" aspectratio="f"/>
              <v:textbox inset="0mm,0mm,0mm,0mm" style="mso-fit-shape-to-text:t;">
                <w:txbxContent>
                  <w:p w14:paraId="1A337DF6">
                    <w:pPr>
                      <w:pStyle w:val="1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828F">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AB1A">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F29"/>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082"/>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3FDC"/>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1EBE"/>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5478"/>
    <w:rsid w:val="000B6A6B"/>
    <w:rsid w:val="000B6C95"/>
    <w:rsid w:val="000B79FC"/>
    <w:rsid w:val="000C1679"/>
    <w:rsid w:val="000C1EE3"/>
    <w:rsid w:val="000C3AE7"/>
    <w:rsid w:val="000C3CC9"/>
    <w:rsid w:val="000C59C6"/>
    <w:rsid w:val="000C6DE4"/>
    <w:rsid w:val="000C7202"/>
    <w:rsid w:val="000D0096"/>
    <w:rsid w:val="000D0A89"/>
    <w:rsid w:val="000D1389"/>
    <w:rsid w:val="000D1798"/>
    <w:rsid w:val="000D2626"/>
    <w:rsid w:val="000D4016"/>
    <w:rsid w:val="000D411D"/>
    <w:rsid w:val="000D4589"/>
    <w:rsid w:val="000D4809"/>
    <w:rsid w:val="000D4C68"/>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4C24"/>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77E"/>
    <w:rsid w:val="00153BB5"/>
    <w:rsid w:val="00154518"/>
    <w:rsid w:val="00156359"/>
    <w:rsid w:val="00156DD6"/>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4EBA"/>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1AB"/>
    <w:rsid w:val="001D0CFB"/>
    <w:rsid w:val="001D1A0D"/>
    <w:rsid w:val="001D343C"/>
    <w:rsid w:val="001D4405"/>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065D8"/>
    <w:rsid w:val="002114C7"/>
    <w:rsid w:val="00211AEB"/>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875"/>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3FC3"/>
    <w:rsid w:val="002654E7"/>
    <w:rsid w:val="00265A12"/>
    <w:rsid w:val="00266165"/>
    <w:rsid w:val="00266F2C"/>
    <w:rsid w:val="0027125E"/>
    <w:rsid w:val="00271767"/>
    <w:rsid w:val="002721BB"/>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25A"/>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395"/>
    <w:rsid w:val="002B4532"/>
    <w:rsid w:val="002B4AF3"/>
    <w:rsid w:val="002B4DD9"/>
    <w:rsid w:val="002B5042"/>
    <w:rsid w:val="002B52C0"/>
    <w:rsid w:val="002B69CC"/>
    <w:rsid w:val="002B6D71"/>
    <w:rsid w:val="002C03AE"/>
    <w:rsid w:val="002C0C1C"/>
    <w:rsid w:val="002C41BF"/>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2C2A"/>
    <w:rsid w:val="002E30A5"/>
    <w:rsid w:val="002E47E4"/>
    <w:rsid w:val="002E4BF9"/>
    <w:rsid w:val="002E4D61"/>
    <w:rsid w:val="002E68A7"/>
    <w:rsid w:val="002E6E6C"/>
    <w:rsid w:val="002F016E"/>
    <w:rsid w:val="002F0522"/>
    <w:rsid w:val="002F16DD"/>
    <w:rsid w:val="002F199D"/>
    <w:rsid w:val="002F213C"/>
    <w:rsid w:val="002F2453"/>
    <w:rsid w:val="002F2BF5"/>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16C"/>
    <w:rsid w:val="0030622D"/>
    <w:rsid w:val="00306811"/>
    <w:rsid w:val="00306F32"/>
    <w:rsid w:val="003074C5"/>
    <w:rsid w:val="00307A3C"/>
    <w:rsid w:val="00307FA4"/>
    <w:rsid w:val="00310290"/>
    <w:rsid w:val="00310CC1"/>
    <w:rsid w:val="00312504"/>
    <w:rsid w:val="00312B89"/>
    <w:rsid w:val="00313026"/>
    <w:rsid w:val="00313913"/>
    <w:rsid w:val="0031421F"/>
    <w:rsid w:val="003144E3"/>
    <w:rsid w:val="00314B31"/>
    <w:rsid w:val="00315A65"/>
    <w:rsid w:val="003165D7"/>
    <w:rsid w:val="0031666B"/>
    <w:rsid w:val="00316ABE"/>
    <w:rsid w:val="00317BA7"/>
    <w:rsid w:val="00320BE2"/>
    <w:rsid w:val="00321886"/>
    <w:rsid w:val="00321EDC"/>
    <w:rsid w:val="00323694"/>
    <w:rsid w:val="00323BE7"/>
    <w:rsid w:val="0032406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9A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94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638B"/>
    <w:rsid w:val="003A7092"/>
    <w:rsid w:val="003A72A1"/>
    <w:rsid w:val="003A7611"/>
    <w:rsid w:val="003A7D1F"/>
    <w:rsid w:val="003B0B6A"/>
    <w:rsid w:val="003B22F7"/>
    <w:rsid w:val="003B29CF"/>
    <w:rsid w:val="003B3A90"/>
    <w:rsid w:val="003B3D01"/>
    <w:rsid w:val="003B534F"/>
    <w:rsid w:val="003B7A79"/>
    <w:rsid w:val="003C0FE1"/>
    <w:rsid w:val="003C151A"/>
    <w:rsid w:val="003C350C"/>
    <w:rsid w:val="003C3733"/>
    <w:rsid w:val="003C3903"/>
    <w:rsid w:val="003C39F7"/>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1B2C"/>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3F7B68"/>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6CE6"/>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7B6"/>
    <w:rsid w:val="00444157"/>
    <w:rsid w:val="0044417C"/>
    <w:rsid w:val="00444DB3"/>
    <w:rsid w:val="00445617"/>
    <w:rsid w:val="00445A2F"/>
    <w:rsid w:val="00445E2D"/>
    <w:rsid w:val="0044684E"/>
    <w:rsid w:val="004469C1"/>
    <w:rsid w:val="00446F22"/>
    <w:rsid w:val="0045019F"/>
    <w:rsid w:val="004503A4"/>
    <w:rsid w:val="00450555"/>
    <w:rsid w:val="004506FA"/>
    <w:rsid w:val="00450DC6"/>
    <w:rsid w:val="004516A5"/>
    <w:rsid w:val="00451E9C"/>
    <w:rsid w:val="0045280F"/>
    <w:rsid w:val="00452BDA"/>
    <w:rsid w:val="004535AE"/>
    <w:rsid w:val="0045444D"/>
    <w:rsid w:val="0045463A"/>
    <w:rsid w:val="00454AC9"/>
    <w:rsid w:val="00455050"/>
    <w:rsid w:val="004554A3"/>
    <w:rsid w:val="00455A6E"/>
    <w:rsid w:val="00455EAD"/>
    <w:rsid w:val="004578EB"/>
    <w:rsid w:val="004604D5"/>
    <w:rsid w:val="00460697"/>
    <w:rsid w:val="0046117B"/>
    <w:rsid w:val="004619D1"/>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62E0"/>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098"/>
    <w:rsid w:val="0052570E"/>
    <w:rsid w:val="005260CD"/>
    <w:rsid w:val="00526265"/>
    <w:rsid w:val="0052655D"/>
    <w:rsid w:val="005265E0"/>
    <w:rsid w:val="00526BC3"/>
    <w:rsid w:val="00526D62"/>
    <w:rsid w:val="00530064"/>
    <w:rsid w:val="00531761"/>
    <w:rsid w:val="0053248F"/>
    <w:rsid w:val="005327AB"/>
    <w:rsid w:val="0053332A"/>
    <w:rsid w:val="0053358A"/>
    <w:rsid w:val="00534668"/>
    <w:rsid w:val="00534A6E"/>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BD2"/>
    <w:rsid w:val="00576D06"/>
    <w:rsid w:val="005779E4"/>
    <w:rsid w:val="00580EC7"/>
    <w:rsid w:val="00581A8D"/>
    <w:rsid w:val="0058289C"/>
    <w:rsid w:val="005836C7"/>
    <w:rsid w:val="0058408E"/>
    <w:rsid w:val="005844C3"/>
    <w:rsid w:val="00585374"/>
    <w:rsid w:val="005854CA"/>
    <w:rsid w:val="00585FAB"/>
    <w:rsid w:val="00590B77"/>
    <w:rsid w:val="00590D9A"/>
    <w:rsid w:val="00590FD3"/>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B7D9E"/>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20"/>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9B"/>
    <w:rsid w:val="006A4FEE"/>
    <w:rsid w:val="006A5549"/>
    <w:rsid w:val="006A6115"/>
    <w:rsid w:val="006A703E"/>
    <w:rsid w:val="006A7BE3"/>
    <w:rsid w:val="006A7D32"/>
    <w:rsid w:val="006B01D1"/>
    <w:rsid w:val="006B0DF4"/>
    <w:rsid w:val="006B16EA"/>
    <w:rsid w:val="006B1780"/>
    <w:rsid w:val="006B21DC"/>
    <w:rsid w:val="006B224E"/>
    <w:rsid w:val="006B376E"/>
    <w:rsid w:val="006B43DE"/>
    <w:rsid w:val="006B4589"/>
    <w:rsid w:val="006B4F02"/>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43D"/>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3A1F"/>
    <w:rsid w:val="007441FB"/>
    <w:rsid w:val="00744517"/>
    <w:rsid w:val="0074522A"/>
    <w:rsid w:val="00747295"/>
    <w:rsid w:val="00747829"/>
    <w:rsid w:val="0074789C"/>
    <w:rsid w:val="00747DE2"/>
    <w:rsid w:val="007502D0"/>
    <w:rsid w:val="007504BF"/>
    <w:rsid w:val="007506CD"/>
    <w:rsid w:val="007515DC"/>
    <w:rsid w:val="0075267F"/>
    <w:rsid w:val="007526EC"/>
    <w:rsid w:val="00753C48"/>
    <w:rsid w:val="00754250"/>
    <w:rsid w:val="0075478B"/>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646B"/>
    <w:rsid w:val="007F762D"/>
    <w:rsid w:val="007F78F0"/>
    <w:rsid w:val="007F78FF"/>
    <w:rsid w:val="008001C5"/>
    <w:rsid w:val="00800F6C"/>
    <w:rsid w:val="00801065"/>
    <w:rsid w:val="0080196D"/>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6FE"/>
    <w:rsid w:val="008448F1"/>
    <w:rsid w:val="0084519E"/>
    <w:rsid w:val="00845B64"/>
    <w:rsid w:val="00845CAE"/>
    <w:rsid w:val="008462C5"/>
    <w:rsid w:val="008462FA"/>
    <w:rsid w:val="00846370"/>
    <w:rsid w:val="00846873"/>
    <w:rsid w:val="008477E7"/>
    <w:rsid w:val="00847C2B"/>
    <w:rsid w:val="00850272"/>
    <w:rsid w:val="008506B9"/>
    <w:rsid w:val="0085086F"/>
    <w:rsid w:val="00850C24"/>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16BA"/>
    <w:rsid w:val="00891795"/>
    <w:rsid w:val="0089217C"/>
    <w:rsid w:val="00892790"/>
    <w:rsid w:val="00893671"/>
    <w:rsid w:val="00895838"/>
    <w:rsid w:val="00895A1E"/>
    <w:rsid w:val="00895A72"/>
    <w:rsid w:val="00895CDF"/>
    <w:rsid w:val="00896679"/>
    <w:rsid w:val="008967E3"/>
    <w:rsid w:val="00896D8C"/>
    <w:rsid w:val="008A0FC9"/>
    <w:rsid w:val="008A1956"/>
    <w:rsid w:val="008A1A7C"/>
    <w:rsid w:val="008A2CE2"/>
    <w:rsid w:val="008A40D3"/>
    <w:rsid w:val="008A4121"/>
    <w:rsid w:val="008A469C"/>
    <w:rsid w:val="008A4C68"/>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6F2"/>
    <w:rsid w:val="008E28E6"/>
    <w:rsid w:val="008E3232"/>
    <w:rsid w:val="008E3674"/>
    <w:rsid w:val="008E3B6C"/>
    <w:rsid w:val="008E3DE7"/>
    <w:rsid w:val="008E5227"/>
    <w:rsid w:val="008E562C"/>
    <w:rsid w:val="008E6540"/>
    <w:rsid w:val="008E6FBE"/>
    <w:rsid w:val="008E77D4"/>
    <w:rsid w:val="008E7ADD"/>
    <w:rsid w:val="008E7E95"/>
    <w:rsid w:val="008F091F"/>
    <w:rsid w:val="008F17B2"/>
    <w:rsid w:val="008F22B3"/>
    <w:rsid w:val="008F357B"/>
    <w:rsid w:val="008F44CA"/>
    <w:rsid w:val="008F49D3"/>
    <w:rsid w:val="008F6519"/>
    <w:rsid w:val="008F7012"/>
    <w:rsid w:val="008F7ADA"/>
    <w:rsid w:val="008F7B17"/>
    <w:rsid w:val="00900042"/>
    <w:rsid w:val="0090032C"/>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0D90"/>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04F"/>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0E5E"/>
    <w:rsid w:val="009B1584"/>
    <w:rsid w:val="009B18F0"/>
    <w:rsid w:val="009B1F4C"/>
    <w:rsid w:val="009B2471"/>
    <w:rsid w:val="009B314F"/>
    <w:rsid w:val="009B439C"/>
    <w:rsid w:val="009B4541"/>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03C"/>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565"/>
    <w:rsid w:val="00A30ABC"/>
    <w:rsid w:val="00A33B74"/>
    <w:rsid w:val="00A3467F"/>
    <w:rsid w:val="00A34B4C"/>
    <w:rsid w:val="00A35030"/>
    <w:rsid w:val="00A3551A"/>
    <w:rsid w:val="00A366A0"/>
    <w:rsid w:val="00A37209"/>
    <w:rsid w:val="00A37584"/>
    <w:rsid w:val="00A376E8"/>
    <w:rsid w:val="00A37F8E"/>
    <w:rsid w:val="00A41537"/>
    <w:rsid w:val="00A41737"/>
    <w:rsid w:val="00A41DA4"/>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6D4D"/>
    <w:rsid w:val="00A575B8"/>
    <w:rsid w:val="00A619BB"/>
    <w:rsid w:val="00A61C60"/>
    <w:rsid w:val="00A61ECB"/>
    <w:rsid w:val="00A6410C"/>
    <w:rsid w:val="00A647B1"/>
    <w:rsid w:val="00A64DEF"/>
    <w:rsid w:val="00A654D2"/>
    <w:rsid w:val="00A665DF"/>
    <w:rsid w:val="00A67FCC"/>
    <w:rsid w:val="00A705F5"/>
    <w:rsid w:val="00A70AA5"/>
    <w:rsid w:val="00A70C03"/>
    <w:rsid w:val="00A71256"/>
    <w:rsid w:val="00A7217B"/>
    <w:rsid w:val="00A722D7"/>
    <w:rsid w:val="00A723A3"/>
    <w:rsid w:val="00A7263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181E"/>
    <w:rsid w:val="00A9246D"/>
    <w:rsid w:val="00A92CCA"/>
    <w:rsid w:val="00A93BD0"/>
    <w:rsid w:val="00A93CC2"/>
    <w:rsid w:val="00A94D4B"/>
    <w:rsid w:val="00A974CC"/>
    <w:rsid w:val="00A97889"/>
    <w:rsid w:val="00AA05FB"/>
    <w:rsid w:val="00AA2001"/>
    <w:rsid w:val="00AA2B5C"/>
    <w:rsid w:val="00AA32D2"/>
    <w:rsid w:val="00AA3B8B"/>
    <w:rsid w:val="00AA4016"/>
    <w:rsid w:val="00AA4C1F"/>
    <w:rsid w:val="00AA5328"/>
    <w:rsid w:val="00AA5393"/>
    <w:rsid w:val="00AA63D4"/>
    <w:rsid w:val="00AA7A21"/>
    <w:rsid w:val="00AB03FD"/>
    <w:rsid w:val="00AB0963"/>
    <w:rsid w:val="00AB2000"/>
    <w:rsid w:val="00AB38CB"/>
    <w:rsid w:val="00AB3BEC"/>
    <w:rsid w:val="00AB44E4"/>
    <w:rsid w:val="00AB4AEB"/>
    <w:rsid w:val="00AB4E5F"/>
    <w:rsid w:val="00AB5352"/>
    <w:rsid w:val="00AB56AE"/>
    <w:rsid w:val="00AB62D5"/>
    <w:rsid w:val="00AB65B5"/>
    <w:rsid w:val="00AB6DCD"/>
    <w:rsid w:val="00AB6EE0"/>
    <w:rsid w:val="00AB779F"/>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03D2"/>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4E6B"/>
    <w:rsid w:val="00B003FF"/>
    <w:rsid w:val="00B0098A"/>
    <w:rsid w:val="00B00A5F"/>
    <w:rsid w:val="00B01980"/>
    <w:rsid w:val="00B029B8"/>
    <w:rsid w:val="00B02F60"/>
    <w:rsid w:val="00B02F94"/>
    <w:rsid w:val="00B032B8"/>
    <w:rsid w:val="00B04721"/>
    <w:rsid w:val="00B04B15"/>
    <w:rsid w:val="00B04B46"/>
    <w:rsid w:val="00B0534D"/>
    <w:rsid w:val="00B05685"/>
    <w:rsid w:val="00B05F9F"/>
    <w:rsid w:val="00B06368"/>
    <w:rsid w:val="00B0645B"/>
    <w:rsid w:val="00B068DA"/>
    <w:rsid w:val="00B06A00"/>
    <w:rsid w:val="00B06FC6"/>
    <w:rsid w:val="00B074C9"/>
    <w:rsid w:val="00B07D9D"/>
    <w:rsid w:val="00B10053"/>
    <w:rsid w:val="00B11AE5"/>
    <w:rsid w:val="00B1222C"/>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BB"/>
    <w:rsid w:val="00B2504A"/>
    <w:rsid w:val="00B25EE6"/>
    <w:rsid w:val="00B3115A"/>
    <w:rsid w:val="00B3178B"/>
    <w:rsid w:val="00B31825"/>
    <w:rsid w:val="00B31A5C"/>
    <w:rsid w:val="00B32265"/>
    <w:rsid w:val="00B3276D"/>
    <w:rsid w:val="00B33B06"/>
    <w:rsid w:val="00B33C19"/>
    <w:rsid w:val="00B33CCB"/>
    <w:rsid w:val="00B35A15"/>
    <w:rsid w:val="00B35B45"/>
    <w:rsid w:val="00B36165"/>
    <w:rsid w:val="00B36A99"/>
    <w:rsid w:val="00B36F98"/>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5498"/>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675D4"/>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1643"/>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909"/>
    <w:rsid w:val="00BB5D16"/>
    <w:rsid w:val="00BB6180"/>
    <w:rsid w:val="00BB69E6"/>
    <w:rsid w:val="00BB7323"/>
    <w:rsid w:val="00BB7BE5"/>
    <w:rsid w:val="00BC08BD"/>
    <w:rsid w:val="00BC11E8"/>
    <w:rsid w:val="00BC1B7A"/>
    <w:rsid w:val="00BC2C17"/>
    <w:rsid w:val="00BC3046"/>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3917"/>
    <w:rsid w:val="00BE50FD"/>
    <w:rsid w:val="00BE51CA"/>
    <w:rsid w:val="00BE537F"/>
    <w:rsid w:val="00BE5D77"/>
    <w:rsid w:val="00BE67BC"/>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303"/>
    <w:rsid w:val="00BF6625"/>
    <w:rsid w:val="00BF6A78"/>
    <w:rsid w:val="00BF7695"/>
    <w:rsid w:val="00BF79B4"/>
    <w:rsid w:val="00BF7C61"/>
    <w:rsid w:val="00C01427"/>
    <w:rsid w:val="00C014C7"/>
    <w:rsid w:val="00C02D65"/>
    <w:rsid w:val="00C031CF"/>
    <w:rsid w:val="00C047AB"/>
    <w:rsid w:val="00C058AF"/>
    <w:rsid w:val="00C075B6"/>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830"/>
    <w:rsid w:val="00C50FF2"/>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BE9"/>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1DB1"/>
    <w:rsid w:val="00D126DC"/>
    <w:rsid w:val="00D12B03"/>
    <w:rsid w:val="00D13E70"/>
    <w:rsid w:val="00D13EE7"/>
    <w:rsid w:val="00D15FCD"/>
    <w:rsid w:val="00D16121"/>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32D"/>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4BF9"/>
    <w:rsid w:val="00DD4CFC"/>
    <w:rsid w:val="00DD61E8"/>
    <w:rsid w:val="00DD62C0"/>
    <w:rsid w:val="00DD64DE"/>
    <w:rsid w:val="00DD66DE"/>
    <w:rsid w:val="00DD7859"/>
    <w:rsid w:val="00DD7B41"/>
    <w:rsid w:val="00DD7DB0"/>
    <w:rsid w:val="00DE0784"/>
    <w:rsid w:val="00DE0A1D"/>
    <w:rsid w:val="00DE15B2"/>
    <w:rsid w:val="00DE1A9A"/>
    <w:rsid w:val="00DE3D2C"/>
    <w:rsid w:val="00DE5E82"/>
    <w:rsid w:val="00DE5FA6"/>
    <w:rsid w:val="00DE66D5"/>
    <w:rsid w:val="00DE6792"/>
    <w:rsid w:val="00DE6AA1"/>
    <w:rsid w:val="00DE7730"/>
    <w:rsid w:val="00DE7EF7"/>
    <w:rsid w:val="00DF015B"/>
    <w:rsid w:val="00DF02EC"/>
    <w:rsid w:val="00DF0922"/>
    <w:rsid w:val="00DF0A97"/>
    <w:rsid w:val="00DF10FC"/>
    <w:rsid w:val="00DF1185"/>
    <w:rsid w:val="00DF1299"/>
    <w:rsid w:val="00DF1A70"/>
    <w:rsid w:val="00DF1E5F"/>
    <w:rsid w:val="00DF23A8"/>
    <w:rsid w:val="00DF2F27"/>
    <w:rsid w:val="00DF363F"/>
    <w:rsid w:val="00DF36B6"/>
    <w:rsid w:val="00DF4296"/>
    <w:rsid w:val="00DF5267"/>
    <w:rsid w:val="00DF53F0"/>
    <w:rsid w:val="00DF5F38"/>
    <w:rsid w:val="00DF6608"/>
    <w:rsid w:val="00DF6CCC"/>
    <w:rsid w:val="00DF6D0C"/>
    <w:rsid w:val="00DF6F64"/>
    <w:rsid w:val="00DF721E"/>
    <w:rsid w:val="00DF7549"/>
    <w:rsid w:val="00DF7570"/>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3054"/>
    <w:rsid w:val="00E43655"/>
    <w:rsid w:val="00E44440"/>
    <w:rsid w:val="00E46013"/>
    <w:rsid w:val="00E462E5"/>
    <w:rsid w:val="00E47099"/>
    <w:rsid w:val="00E47284"/>
    <w:rsid w:val="00E477C3"/>
    <w:rsid w:val="00E506F1"/>
    <w:rsid w:val="00E51E16"/>
    <w:rsid w:val="00E52DED"/>
    <w:rsid w:val="00E53730"/>
    <w:rsid w:val="00E5438D"/>
    <w:rsid w:val="00E54511"/>
    <w:rsid w:val="00E54E50"/>
    <w:rsid w:val="00E55288"/>
    <w:rsid w:val="00E57577"/>
    <w:rsid w:val="00E61693"/>
    <w:rsid w:val="00E62043"/>
    <w:rsid w:val="00E626B9"/>
    <w:rsid w:val="00E627C9"/>
    <w:rsid w:val="00E630F3"/>
    <w:rsid w:val="00E6332F"/>
    <w:rsid w:val="00E637C9"/>
    <w:rsid w:val="00E63B54"/>
    <w:rsid w:val="00E6402D"/>
    <w:rsid w:val="00E6680A"/>
    <w:rsid w:val="00E66F0D"/>
    <w:rsid w:val="00E70615"/>
    <w:rsid w:val="00E7161E"/>
    <w:rsid w:val="00E7207B"/>
    <w:rsid w:val="00E72DCE"/>
    <w:rsid w:val="00E7347A"/>
    <w:rsid w:val="00E75A47"/>
    <w:rsid w:val="00E75BB6"/>
    <w:rsid w:val="00E75D8C"/>
    <w:rsid w:val="00E76155"/>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967A4"/>
    <w:rsid w:val="00EA14C8"/>
    <w:rsid w:val="00EA2110"/>
    <w:rsid w:val="00EA283A"/>
    <w:rsid w:val="00EA2C90"/>
    <w:rsid w:val="00EA2E07"/>
    <w:rsid w:val="00EA383B"/>
    <w:rsid w:val="00EA48F3"/>
    <w:rsid w:val="00EA60BF"/>
    <w:rsid w:val="00EA7365"/>
    <w:rsid w:val="00EA763F"/>
    <w:rsid w:val="00EA77E9"/>
    <w:rsid w:val="00EB000D"/>
    <w:rsid w:val="00EB05D0"/>
    <w:rsid w:val="00EB1151"/>
    <w:rsid w:val="00EB1D49"/>
    <w:rsid w:val="00EB23D9"/>
    <w:rsid w:val="00EB39A0"/>
    <w:rsid w:val="00EB430A"/>
    <w:rsid w:val="00EB559F"/>
    <w:rsid w:val="00EB566C"/>
    <w:rsid w:val="00EB5A18"/>
    <w:rsid w:val="00EB5F3D"/>
    <w:rsid w:val="00EB64B7"/>
    <w:rsid w:val="00EB6C97"/>
    <w:rsid w:val="00EC1CEB"/>
    <w:rsid w:val="00EC1DC0"/>
    <w:rsid w:val="00EC1DC2"/>
    <w:rsid w:val="00EC1E09"/>
    <w:rsid w:val="00EC210E"/>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2496"/>
    <w:rsid w:val="00EF3948"/>
    <w:rsid w:val="00EF41A8"/>
    <w:rsid w:val="00EF44FB"/>
    <w:rsid w:val="00EF5122"/>
    <w:rsid w:val="00EF5554"/>
    <w:rsid w:val="00EF5AD8"/>
    <w:rsid w:val="00EF6B90"/>
    <w:rsid w:val="00EF6FA7"/>
    <w:rsid w:val="00EF7807"/>
    <w:rsid w:val="00EF79F7"/>
    <w:rsid w:val="00F006C0"/>
    <w:rsid w:val="00F0125F"/>
    <w:rsid w:val="00F019AA"/>
    <w:rsid w:val="00F0267E"/>
    <w:rsid w:val="00F02686"/>
    <w:rsid w:val="00F030C0"/>
    <w:rsid w:val="00F03291"/>
    <w:rsid w:val="00F03A85"/>
    <w:rsid w:val="00F0459B"/>
    <w:rsid w:val="00F04DA4"/>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0364"/>
    <w:rsid w:val="00F212F6"/>
    <w:rsid w:val="00F22756"/>
    <w:rsid w:val="00F23248"/>
    <w:rsid w:val="00F23890"/>
    <w:rsid w:val="00F2504D"/>
    <w:rsid w:val="00F2637F"/>
    <w:rsid w:val="00F268F7"/>
    <w:rsid w:val="00F26DC8"/>
    <w:rsid w:val="00F30B83"/>
    <w:rsid w:val="00F30BDB"/>
    <w:rsid w:val="00F30CF8"/>
    <w:rsid w:val="00F31EDF"/>
    <w:rsid w:val="00F32CDE"/>
    <w:rsid w:val="00F32D4C"/>
    <w:rsid w:val="00F3327E"/>
    <w:rsid w:val="00F338C3"/>
    <w:rsid w:val="00F342BB"/>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2F7"/>
    <w:rsid w:val="00F52614"/>
    <w:rsid w:val="00F5276E"/>
    <w:rsid w:val="00F52E9F"/>
    <w:rsid w:val="00F53304"/>
    <w:rsid w:val="00F53B81"/>
    <w:rsid w:val="00F53E28"/>
    <w:rsid w:val="00F540FE"/>
    <w:rsid w:val="00F5459A"/>
    <w:rsid w:val="00F55153"/>
    <w:rsid w:val="00F556FF"/>
    <w:rsid w:val="00F55D12"/>
    <w:rsid w:val="00F5687F"/>
    <w:rsid w:val="00F56D3F"/>
    <w:rsid w:val="00F575C7"/>
    <w:rsid w:val="00F57FD0"/>
    <w:rsid w:val="00F60305"/>
    <w:rsid w:val="00F61B12"/>
    <w:rsid w:val="00F61C70"/>
    <w:rsid w:val="00F6221F"/>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3F0C"/>
    <w:rsid w:val="00F84306"/>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6C52"/>
    <w:rsid w:val="00FF78E5"/>
    <w:rsid w:val="012C5FAF"/>
    <w:rsid w:val="01AF3D99"/>
    <w:rsid w:val="02511F9D"/>
    <w:rsid w:val="03A314B8"/>
    <w:rsid w:val="03D82B98"/>
    <w:rsid w:val="03F83E8B"/>
    <w:rsid w:val="05C56868"/>
    <w:rsid w:val="07A539BD"/>
    <w:rsid w:val="07B72767"/>
    <w:rsid w:val="08077E72"/>
    <w:rsid w:val="08882DD0"/>
    <w:rsid w:val="09CC2AAC"/>
    <w:rsid w:val="0A652D3E"/>
    <w:rsid w:val="0B1B76AA"/>
    <w:rsid w:val="0B326F2A"/>
    <w:rsid w:val="0C1E2888"/>
    <w:rsid w:val="0C865346"/>
    <w:rsid w:val="0C92213C"/>
    <w:rsid w:val="0CAE6912"/>
    <w:rsid w:val="0CC2027E"/>
    <w:rsid w:val="0D84032B"/>
    <w:rsid w:val="0F2A74C4"/>
    <w:rsid w:val="10A27F31"/>
    <w:rsid w:val="11927058"/>
    <w:rsid w:val="120E171E"/>
    <w:rsid w:val="137B4027"/>
    <w:rsid w:val="13AF4F03"/>
    <w:rsid w:val="1444664D"/>
    <w:rsid w:val="14736E66"/>
    <w:rsid w:val="147F458F"/>
    <w:rsid w:val="1534169A"/>
    <w:rsid w:val="15C03E03"/>
    <w:rsid w:val="162A25EB"/>
    <w:rsid w:val="16735895"/>
    <w:rsid w:val="16FD2A55"/>
    <w:rsid w:val="17036495"/>
    <w:rsid w:val="17067C1A"/>
    <w:rsid w:val="17366761"/>
    <w:rsid w:val="177C01F0"/>
    <w:rsid w:val="179E3EFA"/>
    <w:rsid w:val="17CE6630"/>
    <w:rsid w:val="185365BF"/>
    <w:rsid w:val="18A93F8C"/>
    <w:rsid w:val="18FE0093"/>
    <w:rsid w:val="1A4C6388"/>
    <w:rsid w:val="1AFF0AFE"/>
    <w:rsid w:val="1B4F19F8"/>
    <w:rsid w:val="1C395ACC"/>
    <w:rsid w:val="1E087E4C"/>
    <w:rsid w:val="1ECC44FA"/>
    <w:rsid w:val="1F063325"/>
    <w:rsid w:val="1FBC5DF5"/>
    <w:rsid w:val="1FF90588"/>
    <w:rsid w:val="20C3623F"/>
    <w:rsid w:val="21082325"/>
    <w:rsid w:val="21781212"/>
    <w:rsid w:val="21B83F86"/>
    <w:rsid w:val="221178A8"/>
    <w:rsid w:val="221213CF"/>
    <w:rsid w:val="22327A92"/>
    <w:rsid w:val="231D53A2"/>
    <w:rsid w:val="236D5383"/>
    <w:rsid w:val="23B7504C"/>
    <w:rsid w:val="24571307"/>
    <w:rsid w:val="24C34ACD"/>
    <w:rsid w:val="25110A2A"/>
    <w:rsid w:val="256C0944"/>
    <w:rsid w:val="25D03DD1"/>
    <w:rsid w:val="26446DE3"/>
    <w:rsid w:val="26877DFE"/>
    <w:rsid w:val="269669E7"/>
    <w:rsid w:val="26A270C1"/>
    <w:rsid w:val="26D7699F"/>
    <w:rsid w:val="29D75F7F"/>
    <w:rsid w:val="2B774624"/>
    <w:rsid w:val="2BB0457E"/>
    <w:rsid w:val="2C7A72BE"/>
    <w:rsid w:val="2C9A7D75"/>
    <w:rsid w:val="2CC17412"/>
    <w:rsid w:val="2D7C1E99"/>
    <w:rsid w:val="2E9976CE"/>
    <w:rsid w:val="2EF01DEE"/>
    <w:rsid w:val="2F401D3C"/>
    <w:rsid w:val="2F5B24E1"/>
    <w:rsid w:val="2FA95C88"/>
    <w:rsid w:val="3041370F"/>
    <w:rsid w:val="30B87FED"/>
    <w:rsid w:val="312B50A3"/>
    <w:rsid w:val="31894FD2"/>
    <w:rsid w:val="32453A27"/>
    <w:rsid w:val="3263064A"/>
    <w:rsid w:val="32A43132"/>
    <w:rsid w:val="32AC0C06"/>
    <w:rsid w:val="33344EF5"/>
    <w:rsid w:val="33A367C7"/>
    <w:rsid w:val="3537750C"/>
    <w:rsid w:val="3537798C"/>
    <w:rsid w:val="35C13FC9"/>
    <w:rsid w:val="36372B05"/>
    <w:rsid w:val="364257B6"/>
    <w:rsid w:val="36BD137C"/>
    <w:rsid w:val="37EA5922"/>
    <w:rsid w:val="38276B93"/>
    <w:rsid w:val="382E58B8"/>
    <w:rsid w:val="38AC3431"/>
    <w:rsid w:val="392F2E16"/>
    <w:rsid w:val="39E00529"/>
    <w:rsid w:val="3A0B64A7"/>
    <w:rsid w:val="3A574DDA"/>
    <w:rsid w:val="3AD3075A"/>
    <w:rsid w:val="3AF74C02"/>
    <w:rsid w:val="3BEE033D"/>
    <w:rsid w:val="3C0059A5"/>
    <w:rsid w:val="3C134E78"/>
    <w:rsid w:val="3D926238"/>
    <w:rsid w:val="3DF6345D"/>
    <w:rsid w:val="3E2B5515"/>
    <w:rsid w:val="3E4D4F28"/>
    <w:rsid w:val="3ED92EC4"/>
    <w:rsid w:val="3EE13701"/>
    <w:rsid w:val="3F1A4BB3"/>
    <w:rsid w:val="40192BA6"/>
    <w:rsid w:val="40295EA8"/>
    <w:rsid w:val="41766EA9"/>
    <w:rsid w:val="42550A18"/>
    <w:rsid w:val="429D496A"/>
    <w:rsid w:val="42F473A1"/>
    <w:rsid w:val="437217EA"/>
    <w:rsid w:val="43AB7156"/>
    <w:rsid w:val="441E62C0"/>
    <w:rsid w:val="44526145"/>
    <w:rsid w:val="45325D14"/>
    <w:rsid w:val="45811C7C"/>
    <w:rsid w:val="45906116"/>
    <w:rsid w:val="45931B8C"/>
    <w:rsid w:val="45EF2552"/>
    <w:rsid w:val="468B3EFB"/>
    <w:rsid w:val="470A6193"/>
    <w:rsid w:val="4732178B"/>
    <w:rsid w:val="47385210"/>
    <w:rsid w:val="475510F8"/>
    <w:rsid w:val="47DC4F5C"/>
    <w:rsid w:val="48B40671"/>
    <w:rsid w:val="499B5738"/>
    <w:rsid w:val="499F244D"/>
    <w:rsid w:val="4A973F3F"/>
    <w:rsid w:val="4AF96BC7"/>
    <w:rsid w:val="4B862A85"/>
    <w:rsid w:val="4C793B3F"/>
    <w:rsid w:val="4CD3324F"/>
    <w:rsid w:val="4CEF36E2"/>
    <w:rsid w:val="4CEF4DC5"/>
    <w:rsid w:val="4E257655"/>
    <w:rsid w:val="4F372380"/>
    <w:rsid w:val="4F372FFB"/>
    <w:rsid w:val="5025116D"/>
    <w:rsid w:val="52395ECD"/>
    <w:rsid w:val="52B458D1"/>
    <w:rsid w:val="52BB030E"/>
    <w:rsid w:val="52C10D75"/>
    <w:rsid w:val="53642E53"/>
    <w:rsid w:val="53C27FF8"/>
    <w:rsid w:val="54806794"/>
    <w:rsid w:val="549E1A80"/>
    <w:rsid w:val="54C658F4"/>
    <w:rsid w:val="550C4BD7"/>
    <w:rsid w:val="554C1D56"/>
    <w:rsid w:val="55572986"/>
    <w:rsid w:val="55857C95"/>
    <w:rsid w:val="55E80984"/>
    <w:rsid w:val="565340FA"/>
    <w:rsid w:val="56A570B5"/>
    <w:rsid w:val="56AD5F59"/>
    <w:rsid w:val="56C60774"/>
    <w:rsid w:val="57B12A52"/>
    <w:rsid w:val="5A2F2CC8"/>
    <w:rsid w:val="5BF8115B"/>
    <w:rsid w:val="5C10702D"/>
    <w:rsid w:val="5C152601"/>
    <w:rsid w:val="5C591F03"/>
    <w:rsid w:val="5C8A1B2F"/>
    <w:rsid w:val="5F561B72"/>
    <w:rsid w:val="60025813"/>
    <w:rsid w:val="606007BB"/>
    <w:rsid w:val="60AC7F66"/>
    <w:rsid w:val="61437469"/>
    <w:rsid w:val="61BF10D9"/>
    <w:rsid w:val="62AC22DC"/>
    <w:rsid w:val="63A22BFD"/>
    <w:rsid w:val="64E45EF7"/>
    <w:rsid w:val="6691014E"/>
    <w:rsid w:val="66C87CCE"/>
    <w:rsid w:val="66DC300A"/>
    <w:rsid w:val="677435B2"/>
    <w:rsid w:val="67B45F93"/>
    <w:rsid w:val="67EF75F1"/>
    <w:rsid w:val="684F4F11"/>
    <w:rsid w:val="69124F16"/>
    <w:rsid w:val="69CD5C14"/>
    <w:rsid w:val="69CF0D33"/>
    <w:rsid w:val="6B9946B3"/>
    <w:rsid w:val="6BE518DA"/>
    <w:rsid w:val="6C276F3A"/>
    <w:rsid w:val="6C7007C7"/>
    <w:rsid w:val="6DE76850"/>
    <w:rsid w:val="6E686AB5"/>
    <w:rsid w:val="6FB20BD4"/>
    <w:rsid w:val="6FBA59BE"/>
    <w:rsid w:val="70296B3E"/>
    <w:rsid w:val="70611204"/>
    <w:rsid w:val="7165620F"/>
    <w:rsid w:val="717039F8"/>
    <w:rsid w:val="74D13AD5"/>
    <w:rsid w:val="74FA2C30"/>
    <w:rsid w:val="754D5C4B"/>
    <w:rsid w:val="76C240A7"/>
    <w:rsid w:val="76DA416A"/>
    <w:rsid w:val="775246B7"/>
    <w:rsid w:val="781E69D1"/>
    <w:rsid w:val="7901747F"/>
    <w:rsid w:val="7A263B6B"/>
    <w:rsid w:val="7AF46346"/>
    <w:rsid w:val="7B0F5EBF"/>
    <w:rsid w:val="7B130FB9"/>
    <w:rsid w:val="7BD55DBA"/>
    <w:rsid w:val="7BD71E38"/>
    <w:rsid w:val="7BF64EDE"/>
    <w:rsid w:val="7C400C1E"/>
    <w:rsid w:val="7DD11708"/>
    <w:rsid w:val="7DEE4A4F"/>
    <w:rsid w:val="7E10228F"/>
    <w:rsid w:val="7EAE6230"/>
    <w:rsid w:val="7EBD579E"/>
    <w:rsid w:val="7EC167BD"/>
    <w:rsid w:val="7F272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28"/>
    <w:qFormat/>
    <w:uiPriority w:val="9"/>
    <w:pPr>
      <w:keepNext/>
      <w:keepLines/>
      <w:spacing w:before="280" w:after="290" w:line="376" w:lineRule="auto"/>
      <w:outlineLvl w:val="4"/>
    </w:pPr>
    <w:rPr>
      <w:b/>
      <w:bCs/>
      <w:sz w:val="28"/>
      <w:szCs w:val="28"/>
    </w:rPr>
  </w:style>
  <w:style w:type="paragraph" w:styleId="6">
    <w:name w:val="heading 8"/>
    <w:basedOn w:val="1"/>
    <w:next w:val="1"/>
    <w:link w:val="31"/>
    <w:qFormat/>
    <w:uiPriority w:val="9"/>
    <w:pPr>
      <w:keepNext/>
      <w:keepLines/>
      <w:spacing w:before="240" w:after="64" w:line="320" w:lineRule="auto"/>
      <w:outlineLvl w:val="7"/>
    </w:pPr>
    <w:rPr>
      <w:rFonts w:ascii="等线 Light" w:hAnsi="等线 Light" w:eastAsia="等线 Light"/>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32"/>
    <w:qFormat/>
    <w:uiPriority w:val="0"/>
    <w:pPr>
      <w:jc w:val="left"/>
    </w:pPr>
  </w:style>
  <w:style w:type="paragraph" w:styleId="9">
    <w:name w:val="Body Text 3"/>
    <w:basedOn w:val="1"/>
    <w:link w:val="33"/>
    <w:unhideWhenUsed/>
    <w:qFormat/>
    <w:uiPriority w:val="99"/>
    <w:pPr>
      <w:spacing w:after="120"/>
    </w:pPr>
    <w:rPr>
      <w:sz w:val="16"/>
      <w:szCs w:val="16"/>
    </w:rPr>
  </w:style>
  <w:style w:type="paragraph" w:styleId="10">
    <w:name w:val="Body Text"/>
    <w:basedOn w:val="1"/>
    <w:next w:val="1"/>
    <w:link w:val="34"/>
    <w:unhideWhenUsed/>
    <w:qFormat/>
    <w:uiPriority w:val="0"/>
    <w:pPr>
      <w:spacing w:after="120"/>
    </w:pPr>
  </w:style>
  <w:style w:type="paragraph" w:styleId="11">
    <w:name w:val="Body Text Indent"/>
    <w:basedOn w:val="1"/>
    <w:link w:val="35"/>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link w:val="36"/>
    <w:qFormat/>
    <w:uiPriority w:val="0"/>
    <w:rPr>
      <w:rFonts w:ascii="宋体" w:hAnsi="Courier New"/>
      <w:kern w:val="0"/>
      <w:sz w:val="20"/>
      <w:szCs w:val="21"/>
    </w:rPr>
  </w:style>
  <w:style w:type="paragraph" w:styleId="14">
    <w:name w:val="Date"/>
    <w:basedOn w:val="1"/>
    <w:next w:val="1"/>
    <w:link w:val="37"/>
    <w:unhideWhenUsed/>
    <w:qFormat/>
    <w:uiPriority w:val="99"/>
    <w:pPr>
      <w:ind w:left="100" w:leftChars="2500"/>
    </w:pPr>
  </w:style>
  <w:style w:type="paragraph" w:styleId="15">
    <w:name w:val="Balloon Text"/>
    <w:basedOn w:val="1"/>
    <w:semiHidden/>
    <w:qFormat/>
    <w:uiPriority w:val="0"/>
    <w:rPr>
      <w:sz w:val="18"/>
      <w:szCs w:val="18"/>
    </w:rPr>
  </w:style>
  <w:style w:type="paragraph" w:styleId="16">
    <w:name w:val="footer"/>
    <w:basedOn w:val="1"/>
    <w:link w:val="38"/>
    <w:unhideWhenUsed/>
    <w:qFormat/>
    <w:uiPriority w:val="99"/>
    <w:pPr>
      <w:tabs>
        <w:tab w:val="center" w:pos="4153"/>
        <w:tab w:val="right" w:pos="8306"/>
      </w:tabs>
      <w:snapToGrid w:val="0"/>
      <w:jc w:val="left"/>
    </w:pPr>
    <w:rPr>
      <w:kern w:val="0"/>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rPr>
      <w:rFonts w:ascii="Calibri" w:hAnsi="Calibri"/>
      <w:kern w:val="0"/>
      <w:sz w:val="24"/>
    </w:rPr>
  </w:style>
  <w:style w:type="paragraph" w:styleId="21">
    <w:name w:val="annotation subject"/>
    <w:basedOn w:val="8"/>
    <w:next w:val="8"/>
    <w:link w:val="40"/>
    <w:qFormat/>
    <w:uiPriority w:val="99"/>
    <w:rPr>
      <w:b/>
      <w:bCs/>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endnote reference"/>
    <w:unhideWhenUsed/>
    <w:qFormat/>
    <w:uiPriority w:val="99"/>
    <w:rPr>
      <w:vertAlign w:val="superscript"/>
    </w:rPr>
  </w:style>
  <w:style w:type="character" w:styleId="26">
    <w:name w:val="Hyperlink"/>
    <w:unhideWhenUsed/>
    <w:qFormat/>
    <w:uiPriority w:val="99"/>
    <w:rPr>
      <w:color w:val="0000FF"/>
      <w:u w:val="single"/>
    </w:rPr>
  </w:style>
  <w:style w:type="character" w:styleId="27">
    <w:name w:val="annotation reference"/>
    <w:qFormat/>
    <w:uiPriority w:val="0"/>
    <w:rPr>
      <w:sz w:val="21"/>
      <w:szCs w:val="21"/>
    </w:rPr>
  </w:style>
  <w:style w:type="character" w:customStyle="1" w:styleId="28">
    <w:name w:val="标题 5 Char"/>
    <w:link w:val="4"/>
    <w:semiHidden/>
    <w:qFormat/>
    <w:uiPriority w:val="9"/>
    <w:rPr>
      <w:rFonts w:ascii="Times New Roman" w:hAnsi="Times New Roman"/>
      <w:b/>
      <w:bCs/>
      <w:kern w:val="2"/>
      <w:sz w:val="28"/>
      <w:szCs w:val="28"/>
    </w:rPr>
  </w:style>
  <w:style w:type="character" w:customStyle="1" w:styleId="29">
    <w:name w:val="标题 1 Char"/>
    <w:link w:val="2"/>
    <w:qFormat/>
    <w:uiPriority w:val="9"/>
    <w:rPr>
      <w:b/>
      <w:bCs/>
      <w:kern w:val="44"/>
      <w:sz w:val="44"/>
      <w:szCs w:val="44"/>
    </w:rPr>
  </w:style>
  <w:style w:type="character" w:customStyle="1" w:styleId="30">
    <w:name w:val="标题 2 Char1"/>
    <w:link w:val="3"/>
    <w:qFormat/>
    <w:uiPriority w:val="9"/>
    <w:rPr>
      <w:rFonts w:ascii="Cambria" w:hAnsi="Cambria" w:eastAsia="宋体" w:cs="Times New Roman"/>
      <w:b/>
      <w:bCs/>
      <w:kern w:val="2"/>
      <w:sz w:val="32"/>
      <w:szCs w:val="32"/>
    </w:rPr>
  </w:style>
  <w:style w:type="character" w:customStyle="1" w:styleId="31">
    <w:name w:val="标题 8 Char1"/>
    <w:link w:val="6"/>
    <w:semiHidden/>
    <w:qFormat/>
    <w:uiPriority w:val="9"/>
    <w:rPr>
      <w:rFonts w:ascii="等线 Light" w:hAnsi="等线 Light" w:eastAsia="等线 Light" w:cs="Times New Roman"/>
      <w:kern w:val="2"/>
      <w:sz w:val="24"/>
      <w:szCs w:val="24"/>
    </w:rPr>
  </w:style>
  <w:style w:type="character" w:customStyle="1" w:styleId="32">
    <w:name w:val="批注文字 Char1"/>
    <w:link w:val="8"/>
    <w:qFormat/>
    <w:uiPriority w:val="0"/>
    <w:rPr>
      <w:rFonts w:ascii="Times New Roman" w:hAnsi="Times New Roman"/>
      <w:kern w:val="2"/>
      <w:sz w:val="21"/>
      <w:szCs w:val="24"/>
    </w:rPr>
  </w:style>
  <w:style w:type="character" w:customStyle="1" w:styleId="33">
    <w:name w:val="正文文本 3 Char"/>
    <w:link w:val="9"/>
    <w:semiHidden/>
    <w:qFormat/>
    <w:uiPriority w:val="99"/>
    <w:rPr>
      <w:kern w:val="2"/>
      <w:sz w:val="16"/>
      <w:szCs w:val="16"/>
    </w:rPr>
  </w:style>
  <w:style w:type="character" w:customStyle="1" w:styleId="34">
    <w:name w:val="正文文本 Char1"/>
    <w:link w:val="10"/>
    <w:qFormat/>
    <w:uiPriority w:val="0"/>
    <w:rPr>
      <w:rFonts w:ascii="Times New Roman" w:hAnsi="Times New Roman"/>
      <w:kern w:val="2"/>
      <w:sz w:val="21"/>
      <w:szCs w:val="24"/>
    </w:rPr>
  </w:style>
  <w:style w:type="character" w:customStyle="1" w:styleId="35">
    <w:name w:val="正文文本缩进 Char"/>
    <w:link w:val="11"/>
    <w:qFormat/>
    <w:uiPriority w:val="0"/>
    <w:rPr>
      <w:rFonts w:ascii="仿宋_GB2312" w:hAnsi="Times New Roman" w:eastAsia="仿宋_GB2312" w:cs="Times New Roman"/>
      <w:sz w:val="32"/>
      <w:szCs w:val="20"/>
    </w:rPr>
  </w:style>
  <w:style w:type="character" w:customStyle="1" w:styleId="36">
    <w:name w:val="纯文本 Char1"/>
    <w:link w:val="13"/>
    <w:qFormat/>
    <w:uiPriority w:val="0"/>
    <w:rPr>
      <w:rFonts w:ascii="宋体" w:hAnsi="Courier New" w:eastAsia="宋体" w:cs="Courier New"/>
      <w:szCs w:val="21"/>
    </w:rPr>
  </w:style>
  <w:style w:type="character" w:customStyle="1" w:styleId="37">
    <w:name w:val="日期 Char"/>
    <w:link w:val="14"/>
    <w:semiHidden/>
    <w:qFormat/>
    <w:uiPriority w:val="99"/>
    <w:rPr>
      <w:rFonts w:ascii="Times New Roman" w:hAnsi="Times New Roman"/>
      <w:kern w:val="2"/>
      <w:sz w:val="21"/>
      <w:szCs w:val="24"/>
    </w:rPr>
  </w:style>
  <w:style w:type="character" w:customStyle="1" w:styleId="38">
    <w:name w:val="页脚 Char"/>
    <w:link w:val="16"/>
    <w:qFormat/>
    <w:uiPriority w:val="99"/>
    <w:rPr>
      <w:sz w:val="18"/>
      <w:szCs w:val="18"/>
    </w:rPr>
  </w:style>
  <w:style w:type="character" w:customStyle="1" w:styleId="39">
    <w:name w:val="页眉 Char"/>
    <w:link w:val="17"/>
    <w:qFormat/>
    <w:uiPriority w:val="99"/>
    <w:rPr>
      <w:sz w:val="18"/>
      <w:szCs w:val="18"/>
    </w:rPr>
  </w:style>
  <w:style w:type="character" w:customStyle="1" w:styleId="40">
    <w:name w:val="批注主题 Char"/>
    <w:link w:val="21"/>
    <w:qFormat/>
    <w:uiPriority w:val="99"/>
    <w:rPr>
      <w:rFonts w:ascii="Times New Roman" w:hAnsi="Times New Roman"/>
      <w:b/>
      <w:bCs/>
      <w:kern w:val="2"/>
      <w:sz w:val="21"/>
      <w:szCs w:val="24"/>
    </w:rPr>
  </w:style>
  <w:style w:type="character" w:customStyle="1" w:styleId="41">
    <w:name w:val="标题 1 字符1"/>
    <w:qFormat/>
    <w:uiPriority w:val="0"/>
    <w:rPr>
      <w:b/>
      <w:bCs/>
      <w:kern w:val="44"/>
      <w:sz w:val="44"/>
      <w:szCs w:val="44"/>
    </w:rPr>
  </w:style>
  <w:style w:type="character" w:customStyle="1" w:styleId="42">
    <w:name w:val="textcontents"/>
    <w:qFormat/>
    <w:uiPriority w:val="0"/>
  </w:style>
  <w:style w:type="character" w:customStyle="1" w:styleId="43">
    <w:name w:val="批注文字 Char"/>
    <w:qFormat/>
    <w:uiPriority w:val="0"/>
    <w:rPr>
      <w:rFonts w:ascii="Times New Roman" w:hAnsi="Times New Roman"/>
      <w:kern w:val="2"/>
      <w:sz w:val="21"/>
      <w:szCs w:val="24"/>
    </w:rPr>
  </w:style>
  <w:style w:type="character" w:customStyle="1" w:styleId="44">
    <w:name w:val="纯文本 字符"/>
    <w:qFormat/>
    <w:uiPriority w:val="0"/>
    <w:rPr>
      <w:rFonts w:ascii="宋体" w:hAnsi="Courier New" w:eastAsia="宋体" w:cs="Courier New"/>
      <w:szCs w:val="21"/>
    </w:rPr>
  </w:style>
  <w:style w:type="character" w:customStyle="1" w:styleId="45">
    <w:name w:val="纯文本 Char"/>
    <w:qFormat/>
    <w:uiPriority w:val="0"/>
    <w:rPr>
      <w:rFonts w:ascii="宋体" w:hAnsi="Courier New" w:eastAsia="宋体" w:cs="Courier New"/>
      <w:szCs w:val="21"/>
    </w:rPr>
  </w:style>
  <w:style w:type="character" w:customStyle="1" w:styleId="46">
    <w:name w:val="纯文本 字符2"/>
    <w:qFormat/>
    <w:uiPriority w:val="0"/>
    <w:rPr>
      <w:rFonts w:ascii="宋体" w:hAnsi="Courier New" w:eastAsia="宋体" w:cs="Courier New"/>
      <w:szCs w:val="21"/>
    </w:rPr>
  </w:style>
  <w:style w:type="character" w:customStyle="1" w:styleId="47">
    <w:name w:val="批注文字 字符1"/>
    <w:qFormat/>
    <w:uiPriority w:val="0"/>
    <w:rPr>
      <w:rFonts w:ascii="Times New Roman" w:hAnsi="Times New Roman"/>
      <w:kern w:val="2"/>
      <w:sz w:val="21"/>
      <w:szCs w:val="24"/>
    </w:rPr>
  </w:style>
  <w:style w:type="character" w:customStyle="1" w:styleId="4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9">
    <w:name w:val="纯文本 字符1"/>
    <w:qFormat/>
    <w:uiPriority w:val="0"/>
    <w:rPr>
      <w:rFonts w:ascii="宋体" w:hAnsi="Courier New"/>
    </w:rPr>
  </w:style>
  <w:style w:type="character" w:customStyle="1" w:styleId="50">
    <w:name w:val="正文文本 Char"/>
    <w:qFormat/>
    <w:uiPriority w:val="99"/>
    <w:rPr>
      <w:rFonts w:ascii="Times New Roman" w:hAnsi="Times New Roman"/>
      <w:kern w:val="2"/>
      <w:sz w:val="21"/>
      <w:szCs w:val="24"/>
    </w:rPr>
  </w:style>
  <w:style w:type="character" w:customStyle="1" w:styleId="51">
    <w:name w:val="批注文字 字符"/>
    <w:qFormat/>
    <w:uiPriority w:val="0"/>
    <w:rPr>
      <w:rFonts w:ascii="Times New Roman" w:hAnsi="Times New Roman"/>
      <w:kern w:val="2"/>
      <w:sz w:val="21"/>
      <w:szCs w:val="24"/>
    </w:rPr>
  </w:style>
  <w:style w:type="character" w:customStyle="1" w:styleId="52">
    <w:name w:val="标题 2 Char"/>
    <w:qFormat/>
    <w:uiPriority w:val="9"/>
    <w:rPr>
      <w:rFonts w:ascii="Cambria" w:hAnsi="Cambria" w:eastAsia="宋体" w:cs="Times New Roman"/>
      <w:b/>
      <w:bCs/>
      <w:kern w:val="2"/>
      <w:sz w:val="32"/>
      <w:szCs w:val="32"/>
    </w:rPr>
  </w:style>
  <w:style w:type="character" w:customStyle="1" w:styleId="53">
    <w:name w:val="标题 8 Char"/>
    <w:qFormat/>
    <w:uiPriority w:val="0"/>
    <w:rPr>
      <w:rFonts w:ascii="Arial" w:hAnsi="Arial" w:eastAsia="黑体"/>
      <w:kern w:val="2"/>
      <w:sz w:val="24"/>
      <w:szCs w:val="24"/>
    </w:rPr>
  </w:style>
  <w:style w:type="character" w:customStyle="1" w:styleId="54">
    <w:name w:val="apple-style-span"/>
    <w:qFormat/>
    <w:uiPriority w:val="0"/>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paragraph" w:customStyle="1" w:styleId="5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7">
    <w:name w:val="List Paragraph"/>
    <w:basedOn w:val="1"/>
    <w:qFormat/>
    <w:uiPriority w:val="34"/>
    <w:pPr>
      <w:ind w:firstLine="420" w:firstLineChars="200"/>
    </w:pPr>
  </w:style>
  <w:style w:type="paragraph" w:customStyle="1" w:styleId="58">
    <w:name w:val="Table Paragraph"/>
    <w:basedOn w:val="1"/>
    <w:qFormat/>
    <w:uiPriority w:val="1"/>
    <w:pPr>
      <w:jc w:val="left"/>
    </w:pPr>
    <w:rPr>
      <w:rFonts w:ascii="Calibri" w:hAnsi="Calibri"/>
      <w:kern w:val="0"/>
      <w:sz w:val="22"/>
      <w:szCs w:val="22"/>
      <w:lang w:eastAsia="en-US"/>
    </w:rPr>
  </w:style>
  <w:style w:type="character" w:customStyle="1" w:styleId="59">
    <w:name w:val="正文文本 字符"/>
    <w:qFormat/>
    <w:uiPriority w:val="0"/>
    <w:rPr>
      <w:rFonts w:ascii="Times New Roman" w:hAnsi="Times New Roman"/>
      <w:kern w:val="2"/>
      <w:sz w:val="21"/>
      <w:szCs w:val="24"/>
    </w:rPr>
  </w:style>
  <w:style w:type="character" w:customStyle="1" w:styleId="60">
    <w:name w:val="批注文字 Char2"/>
    <w:qFormat/>
    <w:uiPriority w:val="0"/>
    <w:rPr>
      <w:rFonts w:ascii="Times New Roman" w:hAnsi="Times New Roman"/>
      <w:kern w:val="2"/>
      <w:sz w:val="21"/>
      <w:szCs w:val="24"/>
    </w:rPr>
  </w:style>
  <w:style w:type="character" w:customStyle="1" w:styleId="61">
    <w:name w:val="正文2 Char Char"/>
    <w:link w:val="62"/>
    <w:qFormat/>
    <w:uiPriority w:val="0"/>
    <w:rPr>
      <w:kern w:val="2"/>
      <w:sz w:val="24"/>
    </w:rPr>
  </w:style>
  <w:style w:type="paragraph" w:customStyle="1" w:styleId="62">
    <w:name w:val="正文2"/>
    <w:basedOn w:val="1"/>
    <w:link w:val="61"/>
    <w:qFormat/>
    <w:uiPriority w:val="0"/>
    <w:pPr>
      <w:adjustRightInd w:val="0"/>
      <w:spacing w:before="156" w:line="360" w:lineRule="auto"/>
      <w:ind w:firstLine="510" w:firstLineChars="200"/>
    </w:pPr>
    <w:rPr>
      <w:sz w:val="24"/>
      <w:szCs w:val="20"/>
    </w:rPr>
  </w:style>
  <w:style w:type="paragraph" w:customStyle="1" w:styleId="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
    <w:name w:val="列出段落1"/>
    <w:basedOn w:val="1"/>
    <w:qFormat/>
    <w:uiPriority w:val="0"/>
    <w:pPr>
      <w:ind w:firstLine="420" w:firstLineChars="200"/>
    </w:pPr>
    <w:rPr>
      <w:szCs w:val="21"/>
    </w:rPr>
  </w:style>
  <w:style w:type="paragraph" w:customStyle="1" w:styleId="65">
    <w:name w:val="公文正文"/>
    <w:basedOn w:val="1"/>
    <w:qFormat/>
    <w:uiPriority w:val="0"/>
    <w:pPr>
      <w:spacing w:line="560" w:lineRule="exact"/>
      <w:ind w:firstLine="200" w:firstLineChars="200"/>
    </w:pPr>
    <w:rPr>
      <w:rFonts w:eastAsia="方正仿宋简体" w:cstheme="minorBidi"/>
      <w:sz w:val="32"/>
      <w:szCs w:val="32"/>
    </w:rPr>
  </w:style>
  <w:style w:type="character" w:customStyle="1" w:styleId="66">
    <w:name w:val="font11"/>
    <w:basedOn w:val="24"/>
    <w:qFormat/>
    <w:uiPriority w:val="0"/>
    <w:rPr>
      <w:rFonts w:hint="eastAsia" w:ascii="宋体" w:hAnsi="宋体" w:eastAsia="宋体" w:cs="宋体"/>
      <w:color w:val="000000"/>
      <w:sz w:val="24"/>
      <w:szCs w:val="24"/>
      <w:u w:val="none"/>
    </w:rPr>
  </w:style>
  <w:style w:type="character" w:customStyle="1" w:styleId="67">
    <w:name w:val="font21"/>
    <w:basedOn w:val="2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7B306-FEAF-4376-BADE-06C3AE4AE6C5}">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72</Pages>
  <Words>14238</Words>
  <Characters>15105</Characters>
  <Lines>332</Lines>
  <Paragraphs>93</Paragraphs>
  <TotalTime>5</TotalTime>
  <ScaleCrop>false</ScaleCrop>
  <LinksUpToDate>false</LinksUpToDate>
  <CharactersWithSpaces>15310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2025-05-16T03:34:00Z</dcterms:created>
  <dc:creator>唐冰</dc:creator>
  <cp:lastModifiedBy>绍袁</cp:lastModifiedBy>
  <cp:lastPrinted>2025-04-16T07:56:00Z</cp:lastPrinted>
  <dcterms:modified xsi:type="dcterms:W3CDTF">2025-05-28T01:11:04Z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AC62113C57A847FB9DD898C5E8B87AD0_13</vt:lpwstr>
  </property>
  <property fmtid="{D5CDD505-2E9C-101B-9397-08002B2CF9AE}" pid="4" name="KSOTemplateDocerSaveRecord">
    <vt:lpwstr>eyJoZGlkIjoiZTljNTc1NGMyMGIyN2RmOTZmMjliMWRkZDI0Njk3NTciLCJ1c2VySWQiOiIyNjk4Mjc3NjMifQ==</vt:lpwstr>
  </property>
</Properties>
</file>